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999FB">
      <w:pPr>
        <w:tabs>
          <w:tab w:val="left" w:pos="426"/>
        </w:tabs>
        <w:spacing w:line="360" w:lineRule="auto"/>
        <w:jc w:val="center"/>
        <w:rPr>
          <w:rFonts w:asciiTheme="minorEastAsia" w:hAnsiTheme="minorEastAsia" w:eastAsiaTheme="minorEastAsia"/>
          <w:b/>
          <w:bCs/>
          <w:color w:val="auto"/>
          <w:sz w:val="48"/>
          <w:szCs w:val="48"/>
          <w:highlight w:val="none"/>
        </w:rPr>
      </w:pPr>
    </w:p>
    <w:p w14:paraId="62B9BD2E">
      <w:pPr>
        <w:keepNext w:val="0"/>
        <w:keepLines w:val="0"/>
        <w:pageBreakBefore w:val="0"/>
        <w:widowControl w:val="0"/>
        <w:kinsoku/>
        <w:wordWrap w:val="0"/>
        <w:overflowPunct/>
        <w:topLinePunct w:val="0"/>
        <w:autoSpaceDE/>
        <w:autoSpaceDN/>
        <w:bidi w:val="0"/>
        <w:adjustRightInd/>
        <w:snapToGrid/>
        <w:spacing w:after="120" w:line="240" w:lineRule="auto"/>
        <w:ind w:right="-61"/>
        <w:jc w:val="center"/>
        <w:textAlignment w:val="auto"/>
        <w:rPr>
          <w:rFonts w:ascii="宋体" w:hAnsi="宋体" w:cs="宋体"/>
          <w:b/>
          <w:color w:val="auto"/>
          <w:sz w:val="52"/>
          <w:highlight w:val="none"/>
        </w:rPr>
      </w:pPr>
      <w:r>
        <w:rPr>
          <w:rFonts w:hint="eastAsia" w:ascii="宋体" w:hAnsi="宋体" w:cs="宋体"/>
          <w:b/>
          <w:color w:val="auto"/>
          <w:sz w:val="48"/>
          <w:highlight w:val="none"/>
        </w:rPr>
        <w:t>政府采购项目</w:t>
      </w:r>
    </w:p>
    <w:p w14:paraId="555CD62F">
      <w:pPr>
        <w:keepNext w:val="0"/>
        <w:keepLines w:val="0"/>
        <w:pageBreakBefore w:val="0"/>
        <w:widowControl w:val="0"/>
        <w:kinsoku/>
        <w:overflowPunct/>
        <w:topLinePunct w:val="0"/>
        <w:autoSpaceDE/>
        <w:autoSpaceDN/>
        <w:bidi w:val="0"/>
        <w:adjustRightInd/>
        <w:snapToGrid/>
        <w:spacing w:afterLines="50" w:line="240" w:lineRule="auto"/>
        <w:jc w:val="center"/>
        <w:textAlignment w:val="auto"/>
        <w:outlineLvl w:val="0"/>
        <w:rPr>
          <w:rFonts w:asciiTheme="minorEastAsia" w:hAnsiTheme="minorEastAsia" w:eastAsiaTheme="minorEastAsia"/>
          <w:b/>
          <w:bCs/>
          <w:color w:val="auto"/>
          <w:sz w:val="44"/>
          <w:szCs w:val="44"/>
          <w:highlight w:val="none"/>
        </w:rPr>
      </w:pPr>
      <w:r>
        <w:rPr>
          <w:rFonts w:hint="eastAsia" w:ascii="宋体" w:hAnsi="宋体" w:cs="宋体"/>
          <w:b/>
          <w:color w:val="auto"/>
          <w:sz w:val="72"/>
          <w:highlight w:val="none"/>
        </w:rPr>
        <w:t>竞争性磋商采购文件</w:t>
      </w:r>
    </w:p>
    <w:p w14:paraId="4484DD3F">
      <w:pPr>
        <w:spacing w:afterLines="50" w:line="480" w:lineRule="exact"/>
        <w:jc w:val="center"/>
        <w:outlineLvl w:val="0"/>
        <w:rPr>
          <w:rFonts w:asciiTheme="minorEastAsia" w:hAnsiTheme="minorEastAsia" w:eastAsiaTheme="minorEastAsia"/>
          <w:b/>
          <w:bCs/>
          <w:color w:val="auto"/>
          <w:sz w:val="44"/>
          <w:szCs w:val="44"/>
          <w:highlight w:val="none"/>
        </w:rPr>
      </w:pPr>
    </w:p>
    <w:p w14:paraId="06C57B9F">
      <w:pPr>
        <w:spacing w:afterLines="50" w:line="480" w:lineRule="exact"/>
        <w:jc w:val="center"/>
        <w:outlineLvl w:val="0"/>
        <w:rPr>
          <w:rFonts w:asciiTheme="minorEastAsia" w:hAnsiTheme="minorEastAsia" w:eastAsiaTheme="minorEastAsia"/>
          <w:b/>
          <w:bCs/>
          <w:color w:val="auto"/>
          <w:sz w:val="44"/>
          <w:szCs w:val="44"/>
          <w:highlight w:val="none"/>
        </w:rPr>
      </w:pPr>
    </w:p>
    <w:p w14:paraId="419498AE">
      <w:pPr>
        <w:spacing w:afterLines="50" w:line="480" w:lineRule="exact"/>
        <w:jc w:val="center"/>
        <w:outlineLvl w:val="0"/>
        <w:rPr>
          <w:rFonts w:asciiTheme="minorEastAsia" w:hAnsiTheme="minorEastAsia" w:eastAsiaTheme="minorEastAsia"/>
          <w:b/>
          <w:bCs/>
          <w:color w:val="auto"/>
          <w:sz w:val="44"/>
          <w:szCs w:val="44"/>
          <w:highlight w:val="none"/>
        </w:rPr>
      </w:pPr>
    </w:p>
    <w:p w14:paraId="292B325F">
      <w:pPr>
        <w:spacing w:afterLines="50" w:line="480" w:lineRule="exact"/>
        <w:jc w:val="center"/>
        <w:outlineLvl w:val="0"/>
        <w:rPr>
          <w:rFonts w:asciiTheme="minorEastAsia" w:hAnsiTheme="minorEastAsia" w:eastAsiaTheme="minorEastAsia"/>
          <w:b/>
          <w:bCs/>
          <w:color w:val="auto"/>
          <w:sz w:val="44"/>
          <w:szCs w:val="44"/>
          <w:highlight w:val="none"/>
        </w:rPr>
      </w:pPr>
    </w:p>
    <w:p w14:paraId="5A09AF83">
      <w:pPr>
        <w:spacing w:line="360" w:lineRule="auto"/>
        <w:outlineLvl w:val="0"/>
        <w:rPr>
          <w:rFonts w:asciiTheme="minorEastAsia" w:hAnsiTheme="minorEastAsia" w:eastAsiaTheme="minorEastAsia"/>
          <w:b/>
          <w:bCs/>
          <w:color w:val="auto"/>
          <w:sz w:val="44"/>
          <w:szCs w:val="44"/>
          <w:highlight w:val="none"/>
        </w:rPr>
      </w:pPr>
    </w:p>
    <w:p w14:paraId="18D7552C">
      <w:pPr>
        <w:pStyle w:val="3"/>
        <w:rPr>
          <w:rFonts w:asciiTheme="minorEastAsia" w:hAnsiTheme="minorEastAsia" w:eastAsiaTheme="minorEastAsia"/>
          <w:color w:val="auto"/>
          <w:highlight w:val="none"/>
        </w:rPr>
      </w:pPr>
    </w:p>
    <w:p w14:paraId="211C17AC">
      <w:pPr>
        <w:tabs>
          <w:tab w:val="left" w:pos="2410"/>
        </w:tabs>
        <w:autoSpaceDE w:val="0"/>
        <w:autoSpaceDN w:val="0"/>
        <w:adjustRightInd w:val="0"/>
        <w:snapToGrid w:val="0"/>
        <w:spacing w:line="480" w:lineRule="auto"/>
        <w:ind w:firstLine="723" w:firstLineChars="200"/>
        <w:rPr>
          <w:rFonts w:asciiTheme="minorEastAsia" w:hAnsiTheme="minorEastAsia" w:eastAsiaTheme="minorEastAsia"/>
          <w:b/>
          <w:color w:val="auto"/>
          <w:spacing w:val="20"/>
          <w:kern w:val="0"/>
          <w:sz w:val="32"/>
          <w:szCs w:val="32"/>
          <w:highlight w:val="none"/>
        </w:rPr>
      </w:pPr>
    </w:p>
    <w:p w14:paraId="5A6F69FF">
      <w:pPr>
        <w:tabs>
          <w:tab w:val="left" w:pos="2410"/>
        </w:tabs>
        <w:autoSpaceDE w:val="0"/>
        <w:autoSpaceDN w:val="0"/>
        <w:adjustRightInd w:val="0"/>
        <w:snapToGrid w:val="0"/>
        <w:spacing w:afterLines="50" w:line="480" w:lineRule="auto"/>
        <w:ind w:right="-840" w:rightChars="-400" w:firstLine="426" w:firstLineChars="118"/>
        <w:rPr>
          <w:rFonts w:hint="default" w:asciiTheme="minorEastAsia" w:hAnsiTheme="minorEastAsia" w:eastAsiaTheme="minorEastAsia"/>
          <w:b/>
          <w:color w:val="auto"/>
          <w:spacing w:val="-10"/>
          <w:kern w:val="0"/>
          <w:sz w:val="32"/>
          <w:szCs w:val="32"/>
          <w:highlight w:val="none"/>
          <w:u w:val="single"/>
          <w:lang w:val="en-US" w:eastAsia="zh-CN"/>
        </w:rPr>
      </w:pPr>
      <w:r>
        <w:rPr>
          <w:rFonts w:hint="eastAsia" w:asciiTheme="minorEastAsia" w:hAnsiTheme="minorEastAsia" w:eastAsiaTheme="minorEastAsia"/>
          <w:b/>
          <w:color w:val="auto"/>
          <w:spacing w:val="20"/>
          <w:kern w:val="0"/>
          <w:sz w:val="32"/>
          <w:szCs w:val="32"/>
          <w:highlight w:val="none"/>
        </w:rPr>
        <w:t>项目名称：</w:t>
      </w:r>
      <w:r>
        <w:rPr>
          <w:rFonts w:hint="eastAsia" w:asciiTheme="minorEastAsia" w:hAnsiTheme="minorEastAsia" w:eastAsiaTheme="minorEastAsia"/>
          <w:b/>
          <w:color w:val="auto"/>
          <w:spacing w:val="20"/>
          <w:kern w:val="0"/>
          <w:sz w:val="32"/>
          <w:szCs w:val="32"/>
          <w:highlight w:val="none"/>
          <w:u w:val="single"/>
          <w:lang w:val="en-US" w:eastAsia="zh-CN"/>
        </w:rPr>
        <w:t xml:space="preserve">   </w:t>
      </w:r>
      <w:r>
        <w:rPr>
          <w:rFonts w:hint="eastAsia" w:asciiTheme="minorEastAsia" w:hAnsiTheme="minorEastAsia" w:eastAsiaTheme="minorEastAsia"/>
          <w:b/>
          <w:color w:val="auto"/>
          <w:spacing w:val="20"/>
          <w:kern w:val="0"/>
          <w:sz w:val="32"/>
          <w:szCs w:val="32"/>
          <w:highlight w:val="none"/>
          <w:u w:val="single"/>
          <w:lang w:eastAsia="zh-CN"/>
        </w:rPr>
        <w:t>宁波老年大学整体修缮工程</w:t>
      </w:r>
      <w:r>
        <w:rPr>
          <w:rFonts w:hint="eastAsia" w:asciiTheme="minorEastAsia" w:hAnsiTheme="minorEastAsia" w:eastAsiaTheme="minorEastAsia"/>
          <w:b/>
          <w:color w:val="auto"/>
          <w:spacing w:val="20"/>
          <w:kern w:val="0"/>
          <w:sz w:val="32"/>
          <w:szCs w:val="32"/>
          <w:highlight w:val="none"/>
          <w:u w:val="single"/>
          <w:lang w:val="en-US" w:eastAsia="zh-CN"/>
        </w:rPr>
        <w:t xml:space="preserve">   </w:t>
      </w:r>
    </w:p>
    <w:p w14:paraId="0E62579A">
      <w:pPr>
        <w:tabs>
          <w:tab w:val="left" w:pos="2410"/>
        </w:tabs>
        <w:autoSpaceDE w:val="0"/>
        <w:autoSpaceDN w:val="0"/>
        <w:adjustRightInd w:val="0"/>
        <w:snapToGrid w:val="0"/>
        <w:spacing w:afterLines="50" w:line="480" w:lineRule="auto"/>
        <w:ind w:firstLine="426" w:firstLineChars="118"/>
        <w:rPr>
          <w:rFonts w:hint="default" w:asciiTheme="minorEastAsia" w:hAnsiTheme="minorEastAsia" w:eastAsiaTheme="minorEastAsia"/>
          <w:b/>
          <w:color w:val="auto"/>
          <w:spacing w:val="20"/>
          <w:kern w:val="0"/>
          <w:sz w:val="32"/>
          <w:szCs w:val="32"/>
          <w:highlight w:val="none"/>
          <w:lang w:val="en-US" w:eastAsia="zh-CN"/>
        </w:rPr>
      </w:pPr>
      <w:r>
        <w:rPr>
          <w:rFonts w:hint="eastAsia" w:asciiTheme="minorEastAsia" w:hAnsiTheme="minorEastAsia" w:eastAsiaTheme="minorEastAsia"/>
          <w:b/>
          <w:color w:val="auto"/>
          <w:spacing w:val="20"/>
          <w:kern w:val="0"/>
          <w:sz w:val="32"/>
          <w:szCs w:val="32"/>
          <w:highlight w:val="none"/>
        </w:rPr>
        <w:t>项目编号：</w:t>
      </w:r>
      <w:r>
        <w:rPr>
          <w:rFonts w:hint="eastAsia" w:asciiTheme="minorEastAsia" w:hAnsiTheme="minorEastAsia" w:eastAsiaTheme="minorEastAsia"/>
          <w:b/>
          <w:color w:val="auto"/>
          <w:spacing w:val="20"/>
          <w:kern w:val="0"/>
          <w:sz w:val="32"/>
          <w:szCs w:val="32"/>
          <w:highlight w:val="none"/>
          <w:u w:val="single"/>
          <w:lang w:val="en-US" w:eastAsia="zh-CN"/>
        </w:rPr>
        <w:t xml:space="preserve">       ZJWL2024ZBDL011       </w:t>
      </w:r>
    </w:p>
    <w:p w14:paraId="409ABDC6">
      <w:pPr>
        <w:tabs>
          <w:tab w:val="left" w:pos="2410"/>
        </w:tabs>
        <w:autoSpaceDE w:val="0"/>
        <w:autoSpaceDN w:val="0"/>
        <w:adjustRightInd w:val="0"/>
        <w:snapToGrid w:val="0"/>
        <w:spacing w:afterLines="50" w:line="480" w:lineRule="auto"/>
        <w:ind w:firstLine="426" w:firstLineChars="118"/>
        <w:rPr>
          <w:rFonts w:hint="default" w:asciiTheme="minorEastAsia" w:hAnsiTheme="minorEastAsia" w:eastAsiaTheme="minorEastAsia"/>
          <w:b/>
          <w:color w:val="auto"/>
          <w:kern w:val="0"/>
          <w:sz w:val="32"/>
          <w:szCs w:val="32"/>
          <w:highlight w:val="none"/>
          <w:u w:val="single"/>
          <w:lang w:val="en-US" w:eastAsia="zh-CN"/>
        </w:rPr>
      </w:pPr>
      <w:r>
        <w:rPr>
          <w:rFonts w:hint="eastAsia" w:asciiTheme="minorEastAsia" w:hAnsiTheme="minorEastAsia" w:eastAsiaTheme="minorEastAsia"/>
          <w:b/>
          <w:color w:val="auto"/>
          <w:spacing w:val="20"/>
          <w:kern w:val="0"/>
          <w:sz w:val="32"/>
          <w:szCs w:val="32"/>
          <w:highlight w:val="none"/>
        </w:rPr>
        <w:t>采 购 人：</w:t>
      </w:r>
      <w:r>
        <w:rPr>
          <w:rFonts w:hint="eastAsia" w:asciiTheme="minorEastAsia" w:hAnsiTheme="minorEastAsia" w:eastAsiaTheme="minorEastAsia"/>
          <w:b/>
          <w:color w:val="auto"/>
          <w:kern w:val="0"/>
          <w:sz w:val="32"/>
          <w:szCs w:val="32"/>
          <w:highlight w:val="none"/>
          <w:u w:val="single"/>
          <w:lang w:val="en-US" w:eastAsia="zh-CN"/>
        </w:rPr>
        <w:t xml:space="preserve">       </w:t>
      </w:r>
      <w:r>
        <w:rPr>
          <w:rFonts w:hint="eastAsia" w:asciiTheme="minorEastAsia" w:hAnsiTheme="minorEastAsia" w:eastAsiaTheme="minorEastAsia"/>
          <w:b/>
          <w:color w:val="auto"/>
          <w:kern w:val="0"/>
          <w:sz w:val="32"/>
          <w:szCs w:val="32"/>
          <w:highlight w:val="none"/>
          <w:u w:val="single"/>
          <w:lang w:eastAsia="zh-CN"/>
        </w:rPr>
        <w:t>宁波老年大学管理中心</w:t>
      </w:r>
      <w:r>
        <w:rPr>
          <w:rFonts w:hint="eastAsia" w:asciiTheme="minorEastAsia" w:hAnsiTheme="minorEastAsia" w:eastAsiaTheme="minorEastAsia"/>
          <w:b/>
          <w:color w:val="auto"/>
          <w:kern w:val="0"/>
          <w:sz w:val="32"/>
          <w:szCs w:val="32"/>
          <w:highlight w:val="none"/>
          <w:u w:val="single"/>
          <w:lang w:val="en-US" w:eastAsia="zh-CN"/>
        </w:rPr>
        <w:t xml:space="preserve">       </w:t>
      </w:r>
    </w:p>
    <w:p w14:paraId="1B8E5B66">
      <w:pPr>
        <w:tabs>
          <w:tab w:val="left" w:pos="2410"/>
        </w:tabs>
        <w:autoSpaceDE w:val="0"/>
        <w:autoSpaceDN w:val="0"/>
        <w:adjustRightInd w:val="0"/>
        <w:snapToGrid w:val="0"/>
        <w:spacing w:afterLines="50" w:line="480" w:lineRule="auto"/>
        <w:ind w:firstLine="426" w:firstLineChars="118"/>
        <w:rPr>
          <w:rFonts w:hint="eastAsia" w:asciiTheme="minorEastAsia" w:hAnsiTheme="minorEastAsia" w:eastAsiaTheme="minorEastAsia"/>
          <w:b/>
          <w:color w:val="auto"/>
          <w:spacing w:val="20"/>
          <w:kern w:val="0"/>
          <w:sz w:val="32"/>
          <w:szCs w:val="32"/>
          <w:highlight w:val="none"/>
          <w:lang w:eastAsia="zh-CN"/>
        </w:rPr>
      </w:pPr>
      <w:r>
        <w:rPr>
          <w:rFonts w:hint="eastAsia" w:asciiTheme="minorEastAsia" w:hAnsiTheme="minorEastAsia" w:eastAsiaTheme="minorEastAsia"/>
          <w:b/>
          <w:color w:val="auto"/>
          <w:spacing w:val="20"/>
          <w:kern w:val="0"/>
          <w:sz w:val="32"/>
          <w:szCs w:val="32"/>
          <w:highlight w:val="none"/>
        </w:rPr>
        <w:t>采购代理机构：</w:t>
      </w:r>
      <w:r>
        <w:rPr>
          <w:rFonts w:hint="eastAsia" w:asciiTheme="minorEastAsia" w:hAnsiTheme="minorEastAsia" w:eastAsiaTheme="minorEastAsia"/>
          <w:b/>
          <w:color w:val="auto"/>
          <w:spacing w:val="20"/>
          <w:kern w:val="0"/>
          <w:sz w:val="32"/>
          <w:szCs w:val="32"/>
          <w:highlight w:val="none"/>
          <w:u w:val="single"/>
          <w:lang w:eastAsia="zh-CN"/>
        </w:rPr>
        <w:t>浙江万里工程咨询集团有限公司</w:t>
      </w:r>
    </w:p>
    <w:p w14:paraId="4FF99382">
      <w:pPr>
        <w:pStyle w:val="27"/>
        <w:spacing w:beforeLines="0" w:afterLines="0" w:line="360" w:lineRule="auto"/>
        <w:rPr>
          <w:rFonts w:asciiTheme="minorEastAsia" w:hAnsiTheme="minorEastAsia" w:eastAsiaTheme="minorEastAsia"/>
          <w:color w:val="auto"/>
          <w:highlight w:val="none"/>
        </w:rPr>
      </w:pPr>
    </w:p>
    <w:p w14:paraId="22E119D2">
      <w:pPr>
        <w:pStyle w:val="27"/>
        <w:spacing w:beforeLines="0" w:afterLines="0" w:line="360" w:lineRule="auto"/>
        <w:jc w:val="center"/>
        <w:rPr>
          <w:rFonts w:asciiTheme="minorEastAsia" w:hAnsiTheme="minorEastAsia" w:eastAsiaTheme="minorEastAsia"/>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610" w:header="851" w:footer="851" w:gutter="0"/>
          <w:cols w:space="720" w:num="1"/>
          <w:titlePg/>
          <w:docGrid w:linePitch="312" w:charSpace="0"/>
        </w:sectPr>
      </w:pPr>
    </w:p>
    <w:p w14:paraId="1DEE4F9E">
      <w:pPr>
        <w:pStyle w:val="189"/>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CN"/>
        </w:rPr>
        <w:t>目录</w:t>
      </w:r>
    </w:p>
    <w:p w14:paraId="2E2577EE">
      <w:pPr>
        <w:pStyle w:val="34"/>
        <w:tabs>
          <w:tab w:val="right" w:leader="dot" w:pos="8846"/>
        </w:tabs>
        <w:spacing w:line="360" w:lineRule="auto"/>
        <w:rPr>
          <w:rFonts w:ascii="宋体" w:hAnsi="宋体" w:cs="黑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TOC \o "1-3" \h \z \u </w:instrText>
      </w:r>
      <w:r>
        <w:rPr>
          <w:rFonts w:ascii="宋体" w:hAnsi="宋体"/>
          <w:color w:val="auto"/>
          <w:sz w:val="24"/>
          <w:highlight w:val="none"/>
        </w:rPr>
        <w:fldChar w:fldCharType="separate"/>
      </w:r>
      <w:r>
        <w:rPr>
          <w:color w:val="auto"/>
          <w:highlight w:val="none"/>
        </w:rPr>
        <w:fldChar w:fldCharType="begin"/>
      </w:r>
      <w:r>
        <w:rPr>
          <w:color w:val="auto"/>
          <w:highlight w:val="none"/>
        </w:rPr>
        <w:instrText xml:space="preserve"> HYPERLINK \l "_Toc86053871" </w:instrText>
      </w:r>
      <w:r>
        <w:rPr>
          <w:color w:val="auto"/>
          <w:highlight w:val="none"/>
        </w:rPr>
        <w:fldChar w:fldCharType="separate"/>
      </w:r>
      <w:r>
        <w:rPr>
          <w:rStyle w:val="60"/>
          <w:rFonts w:ascii="宋体" w:hAnsi="宋体"/>
          <w:color w:val="auto"/>
          <w:sz w:val="24"/>
          <w:highlight w:val="none"/>
        </w:rPr>
        <w:t xml:space="preserve">第一章  </w:t>
      </w:r>
      <w:r>
        <w:rPr>
          <w:rStyle w:val="60"/>
          <w:rFonts w:hint="eastAsia" w:cs="宋体"/>
          <w:color w:val="auto"/>
          <w:sz w:val="24"/>
          <w:szCs w:val="24"/>
          <w:highlight w:val="none"/>
        </w:rPr>
        <w:t>竞争性磋商采购公告</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_Toc86053871 \h </w:instrText>
      </w:r>
      <w:r>
        <w:rPr>
          <w:rFonts w:ascii="宋体" w:hAnsi="宋体"/>
          <w:color w:val="auto"/>
          <w:sz w:val="24"/>
          <w:highlight w:val="none"/>
        </w:rPr>
        <w:fldChar w:fldCharType="separate"/>
      </w:r>
      <w:r>
        <w:rPr>
          <w:rFonts w:ascii="宋体" w:hAnsi="宋体"/>
          <w:color w:val="auto"/>
          <w:sz w:val="24"/>
          <w:highlight w:val="none"/>
        </w:rPr>
        <w:t>2</w:t>
      </w:r>
      <w:r>
        <w:rPr>
          <w:rFonts w:ascii="宋体" w:hAnsi="宋体"/>
          <w:color w:val="auto"/>
          <w:sz w:val="24"/>
          <w:highlight w:val="none"/>
        </w:rPr>
        <w:fldChar w:fldCharType="end"/>
      </w:r>
      <w:r>
        <w:rPr>
          <w:rFonts w:ascii="宋体" w:hAnsi="宋体"/>
          <w:color w:val="auto"/>
          <w:sz w:val="24"/>
          <w:highlight w:val="none"/>
        </w:rPr>
        <w:fldChar w:fldCharType="end"/>
      </w:r>
    </w:p>
    <w:p w14:paraId="1204F74E">
      <w:pPr>
        <w:pStyle w:val="34"/>
        <w:tabs>
          <w:tab w:val="right" w:leader="dot" w:pos="8846"/>
        </w:tabs>
        <w:spacing w:line="360" w:lineRule="auto"/>
        <w:rPr>
          <w:rFonts w:ascii="宋体" w:hAnsi="宋体" w:cs="黑体"/>
          <w:color w:val="auto"/>
          <w:sz w:val="24"/>
          <w:highlight w:val="none"/>
        </w:rPr>
      </w:pPr>
      <w:r>
        <w:rPr>
          <w:color w:val="auto"/>
          <w:highlight w:val="none"/>
        </w:rPr>
        <w:fldChar w:fldCharType="begin"/>
      </w:r>
      <w:r>
        <w:rPr>
          <w:color w:val="auto"/>
          <w:highlight w:val="none"/>
        </w:rPr>
        <w:instrText xml:space="preserve"> HYPERLINK \l "_Toc86053872" </w:instrText>
      </w:r>
      <w:r>
        <w:rPr>
          <w:color w:val="auto"/>
          <w:highlight w:val="none"/>
        </w:rPr>
        <w:fldChar w:fldCharType="separate"/>
      </w:r>
      <w:r>
        <w:rPr>
          <w:rStyle w:val="60"/>
          <w:rFonts w:ascii="宋体" w:hAnsi="宋体"/>
          <w:color w:val="auto"/>
          <w:sz w:val="24"/>
          <w:highlight w:val="none"/>
        </w:rPr>
        <w:t>第二章  采购需求</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_Toc86053872 \h </w:instrText>
      </w:r>
      <w:r>
        <w:rPr>
          <w:rFonts w:ascii="宋体" w:hAnsi="宋体"/>
          <w:color w:val="auto"/>
          <w:sz w:val="24"/>
          <w:highlight w:val="none"/>
        </w:rPr>
        <w:fldChar w:fldCharType="separate"/>
      </w:r>
      <w:r>
        <w:rPr>
          <w:rFonts w:ascii="宋体" w:hAnsi="宋体"/>
          <w:color w:val="auto"/>
          <w:sz w:val="24"/>
          <w:highlight w:val="none"/>
        </w:rPr>
        <w:t>6</w:t>
      </w:r>
      <w:r>
        <w:rPr>
          <w:rFonts w:ascii="宋体" w:hAnsi="宋体"/>
          <w:color w:val="auto"/>
          <w:sz w:val="24"/>
          <w:highlight w:val="none"/>
        </w:rPr>
        <w:fldChar w:fldCharType="end"/>
      </w:r>
      <w:r>
        <w:rPr>
          <w:rFonts w:ascii="宋体" w:hAnsi="宋体"/>
          <w:color w:val="auto"/>
          <w:sz w:val="24"/>
          <w:highlight w:val="none"/>
        </w:rPr>
        <w:fldChar w:fldCharType="end"/>
      </w:r>
    </w:p>
    <w:p w14:paraId="06E4E4D8">
      <w:pPr>
        <w:pStyle w:val="34"/>
        <w:tabs>
          <w:tab w:val="right" w:leader="dot" w:pos="8846"/>
        </w:tabs>
        <w:spacing w:line="360" w:lineRule="auto"/>
        <w:rPr>
          <w:rFonts w:hint="default" w:ascii="宋体" w:hAnsi="宋体" w:eastAsia="宋体" w:cs="黑体"/>
          <w:color w:val="auto"/>
          <w:sz w:val="24"/>
          <w:highlight w:val="none"/>
          <w:lang w:val="en-US" w:eastAsia="zh-CN"/>
        </w:rPr>
      </w:pPr>
      <w:r>
        <w:rPr>
          <w:color w:val="auto"/>
          <w:highlight w:val="none"/>
        </w:rPr>
        <w:fldChar w:fldCharType="begin"/>
      </w:r>
      <w:r>
        <w:rPr>
          <w:color w:val="auto"/>
          <w:highlight w:val="none"/>
        </w:rPr>
        <w:instrText xml:space="preserve"> HYPERLINK \l "_Toc86053873" </w:instrText>
      </w:r>
      <w:r>
        <w:rPr>
          <w:color w:val="auto"/>
          <w:highlight w:val="none"/>
        </w:rPr>
        <w:fldChar w:fldCharType="separate"/>
      </w:r>
      <w:r>
        <w:rPr>
          <w:rStyle w:val="60"/>
          <w:rFonts w:ascii="宋体" w:hAnsi="宋体"/>
          <w:color w:val="auto"/>
          <w:sz w:val="24"/>
          <w:highlight w:val="none"/>
        </w:rPr>
        <w:t>第三章  供应商须知</w:t>
      </w:r>
      <w:r>
        <w:rPr>
          <w:rFonts w:ascii="宋体" w:hAnsi="宋体"/>
          <w:color w:val="auto"/>
          <w:sz w:val="24"/>
          <w:highlight w:val="none"/>
        </w:rPr>
        <w:tab/>
      </w:r>
      <w:r>
        <w:rPr>
          <w:rFonts w:hint="eastAsia" w:ascii="宋体" w:hAnsi="宋体"/>
          <w:color w:val="auto"/>
          <w:sz w:val="24"/>
          <w:highlight w:val="none"/>
        </w:rPr>
        <w:fldChar w:fldCharType="end"/>
      </w:r>
      <w:r>
        <w:rPr>
          <w:rFonts w:hint="eastAsia" w:ascii="宋体" w:hAnsi="宋体"/>
          <w:color w:val="auto"/>
          <w:sz w:val="24"/>
          <w:highlight w:val="none"/>
          <w:lang w:val="en-US" w:eastAsia="zh-CN"/>
        </w:rPr>
        <w:t>11</w:t>
      </w:r>
    </w:p>
    <w:p w14:paraId="02D7FF3B">
      <w:pPr>
        <w:pStyle w:val="34"/>
        <w:tabs>
          <w:tab w:val="right" w:leader="dot" w:pos="8846"/>
        </w:tabs>
        <w:spacing w:line="360" w:lineRule="auto"/>
        <w:rPr>
          <w:rFonts w:hint="eastAsia" w:ascii="宋体" w:hAnsi="宋体" w:eastAsia="宋体" w:cs="黑体"/>
          <w:color w:val="auto"/>
          <w:sz w:val="24"/>
          <w:highlight w:val="none"/>
          <w:lang w:val="en-US" w:eastAsia="zh-CN"/>
        </w:rPr>
      </w:pPr>
      <w:r>
        <w:rPr>
          <w:color w:val="auto"/>
          <w:highlight w:val="none"/>
        </w:rPr>
        <w:fldChar w:fldCharType="begin"/>
      </w:r>
      <w:r>
        <w:rPr>
          <w:color w:val="auto"/>
          <w:highlight w:val="none"/>
        </w:rPr>
        <w:instrText xml:space="preserve"> HYPERLINK \l "_Toc86053874" </w:instrText>
      </w:r>
      <w:r>
        <w:rPr>
          <w:color w:val="auto"/>
          <w:highlight w:val="none"/>
        </w:rPr>
        <w:fldChar w:fldCharType="separate"/>
      </w:r>
      <w:r>
        <w:rPr>
          <w:rStyle w:val="60"/>
          <w:rFonts w:ascii="宋体" w:hAnsi="宋体"/>
          <w:color w:val="auto"/>
          <w:sz w:val="24"/>
          <w:highlight w:val="none"/>
        </w:rPr>
        <w:t>第四章  评审方法和评审标准</w:t>
      </w:r>
      <w:r>
        <w:rPr>
          <w:rFonts w:ascii="宋体" w:hAnsi="宋体"/>
          <w:color w:val="auto"/>
          <w:sz w:val="24"/>
          <w:highlight w:val="none"/>
        </w:rPr>
        <w:tab/>
      </w:r>
      <w:r>
        <w:rPr>
          <w:rFonts w:hint="eastAsia" w:ascii="宋体" w:hAnsi="宋体"/>
          <w:color w:val="auto"/>
          <w:sz w:val="24"/>
          <w:highlight w:val="none"/>
        </w:rPr>
        <w:t>2</w:t>
      </w:r>
      <w:r>
        <w:rPr>
          <w:rFonts w:hint="eastAsia" w:ascii="宋体" w:hAnsi="宋体"/>
          <w:color w:val="auto"/>
          <w:sz w:val="24"/>
          <w:highlight w:val="none"/>
        </w:rPr>
        <w:fldChar w:fldCharType="end"/>
      </w:r>
      <w:r>
        <w:rPr>
          <w:rFonts w:hint="eastAsia" w:ascii="宋体" w:hAnsi="宋体"/>
          <w:color w:val="auto"/>
          <w:sz w:val="24"/>
          <w:highlight w:val="none"/>
          <w:lang w:val="en-US" w:eastAsia="zh-CN"/>
        </w:rPr>
        <w:t>3</w:t>
      </w:r>
    </w:p>
    <w:p w14:paraId="7FB0E820">
      <w:pPr>
        <w:pStyle w:val="34"/>
        <w:tabs>
          <w:tab w:val="right" w:leader="dot" w:pos="8846"/>
        </w:tabs>
        <w:spacing w:line="360" w:lineRule="auto"/>
        <w:rPr>
          <w:rFonts w:hint="default" w:ascii="宋体" w:hAnsi="宋体" w:eastAsia="宋体" w:cs="黑体"/>
          <w:color w:val="auto"/>
          <w:sz w:val="24"/>
          <w:highlight w:val="none"/>
          <w:lang w:val="en-US" w:eastAsia="zh-CN"/>
        </w:rPr>
      </w:pPr>
      <w:r>
        <w:rPr>
          <w:color w:val="auto"/>
          <w:highlight w:val="none"/>
        </w:rPr>
        <w:fldChar w:fldCharType="begin"/>
      </w:r>
      <w:r>
        <w:rPr>
          <w:color w:val="auto"/>
          <w:highlight w:val="none"/>
        </w:rPr>
        <w:instrText xml:space="preserve"> HYPERLINK \l "_Toc86053875" </w:instrText>
      </w:r>
      <w:r>
        <w:rPr>
          <w:color w:val="auto"/>
          <w:highlight w:val="none"/>
        </w:rPr>
        <w:fldChar w:fldCharType="separate"/>
      </w:r>
      <w:r>
        <w:rPr>
          <w:rStyle w:val="60"/>
          <w:rFonts w:ascii="宋体" w:hAnsi="宋体"/>
          <w:color w:val="auto"/>
          <w:sz w:val="24"/>
          <w:highlight w:val="none"/>
        </w:rPr>
        <w:t>第五章  合同草案条款</w:t>
      </w:r>
      <w:r>
        <w:rPr>
          <w:rFonts w:ascii="宋体" w:hAnsi="宋体"/>
          <w:color w:val="auto"/>
          <w:sz w:val="24"/>
          <w:highlight w:val="none"/>
        </w:rPr>
        <w:tab/>
      </w:r>
      <w:r>
        <w:rPr>
          <w:rFonts w:hint="eastAsia" w:ascii="宋体" w:hAnsi="宋体"/>
          <w:color w:val="auto"/>
          <w:sz w:val="24"/>
          <w:highlight w:val="none"/>
        </w:rPr>
        <w:fldChar w:fldCharType="end"/>
      </w:r>
      <w:r>
        <w:rPr>
          <w:rFonts w:hint="eastAsia" w:ascii="宋体" w:hAnsi="宋体"/>
          <w:color w:val="auto"/>
          <w:sz w:val="24"/>
          <w:highlight w:val="none"/>
          <w:lang w:val="en-US" w:eastAsia="zh-CN"/>
        </w:rPr>
        <w:t>30</w:t>
      </w:r>
    </w:p>
    <w:p w14:paraId="0124BC21">
      <w:pPr>
        <w:pStyle w:val="34"/>
        <w:tabs>
          <w:tab w:val="right" w:leader="dot" w:pos="8846"/>
        </w:tabs>
        <w:spacing w:line="360" w:lineRule="auto"/>
        <w:rPr>
          <w:rFonts w:hint="eastAsia" w:ascii="宋体" w:hAnsi="宋体" w:eastAsia="宋体" w:cs="黑体"/>
          <w:color w:val="auto"/>
          <w:sz w:val="24"/>
          <w:highlight w:val="none"/>
          <w:lang w:val="en-US" w:eastAsia="zh-CN"/>
        </w:rPr>
      </w:pPr>
      <w:r>
        <w:rPr>
          <w:color w:val="auto"/>
          <w:highlight w:val="none"/>
        </w:rPr>
        <w:fldChar w:fldCharType="begin"/>
      </w:r>
      <w:r>
        <w:rPr>
          <w:color w:val="auto"/>
          <w:highlight w:val="none"/>
        </w:rPr>
        <w:instrText xml:space="preserve"> HYPERLINK \l "_Toc86053876" </w:instrText>
      </w:r>
      <w:r>
        <w:rPr>
          <w:color w:val="auto"/>
          <w:highlight w:val="none"/>
        </w:rPr>
        <w:fldChar w:fldCharType="separate"/>
      </w:r>
      <w:r>
        <w:rPr>
          <w:rStyle w:val="60"/>
          <w:rFonts w:ascii="宋体" w:hAnsi="宋体"/>
          <w:color w:val="auto"/>
          <w:sz w:val="24"/>
          <w:highlight w:val="none"/>
        </w:rPr>
        <w:t>第六章  响应文件格式</w:t>
      </w:r>
      <w:r>
        <w:rPr>
          <w:rFonts w:ascii="宋体" w:hAnsi="宋体"/>
          <w:color w:val="auto"/>
          <w:sz w:val="24"/>
          <w:highlight w:val="none"/>
        </w:rPr>
        <w:tab/>
      </w:r>
      <w:r>
        <w:rPr>
          <w:rFonts w:hint="eastAsia" w:ascii="宋体" w:hAnsi="宋体"/>
          <w:color w:val="auto"/>
          <w:sz w:val="24"/>
          <w:highlight w:val="none"/>
          <w:lang w:val="en-US" w:eastAsia="zh-CN"/>
        </w:rPr>
        <w:t>6</w:t>
      </w:r>
      <w:r>
        <w:rPr>
          <w:rFonts w:hint="eastAsia" w:ascii="宋体" w:hAnsi="宋体"/>
          <w:color w:val="auto"/>
          <w:sz w:val="24"/>
          <w:highlight w:val="none"/>
        </w:rPr>
        <w:fldChar w:fldCharType="end"/>
      </w:r>
      <w:r>
        <w:rPr>
          <w:rFonts w:hint="eastAsia" w:ascii="宋体" w:hAnsi="宋体"/>
          <w:color w:val="auto"/>
          <w:sz w:val="24"/>
          <w:highlight w:val="none"/>
          <w:lang w:val="en-US" w:eastAsia="zh-CN"/>
        </w:rPr>
        <w:t>5</w:t>
      </w:r>
    </w:p>
    <w:p w14:paraId="2083A54B">
      <w:pPr>
        <w:pStyle w:val="34"/>
        <w:tabs>
          <w:tab w:val="right" w:leader="dot" w:pos="8846"/>
        </w:tabs>
        <w:spacing w:line="360" w:lineRule="auto"/>
        <w:rPr>
          <w:rFonts w:ascii="宋体" w:hAnsi="宋体" w:cs="黑体"/>
          <w:color w:val="auto"/>
          <w:sz w:val="24"/>
          <w:highlight w:val="none"/>
        </w:rPr>
      </w:pPr>
    </w:p>
    <w:p w14:paraId="05274D06">
      <w:pPr>
        <w:spacing w:line="360" w:lineRule="auto"/>
        <w:rPr>
          <w:rFonts w:asciiTheme="minorEastAsia" w:hAnsiTheme="minorEastAsia" w:eastAsiaTheme="minorEastAsia"/>
          <w:color w:val="auto"/>
          <w:highlight w:val="none"/>
        </w:rPr>
      </w:pPr>
      <w:r>
        <w:rPr>
          <w:rFonts w:ascii="宋体" w:hAnsi="宋体"/>
          <w:b/>
          <w:bCs/>
          <w:color w:val="auto"/>
          <w:sz w:val="24"/>
          <w:highlight w:val="none"/>
          <w:lang w:val="zh-CN"/>
        </w:rPr>
        <w:fldChar w:fldCharType="end"/>
      </w:r>
    </w:p>
    <w:p w14:paraId="1F89235D">
      <w:pPr>
        <w:spacing w:line="360" w:lineRule="auto"/>
        <w:rPr>
          <w:rFonts w:asciiTheme="minorEastAsia" w:hAnsiTheme="minorEastAsia" w:eastAsiaTheme="minorEastAsia"/>
          <w:color w:val="auto"/>
          <w:kern w:val="0"/>
          <w:sz w:val="28"/>
          <w:szCs w:val="28"/>
          <w:highlight w:val="none"/>
        </w:rPr>
      </w:pPr>
    </w:p>
    <w:p w14:paraId="052B15A3">
      <w:pPr>
        <w:pStyle w:val="27"/>
        <w:snapToGrid w:val="0"/>
        <w:spacing w:beforeLines="0" w:afterLines="0" w:line="360" w:lineRule="auto"/>
        <w:jc w:val="center"/>
        <w:outlineLvl w:val="0"/>
        <w:rPr>
          <w:rFonts w:asciiTheme="minorEastAsia" w:hAnsiTheme="minorEastAsia" w:eastAsiaTheme="minorEastAsia"/>
          <w:color w:val="auto"/>
          <w:sz w:val="28"/>
          <w:szCs w:val="28"/>
          <w:highlight w:val="none"/>
        </w:rPr>
        <w:sectPr>
          <w:footerReference r:id="rId10" w:type="first"/>
          <w:footerReference r:id="rId9" w:type="default"/>
          <w:pgSz w:w="11906" w:h="16838"/>
          <w:pgMar w:top="1440" w:right="1440" w:bottom="1440" w:left="1610" w:header="851" w:footer="851" w:gutter="0"/>
          <w:pgNumType w:start="1"/>
          <w:cols w:space="720" w:num="1"/>
          <w:docGrid w:linePitch="312" w:charSpace="0"/>
        </w:sectPr>
      </w:pPr>
    </w:p>
    <w:p w14:paraId="1AA45723">
      <w:pPr>
        <w:pStyle w:val="2"/>
        <w:rPr>
          <w:rFonts w:cs="宋体" w:asciiTheme="minorEastAsia" w:hAnsiTheme="minorEastAsia" w:eastAsiaTheme="minorEastAsia"/>
          <w:color w:val="auto"/>
          <w:szCs w:val="30"/>
          <w:highlight w:val="none"/>
        </w:rPr>
      </w:pPr>
      <w:bookmarkStart w:id="0" w:name="_Toc86053871"/>
      <w:bookmarkStart w:id="1" w:name="_Toc34844741"/>
      <w:r>
        <w:rPr>
          <w:rFonts w:hint="eastAsia" w:asciiTheme="minorEastAsia" w:hAnsiTheme="minorEastAsia" w:eastAsiaTheme="minorEastAsia"/>
          <w:color w:val="auto"/>
          <w:highlight w:val="none"/>
        </w:rPr>
        <w:t>第一章</w:t>
      </w:r>
      <w:bookmarkEnd w:id="0"/>
      <w:bookmarkEnd w:id="1"/>
      <w:r>
        <w:rPr>
          <w:rFonts w:hint="eastAsia" w:asciiTheme="minorEastAsia" w:hAnsiTheme="minorEastAsia" w:eastAsiaTheme="minorEastAsia"/>
          <w:color w:val="auto"/>
          <w:highlight w:val="none"/>
        </w:rPr>
        <w:t xml:space="preserve"> </w:t>
      </w:r>
      <w:r>
        <w:rPr>
          <w:rFonts w:asciiTheme="minorEastAsia" w:hAnsiTheme="minorEastAsia" w:eastAsiaTheme="minorEastAsia"/>
          <w:color w:val="auto"/>
          <w:highlight w:val="none"/>
        </w:rPr>
        <w:t xml:space="preserve"> </w:t>
      </w:r>
      <w:r>
        <w:rPr>
          <w:rFonts w:hint="eastAsia" w:hAnsi="宋体" w:cs="宋体"/>
          <w:color w:val="auto"/>
          <w:highlight w:val="none"/>
        </w:rPr>
        <w:t>竞争性磋商采购公告</w:t>
      </w:r>
    </w:p>
    <w:p w14:paraId="61D16541">
      <w:pPr>
        <w:pBdr>
          <w:top w:val="single" w:color="auto" w:sz="4" w:space="1"/>
          <w:left w:val="single" w:color="auto" w:sz="4" w:space="4"/>
          <w:bottom w:val="single" w:color="auto" w:sz="4" w:space="0"/>
          <w:right w:val="single" w:color="auto" w:sz="4" w:space="4"/>
        </w:pBd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项目概况</w:t>
      </w:r>
    </w:p>
    <w:p w14:paraId="63324AF0">
      <w:pPr>
        <w:pBdr>
          <w:top w:val="single" w:color="auto" w:sz="4" w:space="1"/>
          <w:left w:val="single" w:color="auto" w:sz="4" w:space="4"/>
          <w:bottom w:val="single" w:color="auto" w:sz="4" w:space="0"/>
          <w:right w:val="single" w:color="auto" w:sz="4" w:space="4"/>
        </w:pBd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u w:val="single"/>
          <w:lang w:eastAsia="zh-CN"/>
        </w:rPr>
        <w:t>宁波老年大学整体修缮工程</w:t>
      </w:r>
      <w:r>
        <w:rPr>
          <w:rFonts w:hint="eastAsia" w:asciiTheme="minorEastAsia" w:hAnsiTheme="minorEastAsia" w:eastAsiaTheme="minorEastAsia"/>
          <w:color w:val="auto"/>
          <w:highlight w:val="none"/>
        </w:rPr>
        <w:t>的潜在供应商应在政采云平台</w:t>
      </w:r>
      <w:r>
        <w:rPr>
          <w:rFonts w:hint="eastAsia" w:asciiTheme="minorEastAsia" w:hAnsiTheme="minorEastAsia" w:eastAsiaTheme="minorEastAsia"/>
          <w:bCs/>
          <w:color w:val="auto"/>
          <w:highlight w:val="none"/>
          <w:u w:val="single"/>
        </w:rPr>
        <w:t>（</w:t>
      </w:r>
      <w:r>
        <w:rPr>
          <w:color w:val="auto"/>
          <w:highlight w:val="none"/>
        </w:rPr>
        <w:fldChar w:fldCharType="begin"/>
      </w:r>
      <w:r>
        <w:rPr>
          <w:color w:val="auto"/>
          <w:highlight w:val="none"/>
        </w:rPr>
        <w:instrText xml:space="preserve"> HYPERLINK "https://www.zcygov.cn）获取（下载）采购文件，并于2024年4月" </w:instrText>
      </w:r>
      <w:r>
        <w:rPr>
          <w:color w:val="auto"/>
          <w:highlight w:val="none"/>
        </w:rPr>
        <w:fldChar w:fldCharType="separate"/>
      </w:r>
      <w:r>
        <w:rPr>
          <w:rFonts w:hint="eastAsia" w:asciiTheme="minorEastAsia" w:hAnsiTheme="minorEastAsia" w:eastAsiaTheme="minorEastAsia"/>
          <w:bCs/>
          <w:color w:val="auto"/>
          <w:highlight w:val="none"/>
          <w:u w:val="single"/>
        </w:rPr>
        <w:t>https://www.zcygov.cn）获取（下载）采购文件，并于2024年</w:t>
      </w:r>
      <w:r>
        <w:rPr>
          <w:rFonts w:hint="eastAsia" w:asciiTheme="minorEastAsia" w:hAnsiTheme="minorEastAsia" w:eastAsiaTheme="minorEastAsia"/>
          <w:bCs/>
          <w:color w:val="auto"/>
          <w:highlight w:val="none"/>
          <w:u w:val="single"/>
          <w:lang w:val="en-US" w:eastAsia="zh-CN"/>
        </w:rPr>
        <w:t>9</w:t>
      </w:r>
      <w:r>
        <w:rPr>
          <w:rFonts w:hint="eastAsia" w:asciiTheme="minorEastAsia" w:hAnsiTheme="minorEastAsia" w:eastAsiaTheme="minorEastAsia"/>
          <w:bCs/>
          <w:color w:val="auto"/>
          <w:highlight w:val="none"/>
          <w:u w:val="single"/>
        </w:rPr>
        <w:t>月</w:t>
      </w:r>
      <w:r>
        <w:rPr>
          <w:rFonts w:hint="eastAsia" w:asciiTheme="minorEastAsia" w:hAnsiTheme="minorEastAsia" w:eastAsiaTheme="minorEastAsia"/>
          <w:bCs/>
          <w:color w:val="auto"/>
          <w:highlight w:val="none"/>
          <w:u w:val="single"/>
        </w:rPr>
        <w:fldChar w:fldCharType="end"/>
      </w:r>
      <w:r>
        <w:rPr>
          <w:rFonts w:hint="eastAsia" w:asciiTheme="minorEastAsia" w:hAnsiTheme="minorEastAsia" w:eastAsiaTheme="minorEastAsia"/>
          <w:bCs/>
          <w:color w:val="auto"/>
          <w:highlight w:val="none"/>
          <w:u w:val="single"/>
          <w:lang w:val="en-US" w:eastAsia="zh-CN"/>
        </w:rPr>
        <w:t>18</w:t>
      </w:r>
      <w:r>
        <w:rPr>
          <w:rFonts w:hint="eastAsia" w:asciiTheme="minorEastAsia" w:hAnsiTheme="minorEastAsia" w:eastAsiaTheme="minorEastAsia"/>
          <w:bCs/>
          <w:color w:val="auto"/>
          <w:highlight w:val="none"/>
          <w:u w:val="single"/>
        </w:rPr>
        <w:t>日</w:t>
      </w:r>
      <w:r>
        <w:rPr>
          <w:rFonts w:hint="eastAsia" w:asciiTheme="minorEastAsia" w:hAnsiTheme="minorEastAsia" w:eastAsiaTheme="minorEastAsia"/>
          <w:bCs/>
          <w:color w:val="auto"/>
          <w:highlight w:val="none"/>
          <w:u w:val="single"/>
          <w:lang w:val="en-US" w:eastAsia="zh-CN"/>
        </w:rPr>
        <w:t>14</w:t>
      </w:r>
      <w:r>
        <w:rPr>
          <w:rFonts w:hint="eastAsia" w:asciiTheme="minorEastAsia" w:hAnsiTheme="minorEastAsia" w:eastAsiaTheme="minorEastAsia"/>
          <w:bCs/>
          <w:color w:val="auto"/>
          <w:highlight w:val="none"/>
          <w:u w:val="single"/>
          <w:lang w:eastAsia="zh-CN"/>
        </w:rPr>
        <w:t>：</w:t>
      </w:r>
      <w:r>
        <w:rPr>
          <w:rFonts w:hint="eastAsia" w:asciiTheme="minorEastAsia" w:hAnsiTheme="minorEastAsia" w:eastAsiaTheme="minorEastAsia"/>
          <w:bCs/>
          <w:color w:val="auto"/>
          <w:highlight w:val="none"/>
          <w:u w:val="single"/>
          <w:lang w:val="en-US" w:eastAsia="zh-CN"/>
        </w:rPr>
        <w:t>00</w:t>
      </w:r>
      <w:r>
        <w:rPr>
          <w:rFonts w:hint="eastAsia" w:asciiTheme="minorEastAsia" w:hAnsiTheme="minorEastAsia" w:eastAsiaTheme="minorEastAsia"/>
          <w:bCs/>
          <w:color w:val="auto"/>
          <w:highlight w:val="none"/>
        </w:rPr>
        <w:t>（北京时间）前提交（上传）响应</w:t>
      </w:r>
      <w:r>
        <w:rPr>
          <w:rFonts w:asciiTheme="minorEastAsia" w:hAnsiTheme="minorEastAsia" w:eastAsiaTheme="minorEastAsia"/>
          <w:bCs/>
          <w:color w:val="auto"/>
          <w:highlight w:val="none"/>
        </w:rPr>
        <w:t>文件</w:t>
      </w:r>
      <w:r>
        <w:rPr>
          <w:rFonts w:hint="eastAsia" w:asciiTheme="minorEastAsia" w:hAnsiTheme="minorEastAsia" w:eastAsiaTheme="minorEastAsia"/>
          <w:color w:val="auto"/>
          <w:highlight w:val="none"/>
        </w:rPr>
        <w:t>。</w:t>
      </w:r>
    </w:p>
    <w:p w14:paraId="6EDC2B2A">
      <w:pPr>
        <w:pStyle w:val="3"/>
        <w:spacing w:before="0" w:after="0" w:line="360" w:lineRule="auto"/>
        <w:rPr>
          <w:rFonts w:asciiTheme="minorEastAsia" w:hAnsiTheme="minorEastAsia" w:eastAsiaTheme="minorEastAsia"/>
          <w:color w:val="auto"/>
          <w:sz w:val="21"/>
          <w:szCs w:val="21"/>
          <w:highlight w:val="none"/>
        </w:rPr>
      </w:pPr>
      <w:bookmarkStart w:id="2" w:name="_Toc35393629"/>
      <w:bookmarkStart w:id="3" w:name="_Toc28359012"/>
      <w:bookmarkStart w:id="4" w:name="_Toc35393798"/>
      <w:bookmarkStart w:id="5" w:name="_Toc28359089"/>
      <w:r>
        <w:rPr>
          <w:rFonts w:hint="eastAsia" w:asciiTheme="minorEastAsia" w:hAnsiTheme="minorEastAsia" w:eastAsiaTheme="minorEastAsia"/>
          <w:color w:val="auto"/>
          <w:sz w:val="21"/>
          <w:szCs w:val="21"/>
          <w:highlight w:val="none"/>
        </w:rPr>
        <w:t>一、项目基本情况</w:t>
      </w:r>
      <w:bookmarkEnd w:id="2"/>
      <w:bookmarkEnd w:id="3"/>
      <w:bookmarkEnd w:id="4"/>
      <w:bookmarkEnd w:id="5"/>
    </w:p>
    <w:p w14:paraId="2C60CEDD">
      <w:pPr>
        <w:spacing w:line="360" w:lineRule="auto"/>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项目编号：</w:t>
      </w:r>
      <w:r>
        <w:rPr>
          <w:rFonts w:hint="eastAsia" w:asciiTheme="minorEastAsia" w:hAnsiTheme="minorEastAsia" w:eastAsiaTheme="minorEastAsia"/>
          <w:color w:val="auto"/>
          <w:szCs w:val="21"/>
          <w:highlight w:val="none"/>
          <w:lang w:eastAsia="zh-CN"/>
        </w:rPr>
        <w:t>ZJWL2024ZBDL011</w:t>
      </w:r>
    </w:p>
    <w:p w14:paraId="694DCD3E">
      <w:pPr>
        <w:spacing w:line="360" w:lineRule="auto"/>
        <w:ind w:firstLine="420" w:firstLineChars="200"/>
        <w:rPr>
          <w:rFonts w:hint="eastAsia" w:asciiTheme="minorEastAsia" w:hAnsiTheme="minorEastAsia" w:eastAsiaTheme="minorEastAsia"/>
          <w:color w:val="auto"/>
          <w:szCs w:val="21"/>
          <w:highlight w:val="none"/>
          <w:u w:val="single"/>
          <w:lang w:eastAsia="zh-CN"/>
        </w:rPr>
      </w:pPr>
      <w:r>
        <w:rPr>
          <w:rFonts w:hint="eastAsia" w:asciiTheme="minorEastAsia" w:hAnsiTheme="minorEastAsia" w:eastAsiaTheme="minorEastAsia"/>
          <w:color w:val="auto"/>
          <w:szCs w:val="21"/>
          <w:highlight w:val="none"/>
        </w:rPr>
        <w:t>项目名称：</w:t>
      </w:r>
      <w:r>
        <w:rPr>
          <w:rFonts w:hint="eastAsia" w:asciiTheme="minorEastAsia" w:hAnsiTheme="minorEastAsia" w:eastAsiaTheme="minorEastAsia"/>
          <w:color w:val="auto"/>
          <w:szCs w:val="21"/>
          <w:highlight w:val="none"/>
          <w:lang w:eastAsia="zh-CN"/>
        </w:rPr>
        <w:t>宁波老年大学整体修缮工程</w:t>
      </w:r>
    </w:p>
    <w:p w14:paraId="57C6A028">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采购方式：竞争性磋商</w:t>
      </w:r>
    </w:p>
    <w:p w14:paraId="54422775">
      <w:pPr>
        <w:spacing w:line="360" w:lineRule="auto"/>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预算金额</w:t>
      </w:r>
      <w:r>
        <w:rPr>
          <w:rFonts w:asciiTheme="minorEastAsia" w:hAnsiTheme="minorEastAsia" w:eastAsiaTheme="minorEastAsia"/>
          <w:color w:val="auto"/>
          <w:szCs w:val="21"/>
          <w:highlight w:val="none"/>
        </w:rPr>
        <w:t>（元）</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 xml:space="preserve">3292148 </w:t>
      </w:r>
    </w:p>
    <w:p w14:paraId="3EC574D1">
      <w:pPr>
        <w:spacing w:line="360" w:lineRule="auto"/>
        <w:ind w:firstLine="420" w:firstLineChars="200"/>
        <w:rPr>
          <w:rFonts w:hint="eastAsia" w:ascii="宋体" w:hAnsi="宋体" w:eastAsiaTheme="minorEastAsia"/>
          <w:color w:val="auto"/>
          <w:szCs w:val="21"/>
          <w:highlight w:val="none"/>
          <w:lang w:eastAsia="zh-CN"/>
        </w:rPr>
      </w:pPr>
      <w:r>
        <w:rPr>
          <w:rFonts w:hint="eastAsia" w:asciiTheme="minorEastAsia" w:hAnsiTheme="minorEastAsia" w:eastAsiaTheme="minorEastAsia"/>
          <w:color w:val="auto"/>
          <w:szCs w:val="21"/>
          <w:highlight w:val="none"/>
        </w:rPr>
        <w:t>最高限价（元）：</w:t>
      </w:r>
      <w:r>
        <w:rPr>
          <w:rFonts w:hint="eastAsia" w:asciiTheme="minorEastAsia" w:hAnsiTheme="minorEastAsia" w:eastAsiaTheme="minorEastAsia"/>
          <w:color w:val="auto"/>
          <w:szCs w:val="21"/>
          <w:highlight w:val="none"/>
          <w:lang w:val="en-US" w:eastAsia="zh-CN"/>
        </w:rPr>
        <w:t xml:space="preserve">3292148 </w:t>
      </w:r>
    </w:p>
    <w:p w14:paraId="573289B0">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采购需求：</w:t>
      </w:r>
    </w:p>
    <w:p w14:paraId="4B29238A">
      <w:pPr>
        <w:spacing w:line="360" w:lineRule="auto"/>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标项名称：</w:t>
      </w:r>
      <w:r>
        <w:rPr>
          <w:rFonts w:hint="eastAsia" w:asciiTheme="minorEastAsia" w:hAnsiTheme="minorEastAsia" w:eastAsiaTheme="minorEastAsia"/>
          <w:color w:val="auto"/>
          <w:szCs w:val="21"/>
          <w:highlight w:val="none"/>
          <w:lang w:eastAsia="zh-CN"/>
        </w:rPr>
        <w:t>宁波老年大学整体修缮工程</w:t>
      </w:r>
    </w:p>
    <w:p w14:paraId="35CF23D8">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数量：1</w:t>
      </w:r>
    </w:p>
    <w:p w14:paraId="5991C5CA">
      <w:pPr>
        <w:spacing w:line="360" w:lineRule="auto"/>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预算金额（元）：</w:t>
      </w:r>
      <w:r>
        <w:rPr>
          <w:rFonts w:hint="eastAsia" w:asciiTheme="minorEastAsia" w:hAnsiTheme="minorEastAsia" w:eastAsiaTheme="minorEastAsia"/>
          <w:color w:val="auto"/>
          <w:szCs w:val="21"/>
          <w:highlight w:val="none"/>
          <w:lang w:val="en-US" w:eastAsia="zh-CN"/>
        </w:rPr>
        <w:t xml:space="preserve">3292148 </w:t>
      </w:r>
    </w:p>
    <w:p w14:paraId="275BA84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单位：项</w:t>
      </w:r>
    </w:p>
    <w:p w14:paraId="2B1E0B2F">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简要规格描述：</w:t>
      </w:r>
      <w:r>
        <w:rPr>
          <w:rFonts w:hint="eastAsia" w:asciiTheme="minorEastAsia" w:hAnsiTheme="minorEastAsia" w:eastAsiaTheme="minorEastAsia"/>
          <w:color w:val="auto"/>
          <w:szCs w:val="21"/>
          <w:highlight w:val="none"/>
          <w:lang w:eastAsia="zh-CN"/>
        </w:rPr>
        <w:t>宁波老年大学整体修缮工程，详见工程量清单（招标控制价编制报告）及图纸</w:t>
      </w:r>
      <w:r>
        <w:rPr>
          <w:rFonts w:hint="eastAsia" w:asciiTheme="minorEastAsia" w:hAnsiTheme="minorEastAsia" w:eastAsiaTheme="minorEastAsia"/>
          <w:color w:val="auto"/>
          <w:szCs w:val="21"/>
          <w:highlight w:val="none"/>
        </w:rPr>
        <w:t>。</w:t>
      </w:r>
    </w:p>
    <w:p w14:paraId="3B643EE3">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p w14:paraId="089261A5">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（1）计划工期：</w:t>
      </w:r>
      <w:r>
        <w:rPr>
          <w:rFonts w:hint="eastAsia" w:asciiTheme="minorEastAsia" w:hAnsiTheme="minorEastAsia" w:eastAsiaTheme="minorEastAsia"/>
          <w:color w:val="auto"/>
          <w:szCs w:val="21"/>
          <w:highlight w:val="none"/>
          <w:u w:val="none"/>
          <w:lang w:val="en-US" w:eastAsia="zh-CN"/>
        </w:rPr>
        <w:t>80日历天</w:t>
      </w:r>
    </w:p>
    <w:p w14:paraId="5603FF00">
      <w:pPr>
        <w:spacing w:line="360" w:lineRule="auto"/>
        <w:ind w:firstLine="420" w:firstLineChars="200"/>
        <w:rPr>
          <w:rFonts w:hint="eastAsia" w:asciiTheme="minorEastAsia" w:hAnsiTheme="minorEastAsia" w:eastAsiaTheme="minorEastAsia"/>
          <w:color w:val="auto"/>
          <w:szCs w:val="21"/>
          <w:highlight w:val="none"/>
          <w:lang w:val="en-US" w:eastAsia="zh-CN"/>
        </w:rPr>
      </w:pPr>
      <w:r>
        <w:rPr>
          <w:rFonts w:asciiTheme="minorEastAsia" w:hAnsiTheme="minorEastAsia" w:eastAsiaTheme="minorEastAsia"/>
          <w:color w:val="auto"/>
          <w:szCs w:val="21"/>
          <w:highlight w:val="none"/>
        </w:rPr>
        <w:t>（2）质量要求：</w:t>
      </w:r>
      <w:r>
        <w:rPr>
          <w:rFonts w:hint="eastAsia" w:asciiTheme="minorEastAsia" w:hAnsiTheme="minorEastAsia" w:eastAsiaTheme="minorEastAsia"/>
          <w:color w:val="auto"/>
          <w:szCs w:val="21"/>
          <w:highlight w:val="none"/>
          <w:lang w:val="en-US" w:eastAsia="zh-CN"/>
        </w:rPr>
        <w:t>符合</w:t>
      </w:r>
      <w:r>
        <w:rPr>
          <w:rFonts w:asciiTheme="minorEastAsia" w:hAnsiTheme="minorEastAsia" w:eastAsiaTheme="minorEastAsia"/>
          <w:color w:val="auto"/>
          <w:szCs w:val="21"/>
          <w:highlight w:val="none"/>
        </w:rPr>
        <w:t>国家</w:t>
      </w:r>
      <w:r>
        <w:rPr>
          <w:rFonts w:hint="eastAsia" w:asciiTheme="minorEastAsia" w:hAnsiTheme="minorEastAsia" w:eastAsiaTheme="minorEastAsia"/>
          <w:color w:val="auto"/>
          <w:szCs w:val="21"/>
          <w:highlight w:val="none"/>
          <w:lang w:val="en-US" w:eastAsia="zh-CN"/>
        </w:rPr>
        <w:t>和行业</w:t>
      </w:r>
      <w:r>
        <w:rPr>
          <w:rFonts w:asciiTheme="minorEastAsia" w:hAnsiTheme="minorEastAsia" w:eastAsiaTheme="minorEastAsia"/>
          <w:color w:val="auto"/>
          <w:szCs w:val="21"/>
          <w:highlight w:val="none"/>
        </w:rPr>
        <w:t>施工验收规范一次性验收合格</w:t>
      </w:r>
      <w:r>
        <w:rPr>
          <w:rFonts w:hint="eastAsia" w:asciiTheme="minorEastAsia" w:hAnsiTheme="minorEastAsia" w:eastAsiaTheme="minorEastAsia"/>
          <w:color w:val="auto"/>
          <w:szCs w:val="21"/>
          <w:highlight w:val="none"/>
          <w:lang w:val="en-US" w:eastAsia="zh-CN"/>
        </w:rPr>
        <w:t>标准</w:t>
      </w:r>
    </w:p>
    <w:p w14:paraId="7DF55B87">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（3）安全要求：合格</w:t>
      </w:r>
    </w:p>
    <w:p w14:paraId="417C108F">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合同履约期限：标项1，自合同签订之日起至合同全部义务履行完毕止。</w:t>
      </w:r>
    </w:p>
    <w:p w14:paraId="3C632AB6">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本项目（否）接受联合体参加磋商。</w:t>
      </w:r>
    </w:p>
    <w:p w14:paraId="1622C811">
      <w:pPr>
        <w:pStyle w:val="3"/>
        <w:spacing w:before="0" w:after="0" w:line="360" w:lineRule="auto"/>
        <w:rPr>
          <w:rFonts w:asciiTheme="minorEastAsia" w:hAnsiTheme="minorEastAsia" w:eastAsiaTheme="minorEastAsia"/>
          <w:color w:val="auto"/>
          <w:sz w:val="21"/>
          <w:szCs w:val="21"/>
          <w:highlight w:val="none"/>
        </w:rPr>
      </w:pPr>
      <w:bookmarkStart w:id="6" w:name="_Toc28359090"/>
      <w:bookmarkStart w:id="7" w:name="_Toc28359013"/>
      <w:bookmarkStart w:id="8" w:name="_Toc35393799"/>
      <w:bookmarkStart w:id="9" w:name="_Toc35393630"/>
      <w:r>
        <w:rPr>
          <w:rFonts w:hint="eastAsia" w:asciiTheme="minorEastAsia" w:hAnsiTheme="minorEastAsia" w:eastAsiaTheme="minorEastAsia"/>
          <w:color w:val="auto"/>
          <w:sz w:val="21"/>
          <w:szCs w:val="21"/>
          <w:highlight w:val="none"/>
        </w:rPr>
        <w:t>二、申请人的资格要求：</w:t>
      </w:r>
      <w:bookmarkEnd w:id="6"/>
      <w:bookmarkEnd w:id="7"/>
      <w:bookmarkEnd w:id="8"/>
      <w:bookmarkEnd w:id="9"/>
    </w:p>
    <w:p w14:paraId="71FEB921">
      <w:pPr>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1.满足《中华人民共和国政府采购法》第二十二条第一款规定；未被“信用中国”（www.creditchina.gov.cn)、中国政府采购网（www.ccgp.gov.cn）列入失信被执行人、</w:t>
      </w:r>
      <w:r>
        <w:rPr>
          <w:rFonts w:hint="eastAsia" w:asciiTheme="minorEastAsia" w:hAnsiTheme="minorEastAsia" w:eastAsiaTheme="minorEastAsia"/>
          <w:color w:val="auto"/>
          <w:szCs w:val="21"/>
          <w:highlight w:val="none"/>
          <w:lang w:eastAsia="zh-CN"/>
        </w:rPr>
        <w:t>重大税收违法失信主体</w:t>
      </w:r>
      <w:r>
        <w:rPr>
          <w:rFonts w:hint="eastAsia" w:asciiTheme="minorEastAsia" w:hAnsiTheme="minorEastAsia" w:eastAsiaTheme="minorEastAsia"/>
          <w:color w:val="auto"/>
          <w:szCs w:val="21"/>
          <w:highlight w:val="none"/>
        </w:rPr>
        <w:t>、政府采购严重违法失信行为记录名单。</w:t>
      </w:r>
    </w:p>
    <w:p w14:paraId="6CBC083D">
      <w:pPr>
        <w:spacing w:line="360" w:lineRule="auto"/>
        <w:ind w:firstLine="420" w:firstLineChars="200"/>
        <w:jc w:val="left"/>
        <w:rPr>
          <w:rFonts w:asciiTheme="minorEastAsia" w:hAnsiTheme="minorEastAsia" w:eastAsiaTheme="minorEastAsia"/>
          <w:color w:val="auto"/>
          <w:szCs w:val="21"/>
          <w:highlight w:val="none"/>
        </w:rPr>
      </w:pPr>
      <w:bookmarkStart w:id="10" w:name="_Toc28359014"/>
      <w:bookmarkStart w:id="11" w:name="_Toc28359091"/>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.落实政府采购政策需满足的资格要求：标项1：</w:t>
      </w:r>
      <w:r>
        <w:rPr>
          <w:rFonts w:hint="eastAsia" w:ascii="宋体" w:hAnsi="宋体" w:cs="宋体"/>
          <w:color w:val="auto"/>
          <w:kern w:val="0"/>
          <w:szCs w:val="21"/>
          <w:highlight w:val="none"/>
          <w:u w:val="none"/>
        </w:rPr>
        <w:t>本项目专门面向中小企业</w:t>
      </w:r>
      <w:r>
        <w:rPr>
          <w:rFonts w:hint="eastAsia" w:asciiTheme="minorEastAsia" w:hAnsiTheme="minorEastAsia" w:eastAsiaTheme="minorEastAsia"/>
          <w:color w:val="auto"/>
          <w:szCs w:val="21"/>
          <w:highlight w:val="none"/>
          <w:u w:val="none"/>
        </w:rPr>
        <w:t>。</w:t>
      </w:r>
      <w:r>
        <w:rPr>
          <w:rFonts w:hint="eastAsia" w:ascii="宋体" w:hAnsi="宋体" w:cs="宋体"/>
          <w:color w:val="auto"/>
          <w:kern w:val="0"/>
          <w:szCs w:val="21"/>
          <w:highlight w:val="none"/>
        </w:rPr>
        <w:t>承接工程的企业属于“建筑业”的中型、小型、微型企业(须提供中小企业声明函)以及监狱企业、残疾人福利性单位视同小型、微型企业(提供相关证明材料)方可参与本项目的磋商活动。中小微企业划型标准详见工信部联企业[2011]300号文。</w:t>
      </w:r>
    </w:p>
    <w:p w14:paraId="61F6EFCD">
      <w:pPr>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.本项目的特定资格要求：</w:t>
      </w:r>
      <w:r>
        <w:rPr>
          <w:rFonts w:hint="eastAsia" w:asciiTheme="minorEastAsia" w:hAnsiTheme="minorEastAsia" w:eastAsiaTheme="minorEastAsia"/>
          <w:color w:val="auto"/>
          <w:szCs w:val="21"/>
          <w:highlight w:val="none"/>
          <w:lang w:eastAsia="zh-CN"/>
        </w:rPr>
        <w:t>建筑工程施工总承包三级及以上资质，</w:t>
      </w:r>
      <w:r>
        <w:rPr>
          <w:rFonts w:hint="eastAsia" w:ascii="宋体" w:hAnsi="宋体" w:cs="宋体"/>
          <w:color w:val="auto"/>
          <w:kern w:val="0"/>
          <w:szCs w:val="21"/>
          <w:highlight w:val="none"/>
        </w:rPr>
        <w:t>并</w:t>
      </w:r>
      <w:r>
        <w:rPr>
          <w:rFonts w:hint="eastAsia" w:ascii="宋体" w:hAnsi="宋体" w:cs="宋体"/>
          <w:color w:val="auto"/>
          <w:szCs w:val="21"/>
          <w:highlight w:val="none"/>
        </w:rPr>
        <w:t>具有建设行政主管部门颁发的有效的安全生产许可证</w:t>
      </w:r>
      <w:r>
        <w:rPr>
          <w:rFonts w:hint="eastAsia" w:ascii="宋体" w:hAnsi="宋体" w:cs="宋体"/>
          <w:color w:val="auto"/>
          <w:szCs w:val="21"/>
          <w:highlight w:val="none"/>
          <w:lang w:eastAsia="zh-CN"/>
        </w:rPr>
        <w:t>。</w:t>
      </w:r>
    </w:p>
    <w:p w14:paraId="672B36A7">
      <w:pPr>
        <w:pStyle w:val="3"/>
        <w:spacing w:before="0" w:after="0" w:line="360" w:lineRule="auto"/>
        <w:rPr>
          <w:rFonts w:asciiTheme="minorEastAsia" w:hAnsiTheme="minorEastAsia" w:eastAsiaTheme="minorEastAsia"/>
          <w:color w:val="auto"/>
          <w:sz w:val="21"/>
          <w:szCs w:val="21"/>
          <w:highlight w:val="none"/>
        </w:rPr>
      </w:pPr>
      <w:bookmarkStart w:id="12" w:name="_Toc35393631"/>
      <w:bookmarkStart w:id="13" w:name="_Toc35393800"/>
      <w:r>
        <w:rPr>
          <w:rFonts w:hint="eastAsia" w:asciiTheme="minorEastAsia" w:hAnsiTheme="minorEastAsia" w:eastAsiaTheme="minorEastAsia"/>
          <w:color w:val="auto"/>
          <w:sz w:val="21"/>
          <w:szCs w:val="21"/>
          <w:highlight w:val="none"/>
        </w:rPr>
        <w:t>三、获取</w:t>
      </w:r>
      <w:bookmarkEnd w:id="10"/>
      <w:bookmarkEnd w:id="11"/>
      <w:bookmarkEnd w:id="12"/>
      <w:bookmarkEnd w:id="13"/>
      <w:r>
        <w:rPr>
          <w:rFonts w:hint="eastAsia" w:asciiTheme="minorEastAsia" w:hAnsiTheme="minorEastAsia" w:eastAsiaTheme="minorEastAsia"/>
          <w:color w:val="auto"/>
          <w:sz w:val="21"/>
          <w:szCs w:val="21"/>
          <w:highlight w:val="none"/>
        </w:rPr>
        <w:t>（下载）采购文件</w:t>
      </w:r>
    </w:p>
    <w:p w14:paraId="02ED2139">
      <w:pPr>
        <w:spacing w:line="360" w:lineRule="auto"/>
        <w:ind w:firstLine="420"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时间：2024年</w:t>
      </w:r>
      <w:r>
        <w:rPr>
          <w:rFonts w:hint="eastAsia" w:cs="宋体" w:asciiTheme="minorEastAsia" w:hAnsiTheme="minorEastAsia" w:eastAsiaTheme="minorEastAsia"/>
          <w:color w:val="auto"/>
          <w:szCs w:val="21"/>
          <w:highlight w:val="none"/>
          <w:lang w:val="en-US" w:eastAsia="zh-CN"/>
        </w:rPr>
        <w:t>9</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6</w:t>
      </w:r>
      <w:r>
        <w:rPr>
          <w:rFonts w:hint="eastAsia" w:cs="宋体" w:asciiTheme="minorEastAsia" w:hAnsiTheme="minorEastAsia" w:eastAsiaTheme="minorEastAsia"/>
          <w:color w:val="auto"/>
          <w:szCs w:val="21"/>
          <w:highlight w:val="none"/>
        </w:rPr>
        <w:t>日至2024年</w:t>
      </w:r>
      <w:r>
        <w:rPr>
          <w:rFonts w:hint="eastAsia" w:cs="宋体" w:asciiTheme="minorEastAsia" w:hAnsiTheme="minorEastAsia" w:eastAsiaTheme="minorEastAsia"/>
          <w:color w:val="auto"/>
          <w:szCs w:val="21"/>
          <w:highlight w:val="none"/>
          <w:lang w:val="en-US" w:eastAsia="zh-CN"/>
        </w:rPr>
        <w:t>9</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14</w:t>
      </w:r>
      <w:r>
        <w:rPr>
          <w:rFonts w:hint="eastAsia" w:cs="宋体" w:asciiTheme="minorEastAsia" w:hAnsiTheme="minorEastAsia" w:eastAsiaTheme="minorEastAsia"/>
          <w:color w:val="auto"/>
          <w:szCs w:val="21"/>
          <w:highlight w:val="none"/>
        </w:rPr>
        <w:t>日，每天上午00:00至12:00，下午12:00至23:59（北京时间，线上获取法定节假日均可，线下获取文件法定节假日除外）</w:t>
      </w:r>
    </w:p>
    <w:p w14:paraId="7BD49DF9">
      <w:pPr>
        <w:spacing w:line="360" w:lineRule="auto"/>
        <w:ind w:firstLine="420" w:firstLineChars="20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地点（网址）：政采云平台（https://www.zcygov.cn）</w:t>
      </w:r>
    </w:p>
    <w:p w14:paraId="144AF8BD">
      <w:pPr>
        <w:spacing w:line="360" w:lineRule="auto"/>
        <w:ind w:firstLine="420" w:firstLineChars="200"/>
        <w:rPr>
          <w:rFonts w:cs="Arial"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方式：</w:t>
      </w:r>
      <w:r>
        <w:rPr>
          <w:rFonts w:hint="eastAsia" w:cs="Arial" w:asciiTheme="minorEastAsia" w:hAnsiTheme="minorEastAsia" w:eastAsiaTheme="minorEastAsia"/>
          <w:color w:val="auto"/>
          <w:szCs w:val="21"/>
          <w:highlight w:val="none"/>
        </w:rPr>
        <w:t>供应商登录政采云平台https://www.zcygov.cn/在线申请获取采购文件（进入“项目采购”应用，在获取采购文件菜单中选择项目，申请获取采购文件）</w:t>
      </w:r>
    </w:p>
    <w:p w14:paraId="136A8A3A">
      <w:pPr>
        <w:spacing w:line="360" w:lineRule="auto"/>
        <w:ind w:firstLine="420" w:firstLineChars="200"/>
        <w:rPr>
          <w:rFonts w:cs="宋体" w:asciiTheme="minorEastAsia" w:hAnsiTheme="minorEastAsia" w:eastAsiaTheme="minorEastAsia"/>
          <w:color w:val="auto"/>
          <w:szCs w:val="21"/>
          <w:highlight w:val="none"/>
        </w:rPr>
      </w:pPr>
      <w:bookmarkStart w:id="14" w:name="_Toc35393801"/>
      <w:bookmarkStart w:id="15" w:name="_Toc28359015"/>
      <w:bookmarkStart w:id="16" w:name="_Toc28359092"/>
      <w:bookmarkStart w:id="17" w:name="_Toc35393632"/>
      <w:r>
        <w:rPr>
          <w:rFonts w:hint="eastAsia" w:cs="宋体" w:asciiTheme="minorEastAsia" w:hAnsiTheme="minorEastAsia" w:eastAsiaTheme="minorEastAsia"/>
          <w:color w:val="auto"/>
          <w:szCs w:val="21"/>
          <w:highlight w:val="none"/>
        </w:rPr>
        <w:t>售价（元）：0</w:t>
      </w:r>
    </w:p>
    <w:p w14:paraId="17FB9ADB">
      <w:pPr>
        <w:pStyle w:val="3"/>
        <w:spacing w:before="0" w:after="0" w:line="360" w:lineRule="auto"/>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bCs w:val="0"/>
          <w:color w:val="auto"/>
          <w:kern w:val="2"/>
          <w:sz w:val="21"/>
          <w:szCs w:val="21"/>
          <w:highlight w:val="none"/>
        </w:rPr>
        <w:t>四</w:t>
      </w:r>
      <w:r>
        <w:rPr>
          <w:rFonts w:hint="eastAsia" w:asciiTheme="minorEastAsia" w:hAnsiTheme="minorEastAsia" w:eastAsiaTheme="minorEastAsia"/>
          <w:color w:val="auto"/>
          <w:sz w:val="21"/>
          <w:szCs w:val="21"/>
          <w:highlight w:val="none"/>
        </w:rPr>
        <w:t>、响应文件提交</w:t>
      </w:r>
      <w:bookmarkEnd w:id="14"/>
      <w:bookmarkEnd w:id="15"/>
      <w:bookmarkEnd w:id="16"/>
      <w:bookmarkEnd w:id="17"/>
      <w:r>
        <w:rPr>
          <w:rFonts w:hint="eastAsia" w:asciiTheme="minorEastAsia" w:hAnsiTheme="minorEastAsia" w:eastAsiaTheme="minorEastAsia"/>
          <w:color w:val="auto"/>
          <w:sz w:val="21"/>
          <w:szCs w:val="21"/>
          <w:highlight w:val="none"/>
        </w:rPr>
        <w:t>（上传）</w:t>
      </w:r>
    </w:p>
    <w:p w14:paraId="0E62F58E">
      <w:pPr>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截止时间：2024年</w:t>
      </w:r>
      <w:r>
        <w:rPr>
          <w:rFonts w:hint="eastAsia" w:asciiTheme="minorEastAsia" w:hAnsiTheme="minorEastAsia" w:eastAsiaTheme="minorEastAsia"/>
          <w:color w:val="auto"/>
          <w:szCs w:val="21"/>
          <w:highlight w:val="none"/>
          <w:lang w:val="en-US" w:eastAsia="zh-CN"/>
        </w:rPr>
        <w:t>9</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18</w:t>
      </w:r>
      <w:r>
        <w:rPr>
          <w:rFonts w:hint="eastAsia" w:asciiTheme="minorEastAsia" w:hAnsiTheme="minorEastAsia" w:eastAsiaTheme="minorEastAsia"/>
          <w:color w:val="auto"/>
          <w:szCs w:val="21"/>
          <w:highlight w:val="none"/>
        </w:rPr>
        <w:t>日</w:t>
      </w:r>
      <w:r>
        <w:rPr>
          <w:rFonts w:hint="eastAsia" w:asciiTheme="minorEastAsia" w:hAnsiTheme="minorEastAsia" w:eastAsiaTheme="minorEastAsia"/>
          <w:color w:val="auto"/>
          <w:szCs w:val="21"/>
          <w:highlight w:val="none"/>
          <w:lang w:val="en-US" w:eastAsia="zh-CN"/>
        </w:rPr>
        <w:t>14</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00</w:t>
      </w:r>
      <w:r>
        <w:rPr>
          <w:rFonts w:hint="eastAsia" w:asciiTheme="minorEastAsia" w:hAnsiTheme="minorEastAsia" w:eastAsiaTheme="minorEastAsia"/>
          <w:color w:val="auto"/>
          <w:szCs w:val="21"/>
          <w:highlight w:val="none"/>
        </w:rPr>
        <w:t>（北京时间）</w:t>
      </w:r>
    </w:p>
    <w:p w14:paraId="2FC600F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地点（网址）：</w:t>
      </w:r>
      <w:r>
        <w:rPr>
          <w:rFonts w:hint="eastAsia" w:cs="Arial" w:asciiTheme="minorEastAsia" w:hAnsiTheme="minorEastAsia" w:eastAsiaTheme="minorEastAsia"/>
          <w:color w:val="auto"/>
          <w:szCs w:val="21"/>
          <w:highlight w:val="none"/>
        </w:rPr>
        <w:t>电子加密响应文件通过</w:t>
      </w:r>
      <w:r>
        <w:rPr>
          <w:rFonts w:hint="eastAsia" w:asciiTheme="minorEastAsia" w:hAnsiTheme="minorEastAsia" w:eastAsiaTheme="minorEastAsia"/>
          <w:color w:val="auto"/>
          <w:szCs w:val="21"/>
          <w:highlight w:val="none"/>
        </w:rPr>
        <w:t>政采云平台（https://www.zcygov.cn）</w:t>
      </w:r>
      <w:r>
        <w:rPr>
          <w:rFonts w:hint="eastAsia" w:cs="Arial" w:asciiTheme="minorEastAsia" w:hAnsiTheme="minorEastAsia" w:eastAsiaTheme="minorEastAsia"/>
          <w:color w:val="auto"/>
          <w:szCs w:val="21"/>
          <w:highlight w:val="none"/>
        </w:rPr>
        <w:t>在线上传提交；</w:t>
      </w:r>
      <w:r>
        <w:rPr>
          <w:rFonts w:hint="eastAsia" w:asciiTheme="minorEastAsia" w:hAnsiTheme="minorEastAsia" w:eastAsiaTheme="minorEastAsia"/>
          <w:bCs/>
          <w:color w:val="auto"/>
          <w:szCs w:val="21"/>
          <w:highlight w:val="none"/>
        </w:rPr>
        <w:t>备份响应文件在</w:t>
      </w:r>
      <w:r>
        <w:rPr>
          <w:rFonts w:hint="eastAsia" w:asciiTheme="minorEastAsia" w:hAnsiTheme="minorEastAsia" w:eastAsiaTheme="minorEastAsia"/>
          <w:color w:val="auto"/>
          <w:szCs w:val="21"/>
          <w:highlight w:val="none"/>
        </w:rPr>
        <w:t>截止时间前</w:t>
      </w:r>
      <w:r>
        <w:rPr>
          <w:rFonts w:hint="eastAsia" w:cs="Arial" w:asciiTheme="minorEastAsia" w:hAnsiTheme="minorEastAsia" w:eastAsiaTheme="minorEastAsia"/>
          <w:color w:val="auto"/>
          <w:szCs w:val="21"/>
          <w:highlight w:val="none"/>
        </w:rPr>
        <w:t>邮寄或送达</w:t>
      </w:r>
      <w:r>
        <w:rPr>
          <w:rFonts w:hint="eastAsia" w:cs="宋体" w:asciiTheme="minorEastAsia" w:hAnsiTheme="minorEastAsia" w:eastAsiaTheme="minorEastAsia"/>
          <w:color w:val="auto"/>
          <w:szCs w:val="21"/>
          <w:highlight w:val="none"/>
        </w:rPr>
        <w:t>采购代理机构（如提供）。</w:t>
      </w:r>
    </w:p>
    <w:p w14:paraId="339559DF">
      <w:pPr>
        <w:pStyle w:val="3"/>
        <w:spacing w:before="0" w:after="0" w:line="360" w:lineRule="auto"/>
        <w:rPr>
          <w:rFonts w:asciiTheme="minorEastAsia" w:hAnsiTheme="minorEastAsia" w:eastAsiaTheme="minorEastAsia"/>
          <w:color w:val="auto"/>
          <w:sz w:val="21"/>
          <w:szCs w:val="21"/>
          <w:highlight w:val="none"/>
        </w:rPr>
      </w:pPr>
      <w:bookmarkStart w:id="18" w:name="_Toc28359093"/>
      <w:bookmarkStart w:id="19" w:name="_Toc35393633"/>
      <w:bookmarkStart w:id="20" w:name="_Toc28359016"/>
      <w:bookmarkStart w:id="21" w:name="_Toc35393802"/>
      <w:r>
        <w:rPr>
          <w:rFonts w:hint="eastAsia" w:asciiTheme="minorEastAsia" w:hAnsiTheme="minorEastAsia" w:eastAsiaTheme="minorEastAsia"/>
          <w:color w:val="auto"/>
          <w:sz w:val="21"/>
          <w:szCs w:val="21"/>
          <w:highlight w:val="none"/>
        </w:rPr>
        <w:t>五、响应文件开启</w:t>
      </w:r>
      <w:bookmarkEnd w:id="18"/>
      <w:bookmarkEnd w:id="19"/>
      <w:bookmarkEnd w:id="20"/>
      <w:bookmarkEnd w:id="21"/>
    </w:p>
    <w:p w14:paraId="70A425B2">
      <w:pPr>
        <w:spacing w:line="360" w:lineRule="auto"/>
        <w:ind w:firstLine="420" w:firstLineChars="200"/>
        <w:rPr>
          <w:rFonts w:asciiTheme="minorEastAsia" w:hAnsiTheme="minorEastAsia" w:eastAsiaTheme="minorEastAsia"/>
          <w:color w:val="auto"/>
          <w:szCs w:val="21"/>
          <w:highlight w:val="none"/>
        </w:rPr>
      </w:pPr>
      <w:bookmarkStart w:id="22" w:name="_Toc28359094"/>
      <w:bookmarkStart w:id="23" w:name="_Toc35393803"/>
      <w:bookmarkStart w:id="24" w:name="_Toc28359017"/>
      <w:bookmarkStart w:id="25" w:name="_Toc35393634"/>
      <w:r>
        <w:rPr>
          <w:rFonts w:hint="eastAsia" w:asciiTheme="minorEastAsia" w:hAnsiTheme="minorEastAsia" w:eastAsiaTheme="minorEastAsia"/>
          <w:color w:val="auto"/>
          <w:szCs w:val="21"/>
          <w:highlight w:val="none"/>
        </w:rPr>
        <w:t>开启时间：2024年</w:t>
      </w:r>
      <w:r>
        <w:rPr>
          <w:rFonts w:hint="eastAsia" w:asciiTheme="minorEastAsia" w:hAnsiTheme="minorEastAsia" w:eastAsiaTheme="minorEastAsia"/>
          <w:color w:val="auto"/>
          <w:szCs w:val="21"/>
          <w:highlight w:val="none"/>
          <w:lang w:val="en-US" w:eastAsia="zh-CN"/>
        </w:rPr>
        <w:t>9</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18</w:t>
      </w:r>
      <w:r>
        <w:rPr>
          <w:rFonts w:hint="eastAsia" w:asciiTheme="minorEastAsia" w:hAnsiTheme="minorEastAsia" w:eastAsiaTheme="minorEastAsia"/>
          <w:color w:val="auto"/>
          <w:szCs w:val="21"/>
          <w:highlight w:val="none"/>
        </w:rPr>
        <w:t>日</w:t>
      </w:r>
      <w:r>
        <w:rPr>
          <w:rFonts w:hint="eastAsia" w:asciiTheme="minorEastAsia" w:hAnsiTheme="minorEastAsia" w:eastAsiaTheme="minorEastAsia"/>
          <w:color w:val="auto"/>
          <w:szCs w:val="21"/>
          <w:highlight w:val="none"/>
          <w:lang w:val="en-US" w:eastAsia="zh-CN"/>
        </w:rPr>
        <w:t>14</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00</w:t>
      </w:r>
      <w:r>
        <w:rPr>
          <w:rFonts w:hint="eastAsia" w:asciiTheme="minorEastAsia" w:hAnsiTheme="minorEastAsia" w:eastAsiaTheme="minorEastAsia"/>
          <w:color w:val="auto"/>
          <w:szCs w:val="21"/>
          <w:highlight w:val="none"/>
        </w:rPr>
        <w:t>（北京时间）</w:t>
      </w:r>
    </w:p>
    <w:p w14:paraId="04B87414">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地点（网址）：政采云平台（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color w:val="auto"/>
          <w:highlight w:val="none"/>
        </w:rPr>
        <w:t>https://www.zcygov.cn</w:t>
      </w:r>
      <w:r>
        <w:rPr>
          <w:rFonts w:hint="eastAsia"/>
          <w:color w:val="auto"/>
          <w:highlight w:val="none"/>
        </w:rPr>
        <w:fldChar w:fldCharType="end"/>
      </w:r>
      <w:r>
        <w:rPr>
          <w:rFonts w:hint="eastAsia" w:asciiTheme="minorEastAsia" w:hAnsiTheme="minorEastAsia" w:eastAsiaTheme="minorEastAsia"/>
          <w:color w:val="auto"/>
          <w:szCs w:val="21"/>
          <w:highlight w:val="none"/>
        </w:rPr>
        <w:t>）</w:t>
      </w:r>
    </w:p>
    <w:p w14:paraId="676028C6">
      <w:pPr>
        <w:pStyle w:val="3"/>
        <w:spacing w:before="0"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bCs w:val="0"/>
          <w:color w:val="auto"/>
          <w:kern w:val="2"/>
          <w:sz w:val="21"/>
          <w:szCs w:val="21"/>
          <w:highlight w:val="none"/>
        </w:rPr>
        <w:t>六、</w:t>
      </w:r>
      <w:r>
        <w:rPr>
          <w:rFonts w:hint="eastAsia" w:asciiTheme="minorEastAsia" w:hAnsiTheme="minorEastAsia" w:eastAsiaTheme="minorEastAsia"/>
          <w:color w:val="auto"/>
          <w:sz w:val="21"/>
          <w:szCs w:val="21"/>
          <w:highlight w:val="none"/>
        </w:rPr>
        <w:t>公告期限</w:t>
      </w:r>
      <w:bookmarkEnd w:id="22"/>
      <w:bookmarkEnd w:id="23"/>
      <w:bookmarkEnd w:id="24"/>
      <w:bookmarkEnd w:id="25"/>
    </w:p>
    <w:p w14:paraId="63F0A1A4">
      <w:pPr>
        <w:spacing w:line="360" w:lineRule="auto"/>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自本公告发布之日起3个工作日。</w:t>
      </w:r>
    </w:p>
    <w:p w14:paraId="2AFE6732">
      <w:pPr>
        <w:pStyle w:val="3"/>
        <w:spacing w:before="0" w:after="0" w:line="360" w:lineRule="auto"/>
        <w:rPr>
          <w:rFonts w:asciiTheme="minorEastAsia" w:hAnsiTheme="minorEastAsia" w:eastAsiaTheme="minorEastAsia"/>
          <w:color w:val="auto"/>
          <w:sz w:val="21"/>
          <w:szCs w:val="21"/>
          <w:highlight w:val="none"/>
        </w:rPr>
      </w:pPr>
      <w:bookmarkStart w:id="26" w:name="_Toc35393804"/>
      <w:bookmarkStart w:id="27" w:name="_Toc35393635"/>
      <w:r>
        <w:rPr>
          <w:rFonts w:hint="eastAsia" w:asciiTheme="minorEastAsia" w:hAnsiTheme="minorEastAsia" w:eastAsiaTheme="minorEastAsia"/>
          <w:color w:val="auto"/>
          <w:sz w:val="21"/>
          <w:szCs w:val="21"/>
          <w:highlight w:val="none"/>
        </w:rPr>
        <w:t>七、其他补充事宜</w:t>
      </w:r>
      <w:bookmarkEnd w:id="26"/>
      <w:bookmarkEnd w:id="27"/>
    </w:p>
    <w:p w14:paraId="2A8E021B">
      <w:pPr>
        <w:keepNext w:val="0"/>
        <w:keepLines w:val="0"/>
        <w:pageBreakBefore w:val="0"/>
        <w:kinsoku/>
        <w:overflowPunct/>
        <w:topLinePunct w:val="0"/>
        <w:autoSpaceDE/>
        <w:autoSpaceDN/>
        <w:bidi w:val="0"/>
        <w:adjustRightInd/>
        <w:snapToGrid w:val="0"/>
        <w:spacing w:line="360" w:lineRule="auto"/>
        <w:ind w:firstLine="411" w:firstLineChars="196"/>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3327929">
      <w:pPr>
        <w:keepNext w:val="0"/>
        <w:keepLines w:val="0"/>
        <w:pageBreakBefore w:val="0"/>
        <w:kinsoku/>
        <w:overflowPunct/>
        <w:topLinePunct w:val="0"/>
        <w:autoSpaceDE/>
        <w:autoSpaceDN/>
        <w:bidi w:val="0"/>
        <w:adjustRightInd/>
        <w:snapToGrid w:val="0"/>
        <w:spacing w:line="360" w:lineRule="auto"/>
        <w:ind w:firstLine="411" w:firstLineChars="196"/>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D7A44B">
      <w:pPr>
        <w:keepNext w:val="0"/>
        <w:keepLines w:val="0"/>
        <w:pageBreakBefore w:val="0"/>
        <w:kinsoku/>
        <w:overflowPunct/>
        <w:topLinePunct w:val="0"/>
        <w:autoSpaceDE/>
        <w:autoSpaceDN/>
        <w:bidi w:val="0"/>
        <w:adjustRightInd/>
        <w:snapToGrid w:val="0"/>
        <w:spacing w:line="360" w:lineRule="auto"/>
        <w:ind w:firstLine="411" w:firstLineChars="196"/>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09A2814">
      <w:pPr>
        <w:keepNext w:val="0"/>
        <w:keepLines w:val="0"/>
        <w:pageBreakBefore w:val="0"/>
        <w:kinsoku/>
        <w:overflowPunct/>
        <w:topLinePunct w:val="0"/>
        <w:autoSpaceDE/>
        <w:autoSpaceDN/>
        <w:bidi w:val="0"/>
        <w:adjustRightInd/>
        <w:snapToGrid w:val="0"/>
        <w:spacing w:line="360" w:lineRule="auto"/>
        <w:ind w:firstLine="411" w:firstLineChars="196"/>
        <w:textAlignment w:val="auto"/>
        <w:rPr>
          <w:rFonts w:cs="Arial" w:asciiTheme="minorEastAsia" w:hAnsiTheme="minorEastAsia" w:eastAsiaTheme="minorEastAsia"/>
          <w:color w:val="auto"/>
          <w:szCs w:val="21"/>
          <w:highlight w:val="none"/>
        </w:rPr>
      </w:pPr>
      <w:r>
        <w:rPr>
          <w:rFonts w:hint="eastAsia" w:ascii="宋体" w:hAnsi="宋体" w:cs="宋体"/>
          <w:color w:val="auto"/>
          <w:kern w:val="0"/>
          <w:szCs w:val="21"/>
          <w:highlight w:val="none"/>
        </w:rPr>
        <w:t>4.其他事项：4.1参加磋商的供应商应于磋商前到“浙江政府采购网（http://zfcg.czt.zj.gov.cn/）”上进行供应商注册申请，并通过财政部门的终审后登记加入到“浙江省政府采购供应商库”。中标或成交供应商必须注册并登记加入“浙江省政府采购供应商库”。具体要求及注册申请流程详见《浙江省政府采购供应商注册及诚信管理暂行办法》（浙财采监字{2009}28号）和浙江政府采购网“网上办事指南”的“供应商注册申请”。4.2本次政府采购活动有关信息在“浙江政府采购网”、“宁波市政府采购网”上公布，公布信息视同送达所有潜在供应商。若因未能及时了解到上述网站发布的相关信息而导致的一切后果自行承担。4.3本项目实行网上磋商，采用电子响应文件。若供应商参与磋商活动，须自行承担磋商过程中的一切费用。4.4磋商前准备：各供应商应在响应文件递交截止时间前确保成为浙江政府采购网正式注册入库供应商，并完成CA数字证书办理。因未注册入库、未办理CA数字证书等原因造成无法参加或参加失败等后果由供应商自行承担。（供应商CA申领操作指南：https://help.zcygov.cn/web/site_2/2018/11-29/2452.html，完成CA数字证书办理预计一周左右，请供应商自行把握时间）4.5各供应商根据本采购文件的要求，进行报价响应并自觉遵守各项报价承诺；否则采购人有权根据《浙江省政府采购供应商注册及诚信管理暂行办法》的规定向财政部门上报供应商的诚信状况，给采购人造成损失的还应当予以赔偿。4.6单位负责人为同一人或者存在直接控股、管理关系的不同供应商，不得参加同一标项号的投标。4.7为本项目提供整体设计、规范编制或者项目管理、监理、检测等服务的供应商，不得再参加本项目的磋商。4.8落实的政策：《关于促进残疾人就业政府采购政策的通知》（财库[2017]141号）、《政府采购促进中小企业发展管理办法》（财库〔2020〕46号）、《财政部关于进一步加大政府采购支持中小企业力度的通知》（财库〔2022〕19号）、《关于政府采购支持监狱企业发展有关问题的通知》(财库[2014]68号)、《关于环境标志产品政府采购实施的意见》（财库〔2006〕90号）、《节能产品政府采购实施意见》的通知（财库〔2004〕185号）、《关于调整优化节能产品、环境标志产品政府采购执行机制的通知》（财库〔2019〕9号文）、财库〔2019〕18号和财库〔2019〕19号、《浙江省财政厅关于进一步发挥政府采购政策功能全力推动经济稳进提质的通知》（浙财采监[2022]3号）、《浙江省财政厅关于进一步加大政府采购支持中小企业力度助力扎实稳住经济的通知》（浙财采监[2022]8号）、《浙江省财政厅等6部门关于政府采购工程 落实支持中小企业发展政策的通知》（浙财采监[2023]4号）等。</w:t>
      </w:r>
    </w:p>
    <w:p w14:paraId="1F40761A">
      <w:pPr>
        <w:pStyle w:val="3"/>
        <w:spacing w:before="0" w:after="0" w:line="360" w:lineRule="auto"/>
        <w:rPr>
          <w:rFonts w:asciiTheme="minorEastAsia" w:hAnsiTheme="minorEastAsia" w:eastAsiaTheme="minorEastAsia"/>
          <w:color w:val="auto"/>
          <w:sz w:val="21"/>
          <w:szCs w:val="21"/>
          <w:highlight w:val="none"/>
        </w:rPr>
      </w:pPr>
      <w:bookmarkStart w:id="28" w:name="_Toc35393636"/>
      <w:bookmarkStart w:id="29" w:name="_Toc35393805"/>
      <w:bookmarkStart w:id="30" w:name="_Toc28359018"/>
      <w:bookmarkStart w:id="31" w:name="_Toc28359095"/>
      <w:r>
        <w:rPr>
          <w:rFonts w:hint="eastAsia" w:asciiTheme="minorEastAsia" w:hAnsiTheme="minorEastAsia" w:eastAsiaTheme="minorEastAsia"/>
          <w:color w:val="auto"/>
          <w:sz w:val="21"/>
          <w:szCs w:val="21"/>
          <w:highlight w:val="none"/>
        </w:rPr>
        <w:t>八、凡对本次采购提出询问、质疑、投诉，请按</w:t>
      </w:r>
      <w:r>
        <w:rPr>
          <w:rFonts w:asciiTheme="minorEastAsia" w:hAnsiTheme="minorEastAsia" w:eastAsiaTheme="minorEastAsia"/>
          <w:color w:val="auto"/>
          <w:sz w:val="21"/>
          <w:szCs w:val="21"/>
          <w:highlight w:val="none"/>
        </w:rPr>
        <w:t>以下方式</w:t>
      </w:r>
      <w:r>
        <w:rPr>
          <w:rFonts w:hint="eastAsia" w:asciiTheme="minorEastAsia" w:hAnsiTheme="minorEastAsia" w:eastAsiaTheme="minorEastAsia"/>
          <w:color w:val="auto"/>
          <w:sz w:val="21"/>
          <w:szCs w:val="21"/>
          <w:highlight w:val="none"/>
        </w:rPr>
        <w:t>联系</w:t>
      </w:r>
      <w:bookmarkEnd w:id="28"/>
      <w:bookmarkEnd w:id="29"/>
      <w:bookmarkEnd w:id="30"/>
      <w:bookmarkEnd w:id="31"/>
    </w:p>
    <w:p w14:paraId="63B47D20">
      <w:pPr>
        <w:snapToGrid w:val="0"/>
        <w:spacing w:line="360" w:lineRule="auto"/>
        <w:ind w:firstLine="411" w:firstLineChars="196"/>
        <w:rPr>
          <w:rFonts w:cs="宋体" w:asciiTheme="minorEastAsia" w:hAnsiTheme="minorEastAsia" w:eastAsiaTheme="minorEastAsia"/>
          <w:color w:val="auto"/>
          <w:szCs w:val="21"/>
          <w:highlight w:val="none"/>
        </w:rPr>
      </w:pPr>
      <w:bookmarkStart w:id="32" w:name="_Toc35393806"/>
      <w:bookmarkStart w:id="33" w:name="_Toc28359096"/>
      <w:bookmarkStart w:id="34" w:name="_Toc28359019"/>
      <w:bookmarkStart w:id="35" w:name="_Toc35393637"/>
      <w:r>
        <w:rPr>
          <w:rFonts w:hint="eastAsia" w:cs="宋体" w:asciiTheme="minorEastAsia" w:hAnsiTheme="minorEastAsia" w:eastAsiaTheme="minorEastAsia"/>
          <w:color w:val="auto"/>
          <w:szCs w:val="21"/>
          <w:highlight w:val="none"/>
        </w:rPr>
        <w:t>1.采购人信息</w:t>
      </w:r>
      <w:bookmarkEnd w:id="32"/>
      <w:bookmarkEnd w:id="33"/>
      <w:bookmarkEnd w:id="34"/>
      <w:bookmarkEnd w:id="35"/>
    </w:p>
    <w:p w14:paraId="00A7F899">
      <w:pPr>
        <w:snapToGrid w:val="0"/>
        <w:spacing w:line="360" w:lineRule="auto"/>
        <w:ind w:firstLine="411" w:firstLineChars="196"/>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名称：</w:t>
      </w:r>
      <w:r>
        <w:rPr>
          <w:rFonts w:hint="eastAsia" w:cs="宋体" w:asciiTheme="minorEastAsia" w:hAnsiTheme="minorEastAsia" w:eastAsiaTheme="minorEastAsia"/>
          <w:color w:val="auto"/>
          <w:szCs w:val="21"/>
          <w:highlight w:val="none"/>
          <w:lang w:eastAsia="zh-CN"/>
        </w:rPr>
        <w:t>宁波老年大学管理中心</w:t>
      </w:r>
    </w:p>
    <w:p w14:paraId="7F8EDDC4">
      <w:pPr>
        <w:snapToGrid w:val="0"/>
        <w:spacing w:line="360" w:lineRule="auto"/>
        <w:ind w:firstLine="411" w:firstLineChars="196"/>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地址：</w:t>
      </w:r>
      <w:bookmarkStart w:id="36" w:name="_Toc35393807"/>
      <w:bookmarkStart w:id="37" w:name="_Toc28359097"/>
      <w:bookmarkStart w:id="38" w:name="_Toc28359020"/>
      <w:bookmarkStart w:id="39" w:name="_Toc35393638"/>
      <w:r>
        <w:rPr>
          <w:rFonts w:hint="eastAsia" w:cs="宋体" w:asciiTheme="minorEastAsia" w:hAnsiTheme="minorEastAsia" w:eastAsiaTheme="minorEastAsia"/>
          <w:color w:val="auto"/>
          <w:szCs w:val="21"/>
          <w:highlight w:val="none"/>
          <w:lang w:eastAsia="zh-CN"/>
        </w:rPr>
        <w:t>浙江省宁波市海曙区广济街56号</w:t>
      </w:r>
    </w:p>
    <w:p w14:paraId="7ADBBF63">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传真：/</w:t>
      </w:r>
    </w:p>
    <w:p w14:paraId="22833A09">
      <w:pPr>
        <w:snapToGrid w:val="0"/>
        <w:spacing w:line="360" w:lineRule="auto"/>
        <w:ind w:firstLine="411" w:firstLineChars="196"/>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项目联系人（询问）：</w:t>
      </w:r>
      <w:r>
        <w:rPr>
          <w:rFonts w:hint="eastAsia" w:cs="宋体" w:asciiTheme="minorEastAsia" w:hAnsiTheme="minorEastAsia" w:eastAsiaTheme="minorEastAsia"/>
          <w:color w:val="auto"/>
          <w:szCs w:val="21"/>
          <w:highlight w:val="none"/>
          <w:lang w:val="en-US" w:eastAsia="zh-CN"/>
        </w:rPr>
        <w:t>徐老师</w:t>
      </w:r>
    </w:p>
    <w:p w14:paraId="40517D31">
      <w:pPr>
        <w:snapToGrid w:val="0"/>
        <w:spacing w:line="360" w:lineRule="auto"/>
        <w:ind w:firstLine="411" w:firstLineChars="196"/>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项目联系方式（询问）：</w:t>
      </w:r>
      <w:r>
        <w:rPr>
          <w:rFonts w:hint="eastAsia" w:cs="宋体" w:asciiTheme="majorEastAsia" w:hAnsiTheme="majorEastAsia" w:eastAsiaTheme="majorEastAsia"/>
          <w:color w:val="auto"/>
          <w:highlight w:val="none"/>
          <w:lang w:eastAsia="zh-CN"/>
        </w:rPr>
        <w:t>0574-56196632</w:t>
      </w:r>
    </w:p>
    <w:p w14:paraId="5CBAFBDE">
      <w:pPr>
        <w:snapToGrid w:val="0"/>
        <w:spacing w:line="360" w:lineRule="auto"/>
        <w:ind w:firstLine="411" w:firstLineChars="196"/>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质疑联系人：</w:t>
      </w:r>
      <w:r>
        <w:rPr>
          <w:rFonts w:hint="eastAsia" w:cs="宋体" w:asciiTheme="minorEastAsia" w:hAnsiTheme="minorEastAsia" w:eastAsiaTheme="minorEastAsia"/>
          <w:color w:val="auto"/>
          <w:szCs w:val="21"/>
          <w:highlight w:val="none"/>
          <w:lang w:val="en-US" w:eastAsia="zh-CN"/>
        </w:rPr>
        <w:t>葛</w:t>
      </w:r>
      <w:r>
        <w:rPr>
          <w:rFonts w:hint="eastAsia" w:cs="宋体" w:asciiTheme="majorEastAsia" w:hAnsiTheme="majorEastAsia" w:eastAsiaTheme="majorEastAsia"/>
          <w:color w:val="auto"/>
          <w:highlight w:val="none"/>
          <w:lang w:eastAsia="zh-CN"/>
        </w:rPr>
        <w:t>老师</w:t>
      </w:r>
    </w:p>
    <w:p w14:paraId="6C89CD04">
      <w:pPr>
        <w:snapToGrid w:val="0"/>
        <w:spacing w:line="360" w:lineRule="auto"/>
        <w:ind w:firstLine="411" w:firstLineChars="196"/>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质疑联系方式：0574-55332969</w:t>
      </w:r>
    </w:p>
    <w:p w14:paraId="2DDFEFE8">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2.采购代理机构信息</w:t>
      </w:r>
      <w:bookmarkEnd w:id="36"/>
      <w:bookmarkEnd w:id="37"/>
      <w:bookmarkEnd w:id="38"/>
      <w:bookmarkEnd w:id="39"/>
    </w:p>
    <w:p w14:paraId="22566D0D">
      <w:pPr>
        <w:snapToGrid w:val="0"/>
        <w:spacing w:line="360" w:lineRule="auto"/>
        <w:ind w:firstLine="411" w:firstLineChars="196"/>
        <w:rPr>
          <w:rFonts w:hint="eastAsia" w:cs="宋体" w:asciiTheme="minorEastAsia" w:hAnsiTheme="minorEastAsia" w:eastAsiaTheme="minorEastAsia"/>
          <w:color w:val="auto"/>
          <w:szCs w:val="21"/>
          <w:highlight w:val="none"/>
          <w:lang w:eastAsia="zh-CN"/>
        </w:rPr>
      </w:pPr>
      <w:bookmarkStart w:id="40" w:name="_Toc28359021"/>
      <w:bookmarkStart w:id="41" w:name="_Toc35393639"/>
      <w:bookmarkStart w:id="42" w:name="_Toc28359098"/>
      <w:bookmarkStart w:id="43" w:name="_Toc35393808"/>
      <w:r>
        <w:rPr>
          <w:rFonts w:hint="eastAsia" w:cs="宋体" w:asciiTheme="minorEastAsia" w:hAnsiTheme="minorEastAsia" w:eastAsiaTheme="minorEastAsia"/>
          <w:color w:val="auto"/>
          <w:szCs w:val="21"/>
          <w:highlight w:val="none"/>
        </w:rPr>
        <w:t>名称：</w:t>
      </w:r>
      <w:r>
        <w:rPr>
          <w:rFonts w:hint="eastAsia" w:cs="宋体" w:asciiTheme="minorEastAsia" w:hAnsiTheme="minorEastAsia" w:eastAsiaTheme="minorEastAsia"/>
          <w:color w:val="auto"/>
          <w:szCs w:val="21"/>
          <w:highlight w:val="none"/>
          <w:lang w:eastAsia="zh-CN"/>
        </w:rPr>
        <w:t>浙江万里工程咨询集团有限公司</w:t>
      </w:r>
    </w:p>
    <w:p w14:paraId="7EDE68D6">
      <w:pPr>
        <w:snapToGrid w:val="0"/>
        <w:spacing w:line="360" w:lineRule="auto"/>
        <w:ind w:firstLine="411" w:firstLineChars="196"/>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地址：</w:t>
      </w:r>
      <w:r>
        <w:rPr>
          <w:rFonts w:hint="eastAsia" w:cs="宋体" w:asciiTheme="minorEastAsia" w:hAnsiTheme="minorEastAsia" w:eastAsiaTheme="minorEastAsia"/>
          <w:color w:val="auto"/>
          <w:szCs w:val="21"/>
          <w:highlight w:val="none"/>
          <w:lang w:eastAsia="zh-CN"/>
        </w:rPr>
        <w:t>浙江省宁波市高新区宝龙广场1幢12B楼</w:t>
      </w:r>
    </w:p>
    <w:p w14:paraId="4835EB31">
      <w:pPr>
        <w:snapToGrid w:val="0"/>
        <w:spacing w:line="360" w:lineRule="auto"/>
        <w:ind w:firstLine="411" w:firstLineChars="196"/>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项目联系人（询问）：</w:t>
      </w:r>
      <w:r>
        <w:rPr>
          <w:rFonts w:hint="eastAsia" w:cs="宋体" w:asciiTheme="minorEastAsia" w:hAnsiTheme="minorEastAsia" w:eastAsiaTheme="minorEastAsia"/>
          <w:color w:val="auto"/>
          <w:szCs w:val="21"/>
          <w:highlight w:val="none"/>
          <w:lang w:eastAsia="zh-CN"/>
        </w:rPr>
        <w:t>范丁辉</w:t>
      </w:r>
    </w:p>
    <w:p w14:paraId="32B0587E">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项目联系方式（询问）：</w:t>
      </w:r>
      <w:r>
        <w:rPr>
          <w:rFonts w:hint="eastAsia" w:cs="宋体" w:asciiTheme="minorEastAsia" w:hAnsiTheme="minorEastAsia" w:eastAsiaTheme="minorEastAsia"/>
          <w:color w:val="auto"/>
          <w:szCs w:val="21"/>
          <w:highlight w:val="none"/>
          <w:lang w:eastAsia="zh-CN"/>
        </w:rPr>
        <w:t>0574-87020872</w:t>
      </w:r>
      <w:r>
        <w:rPr>
          <w:rFonts w:cs="宋体" w:asciiTheme="minorEastAsia" w:hAnsiTheme="minorEastAsia" w:eastAsiaTheme="minorEastAsia"/>
          <w:color w:val="auto"/>
          <w:szCs w:val="21"/>
          <w:highlight w:val="none"/>
        </w:rPr>
        <w:t> </w:t>
      </w:r>
    </w:p>
    <w:p w14:paraId="7157FFF2">
      <w:pPr>
        <w:snapToGrid w:val="0"/>
        <w:spacing w:line="360" w:lineRule="auto"/>
        <w:ind w:firstLine="411" w:firstLineChars="196"/>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质疑联系人：</w:t>
      </w:r>
      <w:r>
        <w:rPr>
          <w:rFonts w:hint="eastAsia" w:cs="宋体" w:asciiTheme="minorEastAsia" w:hAnsiTheme="minorEastAsia" w:eastAsiaTheme="minorEastAsia"/>
          <w:color w:val="auto"/>
          <w:szCs w:val="21"/>
          <w:highlight w:val="none"/>
          <w:lang w:eastAsia="zh-CN"/>
        </w:rPr>
        <w:t>陈科</w:t>
      </w:r>
    </w:p>
    <w:p w14:paraId="4B6AFC3F">
      <w:pPr>
        <w:snapToGrid w:val="0"/>
        <w:spacing w:line="360" w:lineRule="auto"/>
        <w:ind w:firstLine="411" w:firstLineChars="196"/>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质疑联系方式：</w:t>
      </w:r>
      <w:r>
        <w:rPr>
          <w:rFonts w:hint="eastAsia" w:cs="宋体" w:asciiTheme="minorEastAsia" w:hAnsiTheme="minorEastAsia" w:eastAsiaTheme="minorEastAsia"/>
          <w:color w:val="auto"/>
          <w:szCs w:val="21"/>
          <w:highlight w:val="none"/>
          <w:lang w:eastAsia="zh-CN"/>
        </w:rPr>
        <w:t>0574—87020872</w:t>
      </w:r>
    </w:p>
    <w:bookmarkEnd w:id="40"/>
    <w:bookmarkEnd w:id="41"/>
    <w:bookmarkEnd w:id="42"/>
    <w:bookmarkEnd w:id="43"/>
    <w:p w14:paraId="384ACBC4">
      <w:pPr>
        <w:snapToGrid w:val="0"/>
        <w:spacing w:line="360" w:lineRule="auto"/>
        <w:ind w:firstLine="411" w:firstLineChars="196"/>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3.同级政府采购监督管理部门</w:t>
      </w:r>
    </w:p>
    <w:p w14:paraId="43E2346E">
      <w:pPr>
        <w:snapToGrid w:val="0"/>
        <w:spacing w:line="360" w:lineRule="auto"/>
        <w:ind w:firstLine="411" w:firstLineChars="196"/>
        <w:rPr>
          <w:rFonts w:hint="eastAsia" w:cs="宋体" w:asciiTheme="minorEastAsia" w:hAnsiTheme="minorEastAsia" w:eastAsiaTheme="minorEastAsia"/>
          <w:color w:val="auto"/>
          <w:szCs w:val="21"/>
          <w:highlight w:val="none"/>
          <w:lang w:eastAsia="zh-CN"/>
        </w:rPr>
      </w:pPr>
      <w:r>
        <w:rPr>
          <w:rFonts w:cs="宋体" w:asciiTheme="minorEastAsia" w:hAnsiTheme="minorEastAsia" w:eastAsiaTheme="minorEastAsia"/>
          <w:color w:val="auto"/>
          <w:szCs w:val="21"/>
          <w:highlight w:val="none"/>
        </w:rPr>
        <w:t>名称：</w:t>
      </w:r>
      <w:r>
        <w:rPr>
          <w:rFonts w:hint="eastAsia" w:cs="宋体" w:asciiTheme="minorEastAsia" w:hAnsiTheme="minorEastAsia" w:eastAsiaTheme="minorEastAsia"/>
          <w:color w:val="auto"/>
          <w:szCs w:val="21"/>
          <w:highlight w:val="none"/>
          <w:lang w:eastAsia="zh-CN"/>
        </w:rPr>
        <w:t>宁波市财政局政府采购监管处</w:t>
      </w:r>
    </w:p>
    <w:p w14:paraId="232B01BB">
      <w:pPr>
        <w:snapToGrid w:val="0"/>
        <w:spacing w:line="360" w:lineRule="auto"/>
        <w:ind w:firstLine="411" w:firstLineChars="196"/>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地址：宁波市海曙区中山西路19号</w:t>
      </w:r>
    </w:p>
    <w:p w14:paraId="4DAB3F59">
      <w:pPr>
        <w:snapToGrid w:val="0"/>
        <w:spacing w:line="360" w:lineRule="auto"/>
        <w:ind w:firstLine="411" w:firstLineChars="196"/>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传真：/</w:t>
      </w:r>
    </w:p>
    <w:p w14:paraId="2B27E211">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联系人：</w:t>
      </w:r>
      <w:r>
        <w:rPr>
          <w:rFonts w:hint="eastAsia" w:ascii="宋体" w:hAnsi="宋体"/>
          <w:color w:val="auto"/>
          <w:szCs w:val="21"/>
          <w:highlight w:val="none"/>
        </w:rPr>
        <w:t>李</w:t>
      </w:r>
      <w:r>
        <w:rPr>
          <w:rFonts w:ascii="宋体" w:hAnsi="宋体"/>
          <w:color w:val="auto"/>
          <w:szCs w:val="21"/>
          <w:highlight w:val="none"/>
        </w:rPr>
        <w:t>老师</w:t>
      </w:r>
    </w:p>
    <w:p w14:paraId="59FBAE59">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监督投诉电话：0574-89388042</w:t>
      </w:r>
    </w:p>
    <w:p w14:paraId="028AA95D">
      <w:pPr>
        <w:snapToGrid w:val="0"/>
        <w:spacing w:line="360" w:lineRule="auto"/>
        <w:ind w:firstLine="411" w:firstLineChars="196"/>
        <w:rPr>
          <w:rFonts w:cs="宋体" w:asciiTheme="minorEastAsia" w:hAnsiTheme="minorEastAsia" w:eastAsiaTheme="minorEastAsia"/>
          <w:color w:val="auto"/>
          <w:szCs w:val="21"/>
          <w:highlight w:val="none"/>
        </w:rPr>
      </w:pPr>
    </w:p>
    <w:p w14:paraId="53EAB139">
      <w:pPr>
        <w:snapToGrid w:val="0"/>
        <w:spacing w:line="360" w:lineRule="auto"/>
        <w:ind w:firstLine="411" w:firstLineChars="196"/>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517676C0">
      <w:pPr>
        <w:snapToGrid w:val="0"/>
        <w:spacing w:line="360" w:lineRule="auto"/>
        <w:ind w:firstLine="411" w:firstLineChars="196"/>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CA问题联系电话（人工）：汇信CA 400-888-4636；天谷CA 400-087-8198。</w:t>
      </w:r>
    </w:p>
    <w:p w14:paraId="2548FC94">
      <w:pPr>
        <w:widowControl/>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14:paraId="12D37268">
      <w:pPr>
        <w:pStyle w:val="2"/>
        <w:rPr>
          <w:rFonts w:asciiTheme="minorEastAsia" w:hAnsiTheme="minorEastAsia" w:eastAsiaTheme="minorEastAsia"/>
          <w:color w:val="auto"/>
          <w:sz w:val="32"/>
          <w:highlight w:val="none"/>
        </w:rPr>
      </w:pPr>
      <w:bookmarkStart w:id="44" w:name="_Toc86053872"/>
      <w:bookmarkStart w:id="45" w:name="_Toc34844742"/>
      <w:r>
        <w:rPr>
          <w:rFonts w:hint="eastAsia" w:asciiTheme="minorEastAsia" w:hAnsiTheme="minorEastAsia" w:eastAsiaTheme="minorEastAsia"/>
          <w:color w:val="auto"/>
          <w:highlight w:val="none"/>
        </w:rPr>
        <w:t>第二章  采购需求</w:t>
      </w:r>
      <w:bookmarkEnd w:id="44"/>
      <w:bookmarkEnd w:id="45"/>
    </w:p>
    <w:p w14:paraId="0EAA5817">
      <w:pPr>
        <w:wordWrap w:val="0"/>
        <w:spacing w:line="360" w:lineRule="auto"/>
        <w:rPr>
          <w:rFonts w:ascii="宋体" w:hAnsi="宋体" w:cs="宋体"/>
          <w:color w:val="auto"/>
          <w:highlight w:val="none"/>
        </w:rPr>
      </w:pPr>
    </w:p>
    <w:p w14:paraId="43B4130D">
      <w:pPr>
        <w:wordWrap w:val="0"/>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一、项目要求</w:t>
      </w:r>
    </w:p>
    <w:tbl>
      <w:tblPr>
        <w:tblStyle w:val="51"/>
        <w:tblW w:w="896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920"/>
        <w:gridCol w:w="7042"/>
      </w:tblGrid>
      <w:tr w14:paraId="3CF9362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675" w:hRule="atLeast"/>
          <w:jc w:val="center"/>
        </w:trPr>
        <w:tc>
          <w:tcPr>
            <w:tcW w:w="1920" w:type="dxa"/>
            <w:tcBorders>
              <w:bottom w:val="single" w:color="auto" w:sz="12" w:space="0"/>
              <w:right w:val="single" w:color="auto" w:sz="12" w:space="0"/>
            </w:tcBorders>
            <w:noWrap w:val="0"/>
            <w:vAlign w:val="center"/>
          </w:tcPr>
          <w:p w14:paraId="562D26F7">
            <w:pPr>
              <w:wordWrap w:val="0"/>
              <w:spacing w:line="360" w:lineRule="auto"/>
              <w:jc w:val="center"/>
              <w:rPr>
                <w:rFonts w:ascii="宋体" w:hAnsi="宋体" w:cs="宋体"/>
                <w:color w:val="auto"/>
                <w:szCs w:val="21"/>
                <w:highlight w:val="none"/>
              </w:rPr>
            </w:pPr>
            <w:bookmarkStart w:id="46" w:name="_Toc498589598"/>
            <w:r>
              <w:rPr>
                <w:rFonts w:hint="eastAsia" w:ascii="宋体" w:hAnsi="宋体" w:cs="宋体"/>
                <w:color w:val="auto"/>
                <w:szCs w:val="21"/>
                <w:highlight w:val="none"/>
              </w:rPr>
              <w:t>采购范围</w:t>
            </w:r>
            <w:bookmarkEnd w:id="46"/>
          </w:p>
        </w:tc>
        <w:tc>
          <w:tcPr>
            <w:tcW w:w="7042" w:type="dxa"/>
            <w:tcBorders>
              <w:left w:val="single" w:color="auto" w:sz="12" w:space="0"/>
              <w:bottom w:val="single" w:color="auto" w:sz="12" w:space="0"/>
            </w:tcBorders>
            <w:noWrap w:val="0"/>
            <w:vAlign w:val="center"/>
          </w:tcPr>
          <w:p w14:paraId="3FC538EF">
            <w:pPr>
              <w:wordWrap w:val="0"/>
              <w:spacing w:line="360" w:lineRule="auto"/>
              <w:jc w:val="left"/>
              <w:rPr>
                <w:rFonts w:ascii="宋体" w:hAnsi="宋体" w:cs="宋体"/>
                <w:color w:val="auto"/>
                <w:szCs w:val="21"/>
                <w:highlight w:val="none"/>
              </w:rPr>
            </w:pPr>
            <w:r>
              <w:rPr>
                <w:rFonts w:hint="eastAsia" w:asciiTheme="minorEastAsia" w:hAnsiTheme="minorEastAsia" w:eastAsiaTheme="minorEastAsia"/>
                <w:color w:val="auto"/>
                <w:szCs w:val="21"/>
                <w:highlight w:val="none"/>
                <w:lang w:eastAsia="zh-CN"/>
              </w:rPr>
              <w:t>宁波老年大学整体修缮工程；详见工程量清单（招标控制价编制报告）及图纸</w:t>
            </w:r>
            <w:r>
              <w:rPr>
                <w:rFonts w:hint="eastAsia" w:asciiTheme="minorEastAsia" w:hAnsiTheme="minorEastAsia" w:eastAsiaTheme="minorEastAsia"/>
                <w:color w:val="auto"/>
                <w:szCs w:val="21"/>
                <w:highlight w:val="none"/>
              </w:rPr>
              <w:t>。</w:t>
            </w:r>
          </w:p>
        </w:tc>
      </w:tr>
      <w:tr w14:paraId="1AD376A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920" w:type="dxa"/>
            <w:tcBorders>
              <w:top w:val="single" w:color="auto" w:sz="12" w:space="0"/>
              <w:bottom w:val="single" w:color="auto" w:sz="12" w:space="0"/>
              <w:right w:val="single" w:color="auto" w:sz="12" w:space="0"/>
            </w:tcBorders>
            <w:noWrap w:val="0"/>
            <w:vAlign w:val="center"/>
          </w:tcPr>
          <w:p w14:paraId="3E6D89EF">
            <w:pPr>
              <w:wordWrap w:val="0"/>
              <w:spacing w:line="360" w:lineRule="auto"/>
              <w:jc w:val="center"/>
              <w:rPr>
                <w:rFonts w:ascii="宋体" w:hAnsi="宋体" w:cs="宋体"/>
                <w:color w:val="auto"/>
                <w:szCs w:val="21"/>
                <w:highlight w:val="none"/>
              </w:rPr>
            </w:pPr>
            <w:bookmarkStart w:id="47" w:name="_Toc498589600"/>
            <w:r>
              <w:rPr>
                <w:rFonts w:hint="eastAsia" w:ascii="宋体" w:hAnsi="宋体" w:cs="宋体"/>
                <w:color w:val="auto"/>
                <w:szCs w:val="21"/>
                <w:highlight w:val="none"/>
              </w:rPr>
              <w:t>最高限价</w:t>
            </w:r>
            <w:bookmarkEnd w:id="47"/>
          </w:p>
        </w:tc>
        <w:tc>
          <w:tcPr>
            <w:tcW w:w="7042" w:type="dxa"/>
            <w:tcBorders>
              <w:top w:val="single" w:color="auto" w:sz="12" w:space="0"/>
              <w:left w:val="single" w:color="auto" w:sz="12" w:space="0"/>
              <w:bottom w:val="single" w:color="auto" w:sz="12" w:space="0"/>
            </w:tcBorders>
            <w:noWrap w:val="0"/>
            <w:vAlign w:val="center"/>
          </w:tcPr>
          <w:p w14:paraId="063CCD6F">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人民币</w:t>
            </w:r>
            <w:bookmarkStart w:id="48" w:name="_Toc498589601"/>
            <w:r>
              <w:rPr>
                <w:rFonts w:hint="eastAsia" w:ascii="宋体" w:hAnsi="宋体" w:cs="宋体"/>
                <w:color w:val="auto"/>
                <w:szCs w:val="21"/>
                <w:highlight w:val="none"/>
                <w:lang w:val="en-US" w:eastAsia="zh-CN"/>
              </w:rPr>
              <w:t>3292148</w:t>
            </w:r>
            <w:r>
              <w:rPr>
                <w:rFonts w:hint="eastAsia" w:ascii="宋体" w:hAnsi="宋体" w:cs="宋体"/>
                <w:color w:val="auto"/>
                <w:szCs w:val="21"/>
                <w:highlight w:val="none"/>
              </w:rPr>
              <w:t>元。</w:t>
            </w:r>
            <w:bookmarkEnd w:id="48"/>
          </w:p>
        </w:tc>
      </w:tr>
      <w:tr w14:paraId="2D9F08E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920" w:type="dxa"/>
            <w:tcBorders>
              <w:top w:val="single" w:color="auto" w:sz="12" w:space="0"/>
              <w:right w:val="single" w:color="auto" w:sz="12" w:space="0"/>
            </w:tcBorders>
            <w:noWrap w:val="0"/>
            <w:vAlign w:val="center"/>
          </w:tcPr>
          <w:p w14:paraId="6BFD7E89">
            <w:pPr>
              <w:wordWrap w:val="0"/>
              <w:spacing w:line="360" w:lineRule="auto"/>
              <w:jc w:val="center"/>
              <w:rPr>
                <w:rFonts w:ascii="宋体" w:hAnsi="宋体" w:cs="宋体"/>
                <w:color w:val="auto"/>
                <w:szCs w:val="21"/>
                <w:highlight w:val="none"/>
              </w:rPr>
            </w:pPr>
            <w:bookmarkStart w:id="49" w:name="_Toc498589602"/>
            <w:r>
              <w:rPr>
                <w:rFonts w:hint="eastAsia" w:ascii="宋体" w:hAnsi="宋体" w:cs="宋体"/>
                <w:color w:val="auto"/>
                <w:szCs w:val="21"/>
                <w:highlight w:val="none"/>
              </w:rPr>
              <w:t>推荐成交</w:t>
            </w:r>
            <w:bookmarkEnd w:id="49"/>
            <w:r>
              <w:rPr>
                <w:rFonts w:hint="eastAsia" w:ascii="宋体" w:hAnsi="宋体" w:cs="宋体"/>
                <w:color w:val="auto"/>
                <w:szCs w:val="21"/>
                <w:highlight w:val="none"/>
              </w:rPr>
              <w:t>候选人</w:t>
            </w:r>
          </w:p>
        </w:tc>
        <w:tc>
          <w:tcPr>
            <w:tcW w:w="7042" w:type="dxa"/>
            <w:tcBorders>
              <w:top w:val="single" w:color="auto" w:sz="12" w:space="0"/>
              <w:left w:val="single" w:color="auto" w:sz="12" w:space="0"/>
            </w:tcBorders>
            <w:noWrap w:val="0"/>
            <w:vAlign w:val="center"/>
          </w:tcPr>
          <w:p w14:paraId="6E747EB1">
            <w:pPr>
              <w:wordWrap w:val="0"/>
              <w:spacing w:line="360" w:lineRule="auto"/>
              <w:jc w:val="left"/>
              <w:rPr>
                <w:rFonts w:ascii="宋体" w:hAnsi="宋体" w:cs="宋体"/>
                <w:color w:val="auto"/>
                <w:szCs w:val="21"/>
                <w:highlight w:val="none"/>
              </w:rPr>
            </w:pPr>
            <w:bookmarkStart w:id="50" w:name="_Toc498589603"/>
            <w:r>
              <w:rPr>
                <w:rFonts w:hint="eastAsia" w:ascii="宋体" w:hAnsi="宋体" w:cs="宋体"/>
                <w:color w:val="auto"/>
                <w:szCs w:val="21"/>
                <w:highlight w:val="none"/>
              </w:rPr>
              <w:t>3家</w:t>
            </w:r>
            <w:bookmarkEnd w:id="50"/>
          </w:p>
        </w:tc>
      </w:tr>
    </w:tbl>
    <w:p w14:paraId="255A6E05">
      <w:pPr>
        <w:pStyle w:val="2"/>
        <w:spacing w:line="360" w:lineRule="auto"/>
        <w:jc w:val="left"/>
        <w:rPr>
          <w:rFonts w:hint="eastAsia" w:hAnsi="宋体" w:cs="宋体"/>
          <w:color w:val="auto"/>
          <w:szCs w:val="21"/>
          <w:highlight w:val="none"/>
        </w:rPr>
      </w:pPr>
      <w:bookmarkStart w:id="51" w:name="_Toc460416593"/>
      <w:bookmarkStart w:id="52" w:name="_Toc460857893"/>
      <w:bookmarkStart w:id="53" w:name="_Toc460416338"/>
      <w:bookmarkStart w:id="54" w:name="_Toc460416642"/>
      <w:bookmarkStart w:id="55" w:name="_Toc69811497"/>
      <w:r>
        <w:rPr>
          <w:rFonts w:hint="eastAsia" w:hAnsi="宋体" w:cs="宋体"/>
          <w:color w:val="auto"/>
          <w:sz w:val="21"/>
          <w:szCs w:val="21"/>
          <w:highlight w:val="none"/>
        </w:rPr>
        <w:t>二、</w:t>
      </w:r>
      <w:r>
        <w:rPr>
          <w:rFonts w:hint="eastAsia" w:hAnsi="宋体" w:cs="宋体"/>
          <w:bCs w:val="0"/>
          <w:color w:val="auto"/>
          <w:sz w:val="24"/>
          <w:szCs w:val="24"/>
          <w:highlight w:val="none"/>
        </w:rPr>
        <w:t>商务</w:t>
      </w:r>
      <w:bookmarkEnd w:id="51"/>
      <w:bookmarkEnd w:id="52"/>
      <w:bookmarkEnd w:id="53"/>
      <w:bookmarkEnd w:id="54"/>
      <w:r>
        <w:rPr>
          <w:rFonts w:hint="eastAsia" w:hAnsi="宋体" w:cs="宋体"/>
          <w:bCs w:val="0"/>
          <w:color w:val="auto"/>
          <w:sz w:val="24"/>
          <w:szCs w:val="24"/>
          <w:highlight w:val="none"/>
        </w:rPr>
        <w:t>需求（技术需求里另有注明的以技术需求为准）</w:t>
      </w:r>
      <w:bookmarkEnd w:id="55"/>
    </w:p>
    <w:tbl>
      <w:tblPr>
        <w:tblStyle w:val="51"/>
        <w:tblW w:w="887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6947"/>
      </w:tblGrid>
      <w:tr w14:paraId="2E6E8B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blHeader/>
        </w:trPr>
        <w:tc>
          <w:tcPr>
            <w:tcW w:w="1930" w:type="dxa"/>
            <w:noWrap w:val="0"/>
            <w:vAlign w:val="center"/>
          </w:tcPr>
          <w:p w14:paraId="7F1AD704">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项目</w:t>
            </w:r>
          </w:p>
        </w:tc>
        <w:tc>
          <w:tcPr>
            <w:tcW w:w="6947" w:type="dxa"/>
            <w:noWrap w:val="0"/>
            <w:vAlign w:val="center"/>
          </w:tcPr>
          <w:p w14:paraId="031DCDC1">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采购商务要求</w:t>
            </w:r>
          </w:p>
        </w:tc>
      </w:tr>
      <w:tr w14:paraId="6B9A3F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30" w:type="dxa"/>
            <w:noWrap w:val="0"/>
            <w:vAlign w:val="center"/>
          </w:tcPr>
          <w:p w14:paraId="348BBF8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响应报价</w:t>
            </w:r>
          </w:p>
        </w:tc>
        <w:tc>
          <w:tcPr>
            <w:tcW w:w="6947" w:type="dxa"/>
            <w:noWrap w:val="0"/>
            <w:vAlign w:val="center"/>
          </w:tcPr>
          <w:p w14:paraId="5BE98FE9">
            <w:pPr>
              <w:wordWrap w:val="0"/>
              <w:spacing w:line="276" w:lineRule="auto"/>
              <w:rPr>
                <w:rFonts w:ascii="宋体" w:hAnsi="宋体" w:cs="宋体"/>
                <w:color w:val="auto"/>
                <w:szCs w:val="21"/>
                <w:highlight w:val="none"/>
              </w:rPr>
            </w:pPr>
            <w:r>
              <w:rPr>
                <w:rFonts w:hint="eastAsia" w:ascii="宋体" w:hAnsi="宋体" w:cs="宋体"/>
                <w:color w:val="auto"/>
                <w:szCs w:val="21"/>
                <w:highlight w:val="none"/>
              </w:rPr>
              <w:t>最高限价：</w:t>
            </w:r>
            <w:r>
              <w:rPr>
                <w:rFonts w:hint="eastAsia" w:ascii="宋体" w:hAnsi="宋体" w:cs="宋体"/>
                <w:color w:val="auto"/>
                <w:szCs w:val="21"/>
                <w:highlight w:val="none"/>
                <w:lang w:val="en-US" w:eastAsia="zh-CN"/>
              </w:rPr>
              <w:t>3292148</w:t>
            </w:r>
            <w:r>
              <w:rPr>
                <w:rFonts w:hint="eastAsia" w:ascii="宋体" w:hAnsi="宋体" w:cs="宋体"/>
                <w:color w:val="auto"/>
                <w:szCs w:val="21"/>
                <w:highlight w:val="none"/>
              </w:rPr>
              <w:t>元人民币（含税价，下同）；</w:t>
            </w:r>
          </w:p>
          <w:p w14:paraId="6D57C683">
            <w:pPr>
              <w:wordWrap w:val="0"/>
              <w:spacing w:line="276" w:lineRule="auto"/>
              <w:rPr>
                <w:rFonts w:ascii="宋体" w:hAnsi="宋体" w:cs="宋体"/>
                <w:b/>
                <w:bCs/>
                <w:color w:val="auto"/>
                <w:szCs w:val="21"/>
                <w:highlight w:val="none"/>
                <w:u w:val="single"/>
              </w:rPr>
            </w:pPr>
            <w:r>
              <w:rPr>
                <w:rFonts w:hint="eastAsia" w:ascii="宋体" w:hAnsi="宋体" w:cs="宋体"/>
                <w:b/>
                <w:color w:val="auto"/>
                <w:szCs w:val="21"/>
                <w:highlight w:val="none"/>
                <w:u w:val="single"/>
              </w:rPr>
              <w:t>采购报价应包括</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eastAsia="zh-CN"/>
              </w:rPr>
              <w:t>宁波老年大学整体修缮工程</w:t>
            </w:r>
            <w:r>
              <w:rPr>
                <w:rFonts w:hint="eastAsia" w:ascii="宋体" w:hAnsi="宋体" w:cs="宋体"/>
                <w:b/>
                <w:bCs/>
                <w:color w:val="auto"/>
                <w:szCs w:val="21"/>
                <w:highlight w:val="none"/>
                <w:u w:val="single"/>
              </w:rPr>
              <w:t>所有采购内容的费用。详见工程量清单（招标控制价编制报告）及图纸。</w:t>
            </w:r>
          </w:p>
          <w:p w14:paraId="1BF9C67E">
            <w:pPr>
              <w:wordWrap w:val="0"/>
              <w:spacing w:line="276" w:lineRule="auto"/>
              <w:rPr>
                <w:rFonts w:ascii="宋体" w:hAnsi="宋体" w:cs="宋体"/>
                <w:color w:val="auto"/>
                <w:szCs w:val="21"/>
                <w:highlight w:val="none"/>
              </w:rPr>
            </w:pPr>
            <w:r>
              <w:rPr>
                <w:rFonts w:hint="eastAsia" w:ascii="宋体" w:hAnsi="宋体" w:cs="宋体"/>
                <w:color w:val="auto"/>
                <w:szCs w:val="21"/>
                <w:highlight w:val="none"/>
              </w:rPr>
              <w:t>凡影响响应报价的所有相关费用应列入本次报价中。成交后，不得以不完全了解竞争性磋商采购文件、施工图纸、施工现场、周围环境、施工工序等情况为借口，而提出额外补偿或延长工期等的要求。如漏报，最终所发生的费用均由成交（中标）供应商承担，采购人一律不予承担。</w:t>
            </w:r>
          </w:p>
          <w:p w14:paraId="46523BAF">
            <w:pPr>
              <w:wordWrap w:val="0"/>
              <w:spacing w:line="276" w:lineRule="auto"/>
              <w:rPr>
                <w:rFonts w:ascii="宋体" w:hAnsi="宋体" w:cs="宋体"/>
                <w:b/>
                <w:color w:val="auto"/>
                <w:szCs w:val="21"/>
                <w:highlight w:val="none"/>
              </w:rPr>
            </w:pPr>
            <w:r>
              <w:rPr>
                <w:rFonts w:hint="eastAsia" w:ascii="宋体" w:hAnsi="宋体" w:cs="宋体"/>
                <w:b/>
                <w:color w:val="auto"/>
                <w:szCs w:val="21"/>
                <w:highlight w:val="none"/>
              </w:rPr>
              <w:t>本项目工程暂估价（含暂定综合单价）</w:t>
            </w:r>
            <w:r>
              <w:rPr>
                <w:rFonts w:hint="eastAsia" w:ascii="宋体" w:hAnsi="宋体" w:cs="宋体"/>
                <w:b/>
                <w:color w:val="auto"/>
                <w:szCs w:val="21"/>
                <w:highlight w:val="none"/>
                <w:u w:val="single"/>
                <w:lang w:val="en-US" w:eastAsia="zh-CN"/>
              </w:rPr>
              <w:t>0</w:t>
            </w:r>
            <w:r>
              <w:rPr>
                <w:rFonts w:hint="eastAsia" w:ascii="宋体" w:hAnsi="宋体" w:cs="宋体"/>
                <w:b/>
                <w:color w:val="auto"/>
                <w:szCs w:val="21"/>
                <w:highlight w:val="none"/>
                <w:u w:val="single"/>
              </w:rPr>
              <w:t>元</w:t>
            </w:r>
            <w:r>
              <w:rPr>
                <w:rFonts w:hint="eastAsia" w:ascii="宋体" w:hAnsi="宋体" w:cs="宋体"/>
                <w:b/>
                <w:color w:val="auto"/>
                <w:szCs w:val="21"/>
                <w:highlight w:val="none"/>
              </w:rPr>
              <w:t>（含税价）、暂列金额</w:t>
            </w:r>
            <w:r>
              <w:rPr>
                <w:rFonts w:hint="eastAsia" w:ascii="宋体" w:hAnsi="宋体" w:cs="宋体"/>
                <w:b/>
                <w:color w:val="auto"/>
                <w:szCs w:val="21"/>
                <w:highlight w:val="none"/>
                <w:u w:val="single"/>
                <w:lang w:val="en-US" w:eastAsia="zh-CN"/>
              </w:rPr>
              <w:t>0</w:t>
            </w:r>
            <w:r>
              <w:rPr>
                <w:rFonts w:hint="eastAsia" w:ascii="宋体" w:hAnsi="宋体" w:cs="宋体"/>
                <w:b/>
                <w:color w:val="auto"/>
                <w:szCs w:val="21"/>
                <w:highlight w:val="none"/>
              </w:rPr>
              <w:t>元（含税价）及其他不可竞争费</w:t>
            </w:r>
            <w:r>
              <w:rPr>
                <w:rFonts w:hint="eastAsia" w:ascii="宋体" w:hAnsi="宋体" w:cs="宋体"/>
                <w:b/>
                <w:color w:val="auto"/>
                <w:szCs w:val="21"/>
                <w:highlight w:val="none"/>
                <w:u w:val="single"/>
                <w:lang w:val="en-US" w:eastAsia="zh-CN"/>
              </w:rPr>
              <w:t>0</w:t>
            </w:r>
            <w:r>
              <w:rPr>
                <w:rFonts w:hint="eastAsia" w:ascii="宋体" w:hAnsi="宋体" w:cs="宋体"/>
                <w:b/>
                <w:color w:val="auto"/>
                <w:szCs w:val="21"/>
                <w:highlight w:val="none"/>
              </w:rPr>
              <w:t>元（含税价），供应商不得修改其数额，否则其响应无效。</w:t>
            </w:r>
          </w:p>
          <w:p w14:paraId="5BE51884">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本次报价形式：响应报价采用总报价形式，以元表示，保留整数。供应商的响应报价=（最高限价-工程暂估价（含暂定综合单价）、暂列金额及其他不可竞争费总和）×（1+响应报价浮动率）+工程暂估价（含暂定综合单价）、暂列金额及其他不可竞争费总和。</w:t>
            </w:r>
          </w:p>
        </w:tc>
      </w:tr>
      <w:tr w14:paraId="0EF992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30" w:type="dxa"/>
            <w:noWrap w:val="0"/>
            <w:vAlign w:val="center"/>
          </w:tcPr>
          <w:p w14:paraId="2CFFD3F1">
            <w:pPr>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工期</w:t>
            </w:r>
          </w:p>
        </w:tc>
        <w:tc>
          <w:tcPr>
            <w:tcW w:w="6947" w:type="dxa"/>
            <w:noWrap w:val="0"/>
            <w:vAlign w:val="center"/>
          </w:tcPr>
          <w:p w14:paraId="0B70A6BF">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rPr>
              <w:t>80日历天</w:t>
            </w:r>
          </w:p>
        </w:tc>
      </w:tr>
      <w:tr w14:paraId="11198A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930" w:type="dxa"/>
            <w:noWrap w:val="0"/>
            <w:vAlign w:val="center"/>
          </w:tcPr>
          <w:p w14:paraId="71BB86BE">
            <w:pPr>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质量保修期</w:t>
            </w:r>
          </w:p>
        </w:tc>
        <w:tc>
          <w:tcPr>
            <w:tcW w:w="6947" w:type="dxa"/>
            <w:noWrap w:val="0"/>
            <w:vAlign w:val="top"/>
          </w:tcPr>
          <w:p w14:paraId="7E3B0519">
            <w:pPr>
              <w:spacing w:line="360" w:lineRule="auto"/>
              <w:rPr>
                <w:rFonts w:hint="eastAsia"/>
                <w:color w:val="auto"/>
                <w:highlight w:val="none"/>
              </w:rPr>
            </w:pPr>
            <w:r>
              <w:rPr>
                <w:rFonts w:hint="eastAsia"/>
                <w:color w:val="auto"/>
                <w:highlight w:val="none"/>
              </w:rPr>
              <w:t>本工程质量保修期</w:t>
            </w:r>
            <w:r>
              <w:rPr>
                <w:rFonts w:hint="eastAsia"/>
                <w:color w:val="auto"/>
                <w:highlight w:val="none"/>
                <w:lang w:val="en-US" w:eastAsia="zh-CN"/>
              </w:rPr>
              <w:t>根据</w:t>
            </w:r>
            <w:r>
              <w:rPr>
                <w:rFonts w:hint="eastAsia" w:ascii="宋体" w:hAnsi="宋体" w:cs="宋体"/>
                <w:color w:val="auto"/>
                <w:szCs w:val="21"/>
                <w:highlight w:val="none"/>
              </w:rPr>
              <w:t>《建设工程质量管理条例》及有关规定，约定如下：地基基础工程和主体结构工程为设计文件规定的工程合理使用年限</w:t>
            </w:r>
            <w:r>
              <w:rPr>
                <w:rFonts w:hint="eastAsia" w:ascii="宋体" w:hAnsi="宋体" w:cs="宋体"/>
                <w:color w:val="auto"/>
                <w:szCs w:val="21"/>
                <w:highlight w:val="none"/>
                <w:lang w:eastAsia="zh-CN"/>
              </w:rPr>
              <w:t>；</w:t>
            </w:r>
            <w:r>
              <w:rPr>
                <w:rFonts w:hint="eastAsia" w:ascii="宋体" w:hAnsi="宋体" w:cs="宋体"/>
                <w:color w:val="auto"/>
                <w:szCs w:val="21"/>
                <w:highlight w:val="none"/>
              </w:rPr>
              <w:t>屋面防水工程、有防水要求的房间和外墙面的防渗漏，保修5年；其它为2年</w:t>
            </w:r>
            <w:r>
              <w:rPr>
                <w:rFonts w:hint="eastAsia"/>
                <w:color w:val="auto"/>
                <w:highlight w:val="none"/>
              </w:rPr>
              <w:t>。乙方应对工程出现的质量事故和质量缺陷无偿负责处理解决，其保修条件、范围和期限按有关规定执行。乙方应本着先处理问题，后区分责任的原则处理问题。若违约，乙方应承担由此造成的一切损失。</w:t>
            </w:r>
          </w:p>
        </w:tc>
      </w:tr>
      <w:tr w14:paraId="4D4403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30" w:type="dxa"/>
            <w:noWrap w:val="0"/>
            <w:vAlign w:val="center"/>
          </w:tcPr>
          <w:p w14:paraId="74B2CDC4">
            <w:pPr>
              <w:spacing w:line="360" w:lineRule="auto"/>
              <w:jc w:val="center"/>
              <w:rPr>
                <w:rFonts w:hint="eastAsia" w:ascii="宋体" w:hAnsi="宋体" w:cs="宋体"/>
                <w:color w:val="auto"/>
                <w:spacing w:val="-6"/>
                <w:szCs w:val="21"/>
                <w:highlight w:val="none"/>
              </w:rPr>
            </w:pPr>
            <w:r>
              <w:rPr>
                <w:rFonts w:hint="eastAsia" w:ascii="宋体" w:hAnsi="宋体" w:cs="宋体"/>
                <w:color w:val="auto"/>
                <w:szCs w:val="21"/>
                <w:highlight w:val="none"/>
              </w:rPr>
              <w:t>付款条件</w:t>
            </w:r>
          </w:p>
        </w:tc>
        <w:tc>
          <w:tcPr>
            <w:tcW w:w="6947" w:type="dxa"/>
            <w:noWrap w:val="0"/>
            <w:vAlign w:val="center"/>
          </w:tcPr>
          <w:p w14:paraId="0A5EF317">
            <w:pPr>
              <w:pStyle w:val="227"/>
              <w:spacing w:line="360" w:lineRule="auto"/>
              <w:jc w:val="left"/>
              <w:rPr>
                <w:rFonts w:hint="eastAsia" w:ascii="宋体" w:hAnsi="宋体" w:cs="宋体"/>
                <w:color w:val="auto"/>
                <w:kern w:val="2"/>
                <w:highlight w:val="none"/>
              </w:rPr>
            </w:pPr>
            <w:r>
              <w:rPr>
                <w:rFonts w:hint="eastAsia" w:ascii="宋体" w:hAnsi="宋体" w:cs="宋体"/>
                <w:color w:val="auto"/>
                <w:highlight w:val="none"/>
              </w:rPr>
              <w:t>详见第五章政府采购合同主要条款。</w:t>
            </w:r>
          </w:p>
        </w:tc>
      </w:tr>
      <w:tr w14:paraId="4C897F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1930" w:type="dxa"/>
            <w:noWrap w:val="0"/>
            <w:vAlign w:val="center"/>
          </w:tcPr>
          <w:p w14:paraId="024EC2B7">
            <w:pPr>
              <w:pStyle w:val="227"/>
              <w:spacing w:line="360" w:lineRule="auto"/>
              <w:ind w:left="-210" w:right="-105" w:firstLine="210"/>
              <w:jc w:val="center"/>
              <w:rPr>
                <w:rFonts w:hint="eastAsia" w:ascii="宋体" w:hAnsi="宋体" w:cs="宋体"/>
                <w:color w:val="auto"/>
                <w:highlight w:val="none"/>
              </w:rPr>
            </w:pPr>
            <w:r>
              <w:rPr>
                <w:rFonts w:hint="eastAsia" w:ascii="宋体" w:hAnsi="宋体" w:cs="宋体"/>
                <w:color w:val="auto"/>
                <w:highlight w:val="none"/>
              </w:rPr>
              <w:t>履约保证金</w:t>
            </w:r>
          </w:p>
        </w:tc>
        <w:tc>
          <w:tcPr>
            <w:tcW w:w="6947" w:type="dxa"/>
            <w:noWrap w:val="0"/>
            <w:vAlign w:val="center"/>
          </w:tcPr>
          <w:p w14:paraId="65F011CE">
            <w:pPr>
              <w:pStyle w:val="227"/>
              <w:spacing w:line="360" w:lineRule="auto"/>
              <w:jc w:val="left"/>
              <w:rPr>
                <w:rFonts w:hint="eastAsia" w:ascii="宋体" w:hAnsi="宋体" w:cs="宋体"/>
                <w:color w:val="auto"/>
                <w:kern w:val="2"/>
                <w:highlight w:val="none"/>
              </w:rPr>
            </w:pPr>
            <w:r>
              <w:rPr>
                <w:rFonts w:hint="eastAsia" w:ascii="宋体" w:hAnsi="宋体" w:cs="宋体"/>
                <w:color w:val="auto"/>
                <w:kern w:val="2"/>
                <w:highlight w:val="none"/>
              </w:rPr>
              <w:t>履约保证金金额：成交供应商在签订合同后7天内向采购人缴纳合同</w:t>
            </w:r>
            <w:r>
              <w:rPr>
                <w:rFonts w:hint="eastAsia" w:ascii="宋体" w:hAnsi="宋体" w:cs="宋体"/>
                <w:color w:val="auto"/>
                <w:kern w:val="2"/>
                <w:highlight w:val="none"/>
                <w:lang w:val="en-US" w:eastAsia="zh-CN"/>
              </w:rPr>
              <w:t>金额</w:t>
            </w:r>
            <w:r>
              <w:rPr>
                <w:rFonts w:hint="eastAsia" w:ascii="宋体" w:hAnsi="宋体" w:cs="宋体"/>
                <w:color w:val="auto"/>
                <w:kern w:val="2"/>
                <w:highlight w:val="none"/>
              </w:rPr>
              <w:t>1%的履约保证金。</w:t>
            </w:r>
          </w:p>
          <w:p w14:paraId="598D9CD5">
            <w:pPr>
              <w:pStyle w:val="227"/>
              <w:spacing w:line="360" w:lineRule="auto"/>
              <w:jc w:val="left"/>
              <w:rPr>
                <w:rFonts w:ascii="宋体" w:hAnsi="宋体" w:cs="宋体"/>
                <w:color w:val="auto"/>
                <w:kern w:val="2"/>
                <w:highlight w:val="none"/>
              </w:rPr>
            </w:pPr>
            <w:r>
              <w:rPr>
                <w:rFonts w:hint="eastAsia" w:ascii="宋体" w:hAnsi="宋体" w:cs="宋体"/>
                <w:color w:val="auto"/>
                <w:kern w:val="2"/>
                <w:highlight w:val="none"/>
              </w:rPr>
              <w:t>履约保证金形式</w:t>
            </w:r>
            <w:r>
              <w:rPr>
                <w:rFonts w:ascii="宋体" w:hAnsi="宋体" w:cs="宋体"/>
                <w:color w:val="auto"/>
                <w:kern w:val="2"/>
                <w:highlight w:val="none"/>
              </w:rPr>
              <w:t>:</w:t>
            </w:r>
            <w:r>
              <w:rPr>
                <w:rFonts w:hint="eastAsia" w:ascii="宋体" w:hAnsi="宋体" w:cs="仿宋"/>
                <w:color w:val="auto"/>
                <w:highlight w:val="none"/>
              </w:rPr>
              <w:t>履约保函/现金/银行转账等。</w:t>
            </w:r>
          </w:p>
          <w:p w14:paraId="5560FF5F">
            <w:pPr>
              <w:pStyle w:val="227"/>
              <w:spacing w:line="360" w:lineRule="auto"/>
              <w:jc w:val="left"/>
              <w:rPr>
                <w:rFonts w:hint="eastAsia" w:ascii="宋体" w:hAnsi="宋体" w:cs="宋体"/>
                <w:color w:val="auto"/>
                <w:kern w:val="2"/>
                <w:highlight w:val="none"/>
              </w:rPr>
            </w:pPr>
            <w:r>
              <w:rPr>
                <w:rFonts w:hint="eastAsia" w:ascii="宋体" w:hAnsi="宋体" w:cs="宋体"/>
                <w:color w:val="auto"/>
                <w:kern w:val="2"/>
                <w:highlight w:val="none"/>
              </w:rPr>
              <w:t>履约保证金退还：</w:t>
            </w:r>
            <w:r>
              <w:rPr>
                <w:rFonts w:hint="eastAsia" w:ascii="宋体" w:hAnsi="宋体" w:cs="仿宋"/>
                <w:color w:val="auto"/>
                <w:highlight w:val="none"/>
              </w:rPr>
              <w:t>项目验收合格后，原额（无息）归还履约保证金。</w:t>
            </w:r>
          </w:p>
        </w:tc>
      </w:tr>
      <w:tr w14:paraId="307C37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930" w:type="dxa"/>
            <w:noWrap w:val="0"/>
            <w:vAlign w:val="center"/>
          </w:tcPr>
          <w:p w14:paraId="192BF5C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6947" w:type="dxa"/>
            <w:noWrap w:val="0"/>
            <w:vAlign w:val="center"/>
          </w:tcPr>
          <w:p w14:paraId="654D6770">
            <w:pPr>
              <w:tabs>
                <w:tab w:val="left" w:pos="884"/>
              </w:tabs>
              <w:spacing w:line="360" w:lineRule="auto"/>
              <w:jc w:val="left"/>
              <w:rPr>
                <w:rFonts w:hint="eastAsia" w:ascii="宋体" w:hAnsi="宋体" w:cs="宋体"/>
                <w:color w:val="auto"/>
                <w:highlight w:val="none"/>
              </w:rPr>
            </w:pPr>
            <w:r>
              <w:rPr>
                <w:rFonts w:hint="eastAsia" w:ascii="宋体" w:hAnsi="宋体" w:cs="宋体"/>
                <w:color w:val="auto"/>
                <w:highlight w:val="none"/>
              </w:rPr>
              <w:t>1、成交供应商如不遵守采购文件或响应文件各项条款的邀约与要约，或在接到成交通知书后借故拖延，拒签合同的，采购人将按《浙江省政府采购供应商注册及诚信管理暂行办法》的规定上报诚信状况。给采购人造成的损失的还应当予以赔偿。</w:t>
            </w:r>
          </w:p>
          <w:p w14:paraId="19784DEC">
            <w:pPr>
              <w:tabs>
                <w:tab w:val="left" w:pos="884"/>
              </w:tabs>
              <w:spacing w:line="360" w:lineRule="auto"/>
              <w:jc w:val="left"/>
              <w:rPr>
                <w:rFonts w:hint="eastAsia" w:ascii="宋体" w:hAnsi="宋体" w:cs="宋体"/>
                <w:color w:val="auto"/>
                <w:szCs w:val="21"/>
                <w:highlight w:val="none"/>
              </w:rPr>
            </w:pPr>
            <w:r>
              <w:rPr>
                <w:rFonts w:hint="eastAsia" w:ascii="宋体" w:hAnsi="宋体" w:cs="宋体"/>
                <w:color w:val="auto"/>
                <w:highlight w:val="none"/>
              </w:rPr>
              <w:t>2、其他要求详见第五章政府采购合同主要条款。</w:t>
            </w:r>
          </w:p>
        </w:tc>
      </w:tr>
    </w:tbl>
    <w:p w14:paraId="77358CFA">
      <w:pPr>
        <w:wordWrap w:val="0"/>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三、技术需求</w:t>
      </w:r>
    </w:p>
    <w:p w14:paraId="4B3A922A">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1、项目管理机构人员配备要求</w:t>
      </w:r>
    </w:p>
    <w:tbl>
      <w:tblPr>
        <w:tblStyle w:val="5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37"/>
        <w:gridCol w:w="713"/>
        <w:gridCol w:w="4490"/>
        <w:gridCol w:w="1396"/>
      </w:tblGrid>
      <w:tr w14:paraId="3A7E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noWrap w:val="0"/>
            <w:vAlign w:val="center"/>
          </w:tcPr>
          <w:p w14:paraId="124208C6">
            <w:pPr>
              <w:tabs>
                <w:tab w:val="left" w:pos="884"/>
              </w:tabs>
              <w:spacing w:line="360" w:lineRule="auto"/>
              <w:jc w:val="left"/>
              <w:rPr>
                <w:rFonts w:hint="eastAsia" w:ascii="宋体" w:hAnsi="宋体" w:cs="宋体"/>
                <w:color w:val="auto"/>
                <w:highlight w:val="none"/>
              </w:rPr>
            </w:pPr>
            <w:r>
              <w:rPr>
                <w:rFonts w:hint="eastAsia" w:ascii="宋体" w:hAnsi="宋体" w:cs="宋体"/>
                <w:color w:val="auto"/>
                <w:highlight w:val="none"/>
              </w:rPr>
              <w:t>序号</w:t>
            </w:r>
          </w:p>
        </w:tc>
        <w:tc>
          <w:tcPr>
            <w:tcW w:w="1537" w:type="dxa"/>
            <w:noWrap w:val="0"/>
            <w:vAlign w:val="center"/>
          </w:tcPr>
          <w:p w14:paraId="71EC0922">
            <w:pPr>
              <w:tabs>
                <w:tab w:val="left" w:pos="884"/>
              </w:tabs>
              <w:spacing w:line="360" w:lineRule="auto"/>
              <w:jc w:val="left"/>
              <w:rPr>
                <w:rFonts w:hint="eastAsia" w:ascii="宋体" w:hAnsi="宋体" w:cs="宋体"/>
                <w:color w:val="auto"/>
                <w:highlight w:val="none"/>
              </w:rPr>
            </w:pPr>
            <w:r>
              <w:rPr>
                <w:rFonts w:hint="eastAsia" w:ascii="宋体" w:hAnsi="宋体" w:cs="宋体"/>
                <w:color w:val="auto"/>
                <w:highlight w:val="none"/>
              </w:rPr>
              <w:t>岗位</w:t>
            </w:r>
          </w:p>
        </w:tc>
        <w:tc>
          <w:tcPr>
            <w:tcW w:w="713" w:type="dxa"/>
            <w:noWrap w:val="0"/>
            <w:vAlign w:val="center"/>
          </w:tcPr>
          <w:p w14:paraId="080E1F9E">
            <w:pPr>
              <w:tabs>
                <w:tab w:val="left" w:pos="884"/>
              </w:tabs>
              <w:spacing w:line="360" w:lineRule="auto"/>
              <w:jc w:val="left"/>
              <w:rPr>
                <w:rFonts w:hint="eastAsia" w:ascii="宋体" w:hAnsi="宋体" w:cs="宋体"/>
                <w:color w:val="auto"/>
                <w:highlight w:val="none"/>
              </w:rPr>
            </w:pPr>
            <w:r>
              <w:rPr>
                <w:rFonts w:hint="eastAsia" w:ascii="宋体" w:hAnsi="宋体" w:cs="宋体"/>
                <w:color w:val="auto"/>
                <w:highlight w:val="none"/>
              </w:rPr>
              <w:t>数量</w:t>
            </w:r>
          </w:p>
        </w:tc>
        <w:tc>
          <w:tcPr>
            <w:tcW w:w="4490" w:type="dxa"/>
            <w:noWrap w:val="0"/>
            <w:vAlign w:val="center"/>
          </w:tcPr>
          <w:p w14:paraId="6E5481B4">
            <w:pPr>
              <w:tabs>
                <w:tab w:val="left" w:pos="884"/>
              </w:tabs>
              <w:spacing w:line="360" w:lineRule="auto"/>
              <w:jc w:val="left"/>
              <w:rPr>
                <w:rFonts w:hint="eastAsia" w:ascii="宋体" w:hAnsi="宋体" w:cs="宋体"/>
                <w:color w:val="auto"/>
                <w:highlight w:val="none"/>
              </w:rPr>
            </w:pPr>
            <w:r>
              <w:rPr>
                <w:rFonts w:hint="eastAsia" w:ascii="宋体" w:hAnsi="宋体" w:cs="宋体"/>
                <w:color w:val="auto"/>
                <w:highlight w:val="none"/>
              </w:rPr>
              <w:t>资格要求</w:t>
            </w:r>
          </w:p>
        </w:tc>
        <w:tc>
          <w:tcPr>
            <w:tcW w:w="1396" w:type="dxa"/>
            <w:noWrap w:val="0"/>
            <w:vAlign w:val="center"/>
          </w:tcPr>
          <w:p w14:paraId="69DE6C59">
            <w:pPr>
              <w:tabs>
                <w:tab w:val="left" w:pos="884"/>
              </w:tabs>
              <w:spacing w:line="360" w:lineRule="auto"/>
              <w:jc w:val="left"/>
              <w:rPr>
                <w:rFonts w:hint="eastAsia" w:ascii="宋体" w:hAnsi="宋体" w:cs="宋体"/>
                <w:color w:val="auto"/>
                <w:highlight w:val="none"/>
              </w:rPr>
            </w:pPr>
            <w:r>
              <w:rPr>
                <w:rFonts w:hint="eastAsia" w:ascii="宋体" w:hAnsi="宋体" w:cs="宋体"/>
                <w:color w:val="auto"/>
                <w:highlight w:val="none"/>
              </w:rPr>
              <w:t>备注</w:t>
            </w:r>
          </w:p>
        </w:tc>
      </w:tr>
      <w:tr w14:paraId="16A9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709" w:type="dxa"/>
            <w:noWrap w:val="0"/>
            <w:vAlign w:val="center"/>
          </w:tcPr>
          <w:p w14:paraId="3748E21F">
            <w:pPr>
              <w:tabs>
                <w:tab w:val="left" w:pos="884"/>
              </w:tabs>
              <w:spacing w:line="360" w:lineRule="auto"/>
              <w:jc w:val="left"/>
              <w:rPr>
                <w:rFonts w:hint="eastAsia" w:ascii="宋体" w:hAnsi="宋体" w:cs="宋体"/>
                <w:color w:val="auto"/>
                <w:highlight w:val="none"/>
              </w:rPr>
            </w:pPr>
            <w:r>
              <w:rPr>
                <w:rFonts w:hint="eastAsia" w:ascii="宋体" w:hAnsi="宋体" w:cs="宋体"/>
                <w:color w:val="auto"/>
                <w:highlight w:val="none"/>
              </w:rPr>
              <w:t>1</w:t>
            </w:r>
          </w:p>
        </w:tc>
        <w:tc>
          <w:tcPr>
            <w:tcW w:w="1537" w:type="dxa"/>
            <w:noWrap w:val="0"/>
            <w:vAlign w:val="center"/>
          </w:tcPr>
          <w:p w14:paraId="1E28765A">
            <w:pPr>
              <w:tabs>
                <w:tab w:val="left" w:pos="884"/>
              </w:tabs>
              <w:spacing w:line="360" w:lineRule="auto"/>
              <w:jc w:val="left"/>
              <w:rPr>
                <w:rFonts w:hint="eastAsia" w:ascii="宋体" w:hAnsi="宋体" w:cs="宋体"/>
                <w:color w:val="auto"/>
                <w:highlight w:val="none"/>
              </w:rPr>
            </w:pPr>
            <w:r>
              <w:rPr>
                <w:rFonts w:hint="eastAsia" w:ascii="宋体" w:hAnsi="宋体" w:cs="宋体"/>
                <w:color w:val="auto"/>
                <w:highlight w:val="none"/>
              </w:rPr>
              <w:t>项目经理</w:t>
            </w:r>
          </w:p>
        </w:tc>
        <w:tc>
          <w:tcPr>
            <w:tcW w:w="713" w:type="dxa"/>
            <w:noWrap w:val="0"/>
            <w:vAlign w:val="center"/>
          </w:tcPr>
          <w:p w14:paraId="6DDA4CD1">
            <w:pPr>
              <w:tabs>
                <w:tab w:val="left" w:pos="884"/>
              </w:tabs>
              <w:spacing w:line="360" w:lineRule="auto"/>
              <w:jc w:val="left"/>
              <w:rPr>
                <w:rFonts w:hint="eastAsia" w:ascii="宋体" w:hAnsi="宋体" w:cs="宋体"/>
                <w:color w:val="auto"/>
                <w:highlight w:val="none"/>
              </w:rPr>
            </w:pPr>
            <w:r>
              <w:rPr>
                <w:rFonts w:hint="eastAsia" w:ascii="宋体" w:hAnsi="宋体" w:cs="宋体"/>
                <w:color w:val="auto"/>
                <w:highlight w:val="none"/>
              </w:rPr>
              <w:t>1</w:t>
            </w:r>
          </w:p>
        </w:tc>
        <w:tc>
          <w:tcPr>
            <w:tcW w:w="4490" w:type="dxa"/>
            <w:noWrap w:val="0"/>
            <w:vAlign w:val="center"/>
          </w:tcPr>
          <w:p w14:paraId="3B9E5EA4">
            <w:pPr>
              <w:tabs>
                <w:tab w:val="left" w:pos="884"/>
              </w:tabs>
              <w:spacing w:line="360" w:lineRule="auto"/>
              <w:jc w:val="left"/>
              <w:rPr>
                <w:rFonts w:hint="eastAsia" w:ascii="宋体" w:hAnsi="宋体" w:cs="宋体"/>
                <w:color w:val="auto"/>
                <w:highlight w:val="none"/>
              </w:rPr>
            </w:pPr>
            <w:r>
              <w:rPr>
                <w:rFonts w:hint="eastAsia" w:ascii="宋体" w:hAnsi="宋体" w:cs="宋体"/>
                <w:color w:val="auto"/>
                <w:highlight w:val="none"/>
              </w:rPr>
              <w:t>具备</w:t>
            </w:r>
            <w:r>
              <w:rPr>
                <w:rFonts w:hint="eastAsia" w:ascii="宋体" w:hAnsi="宋体" w:cs="宋体"/>
                <w:color w:val="auto"/>
                <w:highlight w:val="none"/>
                <w:lang w:val="en-US" w:eastAsia="zh-CN"/>
              </w:rPr>
              <w:t>建筑工程</w:t>
            </w:r>
            <w:r>
              <w:rPr>
                <w:rFonts w:hint="eastAsia" w:ascii="宋体" w:hAnsi="宋体" w:cs="宋体"/>
                <w:color w:val="auto"/>
                <w:highlight w:val="none"/>
              </w:rPr>
              <w:t>注册建造师贰级及以上执业资格，具有有效的安全生产考核合格证（B证）；</w:t>
            </w:r>
          </w:p>
        </w:tc>
        <w:tc>
          <w:tcPr>
            <w:tcW w:w="1396" w:type="dxa"/>
            <w:noWrap w:val="0"/>
            <w:vAlign w:val="center"/>
          </w:tcPr>
          <w:p w14:paraId="727ADA41">
            <w:pPr>
              <w:tabs>
                <w:tab w:val="left" w:pos="884"/>
              </w:tabs>
              <w:spacing w:line="360" w:lineRule="auto"/>
              <w:jc w:val="left"/>
              <w:rPr>
                <w:rFonts w:hint="eastAsia" w:ascii="宋体" w:hAnsi="宋体" w:cs="宋体"/>
                <w:color w:val="auto"/>
                <w:highlight w:val="none"/>
              </w:rPr>
            </w:pPr>
            <w:r>
              <w:rPr>
                <w:rFonts w:hint="eastAsia" w:ascii="宋体" w:hAnsi="宋体" w:cs="宋体"/>
                <w:color w:val="auto"/>
                <w:highlight w:val="none"/>
              </w:rPr>
              <w:t>项目</w:t>
            </w:r>
            <w:r>
              <w:rPr>
                <w:rFonts w:hint="eastAsia" w:ascii="宋体" w:hAnsi="宋体" w:cs="宋体"/>
                <w:color w:val="auto"/>
                <w:highlight w:val="none"/>
                <w:lang w:val="en-US" w:eastAsia="zh-CN"/>
              </w:rPr>
              <w:t>经理</w:t>
            </w:r>
            <w:r>
              <w:rPr>
                <w:rFonts w:hint="eastAsia" w:ascii="宋体" w:hAnsi="宋体" w:cs="宋体"/>
                <w:color w:val="auto"/>
                <w:highlight w:val="none"/>
              </w:rPr>
              <w:t>在</w:t>
            </w:r>
            <w:r>
              <w:rPr>
                <w:rFonts w:hint="eastAsia" w:ascii="宋体" w:hAnsi="宋体" w:cs="宋体"/>
                <w:color w:val="auto"/>
                <w:highlight w:val="none"/>
                <w:lang w:val="en-US" w:eastAsia="zh-CN"/>
              </w:rPr>
              <w:t>响应</w:t>
            </w:r>
            <w:r>
              <w:rPr>
                <w:rFonts w:hint="eastAsia" w:ascii="宋体" w:hAnsi="宋体" w:cs="宋体"/>
                <w:color w:val="auto"/>
                <w:highlight w:val="none"/>
              </w:rPr>
              <w:t>截止时间当日起不得有其他在建项目</w:t>
            </w:r>
          </w:p>
        </w:tc>
      </w:tr>
      <w:tr w14:paraId="512A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noWrap w:val="0"/>
            <w:vAlign w:val="center"/>
          </w:tcPr>
          <w:p w14:paraId="4013DA48">
            <w:pPr>
              <w:tabs>
                <w:tab w:val="left" w:pos="884"/>
              </w:tabs>
              <w:spacing w:line="360" w:lineRule="auto"/>
              <w:jc w:val="left"/>
              <w:rPr>
                <w:rFonts w:hint="eastAsia" w:ascii="宋体" w:hAnsi="宋体" w:cs="宋体"/>
                <w:color w:val="auto"/>
                <w:highlight w:val="none"/>
              </w:rPr>
            </w:pPr>
            <w:r>
              <w:rPr>
                <w:rFonts w:hint="eastAsia" w:ascii="宋体" w:hAnsi="宋体" w:cs="宋体"/>
                <w:color w:val="auto"/>
                <w:highlight w:val="none"/>
              </w:rPr>
              <w:t>2</w:t>
            </w:r>
          </w:p>
        </w:tc>
        <w:tc>
          <w:tcPr>
            <w:tcW w:w="1537" w:type="dxa"/>
            <w:noWrap w:val="0"/>
            <w:vAlign w:val="center"/>
          </w:tcPr>
          <w:p w14:paraId="28A17535">
            <w:pPr>
              <w:tabs>
                <w:tab w:val="left" w:pos="884"/>
              </w:tabs>
              <w:spacing w:line="360" w:lineRule="auto"/>
              <w:jc w:val="left"/>
              <w:rPr>
                <w:rFonts w:hint="eastAsia" w:ascii="宋体" w:hAnsi="宋体" w:cs="宋体"/>
                <w:color w:val="auto"/>
                <w:highlight w:val="none"/>
              </w:rPr>
            </w:pPr>
            <w:r>
              <w:rPr>
                <w:rFonts w:hint="eastAsia" w:ascii="宋体" w:hAnsi="宋体" w:cs="宋体"/>
                <w:color w:val="auto"/>
                <w:highlight w:val="none"/>
              </w:rPr>
              <w:t>技术负责人</w:t>
            </w:r>
          </w:p>
        </w:tc>
        <w:tc>
          <w:tcPr>
            <w:tcW w:w="713" w:type="dxa"/>
            <w:noWrap w:val="0"/>
            <w:vAlign w:val="center"/>
          </w:tcPr>
          <w:p w14:paraId="14B25D48">
            <w:pPr>
              <w:tabs>
                <w:tab w:val="left" w:pos="884"/>
              </w:tabs>
              <w:spacing w:line="360" w:lineRule="auto"/>
              <w:jc w:val="left"/>
              <w:rPr>
                <w:rFonts w:hint="eastAsia" w:ascii="宋体" w:hAnsi="宋体" w:cs="宋体"/>
                <w:color w:val="auto"/>
                <w:highlight w:val="none"/>
              </w:rPr>
            </w:pPr>
            <w:r>
              <w:rPr>
                <w:rFonts w:hint="eastAsia" w:ascii="宋体" w:hAnsi="宋体" w:cs="宋体"/>
                <w:color w:val="auto"/>
                <w:highlight w:val="none"/>
              </w:rPr>
              <w:t>1</w:t>
            </w:r>
          </w:p>
        </w:tc>
        <w:tc>
          <w:tcPr>
            <w:tcW w:w="4490" w:type="dxa"/>
            <w:noWrap w:val="0"/>
            <w:vAlign w:val="center"/>
          </w:tcPr>
          <w:p w14:paraId="5F88C8D0">
            <w:pPr>
              <w:tabs>
                <w:tab w:val="left" w:pos="884"/>
              </w:tabs>
              <w:spacing w:line="360" w:lineRule="auto"/>
              <w:jc w:val="left"/>
              <w:rPr>
                <w:rFonts w:hint="eastAsia" w:ascii="宋体" w:hAnsi="宋体" w:cs="宋体"/>
                <w:color w:val="auto"/>
                <w:highlight w:val="none"/>
              </w:rPr>
            </w:pPr>
            <w:r>
              <w:rPr>
                <w:rFonts w:hint="eastAsia" w:ascii="宋体" w:hAnsi="宋体" w:cs="宋体"/>
                <w:color w:val="auto"/>
                <w:highlight w:val="none"/>
              </w:rPr>
              <w:t>具有工程师及以上职称</w:t>
            </w:r>
          </w:p>
        </w:tc>
        <w:tc>
          <w:tcPr>
            <w:tcW w:w="1396" w:type="dxa"/>
            <w:noWrap w:val="0"/>
            <w:vAlign w:val="center"/>
          </w:tcPr>
          <w:p w14:paraId="51515532">
            <w:pPr>
              <w:tabs>
                <w:tab w:val="left" w:pos="884"/>
              </w:tabs>
              <w:spacing w:line="360" w:lineRule="auto"/>
              <w:jc w:val="left"/>
              <w:rPr>
                <w:rFonts w:hint="eastAsia" w:ascii="宋体" w:hAnsi="宋体" w:cs="宋体"/>
                <w:color w:val="auto"/>
                <w:highlight w:val="none"/>
              </w:rPr>
            </w:pPr>
          </w:p>
        </w:tc>
      </w:tr>
      <w:tr w14:paraId="6019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noWrap w:val="0"/>
            <w:vAlign w:val="center"/>
          </w:tcPr>
          <w:p w14:paraId="274FBC0D">
            <w:pPr>
              <w:tabs>
                <w:tab w:val="left" w:pos="884"/>
              </w:tabs>
              <w:spacing w:line="360" w:lineRule="auto"/>
              <w:jc w:val="left"/>
              <w:rPr>
                <w:rFonts w:hint="eastAsia" w:ascii="宋体" w:hAnsi="宋体" w:cs="宋体"/>
                <w:color w:val="auto"/>
                <w:highlight w:val="none"/>
              </w:rPr>
            </w:pPr>
            <w:r>
              <w:rPr>
                <w:rFonts w:hint="eastAsia" w:ascii="宋体" w:hAnsi="宋体" w:cs="宋体"/>
                <w:color w:val="auto"/>
                <w:highlight w:val="none"/>
              </w:rPr>
              <w:t>3</w:t>
            </w:r>
          </w:p>
        </w:tc>
        <w:tc>
          <w:tcPr>
            <w:tcW w:w="1537" w:type="dxa"/>
            <w:noWrap w:val="0"/>
            <w:vAlign w:val="center"/>
          </w:tcPr>
          <w:p w14:paraId="0AD52F84">
            <w:pPr>
              <w:tabs>
                <w:tab w:val="left" w:pos="884"/>
              </w:tabs>
              <w:spacing w:line="360" w:lineRule="auto"/>
              <w:jc w:val="left"/>
              <w:rPr>
                <w:rFonts w:hint="eastAsia" w:ascii="宋体" w:hAnsi="宋体" w:cs="宋体"/>
                <w:color w:val="auto"/>
                <w:highlight w:val="none"/>
              </w:rPr>
            </w:pPr>
            <w:r>
              <w:rPr>
                <w:rFonts w:hint="eastAsia" w:ascii="宋体" w:hAnsi="宋体" w:cs="宋体"/>
                <w:color w:val="auto"/>
                <w:highlight w:val="none"/>
              </w:rPr>
              <w:t>安全员</w:t>
            </w:r>
          </w:p>
        </w:tc>
        <w:tc>
          <w:tcPr>
            <w:tcW w:w="713" w:type="dxa"/>
            <w:noWrap w:val="0"/>
            <w:vAlign w:val="center"/>
          </w:tcPr>
          <w:p w14:paraId="3463F473">
            <w:pPr>
              <w:tabs>
                <w:tab w:val="left" w:pos="884"/>
              </w:tabs>
              <w:spacing w:line="360" w:lineRule="auto"/>
              <w:jc w:val="left"/>
              <w:rPr>
                <w:rFonts w:hint="eastAsia" w:ascii="宋体" w:hAnsi="宋体" w:cs="宋体"/>
                <w:color w:val="auto"/>
                <w:highlight w:val="none"/>
              </w:rPr>
            </w:pPr>
            <w:r>
              <w:rPr>
                <w:rFonts w:hint="eastAsia" w:ascii="宋体" w:hAnsi="宋体" w:cs="宋体"/>
                <w:color w:val="auto"/>
                <w:highlight w:val="none"/>
              </w:rPr>
              <w:t>1</w:t>
            </w:r>
          </w:p>
        </w:tc>
        <w:tc>
          <w:tcPr>
            <w:tcW w:w="4490" w:type="dxa"/>
            <w:noWrap w:val="0"/>
            <w:vAlign w:val="center"/>
          </w:tcPr>
          <w:p w14:paraId="22CA3B0D">
            <w:pPr>
              <w:tabs>
                <w:tab w:val="left" w:pos="884"/>
              </w:tabs>
              <w:spacing w:line="360" w:lineRule="auto"/>
              <w:jc w:val="left"/>
              <w:rPr>
                <w:rFonts w:hint="eastAsia" w:ascii="宋体" w:hAnsi="宋体" w:cs="宋体"/>
                <w:color w:val="auto"/>
                <w:highlight w:val="none"/>
              </w:rPr>
            </w:pPr>
            <w:r>
              <w:rPr>
                <w:rFonts w:hint="eastAsia" w:ascii="宋体" w:hAnsi="宋体" w:cs="宋体"/>
                <w:color w:val="auto"/>
                <w:highlight w:val="none"/>
              </w:rPr>
              <w:t>有效的安全生产考核合格证（C证）</w:t>
            </w:r>
          </w:p>
        </w:tc>
        <w:tc>
          <w:tcPr>
            <w:tcW w:w="1396" w:type="dxa"/>
            <w:noWrap w:val="0"/>
            <w:vAlign w:val="center"/>
          </w:tcPr>
          <w:p w14:paraId="38F75FDF">
            <w:pPr>
              <w:tabs>
                <w:tab w:val="left" w:pos="884"/>
              </w:tabs>
              <w:spacing w:line="360" w:lineRule="auto"/>
              <w:jc w:val="left"/>
              <w:rPr>
                <w:rFonts w:hint="eastAsia" w:ascii="宋体" w:hAnsi="宋体" w:cs="宋体"/>
                <w:color w:val="auto"/>
                <w:highlight w:val="none"/>
              </w:rPr>
            </w:pPr>
          </w:p>
        </w:tc>
      </w:tr>
      <w:tr w14:paraId="2EAC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noWrap w:val="0"/>
            <w:vAlign w:val="center"/>
          </w:tcPr>
          <w:p w14:paraId="4311699F">
            <w:pPr>
              <w:tabs>
                <w:tab w:val="left" w:pos="884"/>
              </w:tabs>
              <w:spacing w:line="360" w:lineRule="auto"/>
              <w:jc w:val="left"/>
              <w:rPr>
                <w:rFonts w:hint="eastAsia" w:ascii="宋体" w:hAnsi="宋体" w:cs="宋体"/>
                <w:color w:val="auto"/>
                <w:highlight w:val="none"/>
              </w:rPr>
            </w:pPr>
            <w:r>
              <w:rPr>
                <w:rFonts w:hint="eastAsia" w:ascii="宋体" w:hAnsi="宋体" w:cs="宋体"/>
                <w:color w:val="auto"/>
                <w:highlight w:val="none"/>
              </w:rPr>
              <w:t>4</w:t>
            </w:r>
          </w:p>
        </w:tc>
        <w:tc>
          <w:tcPr>
            <w:tcW w:w="1537" w:type="dxa"/>
            <w:noWrap w:val="0"/>
            <w:vAlign w:val="center"/>
          </w:tcPr>
          <w:p w14:paraId="1467D885">
            <w:pPr>
              <w:tabs>
                <w:tab w:val="left" w:pos="884"/>
              </w:tabs>
              <w:spacing w:line="360" w:lineRule="auto"/>
              <w:jc w:val="left"/>
              <w:rPr>
                <w:rFonts w:hint="eastAsia" w:ascii="宋体" w:hAnsi="宋体" w:cs="宋体"/>
                <w:color w:val="auto"/>
                <w:highlight w:val="none"/>
              </w:rPr>
            </w:pPr>
            <w:r>
              <w:rPr>
                <w:rFonts w:hint="eastAsia" w:ascii="宋体" w:hAnsi="宋体" w:cs="宋体"/>
                <w:color w:val="auto"/>
                <w:highlight w:val="none"/>
              </w:rPr>
              <w:t>施工员</w:t>
            </w:r>
          </w:p>
        </w:tc>
        <w:tc>
          <w:tcPr>
            <w:tcW w:w="713" w:type="dxa"/>
            <w:noWrap w:val="0"/>
            <w:vAlign w:val="center"/>
          </w:tcPr>
          <w:p w14:paraId="1D30C82D">
            <w:pPr>
              <w:tabs>
                <w:tab w:val="left" w:pos="884"/>
              </w:tabs>
              <w:spacing w:line="360" w:lineRule="auto"/>
              <w:jc w:val="left"/>
              <w:rPr>
                <w:rFonts w:hint="eastAsia" w:ascii="宋体" w:hAnsi="宋体" w:cs="宋体"/>
                <w:color w:val="auto"/>
                <w:highlight w:val="none"/>
              </w:rPr>
            </w:pPr>
            <w:r>
              <w:rPr>
                <w:rFonts w:hint="eastAsia" w:ascii="宋体" w:hAnsi="宋体" w:cs="宋体"/>
                <w:color w:val="auto"/>
                <w:highlight w:val="none"/>
              </w:rPr>
              <w:t>1</w:t>
            </w:r>
          </w:p>
        </w:tc>
        <w:tc>
          <w:tcPr>
            <w:tcW w:w="4490" w:type="dxa"/>
            <w:noWrap w:val="0"/>
            <w:vAlign w:val="center"/>
          </w:tcPr>
          <w:p w14:paraId="772DA111">
            <w:pPr>
              <w:tabs>
                <w:tab w:val="left" w:pos="884"/>
              </w:tabs>
              <w:spacing w:line="360" w:lineRule="auto"/>
              <w:jc w:val="left"/>
              <w:rPr>
                <w:rFonts w:hint="eastAsia" w:ascii="宋体" w:hAnsi="宋体" w:cs="宋体"/>
                <w:color w:val="auto"/>
                <w:highlight w:val="none"/>
              </w:rPr>
            </w:pPr>
            <w:r>
              <w:rPr>
                <w:rFonts w:hint="eastAsia" w:ascii="宋体" w:hAnsi="宋体" w:cs="宋体"/>
                <w:color w:val="auto"/>
                <w:highlight w:val="none"/>
              </w:rPr>
              <w:t>具有施工员岗位证书（培训合格证）</w:t>
            </w:r>
          </w:p>
        </w:tc>
        <w:tc>
          <w:tcPr>
            <w:tcW w:w="1396" w:type="dxa"/>
            <w:noWrap w:val="0"/>
            <w:vAlign w:val="center"/>
          </w:tcPr>
          <w:p w14:paraId="1240CEFE">
            <w:pPr>
              <w:tabs>
                <w:tab w:val="left" w:pos="884"/>
              </w:tabs>
              <w:spacing w:line="360" w:lineRule="auto"/>
              <w:jc w:val="left"/>
              <w:rPr>
                <w:rFonts w:hint="eastAsia" w:ascii="宋体" w:hAnsi="宋体" w:cs="宋体"/>
                <w:color w:val="auto"/>
                <w:highlight w:val="none"/>
              </w:rPr>
            </w:pPr>
          </w:p>
        </w:tc>
      </w:tr>
      <w:tr w14:paraId="5658F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noWrap w:val="0"/>
            <w:vAlign w:val="center"/>
          </w:tcPr>
          <w:p w14:paraId="73F0DC4C">
            <w:pPr>
              <w:tabs>
                <w:tab w:val="left" w:pos="884"/>
              </w:tabs>
              <w:spacing w:line="360" w:lineRule="auto"/>
              <w:jc w:val="left"/>
              <w:rPr>
                <w:rFonts w:hint="eastAsia" w:ascii="宋体" w:hAnsi="宋体" w:cs="宋体"/>
                <w:color w:val="auto"/>
                <w:highlight w:val="none"/>
              </w:rPr>
            </w:pPr>
            <w:r>
              <w:rPr>
                <w:rFonts w:hint="eastAsia" w:ascii="宋体" w:hAnsi="宋体" w:cs="宋体"/>
                <w:color w:val="auto"/>
                <w:highlight w:val="none"/>
              </w:rPr>
              <w:t>5</w:t>
            </w:r>
          </w:p>
        </w:tc>
        <w:tc>
          <w:tcPr>
            <w:tcW w:w="1537" w:type="dxa"/>
            <w:noWrap w:val="0"/>
            <w:vAlign w:val="center"/>
          </w:tcPr>
          <w:p w14:paraId="4585D03A">
            <w:pPr>
              <w:tabs>
                <w:tab w:val="left" w:pos="884"/>
              </w:tabs>
              <w:spacing w:line="360" w:lineRule="auto"/>
              <w:jc w:val="left"/>
              <w:rPr>
                <w:rFonts w:hint="eastAsia" w:ascii="宋体" w:hAnsi="宋体" w:cs="宋体"/>
                <w:color w:val="auto"/>
                <w:highlight w:val="none"/>
              </w:rPr>
            </w:pPr>
            <w:r>
              <w:rPr>
                <w:rFonts w:hint="eastAsia" w:ascii="宋体" w:hAnsi="宋体" w:cs="宋体"/>
                <w:color w:val="auto"/>
                <w:highlight w:val="none"/>
              </w:rPr>
              <w:t>质量员</w:t>
            </w:r>
          </w:p>
        </w:tc>
        <w:tc>
          <w:tcPr>
            <w:tcW w:w="713" w:type="dxa"/>
            <w:noWrap w:val="0"/>
            <w:vAlign w:val="center"/>
          </w:tcPr>
          <w:p w14:paraId="0762DF24">
            <w:pPr>
              <w:tabs>
                <w:tab w:val="left" w:pos="884"/>
              </w:tabs>
              <w:spacing w:line="360" w:lineRule="auto"/>
              <w:jc w:val="left"/>
              <w:rPr>
                <w:rFonts w:hint="eastAsia" w:ascii="宋体" w:hAnsi="宋体" w:cs="宋体"/>
                <w:color w:val="auto"/>
                <w:highlight w:val="none"/>
              </w:rPr>
            </w:pPr>
            <w:r>
              <w:rPr>
                <w:rFonts w:hint="eastAsia" w:ascii="宋体" w:hAnsi="宋体" w:cs="宋体"/>
                <w:color w:val="auto"/>
                <w:highlight w:val="none"/>
              </w:rPr>
              <w:t>1</w:t>
            </w:r>
          </w:p>
        </w:tc>
        <w:tc>
          <w:tcPr>
            <w:tcW w:w="4490" w:type="dxa"/>
            <w:noWrap w:val="0"/>
            <w:vAlign w:val="center"/>
          </w:tcPr>
          <w:p w14:paraId="2A993891">
            <w:pPr>
              <w:tabs>
                <w:tab w:val="left" w:pos="884"/>
              </w:tabs>
              <w:spacing w:line="360" w:lineRule="auto"/>
              <w:jc w:val="left"/>
              <w:rPr>
                <w:rFonts w:hint="eastAsia" w:ascii="宋体" w:hAnsi="宋体" w:cs="宋体"/>
                <w:color w:val="auto"/>
                <w:highlight w:val="none"/>
              </w:rPr>
            </w:pPr>
            <w:r>
              <w:rPr>
                <w:rFonts w:hint="eastAsia" w:ascii="宋体" w:hAnsi="宋体" w:cs="宋体"/>
                <w:color w:val="auto"/>
                <w:highlight w:val="none"/>
              </w:rPr>
              <w:t>具有质量员岗位证书（培训合格证）</w:t>
            </w:r>
          </w:p>
        </w:tc>
        <w:tc>
          <w:tcPr>
            <w:tcW w:w="1396" w:type="dxa"/>
            <w:noWrap w:val="0"/>
            <w:vAlign w:val="center"/>
          </w:tcPr>
          <w:p w14:paraId="38328B35">
            <w:pPr>
              <w:tabs>
                <w:tab w:val="left" w:pos="884"/>
              </w:tabs>
              <w:spacing w:line="360" w:lineRule="auto"/>
              <w:jc w:val="left"/>
              <w:rPr>
                <w:rFonts w:hint="eastAsia" w:ascii="宋体" w:hAnsi="宋体" w:cs="宋体"/>
                <w:color w:val="auto"/>
                <w:highlight w:val="none"/>
              </w:rPr>
            </w:pPr>
          </w:p>
        </w:tc>
      </w:tr>
      <w:tr w14:paraId="2061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noWrap w:val="0"/>
            <w:vAlign w:val="center"/>
          </w:tcPr>
          <w:p w14:paraId="263B29D9">
            <w:pPr>
              <w:tabs>
                <w:tab w:val="left" w:pos="884"/>
              </w:tabs>
              <w:spacing w:line="360" w:lineRule="auto"/>
              <w:jc w:val="left"/>
              <w:rPr>
                <w:rFonts w:hint="eastAsia" w:ascii="宋体" w:hAnsi="宋体" w:cs="宋体"/>
                <w:color w:val="auto"/>
                <w:highlight w:val="none"/>
              </w:rPr>
            </w:pPr>
            <w:r>
              <w:rPr>
                <w:rFonts w:hint="eastAsia" w:ascii="宋体" w:hAnsi="宋体" w:cs="宋体"/>
                <w:color w:val="auto"/>
                <w:highlight w:val="none"/>
              </w:rPr>
              <w:t>6</w:t>
            </w:r>
          </w:p>
        </w:tc>
        <w:tc>
          <w:tcPr>
            <w:tcW w:w="1537" w:type="dxa"/>
            <w:noWrap w:val="0"/>
            <w:vAlign w:val="center"/>
          </w:tcPr>
          <w:p w14:paraId="618D7D66">
            <w:pPr>
              <w:tabs>
                <w:tab w:val="left" w:pos="884"/>
              </w:tabs>
              <w:spacing w:line="360" w:lineRule="auto"/>
              <w:jc w:val="left"/>
              <w:rPr>
                <w:rFonts w:hint="eastAsia" w:ascii="宋体" w:hAnsi="宋体" w:cs="宋体"/>
                <w:color w:val="auto"/>
                <w:highlight w:val="none"/>
              </w:rPr>
            </w:pPr>
            <w:r>
              <w:rPr>
                <w:rFonts w:hint="eastAsia" w:ascii="宋体" w:hAnsi="宋体" w:cs="宋体"/>
                <w:color w:val="auto"/>
                <w:highlight w:val="none"/>
              </w:rPr>
              <w:t>……</w:t>
            </w:r>
          </w:p>
        </w:tc>
        <w:tc>
          <w:tcPr>
            <w:tcW w:w="713" w:type="dxa"/>
            <w:noWrap w:val="0"/>
            <w:vAlign w:val="center"/>
          </w:tcPr>
          <w:p w14:paraId="632EF87F">
            <w:pPr>
              <w:tabs>
                <w:tab w:val="left" w:pos="884"/>
              </w:tabs>
              <w:spacing w:line="360" w:lineRule="auto"/>
              <w:jc w:val="left"/>
              <w:rPr>
                <w:rFonts w:hint="eastAsia" w:ascii="宋体" w:hAnsi="宋体" w:cs="宋体"/>
                <w:color w:val="auto"/>
                <w:highlight w:val="none"/>
              </w:rPr>
            </w:pPr>
          </w:p>
        </w:tc>
        <w:tc>
          <w:tcPr>
            <w:tcW w:w="4490" w:type="dxa"/>
            <w:noWrap w:val="0"/>
            <w:vAlign w:val="center"/>
          </w:tcPr>
          <w:p w14:paraId="379D4574">
            <w:pPr>
              <w:tabs>
                <w:tab w:val="left" w:pos="884"/>
              </w:tabs>
              <w:spacing w:line="360" w:lineRule="auto"/>
              <w:jc w:val="left"/>
              <w:rPr>
                <w:rFonts w:hint="eastAsia" w:ascii="宋体" w:hAnsi="宋体" w:cs="宋体"/>
                <w:color w:val="auto"/>
                <w:highlight w:val="none"/>
              </w:rPr>
            </w:pPr>
          </w:p>
        </w:tc>
        <w:tc>
          <w:tcPr>
            <w:tcW w:w="1396" w:type="dxa"/>
            <w:noWrap w:val="0"/>
            <w:vAlign w:val="center"/>
          </w:tcPr>
          <w:p w14:paraId="7FB17074">
            <w:pPr>
              <w:tabs>
                <w:tab w:val="left" w:pos="884"/>
              </w:tabs>
              <w:spacing w:line="360" w:lineRule="auto"/>
              <w:jc w:val="left"/>
              <w:rPr>
                <w:rFonts w:hint="eastAsia" w:ascii="宋体" w:hAnsi="宋体" w:cs="宋体"/>
                <w:color w:val="auto"/>
                <w:highlight w:val="none"/>
              </w:rPr>
            </w:pPr>
          </w:p>
        </w:tc>
      </w:tr>
    </w:tbl>
    <w:p w14:paraId="69ADE709">
      <w:pPr>
        <w:numPr>
          <w:ilvl w:val="0"/>
          <w:numId w:val="2"/>
        </w:num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主要材料品牌响应表</w:t>
      </w:r>
    </w:p>
    <w:tbl>
      <w:tblPr>
        <w:tblStyle w:val="51"/>
        <w:tblW w:w="8873" w:type="dxa"/>
        <w:jc w:val="center"/>
        <w:tblLayout w:type="autofit"/>
        <w:tblCellMar>
          <w:top w:w="0" w:type="dxa"/>
          <w:left w:w="108" w:type="dxa"/>
          <w:bottom w:w="0" w:type="dxa"/>
          <w:right w:w="108" w:type="dxa"/>
        </w:tblCellMar>
      </w:tblPr>
      <w:tblGrid>
        <w:gridCol w:w="978"/>
        <w:gridCol w:w="3181"/>
        <w:gridCol w:w="4714"/>
      </w:tblGrid>
      <w:tr w14:paraId="5D4CDA60">
        <w:tblPrEx>
          <w:tblCellMar>
            <w:top w:w="0" w:type="dxa"/>
            <w:left w:w="108" w:type="dxa"/>
            <w:bottom w:w="0" w:type="dxa"/>
            <w:right w:w="108" w:type="dxa"/>
          </w:tblCellMar>
        </w:tblPrEx>
        <w:trPr>
          <w:trHeight w:val="397" w:hRule="atLeast"/>
          <w:jc w:val="center"/>
        </w:trPr>
        <w:tc>
          <w:tcPr>
            <w:tcW w:w="978" w:type="dxa"/>
            <w:tcBorders>
              <w:top w:val="single" w:color="000000" w:sz="4" w:space="0"/>
              <w:left w:val="single" w:color="000000" w:sz="4" w:space="0"/>
              <w:bottom w:val="nil"/>
              <w:right w:val="single" w:color="000000" w:sz="4" w:space="0"/>
            </w:tcBorders>
            <w:noWrap w:val="0"/>
            <w:vAlign w:val="center"/>
          </w:tcPr>
          <w:p w14:paraId="6D025838">
            <w:pPr>
              <w:widowControl/>
              <w:jc w:val="center"/>
              <w:textAlignment w:val="center"/>
              <w:rPr>
                <w:rFonts w:ascii="宋体" w:hAnsi="宋体"/>
                <w:b/>
                <w:bCs/>
                <w:color w:val="auto"/>
                <w:sz w:val="21"/>
                <w:szCs w:val="21"/>
                <w:highlight w:val="none"/>
              </w:rPr>
            </w:pPr>
            <w:r>
              <w:rPr>
                <w:rFonts w:hint="eastAsia" w:ascii="宋体" w:hAnsi="宋体"/>
                <w:b/>
                <w:bCs/>
                <w:color w:val="auto"/>
                <w:kern w:val="0"/>
                <w:sz w:val="21"/>
                <w:szCs w:val="21"/>
                <w:highlight w:val="none"/>
              </w:rPr>
              <w:t>序号</w:t>
            </w:r>
          </w:p>
        </w:tc>
        <w:tc>
          <w:tcPr>
            <w:tcW w:w="3181" w:type="dxa"/>
            <w:tcBorders>
              <w:top w:val="single" w:color="000000" w:sz="4" w:space="0"/>
              <w:left w:val="nil"/>
              <w:bottom w:val="nil"/>
              <w:right w:val="single" w:color="000000" w:sz="4" w:space="0"/>
            </w:tcBorders>
            <w:noWrap w:val="0"/>
            <w:vAlign w:val="center"/>
          </w:tcPr>
          <w:p w14:paraId="2BE5F369">
            <w:pPr>
              <w:widowControl/>
              <w:jc w:val="center"/>
              <w:textAlignment w:val="center"/>
              <w:rPr>
                <w:rFonts w:ascii="宋体" w:hAnsi="宋体"/>
                <w:b/>
                <w:bCs/>
                <w:color w:val="auto"/>
                <w:sz w:val="21"/>
                <w:szCs w:val="21"/>
                <w:highlight w:val="none"/>
              </w:rPr>
            </w:pPr>
            <w:r>
              <w:rPr>
                <w:rFonts w:hint="eastAsia" w:ascii="宋体" w:hAnsi="宋体"/>
                <w:b/>
                <w:bCs/>
                <w:color w:val="auto"/>
                <w:kern w:val="0"/>
                <w:sz w:val="21"/>
                <w:szCs w:val="21"/>
                <w:highlight w:val="none"/>
              </w:rPr>
              <w:t>材料名称</w:t>
            </w:r>
          </w:p>
        </w:tc>
        <w:tc>
          <w:tcPr>
            <w:tcW w:w="4714" w:type="dxa"/>
            <w:tcBorders>
              <w:top w:val="single" w:color="000000" w:sz="4" w:space="0"/>
              <w:left w:val="nil"/>
              <w:bottom w:val="nil"/>
              <w:right w:val="single" w:color="000000" w:sz="4" w:space="0"/>
            </w:tcBorders>
            <w:noWrap w:val="0"/>
            <w:vAlign w:val="center"/>
          </w:tcPr>
          <w:p w14:paraId="1075DBF9">
            <w:pPr>
              <w:widowControl/>
              <w:jc w:val="center"/>
              <w:textAlignment w:val="center"/>
              <w:rPr>
                <w:rFonts w:ascii="宋体" w:hAnsi="宋体"/>
                <w:b/>
                <w:bCs/>
                <w:color w:val="auto"/>
                <w:sz w:val="21"/>
                <w:szCs w:val="21"/>
                <w:highlight w:val="none"/>
              </w:rPr>
            </w:pPr>
            <w:r>
              <w:rPr>
                <w:rFonts w:hint="eastAsia" w:ascii="宋体" w:hAnsi="宋体"/>
                <w:b/>
                <w:bCs/>
                <w:color w:val="auto"/>
                <w:kern w:val="0"/>
                <w:sz w:val="21"/>
                <w:szCs w:val="21"/>
                <w:highlight w:val="none"/>
              </w:rPr>
              <w:t>参考品牌</w:t>
            </w:r>
          </w:p>
        </w:tc>
      </w:tr>
      <w:tr w14:paraId="35682284">
        <w:tblPrEx>
          <w:tblCellMar>
            <w:top w:w="0" w:type="dxa"/>
            <w:left w:w="108" w:type="dxa"/>
            <w:bottom w:w="0" w:type="dxa"/>
            <w:right w:w="108" w:type="dxa"/>
          </w:tblCellMar>
        </w:tblPrEx>
        <w:trPr>
          <w:trHeight w:val="397" w:hRule="atLeast"/>
          <w:jc w:val="center"/>
        </w:trPr>
        <w:tc>
          <w:tcPr>
            <w:tcW w:w="8873" w:type="dxa"/>
            <w:gridSpan w:val="3"/>
            <w:tcBorders>
              <w:top w:val="single" w:color="000000" w:sz="4" w:space="0"/>
              <w:left w:val="single" w:color="000000" w:sz="4" w:space="0"/>
              <w:bottom w:val="nil"/>
              <w:right w:val="single" w:color="000000" w:sz="4" w:space="0"/>
            </w:tcBorders>
            <w:noWrap w:val="0"/>
            <w:vAlign w:val="center"/>
          </w:tcPr>
          <w:p w14:paraId="3C2B1025">
            <w:pPr>
              <w:widowControl/>
              <w:jc w:val="center"/>
              <w:textAlignment w:val="center"/>
              <w:rPr>
                <w:rFonts w:hint="eastAsia" w:ascii="宋体" w:hAnsi="宋体"/>
                <w:b/>
                <w:bCs/>
                <w:color w:val="auto"/>
                <w:kern w:val="0"/>
                <w:sz w:val="21"/>
                <w:szCs w:val="21"/>
                <w:highlight w:val="none"/>
              </w:rPr>
            </w:pPr>
            <w:r>
              <w:rPr>
                <w:rFonts w:hint="eastAsia" w:ascii="宋体" w:hAnsi="宋体"/>
                <w:b/>
                <w:bCs/>
                <w:color w:val="auto"/>
                <w:kern w:val="0"/>
                <w:szCs w:val="21"/>
                <w:highlight w:val="none"/>
              </w:rPr>
              <w:t>一、土建部分</w:t>
            </w:r>
          </w:p>
        </w:tc>
      </w:tr>
      <w:tr w14:paraId="3889532E">
        <w:tblPrEx>
          <w:tblCellMar>
            <w:top w:w="0" w:type="dxa"/>
            <w:left w:w="108" w:type="dxa"/>
            <w:bottom w:w="0" w:type="dxa"/>
            <w:right w:w="108" w:type="dxa"/>
          </w:tblCellMar>
        </w:tblPrEx>
        <w:trPr>
          <w:trHeight w:val="54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14:paraId="1910F42F">
            <w:pPr>
              <w:keepNext w:val="0"/>
              <w:keepLines w:val="0"/>
              <w:widowControl/>
              <w:suppressLineNumbers w:val="0"/>
              <w:jc w:val="center"/>
              <w:textAlignment w:val="center"/>
              <w:rPr>
                <w:rFonts w:ascii="宋体" w:hAnsi="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181" w:type="dxa"/>
            <w:tcBorders>
              <w:top w:val="single" w:color="000000" w:sz="4" w:space="0"/>
              <w:left w:val="nil"/>
              <w:bottom w:val="single" w:color="000000" w:sz="4" w:space="0"/>
              <w:right w:val="single" w:color="000000" w:sz="4" w:space="0"/>
            </w:tcBorders>
            <w:noWrap w:val="0"/>
            <w:vAlign w:val="center"/>
          </w:tcPr>
          <w:p w14:paraId="5BAC2525">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外墙弹性涂料、仿石涂料</w:t>
            </w:r>
          </w:p>
        </w:tc>
        <w:tc>
          <w:tcPr>
            <w:tcW w:w="4714" w:type="dxa"/>
            <w:tcBorders>
              <w:top w:val="single" w:color="000000" w:sz="4" w:space="0"/>
              <w:left w:val="nil"/>
              <w:bottom w:val="single" w:color="000000" w:sz="4" w:space="0"/>
              <w:right w:val="single" w:color="000000" w:sz="4" w:space="0"/>
            </w:tcBorders>
            <w:noWrap w:val="0"/>
            <w:vAlign w:val="center"/>
          </w:tcPr>
          <w:p w14:paraId="3B86CC8D">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华润、多乐士、立邦</w:t>
            </w:r>
          </w:p>
        </w:tc>
      </w:tr>
      <w:tr w14:paraId="0755AF43">
        <w:tblPrEx>
          <w:tblCellMar>
            <w:top w:w="0" w:type="dxa"/>
            <w:left w:w="108" w:type="dxa"/>
            <w:bottom w:w="0" w:type="dxa"/>
            <w:right w:w="108" w:type="dxa"/>
          </w:tblCellMar>
        </w:tblPrEx>
        <w:trPr>
          <w:trHeight w:val="54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14:paraId="13959BDA">
            <w:pPr>
              <w:keepNext w:val="0"/>
              <w:keepLines w:val="0"/>
              <w:widowControl/>
              <w:suppressLineNumbers w:val="0"/>
              <w:jc w:val="center"/>
              <w:textAlignment w:val="center"/>
              <w:rPr>
                <w:rFonts w:ascii="宋体" w:hAnsi="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181" w:type="dxa"/>
            <w:tcBorders>
              <w:top w:val="single" w:color="000000" w:sz="4" w:space="0"/>
              <w:left w:val="nil"/>
              <w:bottom w:val="single" w:color="000000" w:sz="4" w:space="0"/>
              <w:right w:val="single" w:color="000000" w:sz="4" w:space="0"/>
            </w:tcBorders>
            <w:noWrap w:val="0"/>
            <w:vAlign w:val="center"/>
          </w:tcPr>
          <w:p w14:paraId="2520B090">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成品腻子</w:t>
            </w:r>
          </w:p>
        </w:tc>
        <w:tc>
          <w:tcPr>
            <w:tcW w:w="4714" w:type="dxa"/>
            <w:tcBorders>
              <w:top w:val="single" w:color="000000" w:sz="4" w:space="0"/>
              <w:left w:val="nil"/>
              <w:bottom w:val="single" w:color="000000" w:sz="4" w:space="0"/>
              <w:right w:val="single" w:color="000000" w:sz="4" w:space="0"/>
            </w:tcBorders>
            <w:noWrap w:val="0"/>
            <w:vAlign w:val="center"/>
          </w:tcPr>
          <w:p w14:paraId="465F2D07">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华润、多乐士、立邦</w:t>
            </w:r>
          </w:p>
        </w:tc>
      </w:tr>
      <w:tr w14:paraId="5ED06D65">
        <w:tblPrEx>
          <w:tblCellMar>
            <w:top w:w="0" w:type="dxa"/>
            <w:left w:w="108" w:type="dxa"/>
            <w:bottom w:w="0" w:type="dxa"/>
            <w:right w:w="108" w:type="dxa"/>
          </w:tblCellMar>
        </w:tblPrEx>
        <w:trPr>
          <w:trHeight w:val="542"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14:paraId="119D5AB5">
            <w:pPr>
              <w:keepNext w:val="0"/>
              <w:keepLines w:val="0"/>
              <w:widowControl/>
              <w:suppressLineNumbers w:val="0"/>
              <w:jc w:val="center"/>
              <w:textAlignment w:val="center"/>
              <w:rPr>
                <w:rFonts w:ascii="宋体" w:hAnsi="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181" w:type="dxa"/>
            <w:tcBorders>
              <w:top w:val="single" w:color="000000" w:sz="4" w:space="0"/>
              <w:left w:val="nil"/>
              <w:bottom w:val="single" w:color="000000" w:sz="4" w:space="0"/>
              <w:right w:val="single" w:color="000000" w:sz="4" w:space="0"/>
            </w:tcBorders>
            <w:noWrap w:val="0"/>
            <w:vAlign w:val="center"/>
          </w:tcPr>
          <w:p w14:paraId="15287B7B">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乳胶漆</w:t>
            </w:r>
          </w:p>
        </w:tc>
        <w:tc>
          <w:tcPr>
            <w:tcW w:w="4714" w:type="dxa"/>
            <w:tcBorders>
              <w:top w:val="single" w:color="000000" w:sz="4" w:space="0"/>
              <w:left w:val="nil"/>
              <w:bottom w:val="single" w:color="000000" w:sz="4" w:space="0"/>
              <w:right w:val="single" w:color="000000" w:sz="4" w:space="0"/>
            </w:tcBorders>
            <w:noWrap w:val="0"/>
            <w:vAlign w:val="center"/>
          </w:tcPr>
          <w:p w14:paraId="5C794F37">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华润、多乐士、立邦</w:t>
            </w:r>
          </w:p>
        </w:tc>
      </w:tr>
      <w:tr w14:paraId="393EBB32">
        <w:tblPrEx>
          <w:tblCellMar>
            <w:top w:w="0" w:type="dxa"/>
            <w:left w:w="108" w:type="dxa"/>
            <w:bottom w:w="0" w:type="dxa"/>
            <w:right w:w="108" w:type="dxa"/>
          </w:tblCellMar>
        </w:tblPrEx>
        <w:trPr>
          <w:trHeight w:val="542" w:hRule="atLeast"/>
          <w:jc w:val="center"/>
        </w:trPr>
        <w:tc>
          <w:tcPr>
            <w:tcW w:w="8873" w:type="dxa"/>
            <w:gridSpan w:val="3"/>
            <w:tcBorders>
              <w:top w:val="single" w:color="000000" w:sz="4" w:space="0"/>
              <w:left w:val="single" w:color="000000" w:sz="4" w:space="0"/>
              <w:bottom w:val="single" w:color="000000" w:sz="4" w:space="0"/>
              <w:right w:val="single" w:color="000000" w:sz="4" w:space="0"/>
            </w:tcBorders>
            <w:noWrap w:val="0"/>
            <w:vAlign w:val="center"/>
          </w:tcPr>
          <w:p w14:paraId="013C679D">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ascii="宋体" w:hAnsi="宋体"/>
                <w:b/>
                <w:color w:val="auto"/>
                <w:szCs w:val="21"/>
                <w:highlight w:val="none"/>
              </w:rPr>
              <w:t>二、安装</w:t>
            </w:r>
            <w:r>
              <w:rPr>
                <w:rFonts w:hint="eastAsia" w:ascii="宋体" w:hAnsi="宋体"/>
                <w:b/>
                <w:color w:val="auto"/>
                <w:szCs w:val="21"/>
                <w:highlight w:val="none"/>
              </w:rPr>
              <w:t>部分</w:t>
            </w:r>
          </w:p>
        </w:tc>
      </w:tr>
      <w:tr w14:paraId="399B6F67">
        <w:tblPrEx>
          <w:tblCellMar>
            <w:top w:w="0" w:type="dxa"/>
            <w:left w:w="108" w:type="dxa"/>
            <w:bottom w:w="0" w:type="dxa"/>
            <w:right w:w="108" w:type="dxa"/>
          </w:tblCellMar>
        </w:tblPrEx>
        <w:trPr>
          <w:trHeight w:val="54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14:paraId="2C6B70CA">
            <w:pPr>
              <w:keepNext w:val="0"/>
              <w:keepLines w:val="0"/>
              <w:widowControl/>
              <w:suppressLineNumbers w:val="0"/>
              <w:jc w:val="center"/>
              <w:textAlignment w:val="center"/>
              <w:rPr>
                <w:rFonts w:ascii="宋体" w:hAnsi="宋体" w:eastAsia="宋体" w:cs="Times New Roman"/>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3181" w:type="dxa"/>
            <w:tcBorders>
              <w:top w:val="single" w:color="000000" w:sz="4" w:space="0"/>
              <w:left w:val="nil"/>
              <w:bottom w:val="single" w:color="000000" w:sz="4" w:space="0"/>
              <w:right w:val="single" w:color="000000" w:sz="4" w:space="0"/>
            </w:tcBorders>
            <w:noWrap w:val="0"/>
            <w:vAlign w:val="top"/>
          </w:tcPr>
          <w:p w14:paraId="0833F236">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摄像机</w:t>
            </w:r>
          </w:p>
        </w:tc>
        <w:tc>
          <w:tcPr>
            <w:tcW w:w="4714" w:type="dxa"/>
            <w:tcBorders>
              <w:top w:val="single" w:color="000000" w:sz="4" w:space="0"/>
              <w:left w:val="nil"/>
              <w:bottom w:val="single" w:color="000000" w:sz="4" w:space="0"/>
              <w:right w:val="single" w:color="000000" w:sz="4" w:space="0"/>
            </w:tcBorders>
            <w:noWrap w:val="0"/>
            <w:vAlign w:val="top"/>
          </w:tcPr>
          <w:p w14:paraId="073D29FD">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海康、大华、宇视</w:t>
            </w:r>
          </w:p>
        </w:tc>
      </w:tr>
      <w:tr w14:paraId="394ECA60">
        <w:tblPrEx>
          <w:tblCellMar>
            <w:top w:w="0" w:type="dxa"/>
            <w:left w:w="108" w:type="dxa"/>
            <w:bottom w:w="0" w:type="dxa"/>
            <w:right w:w="108" w:type="dxa"/>
          </w:tblCellMar>
        </w:tblPrEx>
        <w:trPr>
          <w:trHeight w:val="54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14:paraId="27BB521D">
            <w:pPr>
              <w:keepNext w:val="0"/>
              <w:keepLines w:val="0"/>
              <w:widowControl/>
              <w:suppressLineNumbers w:val="0"/>
              <w:jc w:val="center"/>
              <w:textAlignment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3181" w:type="dxa"/>
            <w:tcBorders>
              <w:top w:val="single" w:color="000000" w:sz="4" w:space="0"/>
              <w:left w:val="nil"/>
              <w:bottom w:val="single" w:color="000000" w:sz="4" w:space="0"/>
              <w:right w:val="single" w:color="000000" w:sz="4" w:space="0"/>
            </w:tcBorders>
            <w:noWrap w:val="0"/>
            <w:vAlign w:val="top"/>
          </w:tcPr>
          <w:p w14:paraId="28D91135">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交换机</w:t>
            </w:r>
          </w:p>
        </w:tc>
        <w:tc>
          <w:tcPr>
            <w:tcW w:w="4714" w:type="dxa"/>
            <w:tcBorders>
              <w:top w:val="single" w:color="000000" w:sz="4" w:space="0"/>
              <w:left w:val="nil"/>
              <w:bottom w:val="single" w:color="000000" w:sz="4" w:space="0"/>
              <w:right w:val="single" w:color="000000" w:sz="4" w:space="0"/>
            </w:tcBorders>
            <w:noWrap w:val="0"/>
            <w:vAlign w:val="top"/>
          </w:tcPr>
          <w:p w14:paraId="457ACF7B">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锐捷、紫光恒越、华为</w:t>
            </w:r>
          </w:p>
        </w:tc>
      </w:tr>
      <w:tr w14:paraId="6213B3A7">
        <w:tblPrEx>
          <w:tblCellMar>
            <w:top w:w="0" w:type="dxa"/>
            <w:left w:w="108" w:type="dxa"/>
            <w:bottom w:w="0" w:type="dxa"/>
            <w:right w:w="108" w:type="dxa"/>
          </w:tblCellMar>
        </w:tblPrEx>
        <w:trPr>
          <w:trHeight w:val="54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14:paraId="254D7463">
            <w:pPr>
              <w:keepNext w:val="0"/>
              <w:keepLines w:val="0"/>
              <w:widowControl/>
              <w:suppressLineNumbers w:val="0"/>
              <w:jc w:val="center"/>
              <w:textAlignment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3181" w:type="dxa"/>
            <w:tcBorders>
              <w:top w:val="single" w:color="000000" w:sz="4" w:space="0"/>
              <w:left w:val="nil"/>
              <w:bottom w:val="single" w:color="000000" w:sz="4" w:space="0"/>
              <w:right w:val="single" w:color="000000" w:sz="4" w:space="0"/>
            </w:tcBorders>
            <w:noWrap w:val="0"/>
            <w:vAlign w:val="center"/>
          </w:tcPr>
          <w:p w14:paraId="19CF740E">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硬盘</w:t>
            </w:r>
          </w:p>
        </w:tc>
        <w:tc>
          <w:tcPr>
            <w:tcW w:w="4714" w:type="dxa"/>
            <w:tcBorders>
              <w:top w:val="single" w:color="000000" w:sz="4" w:space="0"/>
              <w:left w:val="nil"/>
              <w:bottom w:val="single" w:color="000000" w:sz="4" w:space="0"/>
              <w:right w:val="single" w:color="000000" w:sz="4" w:space="0"/>
            </w:tcBorders>
            <w:noWrap w:val="0"/>
            <w:vAlign w:val="center"/>
          </w:tcPr>
          <w:p w14:paraId="242330B7">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希捷、西数、海康</w:t>
            </w:r>
          </w:p>
        </w:tc>
      </w:tr>
      <w:tr w14:paraId="2590FE21">
        <w:tblPrEx>
          <w:tblCellMar>
            <w:top w:w="0" w:type="dxa"/>
            <w:left w:w="108" w:type="dxa"/>
            <w:bottom w:w="0" w:type="dxa"/>
            <w:right w:w="108" w:type="dxa"/>
          </w:tblCellMar>
        </w:tblPrEx>
        <w:trPr>
          <w:trHeight w:val="54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14:paraId="094BADD6">
            <w:pPr>
              <w:keepNext w:val="0"/>
              <w:keepLines w:val="0"/>
              <w:widowControl/>
              <w:suppressLineNumbers w:val="0"/>
              <w:jc w:val="center"/>
              <w:textAlignment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c>
          <w:tcPr>
            <w:tcW w:w="3181" w:type="dxa"/>
            <w:tcBorders>
              <w:top w:val="single" w:color="000000" w:sz="4" w:space="0"/>
              <w:left w:val="nil"/>
              <w:bottom w:val="single" w:color="000000" w:sz="4" w:space="0"/>
              <w:right w:val="single" w:color="000000" w:sz="4" w:space="0"/>
            </w:tcBorders>
            <w:noWrap w:val="0"/>
            <w:vAlign w:val="center"/>
          </w:tcPr>
          <w:p w14:paraId="033CBFB8">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管理电脑</w:t>
            </w:r>
          </w:p>
        </w:tc>
        <w:tc>
          <w:tcPr>
            <w:tcW w:w="4714" w:type="dxa"/>
            <w:tcBorders>
              <w:top w:val="single" w:color="000000" w:sz="4" w:space="0"/>
              <w:left w:val="nil"/>
              <w:bottom w:val="single" w:color="000000" w:sz="4" w:space="0"/>
              <w:right w:val="single" w:color="000000" w:sz="4" w:space="0"/>
            </w:tcBorders>
            <w:noWrap w:val="0"/>
            <w:vAlign w:val="center"/>
          </w:tcPr>
          <w:p w14:paraId="415D0052">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DELL、HP、联想</w:t>
            </w:r>
          </w:p>
        </w:tc>
      </w:tr>
      <w:tr w14:paraId="5E4E7238">
        <w:tblPrEx>
          <w:tblCellMar>
            <w:top w:w="0" w:type="dxa"/>
            <w:left w:w="108" w:type="dxa"/>
            <w:bottom w:w="0" w:type="dxa"/>
            <w:right w:w="108" w:type="dxa"/>
          </w:tblCellMar>
        </w:tblPrEx>
        <w:trPr>
          <w:trHeight w:val="54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14:paraId="381C2CEB">
            <w:pPr>
              <w:keepNext w:val="0"/>
              <w:keepLines w:val="0"/>
              <w:widowControl/>
              <w:suppressLineNumbers w:val="0"/>
              <w:jc w:val="center"/>
              <w:textAlignment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3181" w:type="dxa"/>
            <w:tcBorders>
              <w:top w:val="single" w:color="000000" w:sz="4" w:space="0"/>
              <w:left w:val="nil"/>
              <w:bottom w:val="single" w:color="000000" w:sz="4" w:space="0"/>
              <w:right w:val="single" w:color="000000" w:sz="4" w:space="0"/>
            </w:tcBorders>
            <w:noWrap w:val="0"/>
            <w:vAlign w:val="center"/>
          </w:tcPr>
          <w:p w14:paraId="22F4C0D8">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机柜</w:t>
            </w:r>
          </w:p>
        </w:tc>
        <w:tc>
          <w:tcPr>
            <w:tcW w:w="4714" w:type="dxa"/>
            <w:tcBorders>
              <w:top w:val="single" w:color="000000" w:sz="4" w:space="0"/>
              <w:left w:val="nil"/>
              <w:bottom w:val="single" w:color="000000" w:sz="4" w:space="0"/>
              <w:right w:val="single" w:color="000000" w:sz="4" w:space="0"/>
            </w:tcBorders>
            <w:noWrap w:val="0"/>
            <w:vAlign w:val="center"/>
          </w:tcPr>
          <w:p w14:paraId="3ACC6A77">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一舟、爱谱华顿、图腾</w:t>
            </w:r>
          </w:p>
        </w:tc>
      </w:tr>
      <w:tr w14:paraId="35BC796F">
        <w:tblPrEx>
          <w:tblCellMar>
            <w:top w:w="0" w:type="dxa"/>
            <w:left w:w="108" w:type="dxa"/>
            <w:bottom w:w="0" w:type="dxa"/>
            <w:right w:w="108" w:type="dxa"/>
          </w:tblCellMar>
        </w:tblPrEx>
        <w:trPr>
          <w:trHeight w:val="54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14:paraId="02AF82ED">
            <w:pPr>
              <w:keepNext w:val="0"/>
              <w:keepLines w:val="0"/>
              <w:widowControl/>
              <w:suppressLineNumbers w:val="0"/>
              <w:jc w:val="center"/>
              <w:textAlignment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3181" w:type="dxa"/>
            <w:tcBorders>
              <w:top w:val="single" w:color="000000" w:sz="4" w:space="0"/>
              <w:left w:val="nil"/>
              <w:bottom w:val="single" w:color="000000" w:sz="4" w:space="0"/>
              <w:right w:val="single" w:color="000000" w:sz="4" w:space="0"/>
            </w:tcBorders>
            <w:noWrap w:val="0"/>
            <w:vAlign w:val="center"/>
          </w:tcPr>
          <w:p w14:paraId="39ACAC3E">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LCD液晶屏</w:t>
            </w:r>
          </w:p>
        </w:tc>
        <w:tc>
          <w:tcPr>
            <w:tcW w:w="4714" w:type="dxa"/>
            <w:tcBorders>
              <w:top w:val="single" w:color="000000" w:sz="4" w:space="0"/>
              <w:left w:val="nil"/>
              <w:bottom w:val="single" w:color="000000" w:sz="4" w:space="0"/>
              <w:right w:val="single" w:color="000000" w:sz="4" w:space="0"/>
            </w:tcBorders>
            <w:noWrap w:val="0"/>
            <w:vAlign w:val="center"/>
          </w:tcPr>
          <w:p w14:paraId="6BCDCA07">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创维、海信、TCL</w:t>
            </w:r>
          </w:p>
        </w:tc>
      </w:tr>
      <w:tr w14:paraId="1352C15C">
        <w:tblPrEx>
          <w:tblCellMar>
            <w:top w:w="0" w:type="dxa"/>
            <w:left w:w="108" w:type="dxa"/>
            <w:bottom w:w="0" w:type="dxa"/>
            <w:right w:w="108" w:type="dxa"/>
          </w:tblCellMar>
        </w:tblPrEx>
        <w:trPr>
          <w:trHeight w:val="54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14:paraId="1235E5B8">
            <w:pPr>
              <w:keepNext w:val="0"/>
              <w:keepLines w:val="0"/>
              <w:widowControl/>
              <w:suppressLineNumbers w:val="0"/>
              <w:jc w:val="center"/>
              <w:textAlignment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w:t>
            </w:r>
          </w:p>
        </w:tc>
        <w:tc>
          <w:tcPr>
            <w:tcW w:w="3181" w:type="dxa"/>
            <w:tcBorders>
              <w:top w:val="single" w:color="000000" w:sz="4" w:space="0"/>
              <w:left w:val="nil"/>
              <w:bottom w:val="single" w:color="000000" w:sz="4" w:space="0"/>
              <w:right w:val="single" w:color="000000" w:sz="4" w:space="0"/>
            </w:tcBorders>
            <w:noWrap w:val="0"/>
            <w:vAlign w:val="center"/>
          </w:tcPr>
          <w:p w14:paraId="678622E9">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防火墙（含路由功能）</w:t>
            </w:r>
          </w:p>
        </w:tc>
        <w:tc>
          <w:tcPr>
            <w:tcW w:w="4714" w:type="dxa"/>
            <w:tcBorders>
              <w:top w:val="single" w:color="000000" w:sz="4" w:space="0"/>
              <w:left w:val="nil"/>
              <w:bottom w:val="single" w:color="000000" w:sz="4" w:space="0"/>
              <w:right w:val="single" w:color="000000" w:sz="4" w:space="0"/>
            </w:tcBorders>
            <w:noWrap w:val="0"/>
            <w:vAlign w:val="center"/>
          </w:tcPr>
          <w:p w14:paraId="1785C173">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华为、华三、安恒</w:t>
            </w:r>
          </w:p>
        </w:tc>
      </w:tr>
      <w:tr w14:paraId="32CF2D55">
        <w:tblPrEx>
          <w:tblCellMar>
            <w:top w:w="0" w:type="dxa"/>
            <w:left w:w="108" w:type="dxa"/>
            <w:bottom w:w="0" w:type="dxa"/>
            <w:right w:w="108" w:type="dxa"/>
          </w:tblCellMar>
        </w:tblPrEx>
        <w:trPr>
          <w:trHeight w:val="54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14:paraId="06EFFE07">
            <w:pPr>
              <w:keepNext w:val="0"/>
              <w:keepLines w:val="0"/>
              <w:widowControl/>
              <w:suppressLineNumbers w:val="0"/>
              <w:jc w:val="center"/>
              <w:textAlignment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w:t>
            </w:r>
          </w:p>
        </w:tc>
        <w:tc>
          <w:tcPr>
            <w:tcW w:w="3181" w:type="dxa"/>
            <w:tcBorders>
              <w:top w:val="single" w:color="000000" w:sz="4" w:space="0"/>
              <w:left w:val="nil"/>
              <w:bottom w:val="single" w:color="000000" w:sz="4" w:space="0"/>
              <w:right w:val="single" w:color="000000" w:sz="4" w:space="0"/>
            </w:tcBorders>
            <w:noWrap w:val="0"/>
            <w:vAlign w:val="center"/>
          </w:tcPr>
          <w:p w14:paraId="779EBF14">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USP主机 </w:t>
            </w:r>
          </w:p>
        </w:tc>
        <w:tc>
          <w:tcPr>
            <w:tcW w:w="4714" w:type="dxa"/>
            <w:tcBorders>
              <w:top w:val="single" w:color="000000" w:sz="4" w:space="0"/>
              <w:left w:val="nil"/>
              <w:bottom w:val="single" w:color="000000" w:sz="4" w:space="0"/>
              <w:right w:val="single" w:color="000000" w:sz="4" w:space="0"/>
            </w:tcBorders>
            <w:noWrap w:val="0"/>
            <w:vAlign w:val="center"/>
          </w:tcPr>
          <w:p w14:paraId="0710DF37">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科华、科士达、深圳山特</w:t>
            </w:r>
          </w:p>
        </w:tc>
      </w:tr>
      <w:tr w14:paraId="36B09A93">
        <w:tblPrEx>
          <w:tblCellMar>
            <w:top w:w="0" w:type="dxa"/>
            <w:left w:w="108" w:type="dxa"/>
            <w:bottom w:w="0" w:type="dxa"/>
            <w:right w:w="108" w:type="dxa"/>
          </w:tblCellMar>
        </w:tblPrEx>
        <w:trPr>
          <w:trHeight w:val="54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14:paraId="1E2B640D">
            <w:pPr>
              <w:keepNext w:val="0"/>
              <w:keepLines w:val="0"/>
              <w:widowControl/>
              <w:suppressLineNumbers w:val="0"/>
              <w:jc w:val="center"/>
              <w:textAlignment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w:t>
            </w:r>
          </w:p>
        </w:tc>
        <w:tc>
          <w:tcPr>
            <w:tcW w:w="3181" w:type="dxa"/>
            <w:tcBorders>
              <w:top w:val="single" w:color="000000" w:sz="4" w:space="0"/>
              <w:left w:val="nil"/>
              <w:bottom w:val="single" w:color="000000" w:sz="4" w:space="0"/>
              <w:right w:val="single" w:color="000000" w:sz="4" w:space="0"/>
            </w:tcBorders>
            <w:noWrap w:val="0"/>
            <w:vAlign w:val="center"/>
          </w:tcPr>
          <w:p w14:paraId="26917462">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电池柜（含电池）</w:t>
            </w:r>
          </w:p>
        </w:tc>
        <w:tc>
          <w:tcPr>
            <w:tcW w:w="4714" w:type="dxa"/>
            <w:tcBorders>
              <w:top w:val="single" w:color="000000" w:sz="4" w:space="0"/>
              <w:left w:val="nil"/>
              <w:bottom w:val="single" w:color="000000" w:sz="4" w:space="0"/>
              <w:right w:val="single" w:color="000000" w:sz="4" w:space="0"/>
            </w:tcBorders>
            <w:noWrap w:val="0"/>
            <w:vAlign w:val="center"/>
          </w:tcPr>
          <w:p w14:paraId="4EAC9156">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科华、科士达、深圳山特</w:t>
            </w:r>
          </w:p>
        </w:tc>
      </w:tr>
      <w:tr w14:paraId="613369EC">
        <w:tblPrEx>
          <w:tblCellMar>
            <w:top w:w="0" w:type="dxa"/>
            <w:left w:w="108" w:type="dxa"/>
            <w:bottom w:w="0" w:type="dxa"/>
            <w:right w:w="108" w:type="dxa"/>
          </w:tblCellMar>
        </w:tblPrEx>
        <w:trPr>
          <w:trHeight w:val="54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14:paraId="7188EA4D">
            <w:pPr>
              <w:keepNext w:val="0"/>
              <w:keepLines w:val="0"/>
              <w:widowControl/>
              <w:suppressLineNumbers w:val="0"/>
              <w:jc w:val="center"/>
              <w:textAlignment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w:t>
            </w:r>
          </w:p>
        </w:tc>
        <w:tc>
          <w:tcPr>
            <w:tcW w:w="3181" w:type="dxa"/>
            <w:tcBorders>
              <w:top w:val="single" w:color="000000" w:sz="4" w:space="0"/>
              <w:left w:val="nil"/>
              <w:bottom w:val="single" w:color="000000" w:sz="4" w:space="0"/>
              <w:right w:val="single" w:color="000000" w:sz="4" w:space="0"/>
            </w:tcBorders>
            <w:noWrap w:val="0"/>
            <w:vAlign w:val="center"/>
          </w:tcPr>
          <w:p w14:paraId="0ECCC1FC">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防静电活动地板</w:t>
            </w:r>
          </w:p>
        </w:tc>
        <w:tc>
          <w:tcPr>
            <w:tcW w:w="4714" w:type="dxa"/>
            <w:tcBorders>
              <w:top w:val="single" w:color="000000" w:sz="4" w:space="0"/>
              <w:left w:val="nil"/>
              <w:bottom w:val="single" w:color="000000" w:sz="4" w:space="0"/>
              <w:right w:val="single" w:color="000000" w:sz="4" w:space="0"/>
            </w:tcBorders>
            <w:noWrap w:val="0"/>
            <w:vAlign w:val="center"/>
          </w:tcPr>
          <w:p w14:paraId="55ED3BEF">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沈飞、汇丽、向新</w:t>
            </w:r>
          </w:p>
        </w:tc>
      </w:tr>
      <w:tr w14:paraId="5F743933">
        <w:tblPrEx>
          <w:tblCellMar>
            <w:top w:w="0" w:type="dxa"/>
            <w:left w:w="108" w:type="dxa"/>
            <w:bottom w:w="0" w:type="dxa"/>
            <w:right w:w="108" w:type="dxa"/>
          </w:tblCellMar>
        </w:tblPrEx>
        <w:trPr>
          <w:trHeight w:val="54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14:paraId="5D643E38">
            <w:pPr>
              <w:keepNext w:val="0"/>
              <w:keepLines w:val="0"/>
              <w:widowControl/>
              <w:suppressLineNumbers w:val="0"/>
              <w:jc w:val="center"/>
              <w:textAlignment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w:t>
            </w:r>
          </w:p>
        </w:tc>
        <w:tc>
          <w:tcPr>
            <w:tcW w:w="3181" w:type="dxa"/>
            <w:tcBorders>
              <w:top w:val="single" w:color="000000" w:sz="4" w:space="0"/>
              <w:left w:val="nil"/>
              <w:bottom w:val="single" w:color="000000" w:sz="4" w:space="0"/>
              <w:right w:val="single" w:color="000000" w:sz="4" w:space="0"/>
            </w:tcBorders>
            <w:noWrap w:val="0"/>
            <w:vAlign w:val="center"/>
          </w:tcPr>
          <w:p w14:paraId="537E65DD">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门禁系统</w:t>
            </w:r>
          </w:p>
        </w:tc>
        <w:tc>
          <w:tcPr>
            <w:tcW w:w="4714" w:type="dxa"/>
            <w:tcBorders>
              <w:top w:val="single" w:color="000000" w:sz="4" w:space="0"/>
              <w:left w:val="nil"/>
              <w:bottom w:val="single" w:color="000000" w:sz="4" w:space="0"/>
              <w:right w:val="single" w:color="000000" w:sz="4" w:space="0"/>
            </w:tcBorders>
            <w:noWrap w:val="0"/>
            <w:vAlign w:val="center"/>
          </w:tcPr>
          <w:p w14:paraId="6D3B78FC">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浙江大华、中控、海康威视</w:t>
            </w:r>
          </w:p>
        </w:tc>
      </w:tr>
      <w:tr w14:paraId="25DDCC40">
        <w:tblPrEx>
          <w:tblCellMar>
            <w:top w:w="0" w:type="dxa"/>
            <w:left w:w="108" w:type="dxa"/>
            <w:bottom w:w="0" w:type="dxa"/>
            <w:right w:w="108" w:type="dxa"/>
          </w:tblCellMar>
        </w:tblPrEx>
        <w:trPr>
          <w:trHeight w:val="54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14:paraId="01FE7A24">
            <w:pPr>
              <w:keepNext w:val="0"/>
              <w:keepLines w:val="0"/>
              <w:widowControl/>
              <w:suppressLineNumbers w:val="0"/>
              <w:jc w:val="center"/>
              <w:textAlignment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3181" w:type="dxa"/>
            <w:tcBorders>
              <w:top w:val="single" w:color="000000" w:sz="4" w:space="0"/>
              <w:left w:val="nil"/>
              <w:bottom w:val="single" w:color="000000" w:sz="4" w:space="0"/>
              <w:right w:val="single" w:color="000000" w:sz="4" w:space="0"/>
            </w:tcBorders>
            <w:noWrap w:val="0"/>
            <w:vAlign w:val="center"/>
          </w:tcPr>
          <w:p w14:paraId="1DD6F014">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入侵报警系统</w:t>
            </w:r>
          </w:p>
        </w:tc>
        <w:tc>
          <w:tcPr>
            <w:tcW w:w="4714" w:type="dxa"/>
            <w:tcBorders>
              <w:top w:val="single" w:color="000000" w:sz="4" w:space="0"/>
              <w:left w:val="nil"/>
              <w:bottom w:val="single" w:color="000000" w:sz="4" w:space="0"/>
              <w:right w:val="single" w:color="000000" w:sz="4" w:space="0"/>
            </w:tcBorders>
            <w:noWrap w:val="0"/>
            <w:vAlign w:val="center"/>
          </w:tcPr>
          <w:p w14:paraId="19048451">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上海优周、上海广拓、BOSCH</w:t>
            </w:r>
          </w:p>
        </w:tc>
      </w:tr>
      <w:tr w14:paraId="0D5EEA53">
        <w:tblPrEx>
          <w:tblCellMar>
            <w:top w:w="0" w:type="dxa"/>
            <w:left w:w="108" w:type="dxa"/>
            <w:bottom w:w="0" w:type="dxa"/>
            <w:right w:w="108" w:type="dxa"/>
          </w:tblCellMar>
        </w:tblPrEx>
        <w:trPr>
          <w:trHeight w:val="54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14:paraId="21AC7A09">
            <w:pPr>
              <w:keepNext w:val="0"/>
              <w:keepLines w:val="0"/>
              <w:widowControl/>
              <w:suppressLineNumbers w:val="0"/>
              <w:jc w:val="center"/>
              <w:textAlignment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w:t>
            </w:r>
          </w:p>
        </w:tc>
        <w:tc>
          <w:tcPr>
            <w:tcW w:w="3181" w:type="dxa"/>
            <w:tcBorders>
              <w:top w:val="single" w:color="000000" w:sz="4" w:space="0"/>
              <w:left w:val="nil"/>
              <w:bottom w:val="single" w:color="000000" w:sz="4" w:space="0"/>
              <w:right w:val="single" w:color="000000" w:sz="4" w:space="0"/>
            </w:tcBorders>
            <w:noWrap w:val="0"/>
            <w:vAlign w:val="center"/>
          </w:tcPr>
          <w:p w14:paraId="6F794880">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灯具</w:t>
            </w:r>
          </w:p>
        </w:tc>
        <w:tc>
          <w:tcPr>
            <w:tcW w:w="4714" w:type="dxa"/>
            <w:tcBorders>
              <w:top w:val="single" w:color="000000" w:sz="4" w:space="0"/>
              <w:left w:val="nil"/>
              <w:bottom w:val="single" w:color="000000" w:sz="4" w:space="0"/>
              <w:right w:val="single" w:color="000000" w:sz="4" w:space="0"/>
            </w:tcBorders>
            <w:noWrap w:val="0"/>
            <w:vAlign w:val="center"/>
          </w:tcPr>
          <w:p w14:paraId="3F94DBD2">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三雄极光、雷士、欧普</w:t>
            </w:r>
          </w:p>
        </w:tc>
      </w:tr>
      <w:tr w14:paraId="6A66BFAB">
        <w:tblPrEx>
          <w:tblCellMar>
            <w:top w:w="0" w:type="dxa"/>
            <w:left w:w="108" w:type="dxa"/>
            <w:bottom w:w="0" w:type="dxa"/>
            <w:right w:w="108" w:type="dxa"/>
          </w:tblCellMar>
        </w:tblPrEx>
        <w:trPr>
          <w:trHeight w:val="54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14:paraId="11E925F8">
            <w:pPr>
              <w:keepNext w:val="0"/>
              <w:keepLines w:val="0"/>
              <w:widowControl/>
              <w:suppressLineNumbers w:val="0"/>
              <w:jc w:val="center"/>
              <w:textAlignment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w:t>
            </w:r>
          </w:p>
        </w:tc>
        <w:tc>
          <w:tcPr>
            <w:tcW w:w="3181" w:type="dxa"/>
            <w:tcBorders>
              <w:top w:val="single" w:color="000000" w:sz="4" w:space="0"/>
              <w:left w:val="nil"/>
              <w:bottom w:val="single" w:color="000000" w:sz="4" w:space="0"/>
              <w:right w:val="single" w:color="000000" w:sz="4" w:space="0"/>
            </w:tcBorders>
            <w:noWrap w:val="0"/>
            <w:vAlign w:val="center"/>
          </w:tcPr>
          <w:p w14:paraId="433FA0A9">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网线</w:t>
            </w:r>
          </w:p>
        </w:tc>
        <w:tc>
          <w:tcPr>
            <w:tcW w:w="4714" w:type="dxa"/>
            <w:tcBorders>
              <w:top w:val="single" w:color="000000" w:sz="4" w:space="0"/>
              <w:left w:val="nil"/>
              <w:bottom w:val="single" w:color="000000" w:sz="4" w:space="0"/>
              <w:right w:val="single" w:color="000000" w:sz="4" w:space="0"/>
            </w:tcBorders>
            <w:noWrap w:val="0"/>
            <w:vAlign w:val="center"/>
          </w:tcPr>
          <w:p w14:paraId="23F5F8B1">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爱谱华顿、一舟、普天</w:t>
            </w:r>
          </w:p>
        </w:tc>
      </w:tr>
      <w:tr w14:paraId="66D77694">
        <w:tblPrEx>
          <w:tblCellMar>
            <w:top w:w="0" w:type="dxa"/>
            <w:left w:w="108" w:type="dxa"/>
            <w:bottom w:w="0" w:type="dxa"/>
            <w:right w:w="108" w:type="dxa"/>
          </w:tblCellMar>
        </w:tblPrEx>
        <w:trPr>
          <w:trHeight w:val="54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14:paraId="45DE9764">
            <w:pPr>
              <w:keepNext w:val="0"/>
              <w:keepLines w:val="0"/>
              <w:widowControl/>
              <w:suppressLineNumbers w:val="0"/>
              <w:jc w:val="center"/>
              <w:textAlignment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w:t>
            </w:r>
          </w:p>
        </w:tc>
        <w:tc>
          <w:tcPr>
            <w:tcW w:w="3181" w:type="dxa"/>
            <w:tcBorders>
              <w:top w:val="single" w:color="000000" w:sz="4" w:space="0"/>
              <w:left w:val="nil"/>
              <w:bottom w:val="single" w:color="000000" w:sz="4" w:space="0"/>
              <w:right w:val="single" w:color="000000" w:sz="4" w:space="0"/>
            </w:tcBorders>
            <w:noWrap w:val="0"/>
            <w:vAlign w:val="center"/>
          </w:tcPr>
          <w:p w14:paraId="2245B4A2">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电线电缆</w:t>
            </w:r>
          </w:p>
        </w:tc>
        <w:tc>
          <w:tcPr>
            <w:tcW w:w="4714" w:type="dxa"/>
            <w:tcBorders>
              <w:top w:val="single" w:color="000000" w:sz="4" w:space="0"/>
              <w:left w:val="nil"/>
              <w:bottom w:val="single" w:color="000000" w:sz="4" w:space="0"/>
              <w:right w:val="single" w:color="000000" w:sz="4" w:space="0"/>
            </w:tcBorders>
            <w:noWrap w:val="0"/>
            <w:vAlign w:val="center"/>
          </w:tcPr>
          <w:p w14:paraId="713327EE">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球冠、东方、远东</w:t>
            </w:r>
          </w:p>
        </w:tc>
      </w:tr>
      <w:tr w14:paraId="69318B86">
        <w:tblPrEx>
          <w:tblCellMar>
            <w:top w:w="0" w:type="dxa"/>
            <w:left w:w="108" w:type="dxa"/>
            <w:bottom w:w="0" w:type="dxa"/>
            <w:right w:w="108" w:type="dxa"/>
          </w:tblCellMar>
        </w:tblPrEx>
        <w:trPr>
          <w:trHeight w:val="54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14:paraId="0A44F698">
            <w:pPr>
              <w:keepNext w:val="0"/>
              <w:keepLines w:val="0"/>
              <w:widowControl/>
              <w:suppressLineNumbers w:val="0"/>
              <w:jc w:val="center"/>
              <w:textAlignment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w:t>
            </w:r>
          </w:p>
        </w:tc>
        <w:tc>
          <w:tcPr>
            <w:tcW w:w="3181" w:type="dxa"/>
            <w:tcBorders>
              <w:top w:val="single" w:color="000000" w:sz="4" w:space="0"/>
              <w:left w:val="nil"/>
              <w:bottom w:val="single" w:color="000000" w:sz="4" w:space="0"/>
              <w:right w:val="single" w:color="000000" w:sz="4" w:space="0"/>
            </w:tcBorders>
            <w:noWrap w:val="0"/>
            <w:vAlign w:val="center"/>
          </w:tcPr>
          <w:p w14:paraId="319DD8B4">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JDG管</w:t>
            </w:r>
          </w:p>
        </w:tc>
        <w:tc>
          <w:tcPr>
            <w:tcW w:w="4714" w:type="dxa"/>
            <w:tcBorders>
              <w:top w:val="single" w:color="000000" w:sz="4" w:space="0"/>
              <w:left w:val="nil"/>
              <w:bottom w:val="single" w:color="000000" w:sz="4" w:space="0"/>
              <w:right w:val="single" w:color="000000" w:sz="4" w:space="0"/>
            </w:tcBorders>
            <w:noWrap w:val="0"/>
            <w:vAlign w:val="center"/>
          </w:tcPr>
          <w:p w14:paraId="24923496">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亿泰顺兴、武陵源、萧通</w:t>
            </w:r>
          </w:p>
        </w:tc>
      </w:tr>
      <w:tr w14:paraId="045D54A2">
        <w:tblPrEx>
          <w:tblCellMar>
            <w:top w:w="0" w:type="dxa"/>
            <w:left w:w="108" w:type="dxa"/>
            <w:bottom w:w="0" w:type="dxa"/>
            <w:right w:w="108" w:type="dxa"/>
          </w:tblCellMar>
        </w:tblPrEx>
        <w:trPr>
          <w:trHeight w:val="54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14:paraId="63A5CF09">
            <w:pPr>
              <w:keepNext w:val="0"/>
              <w:keepLines w:val="0"/>
              <w:widowControl/>
              <w:suppressLineNumbers w:val="0"/>
              <w:jc w:val="center"/>
              <w:textAlignment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w:t>
            </w:r>
          </w:p>
        </w:tc>
        <w:tc>
          <w:tcPr>
            <w:tcW w:w="3181" w:type="dxa"/>
            <w:tcBorders>
              <w:top w:val="single" w:color="000000" w:sz="4" w:space="0"/>
              <w:left w:val="nil"/>
              <w:bottom w:val="single" w:color="000000" w:sz="4" w:space="0"/>
              <w:right w:val="single" w:color="000000" w:sz="4" w:space="0"/>
            </w:tcBorders>
            <w:noWrap w:val="0"/>
            <w:vAlign w:val="center"/>
          </w:tcPr>
          <w:p w14:paraId="578DE3AD">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镀锌钢管</w:t>
            </w:r>
          </w:p>
        </w:tc>
        <w:tc>
          <w:tcPr>
            <w:tcW w:w="4714" w:type="dxa"/>
            <w:tcBorders>
              <w:top w:val="single" w:color="000000" w:sz="4" w:space="0"/>
              <w:left w:val="nil"/>
              <w:bottom w:val="single" w:color="000000" w:sz="4" w:space="0"/>
              <w:right w:val="single" w:color="000000" w:sz="4" w:space="0"/>
            </w:tcBorders>
            <w:noWrap w:val="0"/>
            <w:vAlign w:val="center"/>
          </w:tcPr>
          <w:p w14:paraId="04CA9F5C">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天津友发、天津利达、华岐</w:t>
            </w:r>
          </w:p>
        </w:tc>
      </w:tr>
    </w:tbl>
    <w:p w14:paraId="7C25A153">
      <w:pPr>
        <w:numPr>
          <w:ilvl w:val="0"/>
          <w:numId w:val="2"/>
        </w:num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其他要求：</w:t>
      </w:r>
    </w:p>
    <w:p w14:paraId="42468784">
      <w:pPr>
        <w:keepNext w:val="0"/>
        <w:keepLines w:val="0"/>
        <w:pageBreakBefore w:val="0"/>
        <w:widowControl w:val="0"/>
        <w:tabs>
          <w:tab w:val="left" w:pos="3060"/>
          <w:tab w:val="left" w:pos="9180"/>
          <w:tab w:val="left" w:pos="9360"/>
        </w:tabs>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szCs w:val="21"/>
          <w:highlight w:val="none"/>
        </w:rPr>
        <w:t>3.1质量要求：</w:t>
      </w:r>
      <w:r>
        <w:rPr>
          <w:rFonts w:hint="eastAsia" w:asciiTheme="minorEastAsia" w:hAnsiTheme="minorEastAsia" w:eastAsiaTheme="minorEastAsia"/>
          <w:color w:val="auto"/>
          <w:szCs w:val="21"/>
          <w:highlight w:val="none"/>
          <w:lang w:val="en-US" w:eastAsia="zh-CN"/>
        </w:rPr>
        <w:t>符合</w:t>
      </w:r>
      <w:r>
        <w:rPr>
          <w:rFonts w:asciiTheme="minorEastAsia" w:hAnsiTheme="minorEastAsia" w:eastAsiaTheme="minorEastAsia"/>
          <w:color w:val="auto"/>
          <w:szCs w:val="21"/>
          <w:highlight w:val="none"/>
        </w:rPr>
        <w:t>国家</w:t>
      </w:r>
      <w:r>
        <w:rPr>
          <w:rFonts w:hint="eastAsia" w:asciiTheme="minorEastAsia" w:hAnsiTheme="minorEastAsia" w:eastAsiaTheme="minorEastAsia"/>
          <w:color w:val="auto"/>
          <w:szCs w:val="21"/>
          <w:highlight w:val="none"/>
          <w:lang w:val="en-US" w:eastAsia="zh-CN"/>
        </w:rPr>
        <w:t>和行业</w:t>
      </w:r>
      <w:r>
        <w:rPr>
          <w:rFonts w:asciiTheme="minorEastAsia" w:hAnsiTheme="minorEastAsia" w:eastAsiaTheme="minorEastAsia"/>
          <w:color w:val="auto"/>
          <w:szCs w:val="21"/>
          <w:highlight w:val="none"/>
        </w:rPr>
        <w:t>施工验收规范一次性验收合格</w:t>
      </w:r>
      <w:r>
        <w:rPr>
          <w:rFonts w:hint="eastAsia" w:asciiTheme="minorEastAsia" w:hAnsiTheme="minorEastAsia" w:eastAsiaTheme="minorEastAsia"/>
          <w:color w:val="auto"/>
          <w:szCs w:val="21"/>
          <w:highlight w:val="none"/>
          <w:lang w:val="en-US" w:eastAsia="zh-CN"/>
        </w:rPr>
        <w:t>标准</w:t>
      </w:r>
    </w:p>
    <w:p w14:paraId="5EF55018">
      <w:pPr>
        <w:keepNext w:val="0"/>
        <w:keepLines w:val="0"/>
        <w:pageBreakBefore w:val="0"/>
        <w:widowControl w:val="0"/>
        <w:tabs>
          <w:tab w:val="left" w:pos="3060"/>
          <w:tab w:val="left" w:pos="9180"/>
          <w:tab w:val="left" w:pos="9360"/>
        </w:tabs>
        <w:kinsoku/>
        <w:wordWrap/>
        <w:overflowPunct/>
        <w:topLinePunct w:val="0"/>
        <w:autoSpaceDE/>
        <w:autoSpaceDN/>
        <w:bidi w:val="0"/>
        <w:adjustRightInd/>
        <w:snapToGrid/>
        <w:spacing w:line="360" w:lineRule="auto"/>
        <w:ind w:firstLine="420" w:firstLineChars="200"/>
        <w:textAlignment w:val="auto"/>
        <w:rPr>
          <w:rFonts w:hint="eastAsia" w:hAnsi="宋体" w:cs="宋体"/>
          <w:color w:val="auto"/>
          <w:highlight w:val="none"/>
        </w:rPr>
      </w:pPr>
      <w:r>
        <w:rPr>
          <w:rFonts w:hint="eastAsia" w:ascii="宋体" w:hAnsi="宋体" w:cs="宋体"/>
          <w:color w:val="auto"/>
          <w:kern w:val="0"/>
          <w:szCs w:val="21"/>
          <w:highlight w:val="none"/>
        </w:rPr>
        <w:t>3.2安全要求：合格。</w:t>
      </w:r>
    </w:p>
    <w:p w14:paraId="32AB86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3.3 施工严格按照国家规范和采购人要求进行，完成后满足采购人要求；</w:t>
      </w:r>
    </w:p>
    <w:p w14:paraId="0087E7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3.4 现场项目经理必须专职履行现场管理工作。如有违反，采购人有权终止合同，所造成的损失由成交单位负责，但征得采购人同意的除外。</w:t>
      </w:r>
    </w:p>
    <w:p w14:paraId="7BAD0C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3.5 成交供应商应使用训练有素的相关人员，持证上岗，按施工技术规范和质量验收规范施工。</w:t>
      </w:r>
    </w:p>
    <w:p w14:paraId="3F314E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3.6 施工前应编制详细的施工组织设计，并经采购人批准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包含但不仅限于：</w:t>
      </w:r>
    </w:p>
    <w:p w14:paraId="292171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3.6.1</w:t>
      </w:r>
      <w:r>
        <w:rPr>
          <w:rFonts w:hint="eastAsia" w:ascii="宋体" w:hAnsi="宋体" w:eastAsia="宋体" w:cs="宋体"/>
          <w:color w:val="auto"/>
          <w:szCs w:val="21"/>
          <w:highlight w:val="none"/>
        </w:rPr>
        <w:t>、提供施工现场平面布置</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（包含但不仅限于方案详实情况；施工现场临时设置布置情况；施工设备、原材料堆放情况；</w:t>
      </w:r>
      <w:r>
        <w:rPr>
          <w:rFonts w:hint="eastAsia" w:ascii="宋体" w:hAnsi="宋体" w:eastAsia="宋体" w:cs="宋体"/>
          <w:color w:val="auto"/>
          <w:szCs w:val="21"/>
          <w:highlight w:val="none"/>
          <w:lang w:val="en-US" w:eastAsia="zh-CN"/>
        </w:rPr>
        <w:t>交通运输情况</w:t>
      </w:r>
      <w:r>
        <w:rPr>
          <w:rFonts w:hint="eastAsia" w:ascii="宋体" w:hAnsi="宋体" w:eastAsia="宋体" w:cs="宋体"/>
          <w:color w:val="auto"/>
          <w:szCs w:val="21"/>
          <w:highlight w:val="none"/>
        </w:rPr>
        <w:t>等）；</w:t>
      </w:r>
    </w:p>
    <w:p w14:paraId="73716D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3.6.</w:t>
      </w:r>
      <w:r>
        <w:rPr>
          <w:rFonts w:hint="eastAsia" w:ascii="宋体" w:hAnsi="宋体" w:eastAsia="宋体" w:cs="宋体"/>
          <w:color w:val="auto"/>
          <w:szCs w:val="21"/>
          <w:highlight w:val="none"/>
        </w:rPr>
        <w:t>2、对项目现有状况和实施状况</w:t>
      </w:r>
      <w:r>
        <w:rPr>
          <w:rFonts w:hint="eastAsia" w:ascii="宋体" w:hAnsi="宋体" w:eastAsia="宋体" w:cs="宋体"/>
          <w:color w:val="auto"/>
          <w:szCs w:val="21"/>
          <w:highlight w:val="none"/>
          <w:lang w:val="en-US" w:eastAsia="zh-CN"/>
        </w:rPr>
        <w:t>进行</w:t>
      </w:r>
      <w:r>
        <w:rPr>
          <w:rFonts w:hint="eastAsia" w:ascii="宋体" w:hAnsi="宋体" w:eastAsia="宋体" w:cs="宋体"/>
          <w:color w:val="auto"/>
          <w:szCs w:val="21"/>
          <w:highlight w:val="none"/>
        </w:rPr>
        <w:t>调研和分析</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提供施工方案（</w:t>
      </w:r>
      <w:r>
        <w:rPr>
          <w:rFonts w:hint="eastAsia" w:ascii="宋体" w:hAnsi="宋体" w:cs="宋体"/>
          <w:color w:val="auto"/>
          <w:highlight w:val="none"/>
          <w:lang w:eastAsia="zh-CN"/>
        </w:rPr>
        <w:t>包含但不仅限于</w:t>
      </w:r>
      <w:r>
        <w:rPr>
          <w:rFonts w:hint="eastAsia" w:ascii="宋体" w:hAnsi="宋体" w:cs="宋体"/>
          <w:color w:val="auto"/>
          <w:highlight w:val="none"/>
          <w:lang w:val="en-US" w:eastAsia="zh-CN"/>
        </w:rPr>
        <w:t>建筑工程、安装工程、智能化工程</w:t>
      </w:r>
      <w:r>
        <w:rPr>
          <w:rFonts w:hint="eastAsia" w:ascii="宋体" w:hAnsi="宋体" w:eastAsia="宋体" w:cs="宋体"/>
          <w:color w:val="auto"/>
          <w:szCs w:val="21"/>
          <w:highlight w:val="none"/>
        </w:rPr>
        <w:t>）；</w:t>
      </w:r>
    </w:p>
    <w:p w14:paraId="418408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3.6.3、</w:t>
      </w:r>
      <w:r>
        <w:rPr>
          <w:rFonts w:hint="eastAsia" w:ascii="宋体" w:hAnsi="宋体" w:eastAsia="宋体" w:cs="宋体"/>
          <w:color w:val="auto"/>
          <w:szCs w:val="21"/>
          <w:highlight w:val="none"/>
        </w:rPr>
        <w:t>提供</w:t>
      </w:r>
      <w:r>
        <w:rPr>
          <w:rFonts w:hint="eastAsia" w:ascii="宋体" w:hAnsi="宋体" w:cs="宋体"/>
          <w:color w:val="auto"/>
          <w:highlight w:val="none"/>
        </w:rPr>
        <w:t>项目的重点、难点分析</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包含但不仅限于防水施工、多点位施工、施工区域封闭管理、对正常教学的影响等</w:t>
      </w:r>
      <w:r>
        <w:rPr>
          <w:rFonts w:hint="eastAsia" w:ascii="宋体" w:hAnsi="宋体" w:cs="宋体"/>
          <w:color w:val="auto"/>
          <w:highlight w:val="none"/>
          <w:lang w:eastAsia="zh-CN"/>
        </w:rPr>
        <w:t>）</w:t>
      </w:r>
      <w:r>
        <w:rPr>
          <w:rFonts w:hint="eastAsia" w:ascii="宋体" w:hAnsi="宋体" w:eastAsia="宋体" w:cs="宋体"/>
          <w:color w:val="auto"/>
          <w:szCs w:val="21"/>
          <w:highlight w:val="none"/>
        </w:rPr>
        <w:t>；</w:t>
      </w:r>
    </w:p>
    <w:p w14:paraId="1936BF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3.6.4、</w:t>
      </w:r>
      <w:r>
        <w:rPr>
          <w:rFonts w:hint="eastAsia" w:ascii="宋体" w:hAnsi="宋体" w:eastAsia="宋体" w:cs="宋体"/>
          <w:color w:val="auto"/>
          <w:szCs w:val="21"/>
          <w:highlight w:val="none"/>
        </w:rPr>
        <w:t>提供</w:t>
      </w:r>
      <w:r>
        <w:rPr>
          <w:rFonts w:hint="eastAsia" w:ascii="宋体" w:hAnsi="宋体" w:cs="宋体"/>
          <w:color w:val="auto"/>
          <w:highlight w:val="none"/>
        </w:rPr>
        <w:t>突发事件</w:t>
      </w:r>
      <w:r>
        <w:rPr>
          <w:rFonts w:hint="eastAsia" w:ascii="宋体" w:hAnsi="宋体" w:cs="宋体"/>
          <w:color w:val="auto"/>
          <w:highlight w:val="none"/>
          <w:lang w:val="en-US" w:eastAsia="zh-CN"/>
        </w:rPr>
        <w:t>的</w:t>
      </w:r>
      <w:r>
        <w:rPr>
          <w:rFonts w:hint="eastAsia" w:ascii="宋体" w:hAnsi="宋体" w:cs="宋体"/>
          <w:color w:val="auto"/>
          <w:highlight w:val="none"/>
        </w:rPr>
        <w:t>应急措施</w:t>
      </w:r>
      <w:r>
        <w:rPr>
          <w:rFonts w:hint="eastAsia" w:ascii="宋体" w:hAnsi="宋体" w:cs="宋体"/>
          <w:color w:val="auto"/>
          <w:highlight w:val="none"/>
          <w:lang w:eastAsia="zh-CN"/>
        </w:rPr>
        <w:t>（包含不限于发生火灾、触电、机械伤害等事故的逃生和急救方案等）</w:t>
      </w:r>
      <w:r>
        <w:rPr>
          <w:rFonts w:hint="eastAsia" w:ascii="宋体" w:hAnsi="宋体" w:eastAsia="宋体" w:cs="宋体"/>
          <w:color w:val="auto"/>
          <w:szCs w:val="21"/>
          <w:highlight w:val="none"/>
          <w:lang w:eastAsia="zh-CN"/>
        </w:rPr>
        <w:t>；</w:t>
      </w:r>
    </w:p>
    <w:p w14:paraId="736161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3.6.5、</w:t>
      </w:r>
      <w:r>
        <w:rPr>
          <w:rFonts w:hint="eastAsia" w:ascii="宋体" w:hAnsi="宋体" w:eastAsia="宋体" w:cs="宋体"/>
          <w:color w:val="auto"/>
          <w:szCs w:val="21"/>
          <w:highlight w:val="none"/>
        </w:rPr>
        <w:t>提供</w:t>
      </w:r>
      <w:r>
        <w:rPr>
          <w:rFonts w:hint="eastAsia" w:ascii="宋体" w:hAnsi="宋体" w:cs="宋体"/>
          <w:color w:val="auto"/>
          <w:highlight w:val="none"/>
        </w:rPr>
        <w:t>项目施工进度计划</w:t>
      </w:r>
      <w:r>
        <w:rPr>
          <w:rFonts w:hint="eastAsia" w:ascii="宋体" w:hAnsi="宋体" w:cs="宋体"/>
          <w:color w:val="auto"/>
          <w:highlight w:val="none"/>
          <w:lang w:val="en-US" w:eastAsia="zh-CN"/>
        </w:rPr>
        <w:t>(</w:t>
      </w:r>
      <w:r>
        <w:rPr>
          <w:rFonts w:hint="eastAsia" w:ascii="宋体" w:hAnsi="宋体" w:cs="宋体"/>
          <w:color w:val="auto"/>
          <w:highlight w:val="none"/>
          <w:lang w:eastAsia="zh-CN"/>
        </w:rPr>
        <w:t>包含不限于</w:t>
      </w:r>
      <w:r>
        <w:rPr>
          <w:rFonts w:hint="eastAsia" w:ascii="宋体" w:hAnsi="宋体" w:cs="宋体"/>
          <w:color w:val="auto"/>
          <w:highlight w:val="none"/>
          <w:lang w:val="en-US" w:eastAsia="zh-CN"/>
        </w:rPr>
        <w:t>时间节点安排、关键线路施工安排)</w:t>
      </w:r>
      <w:r>
        <w:rPr>
          <w:rFonts w:hint="eastAsia" w:ascii="宋体" w:hAnsi="宋体" w:cs="宋体"/>
          <w:color w:val="auto"/>
          <w:highlight w:val="none"/>
        </w:rPr>
        <w:t>、劳动力计划措施方案</w:t>
      </w:r>
      <w:r>
        <w:rPr>
          <w:rFonts w:hint="eastAsia" w:ascii="宋体" w:hAnsi="宋体" w:cs="宋体"/>
          <w:color w:val="auto"/>
          <w:highlight w:val="none"/>
          <w:lang w:eastAsia="zh-CN"/>
        </w:rPr>
        <w:t>（包含不限于</w:t>
      </w:r>
      <w:r>
        <w:rPr>
          <w:rFonts w:hint="eastAsia" w:ascii="宋体" w:hAnsi="宋体" w:cs="宋体"/>
          <w:color w:val="auto"/>
          <w:highlight w:val="none"/>
          <w:lang w:val="en-US" w:eastAsia="zh-CN"/>
        </w:rPr>
        <w:t>各阶段施工工种配置、作业人员数量</w:t>
      </w:r>
      <w:r>
        <w:rPr>
          <w:rFonts w:hint="eastAsia" w:ascii="宋体" w:hAnsi="宋体" w:cs="宋体"/>
          <w:color w:val="auto"/>
          <w:highlight w:val="none"/>
          <w:lang w:eastAsia="zh-CN"/>
        </w:rPr>
        <w:t>）</w:t>
      </w:r>
      <w:r>
        <w:rPr>
          <w:rFonts w:hint="eastAsia" w:ascii="宋体" w:hAnsi="宋体" w:eastAsia="宋体" w:cs="宋体"/>
          <w:color w:val="auto"/>
          <w:szCs w:val="21"/>
          <w:highlight w:val="none"/>
        </w:rPr>
        <w:t>；</w:t>
      </w:r>
    </w:p>
    <w:p w14:paraId="7998F4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3.6.6、提供</w:t>
      </w:r>
      <w:r>
        <w:rPr>
          <w:rFonts w:hint="eastAsia" w:ascii="宋体" w:hAnsi="宋体" w:cs="宋体"/>
          <w:color w:val="auto"/>
          <w:highlight w:val="none"/>
        </w:rPr>
        <w:t>质量管理体系和</w:t>
      </w:r>
      <w:r>
        <w:rPr>
          <w:rFonts w:hint="eastAsia" w:ascii="宋体" w:hAnsi="宋体" w:cs="宋体"/>
          <w:color w:val="auto"/>
          <w:highlight w:val="none"/>
          <w:lang w:val="en-US" w:eastAsia="zh-CN"/>
        </w:rPr>
        <w:t>保障</w:t>
      </w:r>
      <w:r>
        <w:rPr>
          <w:rFonts w:hint="eastAsia" w:ascii="宋体" w:hAnsi="宋体" w:cs="宋体"/>
          <w:color w:val="auto"/>
          <w:highlight w:val="none"/>
        </w:rPr>
        <w:t>措施</w:t>
      </w:r>
      <w:r>
        <w:rPr>
          <w:rFonts w:hint="eastAsia" w:ascii="宋体" w:hAnsi="宋体" w:cs="宋体"/>
          <w:color w:val="auto"/>
          <w:szCs w:val="21"/>
          <w:highlight w:val="none"/>
        </w:rPr>
        <w:t>（</w:t>
      </w:r>
      <w:r>
        <w:rPr>
          <w:rFonts w:hint="eastAsia" w:ascii="宋体" w:hAnsi="宋体" w:cs="宋体"/>
          <w:color w:val="auto"/>
          <w:highlight w:val="none"/>
        </w:rPr>
        <w:t>包括但不仅限于材料</w:t>
      </w:r>
      <w:r>
        <w:rPr>
          <w:rFonts w:hint="eastAsia" w:ascii="宋体" w:hAnsi="宋体" w:cs="宋体"/>
          <w:color w:val="auto"/>
          <w:szCs w:val="21"/>
          <w:highlight w:val="none"/>
        </w:rPr>
        <w:t>、</w:t>
      </w:r>
      <w:r>
        <w:rPr>
          <w:rFonts w:hint="eastAsia" w:ascii="宋体" w:hAnsi="宋体" w:cs="宋体"/>
          <w:color w:val="auto"/>
          <w:highlight w:val="none"/>
        </w:rPr>
        <w:t>设备质量保证措施</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采用的施工方法</w:t>
      </w:r>
      <w:r>
        <w:rPr>
          <w:rFonts w:hint="eastAsia" w:ascii="宋体" w:hAnsi="宋体" w:cs="宋体"/>
          <w:color w:val="auto"/>
          <w:highlight w:val="none"/>
        </w:rPr>
        <w:t>等</w:t>
      </w: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w:t>
      </w:r>
    </w:p>
    <w:p w14:paraId="223928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3.6.7、</w:t>
      </w:r>
      <w:r>
        <w:rPr>
          <w:rFonts w:hint="eastAsia" w:ascii="宋体" w:hAnsi="宋体" w:eastAsia="宋体" w:cs="宋体"/>
          <w:color w:val="auto"/>
          <w:szCs w:val="21"/>
          <w:highlight w:val="none"/>
        </w:rPr>
        <w:t>提供</w:t>
      </w:r>
      <w:r>
        <w:rPr>
          <w:rFonts w:hint="eastAsia" w:ascii="宋体" w:hAnsi="宋体" w:cs="宋体"/>
          <w:color w:val="auto"/>
          <w:highlight w:val="none"/>
        </w:rPr>
        <w:t>安全文明</w:t>
      </w:r>
      <w:r>
        <w:rPr>
          <w:rFonts w:hint="eastAsia" w:ascii="宋体" w:hAnsi="宋体" w:cs="宋体"/>
          <w:color w:val="auto"/>
          <w:highlight w:val="none"/>
          <w:lang w:eastAsia="zh-CN"/>
        </w:rPr>
        <w:t>（包含但不限于安全保障措施、安全教育、施工安全管理、临时用电、</w:t>
      </w:r>
      <w:r>
        <w:rPr>
          <w:rFonts w:hint="eastAsia" w:ascii="宋体" w:hAnsi="宋体" w:cs="宋体"/>
          <w:color w:val="auto"/>
          <w:highlight w:val="none"/>
          <w:lang w:val="en-US" w:eastAsia="zh-CN"/>
        </w:rPr>
        <w:t>用火</w:t>
      </w:r>
      <w:r>
        <w:rPr>
          <w:rFonts w:hint="eastAsia" w:ascii="宋体" w:hAnsi="宋体" w:cs="宋体"/>
          <w:color w:val="auto"/>
          <w:highlight w:val="none"/>
          <w:lang w:eastAsia="zh-CN"/>
        </w:rPr>
        <w:t>防护措施）</w:t>
      </w:r>
      <w:r>
        <w:rPr>
          <w:rFonts w:hint="eastAsia" w:ascii="宋体" w:hAnsi="宋体" w:cs="宋体"/>
          <w:color w:val="auto"/>
          <w:highlight w:val="none"/>
        </w:rPr>
        <w:t>、环境保护措施（包含</w:t>
      </w:r>
      <w:r>
        <w:rPr>
          <w:rFonts w:hint="eastAsia" w:ascii="宋体" w:hAnsi="宋体" w:cs="宋体"/>
          <w:color w:val="auto"/>
          <w:highlight w:val="none"/>
          <w:lang w:val="en-US" w:eastAsia="zh-CN"/>
        </w:rPr>
        <w:t>但不限于</w:t>
      </w:r>
      <w:r>
        <w:rPr>
          <w:rFonts w:hint="eastAsia" w:ascii="宋体" w:hAnsi="宋体" w:cs="宋体"/>
          <w:color w:val="auto"/>
          <w:highlight w:val="none"/>
        </w:rPr>
        <w:t>防噪音、防扬尘、防刺鼻气味等施工环境维护保障措施等）</w:t>
      </w:r>
      <w:r>
        <w:rPr>
          <w:rFonts w:hint="eastAsia" w:ascii="宋体" w:hAnsi="宋体" w:eastAsia="宋体" w:cs="宋体"/>
          <w:color w:val="auto"/>
          <w:szCs w:val="21"/>
          <w:highlight w:val="none"/>
          <w:lang w:eastAsia="zh-CN"/>
        </w:rPr>
        <w:t>；</w:t>
      </w:r>
    </w:p>
    <w:p w14:paraId="7A3C45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3.6.8、提供</w:t>
      </w:r>
      <w:r>
        <w:rPr>
          <w:rFonts w:hint="eastAsia" w:ascii="宋体" w:hAnsi="宋体" w:cs="宋体"/>
          <w:color w:val="auto"/>
          <w:highlight w:val="none"/>
        </w:rPr>
        <w:t>对施工阶段正常出入非施工区域的安全施工保障措施</w:t>
      </w:r>
      <w:r>
        <w:rPr>
          <w:rFonts w:hint="eastAsia" w:ascii="宋体" w:hAnsi="宋体" w:eastAsia="宋体" w:cs="宋体"/>
          <w:color w:val="auto"/>
          <w:szCs w:val="21"/>
          <w:highlight w:val="none"/>
          <w:lang w:val="en-US" w:eastAsia="zh-CN"/>
        </w:rPr>
        <w:t>，确保人车通行；</w:t>
      </w:r>
    </w:p>
    <w:p w14:paraId="3F0842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提供</w:t>
      </w:r>
      <w:r>
        <w:rPr>
          <w:rFonts w:hint="eastAsia" w:ascii="宋体" w:hAnsi="宋体" w:cs="宋体"/>
          <w:color w:val="auto"/>
          <w:highlight w:val="none"/>
        </w:rPr>
        <w:t>机械配备措施方案</w:t>
      </w:r>
      <w:r>
        <w:rPr>
          <w:rFonts w:hint="eastAsia" w:ascii="宋体" w:hAnsi="宋体" w:cs="宋体"/>
          <w:color w:val="auto"/>
          <w:highlight w:val="none"/>
          <w:lang w:eastAsia="zh-CN"/>
        </w:rPr>
        <w:t>（包括但不仅限于主要施工机械设备配备</w:t>
      </w:r>
      <w:r>
        <w:rPr>
          <w:rFonts w:hint="eastAsia" w:ascii="宋体" w:hAnsi="宋体" w:cs="宋体"/>
          <w:color w:val="auto"/>
          <w:highlight w:val="none"/>
          <w:lang w:val="en-US" w:eastAsia="zh-CN"/>
        </w:rPr>
        <w:t>、设备管理制度</w:t>
      </w:r>
      <w:r>
        <w:rPr>
          <w:rFonts w:hint="eastAsia" w:ascii="宋体" w:hAnsi="宋体" w:cs="宋体"/>
          <w:color w:val="auto"/>
          <w:highlight w:val="none"/>
          <w:lang w:eastAsia="zh-CN"/>
        </w:rPr>
        <w:t>）</w:t>
      </w:r>
      <w:r>
        <w:rPr>
          <w:rFonts w:hint="eastAsia" w:ascii="宋体" w:hAnsi="宋体" w:eastAsia="宋体" w:cs="宋体"/>
          <w:color w:val="auto"/>
          <w:szCs w:val="21"/>
          <w:highlight w:val="none"/>
          <w:lang w:val="en-US" w:eastAsia="zh-CN"/>
        </w:rPr>
        <w:t>；</w:t>
      </w:r>
    </w:p>
    <w:p w14:paraId="242987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3.6.10、</w:t>
      </w: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lang w:val="en-US" w:eastAsia="zh-CN"/>
        </w:rPr>
        <w:t>产品保护措施（包括但不仅限于原材料采购、已完工的成品等失窃或失火）；</w:t>
      </w:r>
    </w:p>
    <w:p w14:paraId="4E9BFD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3.6.</w:t>
      </w:r>
      <w:r>
        <w:rPr>
          <w:rFonts w:hint="eastAsia" w:ascii="宋体" w:hAnsi="宋体" w:eastAsia="宋体" w:cs="宋体"/>
          <w:color w:val="auto"/>
          <w:szCs w:val="21"/>
          <w:highlight w:val="none"/>
        </w:rPr>
        <w:t>11、提供服务便捷性优势方面的描述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包括服务机构基本情况、稳定性、项目实施期间配合服务的便捷程度等</w:t>
      </w:r>
      <w:r>
        <w:rPr>
          <w:rFonts w:hint="eastAsia" w:ascii="宋体" w:hAnsi="宋体" w:cs="宋体"/>
          <w:color w:val="auto"/>
          <w:szCs w:val="21"/>
          <w:highlight w:val="none"/>
          <w:lang w:eastAsia="zh-CN"/>
        </w:rPr>
        <w:t>；</w:t>
      </w:r>
    </w:p>
    <w:p w14:paraId="55CF8F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3.6.12、根据供应商自身经验</w:t>
      </w:r>
      <w:r>
        <w:rPr>
          <w:rFonts w:hint="eastAsia" w:ascii="宋体" w:hAnsi="宋体"/>
          <w:color w:val="auto"/>
          <w:highlight w:val="none"/>
        </w:rPr>
        <w:t>提供合理化建议</w:t>
      </w:r>
      <w:r>
        <w:rPr>
          <w:rFonts w:hint="eastAsia" w:ascii="宋体" w:hAnsi="宋体"/>
          <w:color w:val="auto"/>
          <w:highlight w:val="none"/>
          <w:lang w:eastAsia="zh-CN"/>
        </w:rPr>
        <w:t>。</w:t>
      </w:r>
    </w:p>
    <w:p w14:paraId="42548E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3.7 工程验收：成交供应商在完成合同约定的工作内容，并自检合格，经采购人复查同意，达到设计和规范要求，可申请工程验收。采购人按国家、行业规范标准、地方规定、工程验收程序组织验收。</w:t>
      </w:r>
    </w:p>
    <w:p w14:paraId="75F448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3.8 在施工过程中要注意对环境的保护。施工过程中出现一切安全事故，均由成交供应商承担，采购人不承担任何责任。</w:t>
      </w:r>
    </w:p>
    <w:p w14:paraId="2C56C9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3.9 在施工过程中，必须依据现行施工规范、现行检测标准，达到优质工程标准。</w:t>
      </w:r>
    </w:p>
    <w:p w14:paraId="5B62EADD">
      <w:pPr>
        <w:wordWrap w:val="0"/>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四、图纸</w:t>
      </w:r>
    </w:p>
    <w:p w14:paraId="10863E3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另附册</w:t>
      </w:r>
    </w:p>
    <w:p w14:paraId="1D35C16C">
      <w:pPr>
        <w:wordWrap w:val="0"/>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五、工程量清单（招标控制价编制报告）</w:t>
      </w:r>
    </w:p>
    <w:p w14:paraId="145FC3D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另附册</w:t>
      </w:r>
    </w:p>
    <w:p w14:paraId="5CA1E92A">
      <w:pPr>
        <w:wordWrap w:val="0"/>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六、其他资料</w:t>
      </w:r>
    </w:p>
    <w:p w14:paraId="0BC6045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另附册</w:t>
      </w:r>
    </w:p>
    <w:p w14:paraId="78E518C8">
      <w:pPr>
        <w:spacing w:line="440" w:lineRule="exact"/>
        <w:ind w:firstLine="420" w:firstLineChars="200"/>
        <w:rPr>
          <w:rFonts w:ascii="宋体" w:hAnsi="宋体"/>
          <w:color w:val="auto"/>
          <w:szCs w:val="21"/>
          <w:highlight w:val="none"/>
        </w:rPr>
      </w:pPr>
    </w:p>
    <w:p w14:paraId="10FC43C8">
      <w:pPr>
        <w:rPr>
          <w:rFonts w:ascii="宋体" w:hAnsi="宋体"/>
          <w:color w:val="auto"/>
          <w:szCs w:val="21"/>
          <w:highlight w:val="none"/>
        </w:rPr>
      </w:pPr>
      <w:bookmarkStart w:id="56" w:name="_Toc45101751"/>
      <w:bookmarkStart w:id="57" w:name="_Toc9004025"/>
      <w:r>
        <w:rPr>
          <w:rFonts w:ascii="宋体" w:hAnsi="宋体"/>
          <w:b/>
          <w:color w:val="auto"/>
          <w:szCs w:val="21"/>
          <w:highlight w:val="none"/>
        </w:rPr>
        <w:br w:type="page"/>
      </w:r>
      <w:bookmarkEnd w:id="56"/>
      <w:bookmarkEnd w:id="57"/>
    </w:p>
    <w:p w14:paraId="6CB54847">
      <w:pPr>
        <w:pStyle w:val="2"/>
        <w:rPr>
          <w:rFonts w:asciiTheme="minorEastAsia" w:hAnsiTheme="minorEastAsia" w:eastAsiaTheme="minorEastAsia"/>
          <w:color w:val="auto"/>
          <w:sz w:val="32"/>
          <w:highlight w:val="none"/>
        </w:rPr>
      </w:pPr>
      <w:bookmarkStart w:id="58" w:name="_Toc34844743"/>
      <w:bookmarkStart w:id="59" w:name="_Toc86053873"/>
      <w:r>
        <w:rPr>
          <w:rFonts w:hint="eastAsia" w:asciiTheme="minorEastAsia" w:hAnsiTheme="minorEastAsia" w:eastAsiaTheme="minorEastAsia"/>
          <w:color w:val="auto"/>
          <w:highlight w:val="none"/>
        </w:rPr>
        <w:t>第三章  供应商须知</w:t>
      </w:r>
      <w:bookmarkEnd w:id="58"/>
      <w:bookmarkEnd w:id="59"/>
    </w:p>
    <w:p w14:paraId="24775993">
      <w:pPr>
        <w:wordWrap w:val="0"/>
        <w:spacing w:line="440" w:lineRule="exact"/>
        <w:rPr>
          <w:rFonts w:ascii="宋体" w:hAnsi="宋体" w:cs="宋体"/>
          <w:color w:val="auto"/>
          <w:szCs w:val="21"/>
          <w:highlight w:val="none"/>
        </w:rPr>
      </w:pPr>
      <w:r>
        <w:rPr>
          <w:rFonts w:hint="eastAsia" w:ascii="宋体" w:hAnsi="宋体" w:cs="宋体"/>
          <w:b/>
          <w:color w:val="auto"/>
          <w:szCs w:val="21"/>
          <w:highlight w:val="none"/>
        </w:rPr>
        <w:t>*1、合格的供应商</w:t>
      </w:r>
    </w:p>
    <w:p w14:paraId="0FE32BF0">
      <w:pPr>
        <w:wordWrap w:val="0"/>
        <w:spacing w:line="440" w:lineRule="exact"/>
        <w:ind w:firstLine="420" w:firstLineChars="200"/>
        <w:rPr>
          <w:rFonts w:ascii="宋体" w:hAnsi="宋体" w:cs="宋体"/>
          <w:bCs/>
          <w:iCs/>
          <w:color w:val="auto"/>
          <w:szCs w:val="21"/>
          <w:highlight w:val="none"/>
        </w:rPr>
      </w:pPr>
      <w:r>
        <w:rPr>
          <w:rFonts w:hint="eastAsia" w:ascii="宋体" w:hAnsi="宋体" w:cs="宋体"/>
          <w:bCs/>
          <w:iCs/>
          <w:color w:val="auto"/>
          <w:szCs w:val="21"/>
          <w:highlight w:val="none"/>
        </w:rPr>
        <w:t>合格的供应商详见采购公告“二、申请人的资格要求”。</w:t>
      </w:r>
    </w:p>
    <w:p w14:paraId="7897BB8A">
      <w:pPr>
        <w:wordWrap w:val="0"/>
        <w:spacing w:line="440" w:lineRule="exact"/>
        <w:rPr>
          <w:rFonts w:ascii="宋体" w:hAnsi="宋体" w:cs="宋体"/>
          <w:color w:val="auto"/>
          <w:szCs w:val="21"/>
          <w:highlight w:val="none"/>
        </w:rPr>
      </w:pPr>
      <w:r>
        <w:rPr>
          <w:rFonts w:hint="eastAsia" w:ascii="宋体" w:hAnsi="宋体" w:cs="宋体"/>
          <w:b/>
          <w:color w:val="auto"/>
          <w:szCs w:val="21"/>
          <w:highlight w:val="none"/>
        </w:rPr>
        <w:t>2、磋商费用</w:t>
      </w:r>
    </w:p>
    <w:p w14:paraId="06DC1973">
      <w:pPr>
        <w:wordWrap w:val="0"/>
        <w:spacing w:line="440" w:lineRule="exact"/>
        <w:ind w:firstLine="420" w:firstLineChars="200"/>
        <w:rPr>
          <w:rFonts w:ascii="宋体" w:hAnsi="宋体" w:cs="宋体"/>
          <w:bCs/>
          <w:iCs/>
          <w:color w:val="auto"/>
          <w:szCs w:val="21"/>
          <w:highlight w:val="none"/>
        </w:rPr>
      </w:pPr>
      <w:r>
        <w:rPr>
          <w:rFonts w:hint="eastAsia" w:ascii="宋体" w:hAnsi="宋体" w:cs="宋体"/>
          <w:bCs/>
          <w:iCs/>
          <w:color w:val="auto"/>
          <w:szCs w:val="21"/>
          <w:highlight w:val="none"/>
        </w:rPr>
        <w:t>无论竞争性磋商过程和结果如何，供应商自行承担其参加本次磋商采购有关的全部费用。</w:t>
      </w:r>
    </w:p>
    <w:p w14:paraId="685E9A35">
      <w:pPr>
        <w:wordWrap w:val="0"/>
        <w:spacing w:line="440" w:lineRule="exact"/>
        <w:rPr>
          <w:rFonts w:ascii="宋体" w:hAnsi="宋体" w:cs="宋体"/>
          <w:color w:val="auto"/>
          <w:szCs w:val="21"/>
          <w:highlight w:val="none"/>
        </w:rPr>
      </w:pPr>
      <w:r>
        <w:rPr>
          <w:rFonts w:hint="eastAsia" w:ascii="宋体" w:hAnsi="宋体" w:cs="宋体"/>
          <w:b/>
          <w:color w:val="auto"/>
          <w:szCs w:val="21"/>
          <w:highlight w:val="none"/>
        </w:rPr>
        <w:t>3、采购文件的澄清和修改</w:t>
      </w:r>
    </w:p>
    <w:p w14:paraId="75EEF3D7">
      <w:pPr>
        <w:wordWrap w:val="0"/>
        <w:spacing w:line="440" w:lineRule="exact"/>
        <w:ind w:firstLine="420" w:firstLineChars="200"/>
        <w:rPr>
          <w:rFonts w:ascii="宋体" w:hAnsi="宋体" w:cs="宋体"/>
          <w:bCs/>
          <w:iCs/>
          <w:color w:val="auto"/>
          <w:szCs w:val="21"/>
          <w:highlight w:val="none"/>
        </w:rPr>
      </w:pPr>
      <w:r>
        <w:rPr>
          <w:rFonts w:hint="eastAsia" w:ascii="宋体" w:hAnsi="宋体" w:cs="宋体"/>
          <w:bCs/>
          <w:iCs/>
          <w:color w:val="auto"/>
          <w:szCs w:val="21"/>
          <w:highlight w:val="none"/>
        </w:rPr>
        <w:t>在提交响应文件截止之日前，采购人或者采购代理机构可以对已发出的采购文件进行必要的澄清或者修改。澄清或者修改的内容可能影响响应文件编制的，采购人、采购代理机构将在提交响应文件截止时间至少5日前，</w:t>
      </w:r>
      <w:r>
        <w:rPr>
          <w:rFonts w:hint="eastAsia" w:cs="宋体"/>
          <w:color w:val="auto"/>
          <w:highlight w:val="none"/>
        </w:rPr>
        <w:t>在采购信息发布网站上发布更正公告，更正公告为采购文件的组成部分。</w:t>
      </w:r>
      <w:r>
        <w:rPr>
          <w:rFonts w:hint="eastAsia" w:ascii="宋体" w:hAnsi="宋体" w:cs="宋体"/>
          <w:bCs/>
          <w:iCs/>
          <w:color w:val="auto"/>
          <w:szCs w:val="21"/>
          <w:highlight w:val="none"/>
        </w:rPr>
        <w:t>不足5日的，采购人、采购代理机构将顺延提交响应文件的截止时间；澄清或者修改的内容不影响响应文件编制的，则不受5日的期限限制。澄清或者修改的内容作为采购文件的组成部分，对所有供应商具有约束力。</w:t>
      </w:r>
    </w:p>
    <w:p w14:paraId="58B8A1C8">
      <w:pPr>
        <w:wordWrap w:val="0"/>
        <w:spacing w:line="440" w:lineRule="exact"/>
        <w:ind w:firstLine="420" w:firstLineChars="200"/>
        <w:rPr>
          <w:rFonts w:ascii="宋体" w:hAnsi="宋体" w:cs="宋体"/>
          <w:bCs/>
          <w:iCs/>
          <w:color w:val="auto"/>
          <w:szCs w:val="21"/>
          <w:highlight w:val="none"/>
        </w:rPr>
      </w:pPr>
      <w:r>
        <w:rPr>
          <w:rFonts w:hint="eastAsia" w:cs="宋体"/>
          <w:color w:val="auto"/>
          <w:highlight w:val="none"/>
        </w:rPr>
        <w:t>更正公告一经在网站发布，视同已通知所有采购文件的收受人，不再采用其它方式传达相关信息，若因未能及时了解到上述网站上发布的相关信息而导致的一切后果自行承担。</w:t>
      </w:r>
    </w:p>
    <w:p w14:paraId="6D8197F4">
      <w:pPr>
        <w:wordWrap w:val="0"/>
        <w:spacing w:line="440" w:lineRule="exact"/>
        <w:rPr>
          <w:rFonts w:ascii="宋体" w:hAnsi="宋体" w:cs="宋体"/>
          <w:color w:val="auto"/>
          <w:szCs w:val="21"/>
          <w:highlight w:val="none"/>
          <w:u w:val="single"/>
        </w:rPr>
      </w:pPr>
      <w:r>
        <w:rPr>
          <w:rFonts w:hint="eastAsia" w:ascii="宋体" w:hAnsi="宋体" w:cs="宋体"/>
          <w:b/>
          <w:color w:val="auto"/>
          <w:szCs w:val="21"/>
          <w:highlight w:val="none"/>
        </w:rPr>
        <w:t>4、响应文件的组成：</w:t>
      </w:r>
    </w:p>
    <w:p w14:paraId="7B9EBE21">
      <w:pPr>
        <w:wordWrap w:val="0"/>
        <w:spacing w:line="420" w:lineRule="exact"/>
        <w:ind w:firstLine="422" w:firstLineChars="200"/>
        <w:jc w:val="left"/>
        <w:rPr>
          <w:rFonts w:ascii="宋体" w:hAnsi="宋体" w:cs="宋体"/>
          <w:b/>
          <w:color w:val="auto"/>
          <w:szCs w:val="21"/>
          <w:highlight w:val="none"/>
        </w:rPr>
      </w:pPr>
      <w:r>
        <w:rPr>
          <w:rFonts w:hint="eastAsia" w:ascii="宋体" w:hAnsi="宋体"/>
          <w:b/>
          <w:color w:val="auto"/>
          <w:szCs w:val="21"/>
          <w:highlight w:val="none"/>
        </w:rPr>
        <w:t>*</w:t>
      </w:r>
      <w:r>
        <w:rPr>
          <w:rFonts w:hint="eastAsia" w:ascii="宋体" w:hAnsi="宋体" w:cs="宋体"/>
          <w:b/>
          <w:color w:val="auto"/>
          <w:szCs w:val="21"/>
          <w:highlight w:val="none"/>
        </w:rPr>
        <w:t>4.1响应文件的组成</w:t>
      </w:r>
    </w:p>
    <w:p w14:paraId="32810F2C">
      <w:pPr>
        <w:wordWrap w:val="0"/>
        <w:snapToGrid w:val="0"/>
        <w:spacing w:line="400" w:lineRule="exact"/>
        <w:ind w:firstLine="413" w:firstLineChars="196"/>
        <w:jc w:val="left"/>
        <w:rPr>
          <w:rFonts w:ascii="宋体" w:hAnsi="宋体"/>
          <w:b/>
          <w:color w:val="auto"/>
          <w:szCs w:val="21"/>
          <w:highlight w:val="none"/>
        </w:rPr>
      </w:pPr>
      <w:bookmarkStart w:id="60" w:name="_Hlk46905133"/>
      <w:bookmarkStart w:id="61" w:name="_Hlk38989741"/>
      <w:r>
        <w:rPr>
          <w:rFonts w:ascii="宋体" w:hAnsi="宋体"/>
          <w:b/>
          <w:color w:val="auto"/>
          <w:szCs w:val="21"/>
          <w:highlight w:val="none"/>
        </w:rPr>
        <w:t>A</w:t>
      </w:r>
      <w:r>
        <w:rPr>
          <w:rFonts w:hint="eastAsia" w:ascii="宋体" w:hAnsi="宋体"/>
          <w:b/>
          <w:color w:val="auto"/>
          <w:szCs w:val="21"/>
          <w:highlight w:val="none"/>
        </w:rPr>
        <w:t>、第一册：资格文件</w:t>
      </w:r>
    </w:p>
    <w:p w14:paraId="019D660E">
      <w:pPr>
        <w:wordWrap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A1.供应商资格承诺函</w:t>
      </w:r>
      <w:r>
        <w:rPr>
          <w:rFonts w:hint="eastAsia" w:ascii="宋体" w:hAnsi="宋体" w:cs="宋体"/>
          <w:bCs/>
          <w:color w:val="auto"/>
          <w:szCs w:val="21"/>
          <w:highlight w:val="none"/>
        </w:rPr>
        <w:t>（格式见附件）</w:t>
      </w:r>
      <w:r>
        <w:rPr>
          <w:rFonts w:hint="eastAsia" w:ascii="宋体" w:hAnsi="宋体" w:cs="宋体"/>
          <w:color w:val="auto"/>
          <w:szCs w:val="21"/>
          <w:highlight w:val="none"/>
        </w:rPr>
        <w:t>；</w:t>
      </w:r>
    </w:p>
    <w:p w14:paraId="0A3AD10A">
      <w:pPr>
        <w:wordWrap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A2.营业执照副本（或事业法人登记证副本或其他登记证明材料）复印件加盖供应商公章（供应商如果有名称变更的，应提供由行政主管部门出具的变更证明文件复印件加盖供应商公章）；</w:t>
      </w:r>
    </w:p>
    <w:p w14:paraId="1AE608BC">
      <w:pPr>
        <w:wordWrap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A3.中小企业声明函</w:t>
      </w:r>
      <w:r>
        <w:rPr>
          <w:rFonts w:hint="eastAsia" w:ascii="宋体" w:hAnsi="宋体" w:cs="宋体"/>
          <w:bCs/>
          <w:color w:val="auto"/>
          <w:szCs w:val="21"/>
          <w:highlight w:val="none"/>
        </w:rPr>
        <w:t>（格式见附件）</w:t>
      </w:r>
      <w:r>
        <w:rPr>
          <w:rFonts w:hint="eastAsia" w:ascii="宋体" w:hAnsi="宋体" w:cs="宋体"/>
          <w:color w:val="auto"/>
          <w:szCs w:val="21"/>
          <w:highlight w:val="none"/>
        </w:rPr>
        <w:t>；</w:t>
      </w:r>
    </w:p>
    <w:p w14:paraId="77269F4F">
      <w:pPr>
        <w:wordWrap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A4.残疾人福利性单位声明函</w:t>
      </w:r>
      <w:r>
        <w:rPr>
          <w:rFonts w:hint="eastAsia" w:ascii="宋体" w:hAnsi="宋体" w:cs="宋体"/>
          <w:color w:val="auto"/>
          <w:szCs w:val="21"/>
          <w:highlight w:val="none"/>
          <w:lang w:val="en-US" w:eastAsia="zh-CN"/>
        </w:rPr>
        <w:t>或监狱企业声明函</w:t>
      </w:r>
      <w:r>
        <w:rPr>
          <w:rFonts w:hint="eastAsia" w:ascii="宋体" w:hAnsi="宋体" w:cs="宋体"/>
          <w:color w:val="auto"/>
          <w:szCs w:val="21"/>
          <w:highlight w:val="none"/>
        </w:rPr>
        <w:t>（如有需提供）</w:t>
      </w:r>
      <w:r>
        <w:rPr>
          <w:rFonts w:hint="eastAsia" w:ascii="宋体" w:hAnsi="宋体" w:cs="宋体"/>
          <w:bCs/>
          <w:color w:val="auto"/>
          <w:szCs w:val="21"/>
          <w:highlight w:val="none"/>
        </w:rPr>
        <w:t>（格式见附件）</w:t>
      </w:r>
      <w:r>
        <w:rPr>
          <w:rFonts w:hint="eastAsia" w:ascii="宋体" w:hAnsi="宋体" w:cs="宋体"/>
          <w:color w:val="auto"/>
          <w:szCs w:val="21"/>
          <w:highlight w:val="none"/>
        </w:rPr>
        <w:t>；</w:t>
      </w:r>
    </w:p>
    <w:p w14:paraId="3179BE2D">
      <w:pPr>
        <w:wordWrap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A5.</w:t>
      </w:r>
      <w:r>
        <w:rPr>
          <w:rFonts w:hint="eastAsia" w:asciiTheme="minorEastAsia" w:hAnsiTheme="minorEastAsia" w:eastAsiaTheme="minorEastAsia"/>
          <w:color w:val="auto"/>
          <w:szCs w:val="21"/>
          <w:highlight w:val="none"/>
        </w:rPr>
        <w:t>特定资格要求</w:t>
      </w:r>
      <w:r>
        <w:rPr>
          <w:rFonts w:hint="eastAsia" w:asciiTheme="minorEastAsia" w:hAnsiTheme="minorEastAsia" w:eastAsiaTheme="minorEastAsia"/>
          <w:color w:val="auto"/>
          <w:szCs w:val="21"/>
          <w:highlight w:val="none"/>
          <w:lang w:val="en-US" w:eastAsia="zh-CN"/>
        </w:rPr>
        <w:t>证明材料</w:t>
      </w:r>
      <w:r>
        <w:rPr>
          <w:rFonts w:hint="eastAsia" w:ascii="宋体" w:hAnsi="宋体" w:cs="宋体"/>
          <w:color w:val="auto"/>
          <w:szCs w:val="21"/>
          <w:highlight w:val="none"/>
        </w:rPr>
        <w:t>；</w:t>
      </w:r>
    </w:p>
    <w:p w14:paraId="7563B112">
      <w:pPr>
        <w:wordWrap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A6.</w:t>
      </w:r>
      <w:r>
        <w:rPr>
          <w:rFonts w:ascii="宋体" w:hAnsi="宋体" w:cs="宋体"/>
          <w:color w:val="auto"/>
          <w:szCs w:val="21"/>
          <w:highlight w:val="none"/>
        </w:rPr>
        <w:t>《安全生产许可证》副本复印件</w:t>
      </w:r>
      <w:r>
        <w:rPr>
          <w:rFonts w:hint="eastAsia" w:ascii="宋体" w:hAnsi="宋体" w:cs="宋体"/>
          <w:color w:val="auto"/>
          <w:szCs w:val="21"/>
          <w:highlight w:val="none"/>
        </w:rPr>
        <w:t>；</w:t>
      </w:r>
    </w:p>
    <w:p w14:paraId="751D82BC">
      <w:pPr>
        <w:wordWrap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.其他采购文件要求或供应商认为有必要提供的文件资料。</w:t>
      </w:r>
    </w:p>
    <w:p w14:paraId="1103FCB6">
      <w:pPr>
        <w:wordWrap w:val="0"/>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B</w:t>
      </w:r>
      <w:r>
        <w:rPr>
          <w:rFonts w:hint="eastAsia" w:ascii="宋体" w:hAnsi="宋体"/>
          <w:b/>
          <w:color w:val="auto"/>
          <w:szCs w:val="21"/>
          <w:highlight w:val="none"/>
        </w:rPr>
        <w:t>、第二册：商务技术文件</w:t>
      </w:r>
    </w:p>
    <w:p w14:paraId="21693372">
      <w:pPr>
        <w:wordWrap w:val="0"/>
        <w:spacing w:line="400" w:lineRule="exact"/>
        <w:ind w:firstLine="420" w:firstLineChars="200"/>
        <w:jc w:val="left"/>
        <w:rPr>
          <w:rFonts w:ascii="宋体" w:hAnsi="宋体"/>
          <w:color w:val="auto"/>
          <w:szCs w:val="21"/>
          <w:highlight w:val="none"/>
        </w:rPr>
      </w:pPr>
      <w:bookmarkStart w:id="62" w:name="_Hlk46935453"/>
      <w:r>
        <w:rPr>
          <w:rFonts w:ascii="宋体" w:hAnsi="宋体"/>
          <w:color w:val="auto"/>
          <w:szCs w:val="21"/>
          <w:highlight w:val="none"/>
        </w:rPr>
        <w:t>B1.</w:t>
      </w:r>
      <w:r>
        <w:rPr>
          <w:rFonts w:hint="eastAsia" w:ascii="宋体" w:hAnsi="宋体"/>
          <w:color w:val="auto"/>
          <w:szCs w:val="21"/>
          <w:highlight w:val="none"/>
        </w:rPr>
        <w:t>法定代表人身份证明书</w:t>
      </w:r>
      <w:r>
        <w:rPr>
          <w:rFonts w:hint="eastAsia" w:ascii="宋体" w:hAnsi="宋体" w:cs="宋体"/>
          <w:bCs/>
          <w:color w:val="auto"/>
          <w:szCs w:val="21"/>
          <w:highlight w:val="none"/>
        </w:rPr>
        <w:t>（格式见附件）</w:t>
      </w:r>
      <w:r>
        <w:rPr>
          <w:rFonts w:hint="eastAsia" w:ascii="宋体" w:hAnsi="宋体"/>
          <w:color w:val="auto"/>
          <w:szCs w:val="21"/>
          <w:highlight w:val="none"/>
        </w:rPr>
        <w:t>；</w:t>
      </w:r>
    </w:p>
    <w:p w14:paraId="4D2CF51E">
      <w:pPr>
        <w:wordWrap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法定代表人授权书</w:t>
      </w:r>
      <w:r>
        <w:rPr>
          <w:rFonts w:hint="eastAsia" w:ascii="宋体" w:hAnsi="宋体" w:cs="宋体"/>
          <w:bCs/>
          <w:color w:val="auto"/>
          <w:szCs w:val="21"/>
          <w:highlight w:val="none"/>
        </w:rPr>
        <w:t>（格式见附件）</w:t>
      </w:r>
      <w:r>
        <w:rPr>
          <w:rFonts w:hint="eastAsia" w:ascii="宋体" w:hAnsi="宋体"/>
          <w:color w:val="auto"/>
          <w:szCs w:val="21"/>
          <w:highlight w:val="none"/>
        </w:rPr>
        <w:t>；</w:t>
      </w:r>
    </w:p>
    <w:p w14:paraId="1F767160">
      <w:pPr>
        <w:wordWrap w:val="0"/>
        <w:spacing w:line="420" w:lineRule="exact"/>
        <w:ind w:firstLine="420" w:firstLineChars="200"/>
        <w:rPr>
          <w:rFonts w:ascii="宋体" w:hAnsi="宋体" w:cs="宋体"/>
          <w:bCs/>
          <w:color w:val="auto"/>
          <w:szCs w:val="21"/>
          <w:highlight w:val="none"/>
        </w:rPr>
      </w:pPr>
      <w:r>
        <w:rPr>
          <w:rFonts w:hint="eastAsia" w:ascii="宋体" w:hAnsi="宋体"/>
          <w:color w:val="auto"/>
          <w:szCs w:val="21"/>
          <w:highlight w:val="none"/>
        </w:rPr>
        <w:t>B3</w:t>
      </w:r>
      <w:r>
        <w:rPr>
          <w:rFonts w:ascii="宋体" w:hAnsi="宋体"/>
          <w:color w:val="auto"/>
          <w:szCs w:val="21"/>
          <w:highlight w:val="none"/>
        </w:rPr>
        <w:t>.</w:t>
      </w:r>
      <w:r>
        <w:rPr>
          <w:rFonts w:hint="eastAsia" w:ascii="宋体" w:hAnsi="宋体" w:cs="宋体"/>
          <w:color w:val="auto"/>
          <w:szCs w:val="21"/>
          <w:highlight w:val="none"/>
        </w:rPr>
        <w:t>供应商基本情况表</w:t>
      </w:r>
      <w:r>
        <w:rPr>
          <w:rFonts w:hint="eastAsia" w:ascii="宋体" w:hAnsi="宋体" w:cs="宋体"/>
          <w:bCs/>
          <w:color w:val="auto"/>
          <w:szCs w:val="21"/>
          <w:highlight w:val="none"/>
        </w:rPr>
        <w:t>（格式见附件）；</w:t>
      </w:r>
    </w:p>
    <w:p w14:paraId="0A0D283D">
      <w:pPr>
        <w:wordWrap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B4.采购需求响应表（格式见附件）；</w:t>
      </w:r>
    </w:p>
    <w:p w14:paraId="07552A6B">
      <w:pPr>
        <w:wordWrap w:val="0"/>
        <w:spacing w:line="42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B5.</w:t>
      </w:r>
      <w:r>
        <w:rPr>
          <w:rFonts w:hint="eastAsia" w:ascii="宋体" w:hAnsi="宋体" w:cs="宋体"/>
          <w:color w:val="auto"/>
          <w:szCs w:val="21"/>
          <w:highlight w:val="none"/>
        </w:rPr>
        <w:t>施工组织设计</w:t>
      </w:r>
      <w:r>
        <w:rPr>
          <w:rFonts w:hint="eastAsia" w:ascii="宋体" w:hAnsi="宋体" w:cs="宋体"/>
          <w:bCs/>
          <w:color w:val="auto"/>
          <w:szCs w:val="21"/>
          <w:highlight w:val="none"/>
        </w:rPr>
        <w:t>（格式自拟，如有需提供），包括但不限于技术方案、进度计划、劳动力计划措施、施工现场平面布置、机械设备措施、质量管理体系和管理措施、安全文明、环境保护体系和措施、施工阶段正常进入非施工区域的安全施工保障措施等；</w:t>
      </w:r>
    </w:p>
    <w:p w14:paraId="42B08BE4">
      <w:pPr>
        <w:pStyle w:val="67"/>
        <w:spacing w:line="420" w:lineRule="exact"/>
        <w:ind w:firstLine="420"/>
        <w:rPr>
          <w:rFonts w:hint="eastAsia" w:ascii="宋体" w:hAnsi="宋体" w:cs="宋体"/>
          <w:bCs/>
          <w:color w:val="auto"/>
          <w:szCs w:val="21"/>
          <w:highlight w:val="none"/>
          <w:lang w:val="en-US"/>
        </w:rPr>
      </w:pPr>
      <w:r>
        <w:rPr>
          <w:rFonts w:hint="eastAsia" w:ascii="宋体" w:hAnsi="宋体" w:cs="宋体"/>
          <w:bCs/>
          <w:color w:val="auto"/>
          <w:szCs w:val="21"/>
          <w:highlight w:val="none"/>
          <w:lang w:val="en-US"/>
        </w:rPr>
        <w:t>包括但不限于以下附表：（1）项目管理机构（格式见附件）；</w:t>
      </w:r>
    </w:p>
    <w:p w14:paraId="0C10DF40">
      <w:pPr>
        <w:pStyle w:val="67"/>
        <w:spacing w:line="420" w:lineRule="exact"/>
        <w:ind w:firstLine="420"/>
        <w:rPr>
          <w:rFonts w:hint="eastAsia" w:ascii="宋体" w:hAnsi="宋体" w:cs="宋体"/>
          <w:bCs/>
          <w:color w:val="auto"/>
          <w:szCs w:val="21"/>
          <w:highlight w:val="none"/>
          <w:lang w:val="en-US"/>
        </w:rPr>
      </w:pPr>
      <w:r>
        <w:rPr>
          <w:rFonts w:hint="eastAsia" w:ascii="宋体" w:hAnsi="宋体" w:cs="宋体"/>
          <w:bCs/>
          <w:color w:val="auto"/>
          <w:szCs w:val="21"/>
          <w:highlight w:val="none"/>
          <w:lang w:val="en-US"/>
        </w:rPr>
        <w:t>（2）拟投入本项目的主要施工设备表（格式见附件）；</w:t>
      </w:r>
    </w:p>
    <w:p w14:paraId="34160F6F">
      <w:pPr>
        <w:pStyle w:val="67"/>
        <w:spacing w:line="420" w:lineRule="exact"/>
        <w:ind w:firstLine="420"/>
        <w:rPr>
          <w:rFonts w:ascii="宋体" w:hAnsi="宋体" w:cs="宋体"/>
          <w:bCs/>
          <w:color w:val="auto"/>
          <w:szCs w:val="21"/>
          <w:highlight w:val="none"/>
          <w:lang w:val="en-US"/>
        </w:rPr>
      </w:pPr>
      <w:r>
        <w:rPr>
          <w:rFonts w:hint="eastAsia" w:ascii="宋体" w:hAnsi="宋体" w:cs="宋体"/>
          <w:bCs/>
          <w:color w:val="auto"/>
          <w:szCs w:val="21"/>
          <w:highlight w:val="none"/>
          <w:lang w:val="en-US"/>
        </w:rPr>
        <w:t>（3）劳动力计划表（格式见附件）；</w:t>
      </w:r>
    </w:p>
    <w:p w14:paraId="09893DC5">
      <w:pPr>
        <w:pStyle w:val="67"/>
        <w:spacing w:line="420" w:lineRule="exact"/>
        <w:ind w:firstLine="420"/>
        <w:rPr>
          <w:rFonts w:hint="eastAsia" w:ascii="宋体" w:hAnsi="宋体" w:cs="宋体"/>
          <w:bCs/>
          <w:color w:val="auto"/>
          <w:szCs w:val="21"/>
          <w:highlight w:val="none"/>
          <w:lang w:val="en-US"/>
        </w:rPr>
      </w:pPr>
      <w:r>
        <w:rPr>
          <w:rFonts w:hint="eastAsia" w:ascii="宋体" w:hAnsi="宋体" w:cs="宋体"/>
          <w:bCs/>
          <w:color w:val="auto"/>
          <w:szCs w:val="21"/>
          <w:highlight w:val="none"/>
          <w:lang w:val="en-US"/>
        </w:rPr>
        <w:t>B6.主要材料品牌响应表（格式见附件）；</w:t>
      </w:r>
    </w:p>
    <w:p w14:paraId="1EDFCBEC">
      <w:pPr>
        <w:pStyle w:val="67"/>
        <w:spacing w:line="420" w:lineRule="exact"/>
        <w:ind w:firstLine="420"/>
        <w:rPr>
          <w:rFonts w:hint="eastAsia" w:ascii="宋体" w:hAnsi="宋体" w:cs="宋体"/>
          <w:bCs/>
          <w:color w:val="auto"/>
          <w:szCs w:val="21"/>
          <w:highlight w:val="none"/>
        </w:rPr>
      </w:pPr>
      <w:r>
        <w:rPr>
          <w:rFonts w:hint="eastAsia" w:ascii="宋体" w:hAnsi="宋体" w:cs="宋体"/>
          <w:bCs/>
          <w:color w:val="auto"/>
          <w:szCs w:val="21"/>
          <w:highlight w:val="none"/>
          <w:lang w:val="en-US"/>
        </w:rPr>
        <w:t>B7.</w:t>
      </w:r>
      <w:r>
        <w:rPr>
          <w:rFonts w:hint="eastAsia" w:ascii="宋体" w:hAnsi="宋体" w:cs="宋体"/>
          <w:bCs/>
          <w:color w:val="auto"/>
          <w:szCs w:val="21"/>
          <w:highlight w:val="none"/>
        </w:rPr>
        <w:t>评分标准或采购文件需要提供的其他商务技术材料。</w:t>
      </w:r>
    </w:p>
    <w:bookmarkEnd w:id="60"/>
    <w:bookmarkEnd w:id="62"/>
    <w:p w14:paraId="53D35B75">
      <w:pPr>
        <w:wordWrap w:val="0"/>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C</w:t>
      </w:r>
      <w:r>
        <w:rPr>
          <w:rFonts w:hint="eastAsia" w:ascii="宋体" w:hAnsi="宋体"/>
          <w:b/>
          <w:color w:val="auto"/>
          <w:szCs w:val="21"/>
          <w:highlight w:val="none"/>
        </w:rPr>
        <w:t>、第三册：报价文件</w:t>
      </w:r>
    </w:p>
    <w:p w14:paraId="6E7AA1B6">
      <w:pPr>
        <w:wordWrap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C1.</w:t>
      </w:r>
      <w:r>
        <w:rPr>
          <w:rFonts w:hint="eastAsia" w:ascii="宋体" w:hAnsi="宋体"/>
          <w:color w:val="auto"/>
          <w:szCs w:val="21"/>
          <w:highlight w:val="none"/>
        </w:rPr>
        <w:t>报价函</w:t>
      </w:r>
      <w:r>
        <w:rPr>
          <w:rFonts w:hint="eastAsia" w:ascii="宋体" w:hAnsi="宋体" w:cs="宋体"/>
          <w:bCs/>
          <w:color w:val="auto"/>
          <w:szCs w:val="21"/>
          <w:highlight w:val="none"/>
        </w:rPr>
        <w:t>（格式见附件）</w:t>
      </w:r>
      <w:r>
        <w:rPr>
          <w:rFonts w:hint="eastAsia" w:ascii="宋体" w:hAnsi="宋体"/>
          <w:color w:val="auto"/>
          <w:szCs w:val="21"/>
          <w:highlight w:val="none"/>
        </w:rPr>
        <w:t>；</w:t>
      </w:r>
    </w:p>
    <w:p w14:paraId="28B19D39">
      <w:pPr>
        <w:wordWrap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C2.</w:t>
      </w:r>
      <w:r>
        <w:rPr>
          <w:rFonts w:hint="eastAsia" w:ascii="宋体" w:hAnsi="宋体" w:cs="宋体"/>
          <w:color w:val="auto"/>
          <w:szCs w:val="21"/>
          <w:highlight w:val="none"/>
        </w:rPr>
        <w:t>报价函附录</w:t>
      </w:r>
      <w:r>
        <w:rPr>
          <w:rFonts w:hint="eastAsia" w:ascii="宋体" w:hAnsi="宋体" w:cs="宋体"/>
          <w:bCs/>
          <w:color w:val="auto"/>
          <w:szCs w:val="21"/>
          <w:highlight w:val="none"/>
        </w:rPr>
        <w:t>（格式见附件）</w:t>
      </w:r>
      <w:r>
        <w:rPr>
          <w:rFonts w:hint="eastAsia" w:ascii="宋体" w:hAnsi="宋体"/>
          <w:color w:val="auto"/>
          <w:szCs w:val="21"/>
          <w:highlight w:val="none"/>
        </w:rPr>
        <w:t>；</w:t>
      </w:r>
    </w:p>
    <w:p w14:paraId="2AC85C88">
      <w:pPr>
        <w:wordWrap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报价一览表</w:t>
      </w:r>
      <w:r>
        <w:rPr>
          <w:rFonts w:hint="eastAsia" w:ascii="宋体" w:hAnsi="宋体" w:cs="宋体"/>
          <w:bCs/>
          <w:color w:val="auto"/>
          <w:szCs w:val="21"/>
          <w:highlight w:val="none"/>
        </w:rPr>
        <w:t>（格式见附件）</w:t>
      </w:r>
      <w:r>
        <w:rPr>
          <w:rFonts w:hint="eastAsia" w:ascii="宋体" w:hAnsi="宋体"/>
          <w:color w:val="auto"/>
          <w:szCs w:val="21"/>
          <w:highlight w:val="none"/>
        </w:rPr>
        <w:t>；</w:t>
      </w:r>
    </w:p>
    <w:p w14:paraId="3DE92D17">
      <w:pPr>
        <w:wordWrap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磋商控制价预算书确认单（</w:t>
      </w:r>
      <w:r>
        <w:rPr>
          <w:rFonts w:hint="eastAsia"/>
          <w:b/>
          <w:color w:val="auto"/>
          <w:highlight w:val="none"/>
        </w:rPr>
        <w:t>供应商须将采购人提供的预算书附于报价文件内，并逐页加盖企业公章</w:t>
      </w:r>
      <w:r>
        <w:rPr>
          <w:rFonts w:hint="eastAsia" w:ascii="宋体" w:hAnsi="宋体"/>
          <w:color w:val="auto"/>
          <w:szCs w:val="21"/>
          <w:highlight w:val="none"/>
        </w:rPr>
        <w:t>）</w:t>
      </w:r>
      <w:r>
        <w:rPr>
          <w:rFonts w:hint="eastAsia" w:ascii="宋体" w:hAnsi="宋体" w:cs="宋体"/>
          <w:bCs/>
          <w:color w:val="auto"/>
          <w:szCs w:val="21"/>
          <w:highlight w:val="none"/>
        </w:rPr>
        <w:t>（格式见附件）</w:t>
      </w:r>
      <w:r>
        <w:rPr>
          <w:rFonts w:hint="eastAsia"/>
          <w:color w:val="auto"/>
          <w:highlight w:val="none"/>
        </w:rPr>
        <w:t>；</w:t>
      </w:r>
    </w:p>
    <w:p w14:paraId="29A157E3">
      <w:pPr>
        <w:wordWrap w:val="0"/>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供应商认为需要的其他资料（如有需提供）。</w:t>
      </w:r>
    </w:p>
    <w:p w14:paraId="442BBDD4">
      <w:pPr>
        <w:wordWrap w:val="0"/>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D．注意事项</w:t>
      </w:r>
    </w:p>
    <w:p w14:paraId="1C4386F9">
      <w:pPr>
        <w:wordWrap w:val="0"/>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*（1）电子响应文件中所须加盖公章部分均采用CA签章。</w:t>
      </w:r>
    </w:p>
    <w:p w14:paraId="5268AE75">
      <w:pPr>
        <w:numPr>
          <w:ilvl w:val="0"/>
          <w:numId w:val="3"/>
        </w:numPr>
        <w:wordWrap w:val="0"/>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上述组成响应文件的各项资料中本采购文件有规定格式的，应统一按本采购文件的规定格式填写。未有规定格式的资料，供应商应自行编制，但至少要包含以上要求的内容。</w:t>
      </w:r>
    </w:p>
    <w:p w14:paraId="357F4069">
      <w:pPr>
        <w:wordWrap w:val="0"/>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（3）响应文件签字或盖章按“附件（格式）”中提供的格式签署、盖章，在响应文件相应处加盖供应商公章及法定代表人签字或盖章。</w:t>
      </w:r>
    </w:p>
    <w:bookmarkEnd w:id="61"/>
    <w:p w14:paraId="178B6EE2">
      <w:pPr>
        <w:wordWrap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4.2响应文件的份数：</w:t>
      </w:r>
    </w:p>
    <w:p w14:paraId="7386216C">
      <w:pPr>
        <w:wordWrap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本项目实行网上磋商，供应商应准备以下响应文件：</w:t>
      </w:r>
    </w:p>
    <w:p w14:paraId="530EEA08">
      <w:pPr>
        <w:wordWrap w:val="0"/>
        <w:spacing w:line="440" w:lineRule="exact"/>
        <w:ind w:firstLine="420" w:firstLineChars="200"/>
        <w:rPr>
          <w:rFonts w:hint="eastAsia" w:ascii="宋体" w:hAnsi="宋体" w:cs="宋体"/>
          <w:color w:val="auto"/>
          <w:szCs w:val="21"/>
          <w:highlight w:val="none"/>
        </w:rPr>
      </w:pPr>
      <w:r>
        <w:rPr>
          <w:rFonts w:hint="eastAsia" w:ascii="宋体" w:hAnsi="宋体"/>
          <w:color w:val="auto"/>
          <w:szCs w:val="21"/>
          <w:highlight w:val="none"/>
        </w:rPr>
        <w:t>（1）</w:t>
      </w:r>
      <w:r>
        <w:rPr>
          <w:rFonts w:hint="eastAsia" w:ascii="宋体" w:hAnsi="宋体" w:cs="宋体"/>
          <w:color w:val="auto"/>
          <w:kern w:val="0"/>
          <w:szCs w:val="21"/>
          <w:highlight w:val="none"/>
        </w:rPr>
        <w:t>上传到政府采购云平台的电子响应文件（含</w:t>
      </w:r>
      <w:r>
        <w:rPr>
          <w:rFonts w:hint="eastAsia" w:ascii="宋体" w:hAnsi="宋体"/>
          <w:color w:val="auto"/>
          <w:szCs w:val="21"/>
          <w:highlight w:val="none"/>
        </w:rPr>
        <w:t>资格文件、商务技术文件、报价文件）</w:t>
      </w:r>
      <w:r>
        <w:rPr>
          <w:rFonts w:hint="eastAsia" w:ascii="宋体" w:hAnsi="宋体" w:cs="宋体"/>
          <w:color w:val="auto"/>
          <w:kern w:val="0"/>
          <w:szCs w:val="21"/>
          <w:highlight w:val="none"/>
        </w:rPr>
        <w:t>1</w:t>
      </w:r>
      <w:r>
        <w:rPr>
          <w:rFonts w:hint="eastAsia" w:ascii="宋体" w:hAnsi="宋体" w:cs="宋体"/>
          <w:color w:val="auto"/>
          <w:szCs w:val="21"/>
          <w:highlight w:val="none"/>
        </w:rPr>
        <w:t>份。</w:t>
      </w:r>
    </w:p>
    <w:p w14:paraId="054F8202">
      <w:pPr>
        <w:wordWrap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（2）以U盘存储的电子备份响应文件（含资格文件、商务技术文件、报价文件）1份。</w:t>
      </w:r>
    </w:p>
    <w:p w14:paraId="5BE8D0CF">
      <w:pPr>
        <w:wordWrap w:val="0"/>
        <w:spacing w:line="44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注：电子备份响应文件不作实质性要求，是否提交由供应商自行决定。</w:t>
      </w:r>
    </w:p>
    <w:p w14:paraId="79618886">
      <w:pPr>
        <w:wordWrap w:val="0"/>
        <w:spacing w:line="44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5、响应文件的形式和效力</w:t>
      </w:r>
    </w:p>
    <w:p w14:paraId="7A7C276F">
      <w:pPr>
        <w:wordWrap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5.1响应文件分为电子响应文件以及备份响应文件，备份响应文件为以U盘存储的电子备份响应文件。</w:t>
      </w:r>
    </w:p>
    <w:p w14:paraId="7646920A">
      <w:pPr>
        <w:wordWrap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5.2电子响应文件，按“项目采购-电子招投标操作指南”及本采购文件要求制作，并加密。</w:t>
      </w:r>
    </w:p>
    <w:p w14:paraId="5F7E869E">
      <w:pPr>
        <w:wordWrap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5.3以U盘存储的电子备份响应文件，按“项目采购-电子招投标操作指南”制作的电子响应文件。</w:t>
      </w:r>
    </w:p>
    <w:p w14:paraId="1F7B6581">
      <w:pPr>
        <w:wordWrap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5.4响应文件填写字迹必须清楚、工整，对不同文字文本响应文件的解释发生异议的，以中文文本为准。</w:t>
      </w:r>
    </w:p>
    <w:p w14:paraId="01DD297C">
      <w:pPr>
        <w:wordWrap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5.5响应文件的效力</w:t>
      </w:r>
    </w:p>
    <w:p w14:paraId="06F9EA16">
      <w:pPr>
        <w:wordWrap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响应文件的启用，按先后顺位分别为电子响应文件、以U盘存储的电子备份响应文件。在下一顺位的响应文件启用时，前一顺位的响应文件自动失效。</w:t>
      </w:r>
    </w:p>
    <w:p w14:paraId="2E936564">
      <w:pPr>
        <w:wordWrap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电子响应文件未能按时解密，供应商提供了电子备份响应文件，以电子备份响应文件作为依据，否则视为响应文件撤回。电子响应文件已按时解密的，电子备份响应文件自动失效。</w:t>
      </w:r>
    </w:p>
    <w:p w14:paraId="3BC74510">
      <w:pPr>
        <w:wordWrap w:val="0"/>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6、磋商有效期</w:t>
      </w:r>
    </w:p>
    <w:p w14:paraId="34735A32">
      <w:pPr>
        <w:wordWrap w:val="0"/>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bCs/>
          <w:iCs/>
          <w:color w:val="auto"/>
          <w:szCs w:val="21"/>
          <w:highlight w:val="none"/>
        </w:rPr>
        <w:t>磋商有效期从响应文件提交截止时</w:t>
      </w:r>
      <w:r>
        <w:rPr>
          <w:rFonts w:hint="eastAsia" w:ascii="宋体" w:hAnsi="宋体" w:cs="宋体"/>
          <w:color w:val="auto"/>
          <w:szCs w:val="21"/>
          <w:highlight w:val="none"/>
        </w:rPr>
        <w:t>间之日起计算，有效期为90天。磋商有效期不足的按无效响应处理。</w:t>
      </w:r>
    </w:p>
    <w:p w14:paraId="47776E21">
      <w:pPr>
        <w:wordWrap w:val="0"/>
        <w:spacing w:line="440" w:lineRule="exact"/>
        <w:ind w:firstLine="420" w:firstLineChars="200"/>
        <w:rPr>
          <w:rFonts w:ascii="宋体" w:hAnsi="宋体" w:cs="宋体"/>
          <w:bCs/>
          <w:iCs/>
          <w:color w:val="auto"/>
          <w:szCs w:val="21"/>
          <w:highlight w:val="none"/>
        </w:rPr>
      </w:pPr>
      <w:r>
        <w:rPr>
          <w:rFonts w:hint="eastAsia" w:ascii="宋体" w:hAnsi="宋体" w:cs="宋体"/>
          <w:bCs/>
          <w:iCs/>
          <w:color w:val="auto"/>
          <w:szCs w:val="21"/>
          <w:highlight w:val="none"/>
        </w:rPr>
        <w:t>特殊情况下，采购人可与供应商协商延缓磋商有效期，这种要求和答复均以书面形式进行。在这种情况下，磋商保证金（如有）的有效期也相应延长。</w:t>
      </w:r>
    </w:p>
    <w:p w14:paraId="1BA4C28A">
      <w:pPr>
        <w:wordWrap w:val="0"/>
        <w:spacing w:line="440" w:lineRule="exact"/>
        <w:ind w:firstLine="420" w:firstLineChars="200"/>
        <w:rPr>
          <w:rFonts w:ascii="宋体" w:hAnsi="宋体" w:cs="宋体"/>
          <w:bCs/>
          <w:iCs/>
          <w:color w:val="auto"/>
          <w:szCs w:val="21"/>
          <w:highlight w:val="none"/>
        </w:rPr>
      </w:pPr>
      <w:r>
        <w:rPr>
          <w:rFonts w:hint="eastAsia" w:ascii="宋体" w:hAnsi="宋体" w:cs="宋体"/>
          <w:bCs/>
          <w:iCs/>
          <w:color w:val="auto"/>
          <w:szCs w:val="21"/>
          <w:highlight w:val="none"/>
        </w:rPr>
        <w:t>供应商可拒绝接受延期要求而不影响磋商保证金（如有）退还。同意延长有效期的供应商不能修改响应文件。</w:t>
      </w:r>
    </w:p>
    <w:p w14:paraId="02A1ADBE">
      <w:pPr>
        <w:wordWrap w:val="0"/>
        <w:spacing w:line="440" w:lineRule="exact"/>
        <w:jc w:val="left"/>
        <w:rPr>
          <w:rFonts w:ascii="宋体" w:hAnsi="宋体" w:cs="宋体"/>
          <w:b/>
          <w:bCs/>
          <w:color w:val="auto"/>
          <w:szCs w:val="21"/>
          <w:highlight w:val="none"/>
        </w:rPr>
      </w:pPr>
      <w:r>
        <w:rPr>
          <w:rFonts w:hint="eastAsia" w:ascii="宋体" w:hAnsi="宋体" w:cs="宋体"/>
          <w:b/>
          <w:color w:val="auto"/>
          <w:szCs w:val="21"/>
          <w:highlight w:val="none"/>
        </w:rPr>
        <w:t>*7、</w:t>
      </w:r>
      <w:r>
        <w:rPr>
          <w:rFonts w:hint="eastAsia" w:ascii="宋体" w:hAnsi="宋体" w:cs="宋体"/>
          <w:b/>
          <w:bCs/>
          <w:color w:val="auto"/>
          <w:szCs w:val="21"/>
          <w:highlight w:val="none"/>
        </w:rPr>
        <w:t>响应文件的签署盖章</w:t>
      </w:r>
    </w:p>
    <w:p w14:paraId="1A80386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7.1电子响应文件：竞争性磋商采购文件第六部分“附件”中标明加盖公章或签字的，</w:t>
      </w:r>
      <w:r>
        <w:rPr>
          <w:rFonts w:hint="eastAsia" w:ascii="宋体" w:hAnsi="宋体" w:cs="宋体"/>
          <w:bCs/>
          <w:color w:val="auto"/>
          <w:szCs w:val="21"/>
          <w:highlight w:val="none"/>
        </w:rPr>
        <w:t>加盖公章部分采用CA签章，</w:t>
      </w:r>
      <w:r>
        <w:rPr>
          <w:rFonts w:hint="eastAsia" w:ascii="宋体" w:hAnsi="宋体" w:cs="宋体"/>
          <w:color w:val="auto"/>
          <w:szCs w:val="21"/>
          <w:highlight w:val="none"/>
        </w:rPr>
        <w:t>签字部分由法定代表人或授权代表签字后扫描上传（或电子CA签章）。授权代表签字的，</w:t>
      </w:r>
      <w:r>
        <w:rPr>
          <w:rFonts w:hint="eastAsia" w:ascii="宋体" w:hAnsi="宋体" w:cs="宋体"/>
          <w:color w:val="auto"/>
          <w:kern w:val="0"/>
          <w:szCs w:val="21"/>
          <w:highlight w:val="none"/>
        </w:rPr>
        <w:t>还</w:t>
      </w:r>
      <w:r>
        <w:rPr>
          <w:rFonts w:hint="eastAsia" w:ascii="宋体" w:hAnsi="宋体" w:cs="宋体"/>
          <w:color w:val="auto"/>
          <w:szCs w:val="21"/>
          <w:highlight w:val="none"/>
        </w:rPr>
        <w:t>应附法定代表人签署的法定代表人授权书。</w:t>
      </w:r>
    </w:p>
    <w:p w14:paraId="1B8689C6">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7.2响应文件不得涂改，若有修改错漏处，须加盖单位公章或者法定代表人或授权委托人签字或盖章。</w:t>
      </w:r>
    </w:p>
    <w:p w14:paraId="26500D1D">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7.3响应文件字迹必须清楚、工整，对不同文字文本响应文件的解释发生异议的，以中文文本为准。</w:t>
      </w:r>
    </w:p>
    <w:p w14:paraId="533980D8">
      <w:pPr>
        <w:wordWrap w:val="0"/>
        <w:spacing w:line="440" w:lineRule="exact"/>
        <w:rPr>
          <w:rFonts w:ascii="宋体" w:hAnsi="宋体" w:cs="宋体"/>
          <w:color w:val="auto"/>
          <w:szCs w:val="21"/>
          <w:highlight w:val="none"/>
        </w:rPr>
      </w:pPr>
      <w:r>
        <w:rPr>
          <w:rFonts w:hint="eastAsia" w:ascii="宋体" w:hAnsi="宋体" w:cs="宋体"/>
          <w:b/>
          <w:color w:val="auto"/>
          <w:szCs w:val="21"/>
          <w:highlight w:val="none"/>
        </w:rPr>
        <w:t>8</w:t>
      </w:r>
      <w:r>
        <w:rPr>
          <w:rFonts w:hint="eastAsia" w:ascii="宋体" w:hAnsi="宋体" w:cs="宋体"/>
          <w:color w:val="auto"/>
          <w:szCs w:val="21"/>
          <w:highlight w:val="none"/>
        </w:rPr>
        <w:t>、</w:t>
      </w:r>
      <w:r>
        <w:rPr>
          <w:rFonts w:hint="eastAsia" w:ascii="宋体" w:hAnsi="宋体" w:cs="宋体"/>
          <w:b/>
          <w:color w:val="auto"/>
          <w:szCs w:val="21"/>
          <w:highlight w:val="none"/>
        </w:rPr>
        <w:t>响应文件的密封、标记、修改和撤回</w:t>
      </w:r>
    </w:p>
    <w:p w14:paraId="799001A0">
      <w:pPr>
        <w:wordWrap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8.1电子响应文件：供应商应根据“项目采购-电子招投标操作指南”及本竞争性磋商采购文件规定的格式和顺序编制电子响应文件并进行关联定位。</w:t>
      </w:r>
    </w:p>
    <w:p w14:paraId="4D9BA1C8">
      <w:pPr>
        <w:wordWrap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8.2</w:t>
      </w:r>
      <w:r>
        <w:rPr>
          <w:rFonts w:hint="eastAsia" w:ascii="宋体" w:hAnsi="宋体" w:cs="宋体"/>
          <w:color w:val="auto"/>
          <w:kern w:val="0"/>
          <w:szCs w:val="21"/>
          <w:highlight w:val="none"/>
        </w:rPr>
        <w:t>以U盘存储的电子备份响应文件</w:t>
      </w:r>
      <w:r>
        <w:rPr>
          <w:rFonts w:hint="eastAsia" w:ascii="宋体" w:hAnsi="宋体" w:cs="宋体"/>
          <w:color w:val="auto"/>
          <w:szCs w:val="21"/>
          <w:highlight w:val="none"/>
        </w:rPr>
        <w:t>用封袋密封后递交。</w:t>
      </w:r>
    </w:p>
    <w:p w14:paraId="4579424E">
      <w:pPr>
        <w:wordWrap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8.3</w:t>
      </w:r>
      <w:r>
        <w:rPr>
          <w:rFonts w:hint="eastAsia" w:ascii="宋体" w:hAnsi="宋体" w:cs="宋体"/>
          <w:color w:val="auto"/>
          <w:kern w:val="0"/>
          <w:szCs w:val="21"/>
          <w:highlight w:val="none"/>
        </w:rPr>
        <w:t>电子备份响应文件须在</w:t>
      </w:r>
      <w:r>
        <w:rPr>
          <w:rFonts w:hint="eastAsia" w:ascii="宋体" w:hAnsi="宋体" w:cs="宋体"/>
          <w:color w:val="auto"/>
          <w:szCs w:val="21"/>
          <w:highlight w:val="none"/>
        </w:rPr>
        <w:t>封袋上注明：</w:t>
      </w:r>
    </w:p>
    <w:p w14:paraId="7EECE39B">
      <w:pPr>
        <w:tabs>
          <w:tab w:val="left" w:pos="900"/>
        </w:tabs>
        <w:wordWrap w:val="0"/>
        <w:spacing w:line="44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（1）注    明：</w:t>
      </w:r>
      <w:r>
        <w:rPr>
          <w:rFonts w:hint="eastAsia" w:ascii="宋体" w:hAnsi="宋体" w:cs="宋体"/>
          <w:color w:val="auto"/>
          <w:szCs w:val="21"/>
          <w:highlight w:val="none"/>
          <w:u w:val="single"/>
        </w:rPr>
        <w:t xml:space="preserve">           “电子备份响应文件”               </w:t>
      </w:r>
      <w:r>
        <w:rPr>
          <w:rFonts w:hint="eastAsia" w:ascii="宋体" w:hAnsi="宋体" w:cs="宋体"/>
          <w:color w:val="auto"/>
          <w:szCs w:val="21"/>
          <w:highlight w:val="none"/>
        </w:rPr>
        <w:t>；</w:t>
      </w:r>
    </w:p>
    <w:p w14:paraId="4D2A24E1">
      <w:pPr>
        <w:tabs>
          <w:tab w:val="left" w:pos="900"/>
        </w:tabs>
        <w:wordWrap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（2）采购编号：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5C2341A">
      <w:pPr>
        <w:tabs>
          <w:tab w:val="left" w:pos="900"/>
        </w:tabs>
        <w:wordWrap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03D4629">
      <w:pPr>
        <w:tabs>
          <w:tab w:val="left" w:pos="900"/>
        </w:tabs>
        <w:wordWrap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（4）所投子包（如有多个子包须填写）：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A864C81">
      <w:pPr>
        <w:tabs>
          <w:tab w:val="left" w:pos="900"/>
        </w:tabs>
        <w:wordWrap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日（规定的开启日期和时间）前不准启封；</w:t>
      </w:r>
    </w:p>
    <w:p w14:paraId="74D8C380">
      <w:pPr>
        <w:tabs>
          <w:tab w:val="left" w:pos="900"/>
        </w:tabs>
        <w:wordWrap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（6）供应商的名称：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43A96E0">
      <w:pPr>
        <w:wordWrap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供应商须在包封上加盖供应商公章或由其法定代表人或授权代表签字。</w:t>
      </w:r>
    </w:p>
    <w:p w14:paraId="58AEDBCB">
      <w:pPr>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供应商未按上述要求标记的，采购人（代理机构）不承担错放或提前开封的责任。</w:t>
      </w:r>
    </w:p>
    <w:p w14:paraId="7597B733">
      <w:pPr>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8.4供应商应当在响应截止时间前完成电子响应文件的传输递交，并可以补充、修改或者撤回电子响应文件。补充或者修改电子响应文件的，应当先行撤回原文件，补充、修改后重新传输递交。响应截止时间前未完成传输的，视为撤回响应文件。响应截止时间后上传的电子响应文件，将被政采云平台拒收，作无效响应处理。</w:t>
      </w:r>
    </w:p>
    <w:p w14:paraId="7CBFC34B">
      <w:pPr>
        <w:wordWrap w:val="0"/>
        <w:spacing w:line="440" w:lineRule="exact"/>
        <w:jc w:val="left"/>
        <w:rPr>
          <w:rFonts w:ascii="宋体" w:hAnsi="宋体" w:cs="宋体"/>
          <w:b/>
          <w:color w:val="auto"/>
          <w:szCs w:val="21"/>
          <w:highlight w:val="none"/>
        </w:rPr>
      </w:pPr>
      <w:r>
        <w:rPr>
          <w:rFonts w:hint="eastAsia" w:ascii="宋体" w:hAnsi="宋体" w:cs="宋体"/>
          <w:b/>
          <w:color w:val="auto"/>
          <w:szCs w:val="21"/>
          <w:highlight w:val="none"/>
        </w:rPr>
        <w:t>9</w:t>
      </w:r>
      <w:r>
        <w:rPr>
          <w:rFonts w:hint="eastAsia" w:ascii="宋体" w:hAnsi="宋体" w:cs="宋体"/>
          <w:color w:val="auto"/>
          <w:szCs w:val="21"/>
          <w:highlight w:val="none"/>
        </w:rPr>
        <w:t>、</w:t>
      </w:r>
      <w:r>
        <w:rPr>
          <w:rFonts w:hint="eastAsia" w:ascii="宋体" w:hAnsi="宋体" w:cs="宋体"/>
          <w:b/>
          <w:color w:val="auto"/>
          <w:szCs w:val="21"/>
          <w:highlight w:val="none"/>
        </w:rPr>
        <w:t>响应文件的递交</w:t>
      </w:r>
    </w:p>
    <w:p w14:paraId="75D72526">
      <w:pPr>
        <w:wordWrap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9.1</w:t>
      </w:r>
      <w:r>
        <w:rPr>
          <w:rFonts w:hint="eastAsia" w:ascii="宋体" w:hAnsi="宋体" w:cs="宋体"/>
          <w:bCs/>
          <w:color w:val="auto"/>
          <w:kern w:val="0"/>
          <w:szCs w:val="21"/>
          <w:highlight w:val="none"/>
        </w:rPr>
        <w:t>（1）</w:t>
      </w:r>
      <w:r>
        <w:rPr>
          <w:rFonts w:hint="eastAsia" w:ascii="宋体" w:hAnsi="宋体" w:cs="宋体"/>
          <w:color w:val="auto"/>
          <w:kern w:val="0"/>
          <w:szCs w:val="21"/>
          <w:highlight w:val="none"/>
        </w:rPr>
        <w:t>供应商应于</w:t>
      </w:r>
      <w:r>
        <w:rPr>
          <w:rFonts w:hint="eastAsia" w:ascii="宋体" w:hAnsi="宋体" w:cs="宋体"/>
          <w:color w:val="auto"/>
          <w:szCs w:val="21"/>
          <w:highlight w:val="none"/>
        </w:rPr>
        <w:t>响应文件</w:t>
      </w:r>
      <w:r>
        <w:rPr>
          <w:rFonts w:hint="eastAsia" w:ascii="宋体" w:hAnsi="宋体" w:cs="宋体"/>
          <w:color w:val="auto"/>
          <w:kern w:val="0"/>
          <w:szCs w:val="21"/>
          <w:highlight w:val="none"/>
        </w:rPr>
        <w:t xml:space="preserve">递交截止时间前将电子响应文件上传到政府采购云平台 </w:t>
      </w:r>
      <w:r>
        <w:rPr>
          <w:color w:val="auto"/>
          <w:highlight w:val="none"/>
        </w:rPr>
        <w:fldChar w:fldCharType="begin"/>
      </w:r>
      <w:r>
        <w:rPr>
          <w:color w:val="auto"/>
          <w:highlight w:val="none"/>
        </w:rPr>
        <w:instrText xml:space="preserve">HYPERLINK "http://www.zcygov.cn，并应于2021年"</w:instrText>
      </w:r>
      <w:r>
        <w:rPr>
          <w:color w:val="auto"/>
          <w:highlight w:val="none"/>
        </w:rPr>
        <w:fldChar w:fldCharType="separate"/>
      </w:r>
      <w:r>
        <w:rPr>
          <w:rStyle w:val="60"/>
          <w:rFonts w:hint="eastAsia" w:ascii="宋体" w:hAnsi="宋体" w:cs="宋体"/>
          <w:color w:val="auto"/>
          <w:kern w:val="0"/>
          <w:szCs w:val="21"/>
          <w:highlight w:val="none"/>
        </w:rPr>
        <w:t>www.zcygov.cn，并应于</w:t>
      </w:r>
      <w:r>
        <w:rPr>
          <w:rFonts w:hint="eastAsia" w:ascii="宋体" w:hAnsi="宋体" w:cs="宋体"/>
          <w:color w:val="auto"/>
          <w:szCs w:val="21"/>
          <w:highlight w:val="none"/>
        </w:rPr>
        <w:t>响应文件</w:t>
      </w:r>
      <w:r>
        <w:rPr>
          <w:rFonts w:hint="eastAsia" w:ascii="宋体" w:hAnsi="宋体" w:cs="宋体"/>
          <w:color w:val="auto"/>
          <w:kern w:val="0"/>
          <w:szCs w:val="21"/>
          <w:highlight w:val="none"/>
        </w:rPr>
        <w:t>递交截止时间前</w:t>
      </w:r>
      <w:r>
        <w:rPr>
          <w:color w:val="auto"/>
          <w:highlight w:val="none"/>
        </w:rPr>
        <w:fldChar w:fldCharType="end"/>
      </w:r>
      <w:r>
        <w:rPr>
          <w:rFonts w:hint="eastAsia" w:ascii="宋体" w:hAnsi="宋体" w:cs="宋体"/>
          <w:color w:val="auto"/>
          <w:kern w:val="0"/>
          <w:szCs w:val="21"/>
          <w:highlight w:val="none"/>
        </w:rPr>
        <w:t>，将以U盘存储的电子备份响应文件密封，采用现场递交或邮寄送达方式递交</w:t>
      </w:r>
      <w:r>
        <w:rPr>
          <w:rFonts w:hint="eastAsia" w:ascii="宋体" w:hAnsi="宋体" w:cs="宋体"/>
          <w:color w:val="auto"/>
          <w:szCs w:val="21"/>
          <w:highlight w:val="none"/>
        </w:rPr>
        <w:t>。</w:t>
      </w:r>
    </w:p>
    <w:p w14:paraId="47576872">
      <w:pPr>
        <w:wordWrap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方式一：现场递交方式，供应商可安排一名授权代表在响应截止时间前将响应文件送至磋商地点：</w:t>
      </w:r>
      <w:r>
        <w:rPr>
          <w:rFonts w:hint="eastAsia" w:ascii="宋体" w:hAnsi="宋体" w:cs="宋体"/>
          <w:bCs/>
          <w:color w:val="auto"/>
          <w:szCs w:val="21"/>
          <w:highlight w:val="none"/>
          <w:lang w:eastAsia="zh-CN"/>
        </w:rPr>
        <w:t>浙江万里工程咨询集团有限公司</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浙江省宁波市高新区宝龙广场1幢12B楼</w:t>
      </w:r>
      <w:r>
        <w:rPr>
          <w:rFonts w:hint="eastAsia" w:ascii="宋体" w:hAnsi="宋体" w:cs="宋体"/>
          <w:bCs/>
          <w:color w:val="auto"/>
          <w:szCs w:val="21"/>
          <w:highlight w:val="none"/>
        </w:rPr>
        <w:t>）</w:t>
      </w:r>
      <w:r>
        <w:rPr>
          <w:rFonts w:hint="eastAsia" w:ascii="宋体" w:hAnsi="宋体" w:cs="宋体"/>
          <w:color w:val="auto"/>
          <w:kern w:val="0"/>
          <w:szCs w:val="21"/>
          <w:highlight w:val="none"/>
        </w:rPr>
        <w:t>。响应文件递交时须同时递交供应商的法定代表人（或其授权代表）联系方式，并保证磋商期间联系方式畅通。</w:t>
      </w:r>
    </w:p>
    <w:p w14:paraId="198C34CB">
      <w:pPr>
        <w:wordWrap w:val="0"/>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方式二：</w:t>
      </w:r>
      <w:r>
        <w:rPr>
          <w:rFonts w:hint="eastAsia" w:ascii="宋体" w:hAnsi="宋体" w:cs="宋体"/>
          <w:color w:val="auto"/>
          <w:kern w:val="0"/>
          <w:szCs w:val="21"/>
          <w:highlight w:val="none"/>
        </w:rPr>
        <w:t>邮寄送达，送达地址：</w:t>
      </w:r>
      <w:r>
        <w:rPr>
          <w:rFonts w:hint="eastAsia" w:ascii="宋体" w:hAnsi="宋体" w:cs="宋体"/>
          <w:bCs/>
          <w:color w:val="auto"/>
          <w:szCs w:val="21"/>
          <w:highlight w:val="none"/>
          <w:lang w:eastAsia="zh-CN"/>
        </w:rPr>
        <w:t>浙江万里工程咨询集团有限公司</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浙江省宁波市高新区宝龙广场1幢12B楼</w:t>
      </w:r>
      <w:r>
        <w:rPr>
          <w:rFonts w:hint="eastAsia" w:ascii="宋体" w:hAnsi="宋体" w:cs="宋体"/>
          <w:bCs/>
          <w:color w:val="auto"/>
          <w:szCs w:val="21"/>
          <w:highlight w:val="none"/>
        </w:rPr>
        <w:t>）</w:t>
      </w:r>
      <w:r>
        <w:rPr>
          <w:rFonts w:hint="eastAsia" w:ascii="宋体" w:hAnsi="宋体" w:cs="宋体"/>
          <w:color w:val="auto"/>
          <w:kern w:val="0"/>
          <w:szCs w:val="21"/>
          <w:highlight w:val="none"/>
        </w:rPr>
        <w:t>，联系方式：</w:t>
      </w:r>
      <w:r>
        <w:rPr>
          <w:rFonts w:hint="eastAsia" w:ascii="宋体" w:hAnsi="宋体" w:cs="宋体"/>
          <w:color w:val="auto"/>
          <w:kern w:val="0"/>
          <w:szCs w:val="21"/>
          <w:highlight w:val="none"/>
          <w:lang w:val="en-US" w:eastAsia="zh-CN"/>
        </w:rPr>
        <w:t>范工</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15728041631</w:t>
      </w:r>
      <w:r>
        <w:rPr>
          <w:rFonts w:hint="eastAsia" w:ascii="宋体" w:hAnsi="宋体" w:cs="宋体"/>
          <w:color w:val="auto"/>
          <w:kern w:val="0"/>
          <w:szCs w:val="21"/>
          <w:highlight w:val="none"/>
        </w:rPr>
        <w:t>。供应商邮寄后须将邮件单号发送至代理机构电子邮箱（电子邮箱：</w:t>
      </w:r>
      <w:r>
        <w:rPr>
          <w:rFonts w:hint="eastAsia" w:ascii="宋体" w:hAnsi="宋体" w:cs="宋体"/>
          <w:color w:val="auto"/>
          <w:kern w:val="0"/>
          <w:szCs w:val="21"/>
          <w:highlight w:val="none"/>
          <w:lang w:eastAsia="zh-CN"/>
        </w:rPr>
        <w:t>815566104</w:t>
      </w:r>
      <w:r>
        <w:rPr>
          <w:rFonts w:ascii="宋体" w:hAnsi="宋体" w:cs="宋体"/>
          <w:color w:val="auto"/>
          <w:kern w:val="0"/>
          <w:szCs w:val="21"/>
          <w:highlight w:val="none"/>
        </w:rPr>
        <w:t>@qq.com</w:t>
      </w:r>
      <w:r>
        <w:rPr>
          <w:rFonts w:hint="eastAsia" w:ascii="宋体" w:hAnsi="宋体" w:cs="宋体"/>
          <w:color w:val="auto"/>
          <w:kern w:val="0"/>
          <w:szCs w:val="21"/>
          <w:highlight w:val="none"/>
        </w:rPr>
        <w:t>），并致电采购代理机构，以便采购代理机构查询物流记录。各供应商应当确保电子备份磋商响应文件的密封包装在邮寄过程保持完好，并在邮寄包裹上注明项目名称、采购编号，因邮寄造成电子备份磋商响应文件密封破损而不符合采购文件对响应文件的密封要求、或邮寄过程中导致电子备份磋商响应文件未在磋商截止时间前送达的，代理机构将拒绝其电子备份磋商响应文件。各供应商自行考虑邮寄在途时间，响应文件送达时间以代理机构工作人员实际签收时间为准。</w:t>
      </w:r>
    </w:p>
    <w:p w14:paraId="4B838439">
      <w:pPr>
        <w:wordWrap w:val="0"/>
        <w:spacing w:line="44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（2）</w:t>
      </w:r>
      <w:r>
        <w:rPr>
          <w:rFonts w:hint="eastAsia" w:ascii="宋体" w:hAnsi="宋体"/>
          <w:color w:val="auto"/>
          <w:szCs w:val="21"/>
          <w:highlight w:val="none"/>
        </w:rPr>
        <w:t>代理机构在采购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14:paraId="3FA829E8">
      <w:pPr>
        <w:wordWrap w:val="0"/>
        <w:snapToGri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开启时间后半小时内供应商可以登录政府采购云平台https://www.zcygov.cn/，用“项目采购-开标评标”功能进行解密磋商响应文件。供应商按时在线解密磋商响应文件的，以在线解密的磋商响应文件作为评审依据，若供应商在规定时间内无法解密或解密失败，则以备份电子磋商响应文件作为评审依据（若备份电子磋商响应文件与政采云平台上传的磋商响应文件被识别为不一致，仍以备份电子磋商响应文件作为评审依据）。无论是否启用备份电子磋商响应文件，备份电子磋商响应文件均不退还供应商。若供应商在规定时间内无法解密或解密失败且未提供备份电子磋商响应文件或所提供的备份电子磋商响应文件无法读取的，视为磋商响应文件撤回。</w:t>
      </w:r>
    </w:p>
    <w:p w14:paraId="480E2A57">
      <w:pPr>
        <w:wordWrap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9.2逾期送达的或者未送达指定地点的，代理机构不予受理。</w:t>
      </w:r>
    </w:p>
    <w:p w14:paraId="471340A7">
      <w:pPr>
        <w:wordWrap w:val="0"/>
        <w:spacing w:line="440" w:lineRule="exact"/>
        <w:jc w:val="left"/>
        <w:rPr>
          <w:rFonts w:ascii="宋体" w:hAnsi="宋体" w:cs="宋体"/>
          <w:b/>
          <w:color w:val="auto"/>
          <w:szCs w:val="21"/>
          <w:highlight w:val="none"/>
        </w:rPr>
      </w:pPr>
      <w:r>
        <w:rPr>
          <w:rFonts w:hint="eastAsia" w:ascii="宋体" w:hAnsi="宋体" w:cs="宋体"/>
          <w:b/>
          <w:color w:val="auto"/>
          <w:szCs w:val="21"/>
          <w:highlight w:val="none"/>
        </w:rPr>
        <w:t>10、响应文件的补充、修改</w:t>
      </w:r>
    </w:p>
    <w:p w14:paraId="1308514F">
      <w:pPr>
        <w:wordWrap w:val="0"/>
        <w:spacing w:line="440" w:lineRule="exact"/>
        <w:ind w:firstLine="420" w:firstLineChars="200"/>
        <w:rPr>
          <w:rFonts w:ascii="宋体" w:hAnsi="宋体" w:cs="宋体"/>
          <w:bCs/>
          <w:iCs/>
          <w:color w:val="auto"/>
          <w:szCs w:val="21"/>
          <w:highlight w:val="none"/>
        </w:rPr>
      </w:pPr>
      <w:r>
        <w:rPr>
          <w:rFonts w:hint="eastAsia" w:ascii="宋体" w:hAnsi="宋体" w:cs="宋体"/>
          <w:color w:val="auto"/>
          <w:szCs w:val="21"/>
          <w:highlight w:val="none"/>
        </w:rPr>
        <w:t>响应文件递交截止时间前，供应商可以对递交的响应文件进行补充、修改，补充、修改电子响应文件的，应当先行撤回原文件，补充、修改后重新上传，电子备份响应文件也应重新制作。在递交截止时间之后，供应商不得对其响应文件进行补充、修改。递交截止时间之后供应商要求撤销响应文件的，应向采购人提交正式文件。</w:t>
      </w:r>
    </w:p>
    <w:p w14:paraId="5229B1A1">
      <w:pPr>
        <w:wordWrap w:val="0"/>
        <w:spacing w:line="440" w:lineRule="exact"/>
        <w:outlineLvl w:val="0"/>
        <w:rPr>
          <w:rFonts w:ascii="宋体" w:hAnsi="宋体" w:cs="宋体"/>
          <w:b/>
          <w:bCs/>
          <w:color w:val="auto"/>
          <w:szCs w:val="21"/>
          <w:highlight w:val="none"/>
        </w:rPr>
      </w:pPr>
      <w:bookmarkStart w:id="63" w:name="_Toc105610630"/>
      <w:bookmarkStart w:id="64" w:name="_Toc425953120"/>
      <w:bookmarkStart w:id="65" w:name="_Toc30710"/>
      <w:bookmarkStart w:id="66" w:name="_Toc462908584"/>
      <w:r>
        <w:rPr>
          <w:rFonts w:hint="eastAsia" w:ascii="宋体" w:hAnsi="宋体" w:cs="宋体"/>
          <w:b/>
          <w:bCs/>
          <w:color w:val="auto"/>
          <w:szCs w:val="21"/>
          <w:highlight w:val="none"/>
        </w:rPr>
        <w:t>11、竞争性磋商小组</w:t>
      </w:r>
      <w:bookmarkEnd w:id="63"/>
      <w:bookmarkEnd w:id="64"/>
      <w:bookmarkEnd w:id="65"/>
      <w:bookmarkEnd w:id="66"/>
    </w:p>
    <w:p w14:paraId="12E8A489">
      <w:pPr>
        <w:wordWrap w:val="0"/>
        <w:spacing w:line="440" w:lineRule="exact"/>
        <w:ind w:firstLine="420" w:firstLineChars="200"/>
        <w:rPr>
          <w:rFonts w:ascii="宋体" w:hAnsi="宋体" w:cs="宋体"/>
          <w:bCs/>
          <w:iCs/>
          <w:color w:val="auto"/>
          <w:szCs w:val="21"/>
          <w:highlight w:val="none"/>
        </w:rPr>
      </w:pPr>
      <w:r>
        <w:rPr>
          <w:rFonts w:hint="eastAsia" w:ascii="宋体" w:hAnsi="宋体" w:cs="宋体"/>
          <w:bCs/>
          <w:iCs/>
          <w:color w:val="auto"/>
          <w:szCs w:val="21"/>
          <w:highlight w:val="none"/>
        </w:rPr>
        <w:t>竞争性磋商小组评审专家共3人以上单数组成。评审专家将按规定在专家库中随机抽取。磋商小组成员名单在磋商结果确定之前依法保密。</w:t>
      </w:r>
    </w:p>
    <w:p w14:paraId="450854B6">
      <w:pPr>
        <w:wordWrap w:val="0"/>
        <w:spacing w:line="440" w:lineRule="exact"/>
        <w:ind w:firstLine="420" w:firstLineChars="200"/>
        <w:rPr>
          <w:rFonts w:ascii="宋体" w:hAnsi="宋体" w:cs="宋体"/>
          <w:bCs/>
          <w:iCs/>
          <w:color w:val="auto"/>
          <w:szCs w:val="21"/>
          <w:highlight w:val="none"/>
        </w:rPr>
      </w:pPr>
      <w:r>
        <w:rPr>
          <w:rFonts w:hint="eastAsia" w:ascii="宋体" w:hAnsi="宋体" w:cs="宋体"/>
          <w:bCs/>
          <w:iCs/>
          <w:color w:val="auto"/>
          <w:szCs w:val="21"/>
          <w:highlight w:val="none"/>
        </w:rPr>
        <w:t>磋商小组成员应当按照客观、公正、审慎的原则，根据采购文件规定的评审程序、评审方法和评审标准进行独立评审。未实质性响应采购文件的响应文件按无效响应处理，磋商小组应当告知提交响应文件的供应商。</w:t>
      </w:r>
    </w:p>
    <w:p w14:paraId="4A37C4D8">
      <w:pPr>
        <w:wordWrap w:val="0"/>
        <w:spacing w:line="440" w:lineRule="exact"/>
        <w:ind w:firstLine="420" w:firstLineChars="200"/>
        <w:rPr>
          <w:rFonts w:ascii="宋体" w:hAnsi="宋体" w:cs="宋体"/>
          <w:bCs/>
          <w:iCs/>
          <w:color w:val="auto"/>
          <w:szCs w:val="21"/>
          <w:highlight w:val="none"/>
        </w:rPr>
      </w:pPr>
      <w:r>
        <w:rPr>
          <w:rFonts w:hint="eastAsia" w:ascii="宋体" w:hAnsi="宋体" w:cs="宋体"/>
          <w:bCs/>
          <w:iCs/>
          <w:color w:val="auto"/>
          <w:szCs w:val="21"/>
          <w:highlight w:val="none"/>
        </w:rPr>
        <w:t>磋商小组所有成员应当集中与单一供应商分别进行磋商，并给予所有参加磋商的供应商平等的磋商机会。</w:t>
      </w:r>
    </w:p>
    <w:p w14:paraId="10678933">
      <w:pPr>
        <w:wordWrap w:val="0"/>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12、竞争性磋商程序与评定成交的标准</w:t>
      </w:r>
    </w:p>
    <w:p w14:paraId="49E187FE">
      <w:pPr>
        <w:wordWrap w:val="0"/>
        <w:spacing w:line="440" w:lineRule="exact"/>
        <w:ind w:firstLine="420" w:firstLineChars="200"/>
        <w:rPr>
          <w:rFonts w:ascii="宋体" w:hAnsi="宋体" w:cs="宋体"/>
          <w:bCs/>
          <w:iCs/>
          <w:color w:val="auto"/>
          <w:szCs w:val="21"/>
          <w:highlight w:val="none"/>
        </w:rPr>
      </w:pPr>
      <w:r>
        <w:rPr>
          <w:rFonts w:hint="eastAsia" w:ascii="宋体" w:hAnsi="宋体" w:cs="宋体"/>
          <w:bCs/>
          <w:iCs/>
          <w:color w:val="auto"/>
          <w:szCs w:val="21"/>
          <w:highlight w:val="none"/>
        </w:rPr>
        <w:t>详见“第四部分  评定成交的标准”。</w:t>
      </w:r>
    </w:p>
    <w:p w14:paraId="77AEE53A">
      <w:pPr>
        <w:wordWrap w:val="0"/>
        <w:spacing w:line="440" w:lineRule="exact"/>
        <w:jc w:val="left"/>
        <w:rPr>
          <w:rFonts w:ascii="宋体" w:hAnsi="宋体" w:cs="宋体"/>
          <w:color w:val="auto"/>
          <w:szCs w:val="21"/>
          <w:highlight w:val="none"/>
        </w:rPr>
      </w:pPr>
      <w:r>
        <w:rPr>
          <w:rFonts w:hint="eastAsia" w:ascii="宋体" w:hAnsi="宋体" w:cs="宋体"/>
          <w:b/>
          <w:color w:val="auto"/>
          <w:szCs w:val="21"/>
          <w:highlight w:val="none"/>
        </w:rPr>
        <w:t>13</w:t>
      </w:r>
      <w:r>
        <w:rPr>
          <w:rFonts w:hint="eastAsia" w:ascii="宋体" w:hAnsi="宋体" w:cs="宋体"/>
          <w:color w:val="auto"/>
          <w:szCs w:val="21"/>
          <w:highlight w:val="none"/>
        </w:rPr>
        <w:t>、</w:t>
      </w:r>
      <w:r>
        <w:rPr>
          <w:rFonts w:hint="eastAsia" w:ascii="宋体" w:hAnsi="宋体" w:cs="宋体"/>
          <w:b/>
          <w:color w:val="auto"/>
          <w:szCs w:val="21"/>
          <w:highlight w:val="none"/>
        </w:rPr>
        <w:t>竞争性磋商采购文件的澄清或修改</w:t>
      </w:r>
    </w:p>
    <w:p w14:paraId="33D31AA7">
      <w:pPr>
        <w:wordWrap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人可以对已发出的竞争性磋商采购文件进行必要的澄清或者修改，将以“更正公告”的形式发布在政采云平台，供应商应及时登录政采云平台，进行浏览并下载，未及时浏览下载的责任自负。澄清或者修改的内容可能影响响应文件编制的，采购人应当在</w:t>
      </w:r>
      <w:r>
        <w:rPr>
          <w:rFonts w:hint="eastAsia" w:ascii="宋体" w:hAnsi="宋体" w:cs="宋体"/>
          <w:bCs/>
          <w:iCs/>
          <w:color w:val="auto"/>
          <w:szCs w:val="21"/>
          <w:highlight w:val="none"/>
        </w:rPr>
        <w:t>提交响应文件的截止时间</w:t>
      </w:r>
      <w:r>
        <w:rPr>
          <w:rFonts w:hint="eastAsia" w:ascii="宋体" w:hAnsi="宋体" w:cs="宋体"/>
          <w:color w:val="auto"/>
          <w:szCs w:val="21"/>
          <w:highlight w:val="none"/>
        </w:rPr>
        <w:t>至少5日前，不足5日的，采购人应当顺延</w:t>
      </w:r>
      <w:r>
        <w:rPr>
          <w:rFonts w:hint="eastAsia" w:ascii="宋体" w:hAnsi="宋体" w:cs="宋体"/>
          <w:bCs/>
          <w:iCs/>
          <w:color w:val="auto"/>
          <w:szCs w:val="21"/>
          <w:highlight w:val="none"/>
        </w:rPr>
        <w:t>提交响应文件的截止时间</w:t>
      </w:r>
      <w:r>
        <w:rPr>
          <w:rFonts w:hint="eastAsia" w:ascii="宋体" w:hAnsi="宋体" w:cs="宋体"/>
          <w:color w:val="auto"/>
          <w:szCs w:val="21"/>
          <w:highlight w:val="none"/>
        </w:rPr>
        <w:t>；澄清或者修改的内容不影响响应文件编制的，则不受5日的期限限制。澄清或者修改的内容为竞争性磋商采购文件的组成部分，对所有供应商具有约束力。</w:t>
      </w:r>
    </w:p>
    <w:p w14:paraId="1634DE5B">
      <w:pPr>
        <w:wordWrap w:val="0"/>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14、错误修正</w:t>
      </w:r>
    </w:p>
    <w:p w14:paraId="04089CD4">
      <w:pPr>
        <w:wordWrap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采购文件如果出现计算或表达上的错误，修正错误的原则如下：</w:t>
      </w:r>
    </w:p>
    <w:p w14:paraId="37EC57EA">
      <w:pPr>
        <w:wordWrap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1、响应文件中报价一览表内容与政采云系统“开标一览表”中录入的报价内容不一致的，以上传的签字盖章的响应文件中报价一览表为准；</w:t>
      </w:r>
    </w:p>
    <w:p w14:paraId="0A6DACD5">
      <w:pPr>
        <w:wordWrap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2、采购文件中报价一览表（报价表）内容与采购文件中相应内容不一致的，以报价一览表（报价表）为准；</w:t>
      </w:r>
    </w:p>
    <w:p w14:paraId="3080DF77">
      <w:pPr>
        <w:wordWrap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14:paraId="6BB05509">
      <w:pPr>
        <w:wordWrap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4、单价金额小数点或者百分比有明显错位的，以报价一览表的总价为准，并修改单价；</w:t>
      </w:r>
    </w:p>
    <w:p w14:paraId="50489049">
      <w:pPr>
        <w:wordWrap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5、总价金额与按单价汇总金额不一致的，以报价一览表（报价表）为准，并修改单价。</w:t>
      </w:r>
    </w:p>
    <w:p w14:paraId="762949DC">
      <w:pPr>
        <w:wordWrap w:val="0"/>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同时出现两种以上不一致的，按照前款规定的顺序修正。修正后的报价按照采购文件的规定经供应商确认后产生约束力，供应商不确认的，作无效响应处理。</w:t>
      </w:r>
    </w:p>
    <w:p w14:paraId="6E9E0F8E">
      <w:pPr>
        <w:wordWrap w:val="0"/>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15、成交结果通知</w:t>
      </w:r>
    </w:p>
    <w:p w14:paraId="5A483236">
      <w:pPr>
        <w:wordWrap w:val="0"/>
        <w:spacing w:line="440" w:lineRule="exact"/>
        <w:ind w:firstLine="420" w:firstLineChars="200"/>
        <w:rPr>
          <w:rFonts w:ascii="宋体" w:hAnsi="宋体" w:cs="宋体"/>
          <w:bCs/>
          <w:iCs/>
          <w:color w:val="auto"/>
          <w:szCs w:val="21"/>
          <w:highlight w:val="none"/>
        </w:rPr>
      </w:pPr>
      <w:r>
        <w:rPr>
          <w:rFonts w:hint="eastAsia" w:ascii="宋体" w:hAnsi="宋体" w:cs="宋体"/>
          <w:bCs/>
          <w:iCs/>
          <w:color w:val="auto"/>
          <w:szCs w:val="21"/>
          <w:highlight w:val="none"/>
        </w:rPr>
        <w:t>磋商小组将根据“第四部分  评定成交的标准”确定的评审方法和原则，按照磋商结果排序，确定排序第一的成交候选人为推荐成交供应商。成交供应商如拒绝与采购人签订合同的，采购人可以按照磋商报告推荐的成交候选人名单排序，确定下一候选人为成交供应商，依此类推；采购人也可以重新采购。</w:t>
      </w:r>
    </w:p>
    <w:p w14:paraId="25323861">
      <w:pPr>
        <w:wordWrap w:val="0"/>
        <w:spacing w:line="440" w:lineRule="exact"/>
        <w:ind w:firstLine="420" w:firstLineChars="200"/>
        <w:rPr>
          <w:rFonts w:ascii="宋体" w:hAnsi="宋体" w:cs="宋体"/>
          <w:bCs/>
          <w:iCs/>
          <w:color w:val="auto"/>
          <w:szCs w:val="21"/>
          <w:highlight w:val="none"/>
        </w:rPr>
      </w:pPr>
      <w:r>
        <w:rPr>
          <w:rFonts w:hint="eastAsia" w:ascii="宋体" w:hAnsi="宋体" w:cs="宋体"/>
          <w:bCs/>
          <w:iCs/>
          <w:color w:val="auto"/>
          <w:szCs w:val="21"/>
          <w:highlight w:val="none"/>
        </w:rPr>
        <w:t>采购人确认评审结果后，采购代理机构将在采购文件载明的</w:t>
      </w:r>
      <w:r>
        <w:rPr>
          <w:rFonts w:hint="eastAsia" w:ascii="宋体" w:hAnsi="宋体" w:cs="宋体"/>
          <w:color w:val="auto"/>
          <w:szCs w:val="21"/>
          <w:highlight w:val="none"/>
        </w:rPr>
        <w:t>本项目信息发布媒体</w:t>
      </w:r>
      <w:r>
        <w:rPr>
          <w:rFonts w:hint="eastAsia" w:ascii="宋体" w:hAnsi="宋体" w:cs="宋体"/>
          <w:bCs/>
          <w:iCs/>
          <w:color w:val="auto"/>
          <w:szCs w:val="21"/>
          <w:highlight w:val="none"/>
        </w:rPr>
        <w:t>上发布成交结果公告，</w:t>
      </w:r>
      <w:r>
        <w:rPr>
          <w:rFonts w:hint="eastAsia" w:cs="宋体"/>
          <w:color w:val="auto"/>
          <w:highlight w:val="none"/>
        </w:rPr>
        <w:t>并向成交供应商发出成交通知书，向其他供应商发出磋商结果通知书。</w:t>
      </w:r>
    </w:p>
    <w:p w14:paraId="3CC14CF4">
      <w:pPr>
        <w:wordWrap w:val="0"/>
        <w:spacing w:line="440" w:lineRule="exact"/>
        <w:ind w:firstLine="420" w:firstLineChars="200"/>
        <w:rPr>
          <w:rFonts w:ascii="宋体" w:hAnsi="宋体" w:cs="宋体"/>
          <w:bCs/>
          <w:iCs/>
          <w:color w:val="auto"/>
          <w:szCs w:val="21"/>
          <w:highlight w:val="none"/>
        </w:rPr>
      </w:pPr>
      <w:r>
        <w:rPr>
          <w:rFonts w:hint="eastAsia" w:ascii="宋体" w:hAnsi="宋体" w:cs="宋体"/>
          <w:bCs/>
          <w:iCs/>
          <w:color w:val="auto"/>
          <w:szCs w:val="21"/>
          <w:highlight w:val="none"/>
        </w:rPr>
        <w:t>确定成交通知书发出后，若成交供应商放弃成交，应当承担相应的法律责任，确定成交通知书对采购人和成交供应商具有同等法律效力。</w:t>
      </w:r>
    </w:p>
    <w:p w14:paraId="63C82F87">
      <w:pPr>
        <w:wordWrap w:val="0"/>
        <w:spacing w:line="440" w:lineRule="exact"/>
        <w:ind w:firstLine="420" w:firstLineChars="200"/>
        <w:rPr>
          <w:rFonts w:ascii="宋体" w:hAnsi="宋体" w:cs="宋体"/>
          <w:bCs/>
          <w:iCs/>
          <w:color w:val="auto"/>
          <w:szCs w:val="21"/>
          <w:highlight w:val="none"/>
        </w:rPr>
      </w:pPr>
      <w:r>
        <w:rPr>
          <w:rFonts w:hint="eastAsia" w:ascii="宋体" w:hAnsi="宋体" w:cs="宋体"/>
          <w:color w:val="auto"/>
          <w:highlight w:val="none"/>
        </w:rPr>
        <w:t>供应商若对成交结果有异议，可在质疑有效期内向采购人或采购代理机构提出书面质疑，采购人将在收到质疑文件之日起</w:t>
      </w:r>
      <w:r>
        <w:rPr>
          <w:rFonts w:ascii="宋体" w:hAnsi="宋体" w:cs="宋体"/>
          <w:color w:val="auto"/>
          <w:highlight w:val="none"/>
        </w:rPr>
        <w:t>7</w:t>
      </w:r>
      <w:r>
        <w:rPr>
          <w:rFonts w:hint="eastAsia" w:ascii="宋体" w:hAnsi="宋体" w:cs="宋体"/>
          <w:color w:val="auto"/>
          <w:highlight w:val="none"/>
        </w:rPr>
        <w:t>个工作日内书面答复。</w:t>
      </w:r>
    </w:p>
    <w:p w14:paraId="15261D43">
      <w:pPr>
        <w:wordWrap w:val="0"/>
        <w:spacing w:line="440" w:lineRule="exact"/>
        <w:rPr>
          <w:rFonts w:ascii="宋体" w:hAnsi="宋体" w:cs="宋体"/>
          <w:color w:val="auto"/>
          <w:szCs w:val="21"/>
          <w:highlight w:val="none"/>
        </w:rPr>
      </w:pPr>
      <w:r>
        <w:rPr>
          <w:rFonts w:hint="eastAsia" w:ascii="宋体" w:hAnsi="宋体" w:cs="宋体"/>
          <w:b/>
          <w:color w:val="auto"/>
          <w:szCs w:val="21"/>
          <w:highlight w:val="none"/>
        </w:rPr>
        <w:t>16、签订合同</w:t>
      </w:r>
    </w:p>
    <w:p w14:paraId="1D00B85B">
      <w:pPr>
        <w:wordWrap w:val="0"/>
        <w:spacing w:line="440" w:lineRule="exact"/>
        <w:ind w:firstLine="420" w:firstLineChars="200"/>
        <w:rPr>
          <w:rFonts w:ascii="宋体" w:hAnsi="宋体" w:cs="宋体"/>
          <w:bCs/>
          <w:iCs/>
          <w:color w:val="auto"/>
          <w:szCs w:val="21"/>
          <w:highlight w:val="none"/>
        </w:rPr>
      </w:pPr>
      <w:r>
        <w:rPr>
          <w:rFonts w:hint="eastAsia" w:ascii="宋体" w:hAnsi="宋体" w:cs="宋体"/>
          <w:bCs/>
          <w:iCs/>
          <w:color w:val="auto"/>
          <w:szCs w:val="21"/>
          <w:highlight w:val="none"/>
        </w:rPr>
        <w:t>确定成交供应商在采购代理机构发出确定成交通知书的30日内，应与采购人按照竞争性磋商采购文件和确定成交供应商的响应文件的约定内容签订书面合同。</w:t>
      </w:r>
    </w:p>
    <w:p w14:paraId="3EBF8284">
      <w:pPr>
        <w:wordWrap w:val="0"/>
        <w:spacing w:line="440" w:lineRule="exact"/>
        <w:ind w:firstLine="420" w:firstLineChars="200"/>
        <w:rPr>
          <w:rFonts w:ascii="宋体" w:hAnsi="宋体" w:cs="宋体"/>
          <w:bCs/>
          <w:iCs/>
          <w:color w:val="auto"/>
          <w:szCs w:val="21"/>
          <w:highlight w:val="none"/>
        </w:rPr>
      </w:pPr>
      <w:r>
        <w:rPr>
          <w:rFonts w:hint="eastAsia" w:ascii="宋体" w:hAnsi="宋体" w:cs="宋体"/>
          <w:bCs/>
          <w:iCs/>
          <w:color w:val="auto"/>
          <w:szCs w:val="21"/>
          <w:highlight w:val="none"/>
        </w:rPr>
        <w:t>竞争性磋商采购文件、确定成交供应商的响应文件及磋商过程中有关的澄清文件均应作为合同附件。</w:t>
      </w:r>
    </w:p>
    <w:p w14:paraId="018A8258">
      <w:pPr>
        <w:wordWrap w:val="0"/>
        <w:spacing w:line="440" w:lineRule="exact"/>
        <w:ind w:firstLine="420" w:firstLineChars="200"/>
        <w:rPr>
          <w:rFonts w:ascii="宋体" w:hAnsi="宋体" w:cs="宋体"/>
          <w:bCs/>
          <w:iCs/>
          <w:color w:val="auto"/>
          <w:szCs w:val="21"/>
          <w:highlight w:val="none"/>
        </w:rPr>
      </w:pPr>
      <w:r>
        <w:rPr>
          <w:rFonts w:hint="eastAsia" w:ascii="宋体" w:hAnsi="宋体" w:cs="宋体"/>
          <w:bCs/>
          <w:iCs/>
          <w:color w:val="auto"/>
          <w:szCs w:val="21"/>
          <w:highlight w:val="none"/>
        </w:rPr>
        <w:t>拒绝签订合同的成交供应商不得参加对该项目重新开展的采购活动。</w:t>
      </w:r>
    </w:p>
    <w:p w14:paraId="43DFD2E5">
      <w:pPr>
        <w:wordWrap w:val="0"/>
        <w:spacing w:line="440" w:lineRule="exact"/>
        <w:rPr>
          <w:rFonts w:ascii="宋体" w:hAnsi="宋体" w:cs="宋体"/>
          <w:b/>
          <w:color w:val="auto"/>
          <w:szCs w:val="21"/>
          <w:highlight w:val="none"/>
        </w:rPr>
      </w:pPr>
      <w:r>
        <w:rPr>
          <w:rFonts w:hint="eastAsia" w:ascii="宋体" w:hAnsi="宋体" w:cs="宋体"/>
          <w:b/>
          <w:color w:val="auto"/>
          <w:szCs w:val="21"/>
          <w:highlight w:val="none"/>
        </w:rPr>
        <w:t>17、保密</w:t>
      </w:r>
    </w:p>
    <w:p w14:paraId="2B9C6C35">
      <w:pPr>
        <w:wordWrap w:val="0"/>
        <w:spacing w:line="440" w:lineRule="exact"/>
        <w:ind w:firstLine="420" w:firstLineChars="200"/>
        <w:rPr>
          <w:rFonts w:ascii="宋体" w:hAnsi="宋体" w:cs="宋体"/>
          <w:bCs/>
          <w:iCs/>
          <w:color w:val="auto"/>
          <w:szCs w:val="21"/>
          <w:highlight w:val="none"/>
        </w:rPr>
      </w:pPr>
      <w:r>
        <w:rPr>
          <w:rFonts w:hint="eastAsia" w:ascii="宋体" w:hAnsi="宋体" w:cs="宋体"/>
          <w:bCs/>
          <w:iCs/>
          <w:color w:val="auto"/>
          <w:szCs w:val="21"/>
          <w:highlight w:val="none"/>
        </w:rPr>
        <w:t>成交结果公告发布之前，磋商小组名单应该保密。磋商小组成员、采购人和采购代理机构的有关参与人员应该对磋商过程保密，不得向供应商或其他无关的人员透露。</w:t>
      </w:r>
    </w:p>
    <w:p w14:paraId="1813D71A">
      <w:pPr>
        <w:wordWrap w:val="0"/>
        <w:spacing w:line="440" w:lineRule="exact"/>
        <w:rPr>
          <w:rFonts w:ascii="宋体" w:hAnsi="宋体" w:cs="宋体"/>
          <w:b/>
          <w:color w:val="auto"/>
          <w:szCs w:val="21"/>
          <w:highlight w:val="none"/>
        </w:rPr>
      </w:pPr>
      <w:r>
        <w:rPr>
          <w:rFonts w:hint="eastAsia" w:ascii="宋体" w:hAnsi="宋体" w:cs="宋体"/>
          <w:b/>
          <w:bCs/>
          <w:color w:val="auto"/>
          <w:highlight w:val="none"/>
        </w:rPr>
        <w:t>18、</w:t>
      </w:r>
      <w:r>
        <w:rPr>
          <w:rFonts w:hint="eastAsia" w:ascii="宋体" w:hAnsi="宋体" w:cs="宋体"/>
          <w:b/>
          <w:color w:val="auto"/>
          <w:szCs w:val="21"/>
          <w:highlight w:val="none"/>
        </w:rPr>
        <w:t>特别说明</w:t>
      </w:r>
    </w:p>
    <w:p w14:paraId="0ACF7375">
      <w:pPr>
        <w:wordWrap w:val="0"/>
        <w:spacing w:line="440" w:lineRule="exact"/>
        <w:ind w:firstLine="420" w:firstLineChars="200"/>
        <w:rPr>
          <w:rFonts w:ascii="宋体" w:hAnsi="宋体" w:cs="宋体"/>
          <w:color w:val="auto"/>
          <w:highlight w:val="none"/>
        </w:rPr>
      </w:pPr>
      <w:r>
        <w:rPr>
          <w:rFonts w:hint="eastAsia" w:ascii="宋体" w:hAnsi="宋体" w:cs="宋体"/>
          <w:color w:val="auto"/>
          <w:highlight w:val="none"/>
        </w:rPr>
        <w:t>18.1、政府采购活动中有关中小企业的相关规定</w:t>
      </w:r>
    </w:p>
    <w:p w14:paraId="725C8E95">
      <w:pPr>
        <w:wordWrap w:val="0"/>
        <w:spacing w:line="440" w:lineRule="exact"/>
        <w:ind w:firstLine="420" w:firstLineChars="200"/>
        <w:rPr>
          <w:rFonts w:ascii="宋体" w:hAnsi="宋体" w:cs="宋体"/>
          <w:color w:val="auto"/>
          <w:highlight w:val="none"/>
        </w:rPr>
      </w:pPr>
      <w:r>
        <w:rPr>
          <w:rFonts w:hint="eastAsia" w:ascii="宋体" w:hAnsi="宋体" w:cs="宋体"/>
          <w:color w:val="auto"/>
          <w:szCs w:val="21"/>
          <w:highlight w:val="none"/>
        </w:rPr>
        <w:t>1、政府采购活动中有关中小企业的相关规定</w:t>
      </w:r>
    </w:p>
    <w:p w14:paraId="79D5E9F1">
      <w:pPr>
        <w:wordWrap w:val="0"/>
        <w:spacing w:line="440" w:lineRule="exact"/>
        <w:ind w:firstLine="420" w:firstLineChars="200"/>
        <w:rPr>
          <w:rFonts w:ascii="宋体" w:hAnsi="宋体" w:cs="宋体"/>
          <w:color w:val="auto"/>
          <w:highlight w:val="none"/>
        </w:rPr>
      </w:pPr>
      <w:r>
        <w:rPr>
          <w:rFonts w:hint="eastAsia" w:ascii="宋体" w:hAnsi="宋体" w:cs="宋体"/>
          <w:color w:val="auto"/>
          <w:highlight w:val="none"/>
        </w:rPr>
        <w:t>1）参加政府采购活动的中小企业（含中型、小型、微型企业，其他地方同）应当同时符合以下条件：（</w:t>
      </w:r>
      <w:r>
        <w:rPr>
          <w:rFonts w:hint="eastAsia" w:ascii="宋体" w:hAnsi="宋体" w:cs="宋体"/>
          <w:b/>
          <w:bCs/>
          <w:color w:val="auto"/>
          <w:szCs w:val="21"/>
          <w:highlight w:val="none"/>
        </w:rPr>
        <w:t>采购进口产品的项目不适用</w:t>
      </w:r>
      <w:r>
        <w:rPr>
          <w:rFonts w:hint="eastAsia" w:ascii="宋体" w:hAnsi="宋体" w:cs="宋体"/>
          <w:color w:val="auto"/>
          <w:highlight w:val="none"/>
        </w:rPr>
        <w:t>）</w:t>
      </w:r>
    </w:p>
    <w:p w14:paraId="4B962588">
      <w:pPr>
        <w:wordWrap w:val="0"/>
        <w:spacing w:line="400" w:lineRule="exact"/>
        <w:ind w:firstLine="420" w:firstLineChars="200"/>
        <w:rPr>
          <w:rFonts w:ascii="宋体" w:hAnsi="宋体" w:cs="宋体"/>
          <w:color w:val="auto"/>
          <w:szCs w:val="21"/>
          <w:highlight w:val="none"/>
        </w:rPr>
      </w:pPr>
      <w:bookmarkStart w:id="67" w:name="_Toc419729151"/>
      <w:bookmarkStart w:id="68" w:name="_Toc436408701"/>
      <w:bookmarkStart w:id="69" w:name="_Toc441316547"/>
      <w:bookmarkStart w:id="70" w:name="_Toc21541008"/>
      <w:r>
        <w:rPr>
          <w:rFonts w:hint="eastAsia" w:ascii="宋体" w:hAnsi="宋体" w:cs="宋体"/>
          <w:color w:val="auto"/>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bookmarkEnd w:id="67"/>
      <w:bookmarkEnd w:id="68"/>
      <w:bookmarkEnd w:id="69"/>
      <w:bookmarkEnd w:id="70"/>
      <w:r>
        <w:rPr>
          <w:rFonts w:hint="eastAsia" w:ascii="宋体" w:hAnsi="宋体" w:cs="宋体"/>
          <w:color w:val="auto"/>
          <w:szCs w:val="21"/>
          <w:highlight w:val="none"/>
        </w:rPr>
        <w:t>。</w:t>
      </w:r>
    </w:p>
    <w:p w14:paraId="0115290C">
      <w:pP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14:paraId="5C5F3BB6">
      <w:pP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14:paraId="399D6193">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（2）在政府采购活动中，供应商提供的货物、工程或者服务符合下列情形的，享受《政府采购促进中小企业发展管理办法》规定的中小企业扶持政策：</w:t>
      </w:r>
    </w:p>
    <w:p w14:paraId="06C8544A">
      <w:pPr>
        <w:wordWrap w:val="0"/>
        <w:spacing w:line="400" w:lineRule="exact"/>
        <w:ind w:firstLine="420" w:firstLineChars="200"/>
        <w:rPr>
          <w:rFonts w:ascii="宋体" w:hAnsi="宋体" w:cs="宋体"/>
          <w:color w:val="auto"/>
          <w:szCs w:val="21"/>
          <w:highlight w:val="none"/>
        </w:rPr>
      </w:pPr>
      <w:bookmarkStart w:id="71" w:name="_Toc419729152"/>
      <w:bookmarkStart w:id="72" w:name="_Toc436408702"/>
      <w:bookmarkStart w:id="73" w:name="_Toc441316548"/>
      <w:bookmarkStart w:id="74" w:name="_Toc21541009"/>
      <w:r>
        <w:rPr>
          <w:rFonts w:hint="eastAsia" w:ascii="宋体" w:hAnsi="宋体" w:cs="宋体"/>
          <w:color w:val="auto"/>
          <w:szCs w:val="21"/>
          <w:highlight w:val="none"/>
        </w:rPr>
        <w:t>①在货物采购项目中，货物由中小企业制造，即货物由中小企业生产且使用该中小企业商号或者注册商标；</w:t>
      </w:r>
      <w:bookmarkEnd w:id="71"/>
      <w:bookmarkEnd w:id="72"/>
      <w:bookmarkEnd w:id="73"/>
      <w:bookmarkEnd w:id="74"/>
    </w:p>
    <w:p w14:paraId="37754420">
      <w:pPr>
        <w:wordWrap w:val="0"/>
        <w:spacing w:line="400" w:lineRule="exact"/>
        <w:ind w:firstLine="420" w:firstLineChars="200"/>
        <w:rPr>
          <w:rFonts w:ascii="宋体" w:hAnsi="宋体" w:cs="宋体"/>
          <w:color w:val="auto"/>
          <w:szCs w:val="21"/>
          <w:highlight w:val="none"/>
        </w:rPr>
      </w:pPr>
      <w:bookmarkStart w:id="75" w:name="_Toc419729153"/>
      <w:bookmarkStart w:id="76" w:name="_Toc21541010"/>
      <w:bookmarkStart w:id="77" w:name="_Toc436408703"/>
      <w:bookmarkStart w:id="78" w:name="_Toc441316549"/>
      <w:r>
        <w:rPr>
          <w:rFonts w:hint="eastAsia" w:ascii="宋体" w:hAnsi="宋体" w:cs="宋体"/>
          <w:color w:val="auto"/>
          <w:szCs w:val="21"/>
          <w:highlight w:val="none"/>
        </w:rPr>
        <w:t>②在工程采购项目中，工程由中小企业承建，即工程施工单位为中小企业</w:t>
      </w:r>
      <w:bookmarkEnd w:id="75"/>
      <w:bookmarkEnd w:id="76"/>
      <w:bookmarkEnd w:id="77"/>
      <w:bookmarkEnd w:id="78"/>
      <w:r>
        <w:rPr>
          <w:rFonts w:hint="eastAsia" w:ascii="宋体" w:hAnsi="宋体" w:cs="宋体"/>
          <w:color w:val="auto"/>
          <w:szCs w:val="21"/>
          <w:highlight w:val="none"/>
        </w:rPr>
        <w:t>；</w:t>
      </w:r>
    </w:p>
    <w:p w14:paraId="6FD550AA">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③在服务采购项目中，服务由中小企业承接，即提供服务的人员为中小企业依照《中华人民共和国劳动合同法》订立劳动合同的从业人员。</w:t>
      </w:r>
    </w:p>
    <w:p w14:paraId="1BEB3FBA">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在货物采购项目中，供应商提供的货物既有中小企业制造货物，也有大型企业制造货物的，不享受《政府采购促进中小企业发展管理办法》规定的中小企业扶持政策。</w:t>
      </w:r>
    </w:p>
    <w:p w14:paraId="1117B2D4">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14:paraId="42470C81">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（3）中小企业参加政府采购活动，应当出具《政府采购促进中小企业发展管理办法》规定的《中小企业声明函》（格式见第六部分附件），否则不得享受相关中小企业扶持政策。</w:t>
      </w:r>
    </w:p>
    <w:p w14:paraId="2BD3676E">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06275E98">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供应商提供声明函内容不实的，属于提供虚假材料谋取中标、成交，依照《中华人民共和国政府采购法》等国家有关规定追究相应责任。</w:t>
      </w:r>
    </w:p>
    <w:p w14:paraId="5F4AA510">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适用招标投标法的政府采购工程建设项目，供应商提供声明函内容不实的，属于弄虚作假骗取中标，依照《中华人民共和国招标投标法》等国家有关规定追究相应责任。</w:t>
      </w:r>
    </w:p>
    <w:p w14:paraId="14007C2C">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（5）《中小企业声明函》由参加投标的供应商提交，如供应商为代理商，须自行采集制造商的中小企业划分类型信息填入相应栏目并对其真实性负责。</w:t>
      </w:r>
    </w:p>
    <w:p w14:paraId="5777EC83">
      <w:pPr>
        <w:wordWrap w:val="0"/>
        <w:spacing w:line="440" w:lineRule="exact"/>
        <w:ind w:firstLine="420" w:firstLineChars="200"/>
        <w:rPr>
          <w:rFonts w:ascii="宋体" w:hAnsi="宋体" w:cs="宋体"/>
          <w:color w:val="auto"/>
          <w:highlight w:val="none"/>
        </w:rPr>
      </w:pPr>
      <w:r>
        <w:rPr>
          <w:rFonts w:hint="eastAsia" w:ascii="宋体" w:hAnsi="宋体" w:cs="宋体"/>
          <w:color w:val="auto"/>
          <w:highlight w:val="none"/>
        </w:rPr>
        <w:t>2、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34E08A57">
      <w:pPr>
        <w:wordWrap w:val="0"/>
        <w:spacing w:line="440" w:lineRule="exact"/>
        <w:ind w:firstLine="420" w:firstLineChars="200"/>
        <w:rPr>
          <w:rFonts w:ascii="宋体" w:hAnsi="宋体" w:cs="宋体"/>
          <w:color w:val="auto"/>
          <w:highlight w:val="none"/>
        </w:rPr>
      </w:pPr>
      <w:r>
        <w:rPr>
          <w:rFonts w:hint="eastAsia" w:ascii="宋体" w:hAnsi="宋体" w:cs="宋体"/>
          <w:color w:val="auto"/>
          <w:highlight w:val="none"/>
        </w:rPr>
        <w:t>3、执行《三部门联合发布关于促进残疾人就业政府采购政策的通知》，在政府采购活动中，残疾人福利性单位视同小型、微型企业，残疾人福利性单位参加政府采购活动时，应当提供《残疾人福利性单位声明函》，并对声明的真实性负责，未能提供的不予认可。</w:t>
      </w:r>
    </w:p>
    <w:p w14:paraId="026ED2C4">
      <w:pPr>
        <w:wordWrap w:val="0"/>
        <w:spacing w:line="440" w:lineRule="exact"/>
        <w:ind w:firstLine="420" w:firstLineChars="200"/>
        <w:rPr>
          <w:rFonts w:ascii="宋体" w:hAnsi="宋体" w:cs="宋体"/>
          <w:color w:val="auto"/>
          <w:highlight w:val="none"/>
        </w:rPr>
      </w:pPr>
      <w:r>
        <w:rPr>
          <w:rFonts w:hint="eastAsia" w:ascii="宋体" w:hAnsi="宋体" w:cs="宋体"/>
          <w:color w:val="auto"/>
          <w:highlight w:val="none"/>
        </w:rPr>
        <w:t>18.2、其他说明</w:t>
      </w:r>
    </w:p>
    <w:p w14:paraId="17810105">
      <w:pPr>
        <w:wordWrap w:val="0"/>
        <w:spacing w:line="440" w:lineRule="exact"/>
        <w:ind w:firstLine="420" w:firstLineChars="200"/>
        <w:rPr>
          <w:rFonts w:ascii="宋体" w:hAnsi="宋体" w:cs="宋体"/>
          <w:color w:val="auto"/>
          <w:highlight w:val="none"/>
        </w:rPr>
      </w:pPr>
      <w:r>
        <w:rPr>
          <w:rFonts w:hint="eastAsia" w:ascii="宋体" w:hAnsi="宋体" w:cs="宋体"/>
          <w:color w:val="auto"/>
          <w:highlight w:val="none"/>
        </w:rPr>
        <w:t>1、本项目不组织潜在供应商现场考察或者召开开标前答疑。</w:t>
      </w:r>
    </w:p>
    <w:p w14:paraId="40A7FF33">
      <w:pPr>
        <w:wordWrap w:val="0"/>
        <w:spacing w:line="440" w:lineRule="exact"/>
        <w:ind w:firstLine="420" w:firstLineChars="200"/>
        <w:rPr>
          <w:rFonts w:ascii="宋体" w:hAnsi="宋体" w:cs="宋体"/>
          <w:color w:val="auto"/>
          <w:highlight w:val="none"/>
        </w:rPr>
      </w:pPr>
      <w:r>
        <w:rPr>
          <w:rFonts w:hint="eastAsia" w:ascii="宋体" w:hAnsi="宋体" w:cs="宋体"/>
          <w:color w:val="auto"/>
          <w:highlight w:val="none"/>
        </w:rPr>
        <w:t>2、本竞争性磋商采购文件未及事项，在签订合同时供需双方友好商定。</w:t>
      </w:r>
    </w:p>
    <w:p w14:paraId="2BBC4B21">
      <w:pPr>
        <w:wordWrap w:val="0"/>
        <w:spacing w:line="440" w:lineRule="exact"/>
        <w:ind w:firstLine="422" w:firstLineChars="200"/>
        <w:rPr>
          <w:rFonts w:ascii="宋体" w:hAnsi="宋体" w:cs="宋体"/>
          <w:b/>
          <w:bCs/>
          <w:color w:val="auto"/>
          <w:highlight w:val="none"/>
        </w:rPr>
      </w:pPr>
      <w:r>
        <w:rPr>
          <w:rFonts w:hint="eastAsia" w:ascii="宋体" w:hAnsi="宋体" w:cs="宋体"/>
          <w:b/>
          <w:bCs/>
          <w:color w:val="auto"/>
          <w:highlight w:val="none"/>
        </w:rPr>
        <w:t>*3、不同供应商的响应文件出自同一终端设备或在相同Internet主机分配地址（相同IP地址）网上报名、参与磋商的作无效响应处理。</w:t>
      </w:r>
    </w:p>
    <w:p w14:paraId="2BD4DDF2">
      <w:pPr>
        <w:wordWrap w:val="0"/>
        <w:spacing w:line="440" w:lineRule="exact"/>
        <w:ind w:firstLine="420" w:firstLineChars="200"/>
        <w:rPr>
          <w:rFonts w:ascii="宋体"/>
          <w:color w:val="auto"/>
          <w:highlight w:val="none"/>
        </w:rPr>
      </w:pPr>
      <w:r>
        <w:rPr>
          <w:rFonts w:hint="eastAsia" w:ascii="宋体" w:hAnsi="宋体" w:cs="宋体"/>
          <w:color w:val="auto"/>
          <w:highlight w:val="none"/>
        </w:rPr>
        <w:t>4、本竞争性磋商采购文件解释权归采购人。</w:t>
      </w:r>
    </w:p>
    <w:p w14:paraId="70DEA2AC">
      <w:pPr>
        <w:wordWrap w:val="0"/>
        <w:spacing w:line="440" w:lineRule="exact"/>
        <w:rPr>
          <w:rFonts w:ascii="宋体"/>
          <w:color w:val="auto"/>
          <w:highlight w:val="none"/>
        </w:rPr>
      </w:pPr>
      <w:r>
        <w:rPr>
          <w:rFonts w:hint="eastAsia" w:ascii="宋体" w:hAnsi="宋体" w:cs="宋体"/>
          <w:b/>
          <w:bCs/>
          <w:color w:val="auto"/>
          <w:highlight w:val="none"/>
        </w:rPr>
        <w:t>19、磋商采购文件对供应商质疑的相关规定</w:t>
      </w:r>
    </w:p>
    <w:p w14:paraId="6F051D2C">
      <w:pPr>
        <w:wordWrap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采购公告、采购文件、磋商流程、采购结果等同一采购程序环节的质疑，第二次提出的质疑视为质疑无效，采购人、采购代理机构将不予受理（对于采购人、采购代理机构作出的澄清或者修改的内容提出质疑的除外）。</w:t>
      </w:r>
    </w:p>
    <w:p w14:paraId="09064631">
      <w:pPr>
        <w:wordWrap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2、提出质疑的供应商应当是参与所质疑项目采购活动的供应商。未依法获取采购文件的，不得就采购文件提出质疑；未提交响应文件的供应商，视为与采购结果没有利害关系，不得就采购响应截止时间后的采购过程、采购结果提出质疑。</w:t>
      </w:r>
    </w:p>
    <w:p w14:paraId="09E6E9D1">
      <w:pPr>
        <w:wordWrap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3、供应商提出质疑应当提交质疑函和必要的证明材料，质疑函应当以书面形式提出，质疑函格式和内容须符合财政部《质疑函范本》要求，供应商可到中国政府采购网自行下载财政部《质疑函范本》。</w:t>
      </w:r>
    </w:p>
    <w:p w14:paraId="216F44D1">
      <w:pPr>
        <w:wordWrap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4、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14:paraId="407D2F75">
      <w:pPr>
        <w:wordWrap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5、采购人、采购代理机构接收质疑函的方式：只接收供应商以当面递交、邮寄、传真或电子邮件方式提出的质疑函，以其他方式提出的质疑不予接收。</w:t>
      </w:r>
    </w:p>
    <w:p w14:paraId="72497DAF">
      <w:pPr>
        <w:wordWrap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采取邮寄方式的，提出质疑的时间为质疑函原件交邮的时间（以邮戳时间或快递收件时间为准）。</w:t>
      </w:r>
    </w:p>
    <w:p w14:paraId="7C28D1CD">
      <w:pPr>
        <w:wordWrap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采取传真、电子邮件方式的，供应商应当在传真、电子邮件发出后将质疑函原件邮寄给被质疑人，提出质疑的时间为质疑函原件交邮的时间（以邮戳时间或快递收件时间为准）。</w:t>
      </w:r>
    </w:p>
    <w:p w14:paraId="134869A0">
      <w:pPr>
        <w:numPr>
          <w:ilvl w:val="0"/>
          <w:numId w:val="4"/>
        </w:numPr>
        <w:wordWrap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采购人、采购代理机构以实际收到质疑函原件之日作为收到质疑函的日期，将在收到质疑函后7个工作日内作出答复。</w:t>
      </w:r>
    </w:p>
    <w:p w14:paraId="38DEEF23">
      <w:pPr>
        <w:wordWrap w:val="0"/>
        <w:spacing w:line="400" w:lineRule="exact"/>
        <w:ind w:firstLine="424" w:firstLineChars="202"/>
        <w:rPr>
          <w:rFonts w:ascii="宋体" w:hAnsi="宋体" w:cs="宋体"/>
          <w:color w:val="auto"/>
          <w:highlight w:val="none"/>
        </w:rPr>
      </w:pPr>
      <w:r>
        <w:rPr>
          <w:rFonts w:hint="eastAsia" w:ascii="宋体" w:hAnsi="宋体" w:cs="宋体"/>
          <w:color w:val="auto"/>
          <w:highlight w:val="none"/>
        </w:rPr>
        <w:t>7、采购人、采购代理机构接收质疑函的联系人、联系电话和通讯地址等信息详见采购公告。</w:t>
      </w:r>
    </w:p>
    <w:p w14:paraId="79E50F68">
      <w:pPr>
        <w:pStyle w:val="2"/>
        <w:wordWrap w:val="0"/>
        <w:rPr>
          <w:rFonts w:hAnsi="宋体" w:cs="宋体"/>
          <w:color w:val="auto"/>
          <w:highlight w:val="none"/>
        </w:rPr>
      </w:pPr>
      <w:r>
        <w:rPr>
          <w:rFonts w:hint="eastAsia" w:hAnsi="宋体" w:cs="宋体"/>
          <w:color w:val="auto"/>
          <w:highlight w:val="none"/>
        </w:rPr>
        <w:br w:type="page"/>
      </w:r>
      <w:bookmarkStart w:id="79" w:name="_Toc516237432"/>
      <w:bookmarkStart w:id="80" w:name="_Toc105610631"/>
      <w:r>
        <w:rPr>
          <w:rFonts w:hint="eastAsia" w:hAnsi="宋体" w:cs="宋体"/>
          <w:color w:val="auto"/>
          <w:highlight w:val="none"/>
        </w:rPr>
        <w:t>第三部分  竞争性磋商采购资料表</w:t>
      </w:r>
      <w:bookmarkEnd w:id="79"/>
      <w:bookmarkEnd w:id="80"/>
    </w:p>
    <w:p w14:paraId="537A2962">
      <w:pPr>
        <w:wordWrap w:val="0"/>
        <w:jc w:val="center"/>
        <w:rPr>
          <w:rFonts w:ascii="宋体" w:hAnsi="宋体" w:cs="宋体"/>
          <w:color w:val="auto"/>
          <w:sz w:val="28"/>
          <w:szCs w:val="28"/>
          <w:highlight w:val="none"/>
        </w:rPr>
      </w:pPr>
      <w:r>
        <w:rPr>
          <w:rFonts w:hint="eastAsia" w:ascii="宋体" w:hAnsi="宋体" w:cs="宋体"/>
          <w:color w:val="auto"/>
          <w:sz w:val="28"/>
          <w:szCs w:val="28"/>
          <w:highlight w:val="none"/>
        </w:rPr>
        <w:t>附表一</w:t>
      </w:r>
    </w:p>
    <w:p w14:paraId="0B5BEEA6">
      <w:pPr>
        <w:wordWrap w:val="0"/>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本部分各条款是关于本次竞争性磋商采购活动的具体说明和要求，如与第二部分有矛盾的，应以此为准。　　</w:t>
      </w:r>
    </w:p>
    <w:tbl>
      <w:tblPr>
        <w:tblStyle w:val="51"/>
        <w:tblW w:w="0" w:type="auto"/>
        <w:tblInd w:w="108" w:type="dxa"/>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1026"/>
        <w:gridCol w:w="54"/>
        <w:gridCol w:w="7560"/>
      </w:tblGrid>
      <w:tr w14:paraId="08DB493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395" w:hRule="atLeast"/>
          <w:tblHeader/>
        </w:trPr>
        <w:tc>
          <w:tcPr>
            <w:tcW w:w="1026" w:type="dxa"/>
            <w:tcBorders>
              <w:top w:val="single" w:color="000000" w:sz="12" w:space="0"/>
              <w:bottom w:val="single" w:color="000000" w:sz="6" w:space="0"/>
            </w:tcBorders>
            <w:shd w:val="clear" w:color="auto" w:fill="D9E2F3"/>
            <w:noWrap w:val="0"/>
            <w:vAlign w:val="center"/>
          </w:tcPr>
          <w:p w14:paraId="3310A250">
            <w:pPr>
              <w:wordWrap w:val="0"/>
              <w:spacing w:line="276" w:lineRule="auto"/>
              <w:jc w:val="center"/>
              <w:rPr>
                <w:rFonts w:ascii="宋体" w:hAnsi="宋体" w:cs="宋体"/>
                <w:color w:val="auto"/>
                <w:highlight w:val="none"/>
              </w:rPr>
            </w:pPr>
            <w:r>
              <w:rPr>
                <w:rFonts w:hint="eastAsia" w:ascii="宋体" w:hAnsi="宋体" w:cs="宋体"/>
                <w:color w:val="auto"/>
                <w:highlight w:val="none"/>
              </w:rPr>
              <w:t>条款号</w:t>
            </w:r>
          </w:p>
        </w:tc>
        <w:tc>
          <w:tcPr>
            <w:tcW w:w="7614" w:type="dxa"/>
            <w:gridSpan w:val="2"/>
            <w:tcBorders>
              <w:top w:val="single" w:color="000000" w:sz="12" w:space="0"/>
              <w:bottom w:val="single" w:color="000000" w:sz="6" w:space="0"/>
            </w:tcBorders>
            <w:shd w:val="clear" w:color="auto" w:fill="D9E2F3"/>
            <w:noWrap w:val="0"/>
            <w:vAlign w:val="center"/>
          </w:tcPr>
          <w:p w14:paraId="67A48212">
            <w:pPr>
              <w:wordWrap w:val="0"/>
              <w:spacing w:line="276"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内      容</w:t>
            </w:r>
          </w:p>
        </w:tc>
      </w:tr>
      <w:tr w14:paraId="0FECAF4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1" w:hRule="atLeast"/>
        </w:trPr>
        <w:tc>
          <w:tcPr>
            <w:tcW w:w="8640" w:type="dxa"/>
            <w:gridSpan w:val="3"/>
            <w:tcBorders>
              <w:top w:val="single" w:color="auto" w:sz="12" w:space="0"/>
              <w:bottom w:val="single" w:color="auto" w:sz="12" w:space="0"/>
            </w:tcBorders>
            <w:noWrap w:val="0"/>
            <w:vAlign w:val="center"/>
          </w:tcPr>
          <w:p w14:paraId="6A12D635">
            <w:pPr>
              <w:wordWrap w:val="0"/>
              <w:spacing w:line="276" w:lineRule="auto"/>
              <w:jc w:val="center"/>
              <w:rPr>
                <w:rFonts w:ascii="宋体" w:hAnsi="宋体" w:cs="宋体"/>
                <w:b/>
                <w:color w:val="auto"/>
                <w:sz w:val="24"/>
                <w:highlight w:val="none"/>
              </w:rPr>
            </w:pPr>
            <w:r>
              <w:rPr>
                <w:rFonts w:hint="eastAsia" w:ascii="宋体" w:hAnsi="宋体" w:cs="宋体"/>
                <w:b/>
                <w:color w:val="auto"/>
                <w:szCs w:val="21"/>
                <w:highlight w:val="none"/>
              </w:rPr>
              <w:t>说          明</w:t>
            </w:r>
          </w:p>
        </w:tc>
      </w:tr>
      <w:tr w14:paraId="6CD0234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trPr>
        <w:tc>
          <w:tcPr>
            <w:tcW w:w="1026" w:type="dxa"/>
            <w:tcBorders>
              <w:top w:val="single" w:color="auto" w:sz="12" w:space="0"/>
              <w:bottom w:val="single" w:color="auto" w:sz="4" w:space="0"/>
            </w:tcBorders>
            <w:noWrap w:val="0"/>
            <w:vAlign w:val="center"/>
          </w:tcPr>
          <w:p w14:paraId="621D6B97">
            <w:pPr>
              <w:wordWrap w:val="0"/>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1</w:t>
            </w:r>
          </w:p>
        </w:tc>
        <w:tc>
          <w:tcPr>
            <w:tcW w:w="7614" w:type="dxa"/>
            <w:gridSpan w:val="2"/>
            <w:tcBorders>
              <w:top w:val="single" w:color="auto" w:sz="12" w:space="0"/>
              <w:bottom w:val="single" w:color="auto" w:sz="4" w:space="0"/>
            </w:tcBorders>
            <w:noWrap w:val="0"/>
            <w:vAlign w:val="center"/>
          </w:tcPr>
          <w:p w14:paraId="5B0A2F92">
            <w:pPr>
              <w:wordWrap w:val="0"/>
              <w:spacing w:line="276"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采购人名称：</w:t>
            </w:r>
            <w:r>
              <w:rPr>
                <w:rFonts w:hint="eastAsia" w:ascii="宋体" w:hAnsi="宋体" w:cs="宋体"/>
                <w:color w:val="auto"/>
                <w:szCs w:val="21"/>
                <w:highlight w:val="none"/>
                <w:lang w:eastAsia="zh-CN"/>
              </w:rPr>
              <w:t>宁波</w:t>
            </w:r>
            <w:bookmarkStart w:id="155" w:name="_GoBack"/>
            <w:bookmarkEnd w:id="155"/>
            <w:r>
              <w:rPr>
                <w:rFonts w:hint="eastAsia" w:ascii="宋体" w:hAnsi="宋体" w:cs="宋体"/>
                <w:color w:val="auto"/>
                <w:szCs w:val="21"/>
                <w:highlight w:val="none"/>
                <w:lang w:eastAsia="zh-CN"/>
              </w:rPr>
              <w:t>老年大学管理中心</w:t>
            </w:r>
          </w:p>
          <w:p w14:paraId="5029E356">
            <w:pPr>
              <w:wordWrap w:val="0"/>
              <w:spacing w:line="276" w:lineRule="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 xml:space="preserve">地址: </w:t>
            </w:r>
            <w:r>
              <w:rPr>
                <w:rFonts w:hint="eastAsia" w:ascii="宋体" w:hAnsi="宋体" w:cs="宋体"/>
                <w:color w:val="auto"/>
                <w:szCs w:val="21"/>
                <w:highlight w:val="none"/>
                <w:lang w:eastAsia="zh-CN"/>
              </w:rPr>
              <w:t>浙江省宁波市海曙区广济街56号</w:t>
            </w:r>
          </w:p>
          <w:p w14:paraId="684B1212">
            <w:pPr>
              <w:wordWrap w:val="0"/>
              <w:spacing w:line="276" w:lineRule="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kern w:val="0"/>
                <w:szCs w:val="21"/>
                <w:highlight w:val="none"/>
                <w:lang w:val="en-US" w:eastAsia="zh-CN"/>
              </w:rPr>
              <w:t>徐</w:t>
            </w:r>
            <w:r>
              <w:rPr>
                <w:rFonts w:hint="eastAsia" w:ascii="宋体" w:hAnsi="宋体" w:cs="宋体"/>
                <w:color w:val="auto"/>
                <w:kern w:val="0"/>
                <w:szCs w:val="21"/>
                <w:highlight w:val="none"/>
              </w:rPr>
              <w:t>老师</w:t>
            </w:r>
          </w:p>
          <w:p w14:paraId="349A9381">
            <w:pPr>
              <w:wordWrap w:val="0"/>
              <w:spacing w:line="276" w:lineRule="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联系电话：</w:t>
            </w:r>
            <w:r>
              <w:rPr>
                <w:rFonts w:hint="eastAsia" w:ascii="宋体" w:hAnsi="宋体" w:cs="宋体"/>
                <w:color w:val="auto"/>
                <w:kern w:val="0"/>
                <w:szCs w:val="21"/>
                <w:highlight w:val="none"/>
              </w:rPr>
              <w:t>0574-56196632</w:t>
            </w:r>
          </w:p>
        </w:tc>
      </w:tr>
      <w:tr w14:paraId="388BEB3B">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trPr>
        <w:tc>
          <w:tcPr>
            <w:tcW w:w="1026" w:type="dxa"/>
            <w:tcBorders>
              <w:top w:val="single" w:color="auto" w:sz="4" w:space="0"/>
              <w:bottom w:val="single" w:color="auto" w:sz="4" w:space="0"/>
            </w:tcBorders>
            <w:noWrap w:val="0"/>
            <w:vAlign w:val="center"/>
          </w:tcPr>
          <w:p w14:paraId="52077E13">
            <w:pPr>
              <w:wordWrap w:val="0"/>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2</w:t>
            </w:r>
          </w:p>
        </w:tc>
        <w:tc>
          <w:tcPr>
            <w:tcW w:w="7614" w:type="dxa"/>
            <w:gridSpan w:val="2"/>
            <w:tcBorders>
              <w:top w:val="single" w:color="auto" w:sz="4" w:space="0"/>
              <w:bottom w:val="single" w:color="auto" w:sz="4" w:space="0"/>
            </w:tcBorders>
            <w:noWrap w:val="0"/>
            <w:vAlign w:val="center"/>
          </w:tcPr>
          <w:p w14:paraId="04EAB578">
            <w:pPr>
              <w:widowControl/>
              <w:wordWrap w:val="0"/>
              <w:spacing w:line="360" w:lineRule="exact"/>
              <w:jc w:val="left"/>
              <w:rPr>
                <w:rFonts w:hint="eastAsia" w:ascii="宋体" w:hAnsi="宋体" w:cs="宋体"/>
                <w:b/>
                <w:bCs/>
                <w:color w:val="auto"/>
                <w:szCs w:val="21"/>
                <w:highlight w:val="none"/>
                <w:u w:val="single"/>
              </w:rPr>
            </w:pPr>
            <w:r>
              <w:rPr>
                <w:rFonts w:hint="eastAsia" w:ascii="宋体" w:hAnsi="宋体" w:cs="宋体"/>
                <w:color w:val="auto"/>
                <w:szCs w:val="21"/>
                <w:highlight w:val="none"/>
              </w:rPr>
              <w:t>项目名称：</w:t>
            </w:r>
            <w:r>
              <w:rPr>
                <w:rFonts w:hint="eastAsia" w:asciiTheme="minorEastAsia" w:hAnsiTheme="minorEastAsia" w:eastAsiaTheme="minorEastAsia"/>
                <w:color w:val="auto"/>
                <w:szCs w:val="21"/>
                <w:highlight w:val="none"/>
                <w:lang w:eastAsia="zh-CN"/>
              </w:rPr>
              <w:t>宁波老年大学整体修缮工程</w:t>
            </w:r>
          </w:p>
          <w:p w14:paraId="5BD549E8">
            <w:pPr>
              <w:widowControl/>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采购范围：</w:t>
            </w:r>
            <w:r>
              <w:rPr>
                <w:rFonts w:hint="eastAsia" w:asciiTheme="minorEastAsia" w:hAnsiTheme="minorEastAsia" w:eastAsiaTheme="minorEastAsia"/>
                <w:color w:val="auto"/>
                <w:szCs w:val="21"/>
                <w:highlight w:val="none"/>
                <w:lang w:eastAsia="zh-CN"/>
              </w:rPr>
              <w:t>宁波老年大学整体修缮工程；详见工程量清单（招标控制价编制报告）及图纸</w:t>
            </w:r>
            <w:r>
              <w:rPr>
                <w:rFonts w:hint="eastAsia" w:ascii="宋体" w:hAnsi="宋体" w:cs="宋体"/>
                <w:color w:val="auto"/>
                <w:kern w:val="0"/>
                <w:szCs w:val="21"/>
                <w:highlight w:val="none"/>
              </w:rPr>
              <w:t>。</w:t>
            </w:r>
          </w:p>
        </w:tc>
      </w:tr>
      <w:tr w14:paraId="55D1D2C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trPr>
        <w:tc>
          <w:tcPr>
            <w:tcW w:w="1026" w:type="dxa"/>
            <w:tcBorders>
              <w:top w:val="single" w:color="auto" w:sz="4" w:space="0"/>
              <w:bottom w:val="single" w:color="auto" w:sz="12" w:space="0"/>
            </w:tcBorders>
            <w:noWrap w:val="0"/>
            <w:vAlign w:val="center"/>
          </w:tcPr>
          <w:p w14:paraId="0EC426E9">
            <w:pPr>
              <w:wordWrap w:val="0"/>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3</w:t>
            </w:r>
          </w:p>
        </w:tc>
        <w:tc>
          <w:tcPr>
            <w:tcW w:w="7614" w:type="dxa"/>
            <w:gridSpan w:val="2"/>
            <w:tcBorders>
              <w:top w:val="single" w:color="auto" w:sz="4" w:space="0"/>
              <w:bottom w:val="single" w:color="auto" w:sz="12" w:space="0"/>
            </w:tcBorders>
            <w:noWrap w:val="0"/>
            <w:vAlign w:val="center"/>
          </w:tcPr>
          <w:p w14:paraId="2FFF8F40">
            <w:pPr>
              <w:wordWrap w:val="0"/>
              <w:spacing w:line="276"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采购代理机构名称：</w:t>
            </w:r>
            <w:r>
              <w:rPr>
                <w:rFonts w:hint="eastAsia" w:ascii="宋体" w:hAnsi="宋体" w:cs="宋体"/>
                <w:color w:val="auto"/>
                <w:szCs w:val="21"/>
                <w:highlight w:val="none"/>
                <w:lang w:eastAsia="zh-CN"/>
              </w:rPr>
              <w:t>浙江万里工程咨询集团有限公司</w:t>
            </w:r>
          </w:p>
          <w:p w14:paraId="77F3AEA2">
            <w:pPr>
              <w:wordWrap w:val="0"/>
              <w:spacing w:line="276" w:lineRule="auto"/>
              <w:rPr>
                <w:rFonts w:ascii="宋体" w:hAnsi="宋体" w:cs="宋体"/>
                <w:color w:val="auto"/>
                <w:szCs w:val="21"/>
                <w:highlight w:val="none"/>
              </w:rPr>
            </w:pPr>
            <w:r>
              <w:rPr>
                <w:rFonts w:hint="eastAsia" w:ascii="宋体" w:hAnsi="宋体" w:cs="宋体"/>
                <w:color w:val="auto"/>
                <w:szCs w:val="21"/>
                <w:highlight w:val="none"/>
              </w:rPr>
              <w:t>地址：</w:t>
            </w:r>
            <w:r>
              <w:rPr>
                <w:rFonts w:hint="eastAsia" w:cs="宋体" w:asciiTheme="minorEastAsia" w:hAnsiTheme="minorEastAsia" w:eastAsiaTheme="minorEastAsia"/>
                <w:color w:val="auto"/>
                <w:szCs w:val="21"/>
                <w:highlight w:val="none"/>
                <w:lang w:eastAsia="zh-CN"/>
              </w:rPr>
              <w:t>浙江省宁波市高新区宝龙广场1幢12B楼</w:t>
            </w:r>
          </w:p>
          <w:p w14:paraId="24405DB0">
            <w:pPr>
              <w:wordWrap w:val="0"/>
              <w:spacing w:line="276"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范丁辉</w:t>
            </w:r>
          </w:p>
          <w:p w14:paraId="1A8B61E1">
            <w:pPr>
              <w:pStyle w:val="429"/>
              <w:wordWrap w:val="0"/>
              <w:spacing w:line="276" w:lineRule="auto"/>
              <w:ind w:firstLine="0"/>
              <w:jc w:val="left"/>
              <w:rPr>
                <w:rFonts w:hAnsi="宋体" w:cs="宋体"/>
                <w:color w:val="auto"/>
                <w:sz w:val="21"/>
                <w:szCs w:val="21"/>
                <w:highlight w:val="none"/>
                <w:lang w:val="en-US" w:eastAsia="zh-CN"/>
              </w:rPr>
            </w:pPr>
            <w:r>
              <w:rPr>
                <w:rFonts w:hint="eastAsia" w:hAnsi="宋体" w:cs="宋体"/>
                <w:color w:val="auto"/>
                <w:sz w:val="21"/>
                <w:szCs w:val="21"/>
                <w:highlight w:val="none"/>
                <w:lang w:val="en-US" w:eastAsia="zh-CN"/>
              </w:rPr>
              <w:t>联系方式：0574—87020872</w:t>
            </w:r>
          </w:p>
        </w:tc>
      </w:tr>
      <w:tr w14:paraId="761E5B11">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14" w:hRule="atLeast"/>
        </w:trPr>
        <w:tc>
          <w:tcPr>
            <w:tcW w:w="8640" w:type="dxa"/>
            <w:gridSpan w:val="3"/>
            <w:tcBorders>
              <w:top w:val="single" w:color="auto" w:sz="12" w:space="0"/>
              <w:bottom w:val="single" w:color="auto" w:sz="12" w:space="0"/>
            </w:tcBorders>
            <w:noWrap w:val="0"/>
            <w:vAlign w:val="center"/>
          </w:tcPr>
          <w:p w14:paraId="2DF0070B">
            <w:pPr>
              <w:wordWrap w:val="0"/>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 xml:space="preserve">  报  价  </w:t>
            </w:r>
          </w:p>
        </w:tc>
      </w:tr>
      <w:tr w14:paraId="285FAB2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0" w:hRule="atLeast"/>
        </w:trPr>
        <w:tc>
          <w:tcPr>
            <w:tcW w:w="1026" w:type="dxa"/>
            <w:tcBorders>
              <w:top w:val="single" w:color="auto" w:sz="12" w:space="0"/>
              <w:bottom w:val="single" w:color="auto" w:sz="4" w:space="0"/>
            </w:tcBorders>
            <w:noWrap w:val="0"/>
            <w:vAlign w:val="center"/>
          </w:tcPr>
          <w:p w14:paraId="6C038B73">
            <w:pPr>
              <w:wordWrap w:val="0"/>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4</w:t>
            </w:r>
          </w:p>
        </w:tc>
        <w:tc>
          <w:tcPr>
            <w:tcW w:w="7614" w:type="dxa"/>
            <w:gridSpan w:val="2"/>
            <w:tcBorders>
              <w:top w:val="single" w:color="auto" w:sz="12" w:space="0"/>
              <w:bottom w:val="single" w:color="auto" w:sz="4" w:space="0"/>
            </w:tcBorders>
            <w:noWrap w:val="0"/>
            <w:vAlign w:val="center"/>
          </w:tcPr>
          <w:p w14:paraId="2DDC1A3F">
            <w:pPr>
              <w:wordWrap w:val="0"/>
              <w:spacing w:line="276" w:lineRule="auto"/>
              <w:rPr>
                <w:rFonts w:ascii="宋体" w:hAnsi="宋体" w:cs="宋体"/>
                <w:color w:val="auto"/>
                <w:szCs w:val="21"/>
                <w:highlight w:val="none"/>
              </w:rPr>
            </w:pPr>
            <w:r>
              <w:rPr>
                <w:rFonts w:hint="eastAsia" w:ascii="宋体" w:hAnsi="宋体" w:cs="宋体"/>
                <w:color w:val="auto"/>
                <w:szCs w:val="21"/>
                <w:highlight w:val="none"/>
              </w:rPr>
              <w:t>最高限价：</w:t>
            </w:r>
            <w:r>
              <w:rPr>
                <w:rFonts w:hint="eastAsia" w:ascii="宋体" w:hAnsi="宋体" w:cs="宋体"/>
                <w:color w:val="auto"/>
                <w:szCs w:val="21"/>
                <w:highlight w:val="none"/>
                <w:lang w:val="en-US" w:eastAsia="zh-CN"/>
              </w:rPr>
              <w:t>3292148</w:t>
            </w:r>
            <w:r>
              <w:rPr>
                <w:rFonts w:hint="eastAsia" w:ascii="宋体" w:hAnsi="宋体" w:cs="宋体"/>
                <w:color w:val="auto"/>
                <w:szCs w:val="21"/>
                <w:highlight w:val="none"/>
              </w:rPr>
              <w:t>元人民币（含税价，下同）；</w:t>
            </w:r>
          </w:p>
          <w:p w14:paraId="5659A199">
            <w:pPr>
              <w:wordWrap w:val="0"/>
              <w:spacing w:line="276" w:lineRule="auto"/>
              <w:rPr>
                <w:rFonts w:ascii="宋体" w:hAnsi="宋体" w:cs="宋体"/>
                <w:b/>
                <w:bCs/>
                <w:color w:val="auto"/>
                <w:szCs w:val="21"/>
                <w:highlight w:val="none"/>
                <w:u w:val="single"/>
              </w:rPr>
            </w:pPr>
            <w:r>
              <w:rPr>
                <w:rFonts w:hint="eastAsia" w:ascii="宋体" w:hAnsi="宋体" w:cs="宋体"/>
                <w:b/>
                <w:color w:val="auto"/>
                <w:szCs w:val="21"/>
                <w:highlight w:val="none"/>
                <w:u w:val="single"/>
              </w:rPr>
              <w:t>采购报价应包括</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eastAsia="zh-CN"/>
              </w:rPr>
              <w:t>宁波老年大学整体修缮工程</w:t>
            </w:r>
            <w:r>
              <w:rPr>
                <w:rFonts w:hint="eastAsia" w:ascii="宋体" w:hAnsi="宋体" w:cs="宋体"/>
                <w:b/>
                <w:bCs/>
                <w:color w:val="auto"/>
                <w:szCs w:val="21"/>
                <w:highlight w:val="none"/>
                <w:u w:val="single"/>
              </w:rPr>
              <w:t>所有采购内容的费用。详见工程量清单（招标控制价编制报告）及图纸。</w:t>
            </w:r>
          </w:p>
          <w:p w14:paraId="0A37118B">
            <w:pPr>
              <w:wordWrap w:val="0"/>
              <w:spacing w:line="276" w:lineRule="auto"/>
              <w:rPr>
                <w:rFonts w:ascii="宋体" w:hAnsi="宋体" w:cs="宋体"/>
                <w:color w:val="auto"/>
                <w:szCs w:val="21"/>
                <w:highlight w:val="none"/>
              </w:rPr>
            </w:pPr>
            <w:r>
              <w:rPr>
                <w:rFonts w:hint="eastAsia" w:ascii="宋体" w:hAnsi="宋体" w:cs="宋体"/>
                <w:color w:val="auto"/>
                <w:szCs w:val="21"/>
                <w:highlight w:val="none"/>
              </w:rPr>
              <w:t>凡影响响应报价的所有相关费用应列入本次报价中。成交后，不得以不完全了解竞争性磋商采购文件、施工图纸、施工现场、周围环境、施工工序等情况为借口，而提出额外补偿或延长工期等的要求。如漏报，最终所发生的费用均由成交（中标）供应商承担，采购人一律不予承担。</w:t>
            </w:r>
          </w:p>
          <w:p w14:paraId="577C3D6F">
            <w:pPr>
              <w:wordWrap w:val="0"/>
              <w:spacing w:line="276" w:lineRule="auto"/>
              <w:rPr>
                <w:rFonts w:ascii="宋体" w:hAnsi="宋体" w:cs="宋体"/>
                <w:b/>
                <w:color w:val="auto"/>
                <w:szCs w:val="21"/>
                <w:highlight w:val="none"/>
              </w:rPr>
            </w:pPr>
            <w:r>
              <w:rPr>
                <w:rFonts w:hint="eastAsia" w:ascii="宋体" w:hAnsi="宋体" w:cs="宋体"/>
                <w:b/>
                <w:color w:val="auto"/>
                <w:szCs w:val="21"/>
                <w:highlight w:val="none"/>
              </w:rPr>
              <w:t>本项目工程暂估价（含暂定综合单价）</w:t>
            </w:r>
            <w:r>
              <w:rPr>
                <w:rFonts w:hint="eastAsia" w:ascii="宋体" w:hAnsi="宋体" w:cs="宋体"/>
                <w:b/>
                <w:color w:val="auto"/>
                <w:szCs w:val="21"/>
                <w:highlight w:val="none"/>
                <w:u w:val="single"/>
                <w:lang w:val="en-US" w:eastAsia="zh-CN"/>
              </w:rPr>
              <w:t>0</w:t>
            </w:r>
            <w:r>
              <w:rPr>
                <w:rFonts w:hint="eastAsia" w:ascii="宋体" w:hAnsi="宋体" w:cs="宋体"/>
                <w:b/>
                <w:color w:val="auto"/>
                <w:szCs w:val="21"/>
                <w:highlight w:val="none"/>
              </w:rPr>
              <w:t>元（含税价）、暂列金额</w:t>
            </w:r>
            <w:r>
              <w:rPr>
                <w:rFonts w:hint="eastAsia" w:ascii="宋体" w:hAnsi="宋体" w:cs="宋体"/>
                <w:b/>
                <w:color w:val="auto"/>
                <w:szCs w:val="21"/>
                <w:highlight w:val="none"/>
                <w:u w:val="single"/>
                <w:lang w:val="en-US" w:eastAsia="zh-CN"/>
              </w:rPr>
              <w:t>0</w:t>
            </w:r>
            <w:r>
              <w:rPr>
                <w:rFonts w:hint="eastAsia" w:ascii="宋体" w:hAnsi="宋体" w:cs="宋体"/>
                <w:b/>
                <w:color w:val="auto"/>
                <w:szCs w:val="21"/>
                <w:highlight w:val="none"/>
              </w:rPr>
              <w:t>元（含税价）及其他不可竞争费</w:t>
            </w:r>
            <w:r>
              <w:rPr>
                <w:rFonts w:hint="eastAsia" w:ascii="宋体" w:hAnsi="宋体" w:cs="宋体"/>
                <w:b/>
                <w:color w:val="auto"/>
                <w:szCs w:val="21"/>
                <w:highlight w:val="none"/>
                <w:u w:val="single"/>
                <w:lang w:val="en-US" w:eastAsia="zh-CN"/>
              </w:rPr>
              <w:t>0</w:t>
            </w:r>
            <w:r>
              <w:rPr>
                <w:rFonts w:hint="eastAsia" w:ascii="宋体" w:hAnsi="宋体" w:cs="宋体"/>
                <w:b/>
                <w:color w:val="auto"/>
                <w:szCs w:val="21"/>
                <w:highlight w:val="none"/>
              </w:rPr>
              <w:t>元（含税价），供应商不得修改其数额，否则其响应无效。</w:t>
            </w:r>
          </w:p>
          <w:p w14:paraId="2144DE01">
            <w:pPr>
              <w:wordWrap w:val="0"/>
              <w:spacing w:line="276" w:lineRule="auto"/>
              <w:ind w:left="1"/>
              <w:rPr>
                <w:rFonts w:ascii="宋体" w:hAnsi="宋体" w:cs="宋体"/>
                <w:b/>
                <w:color w:val="auto"/>
                <w:szCs w:val="21"/>
                <w:highlight w:val="none"/>
              </w:rPr>
            </w:pPr>
            <w:r>
              <w:rPr>
                <w:rFonts w:hint="eastAsia" w:ascii="宋体" w:hAnsi="宋体" w:cs="宋体"/>
                <w:b/>
                <w:color w:val="auto"/>
                <w:szCs w:val="21"/>
                <w:highlight w:val="none"/>
              </w:rPr>
              <w:t>本次报价形式：响应报价采用总报价形式，以元表示，保留整数。供应商的响应报价=（最高限价-工程暂估价（含暂定综合单价）、暂列金额及其他不可竞争费总和）×（1+响应报价浮动率）+工程暂估价（含暂定综合单价）、暂列金额及其他不可竞争费总和。</w:t>
            </w:r>
          </w:p>
        </w:tc>
      </w:tr>
      <w:tr w14:paraId="0C781C8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trPr>
        <w:tc>
          <w:tcPr>
            <w:tcW w:w="8640" w:type="dxa"/>
            <w:gridSpan w:val="3"/>
            <w:tcBorders>
              <w:top w:val="single" w:color="auto" w:sz="12" w:space="0"/>
              <w:bottom w:val="single" w:color="auto" w:sz="12" w:space="0"/>
            </w:tcBorders>
            <w:noWrap w:val="0"/>
            <w:vAlign w:val="center"/>
          </w:tcPr>
          <w:p w14:paraId="6A514AF3">
            <w:pPr>
              <w:wordWrap w:val="0"/>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响 应 文 件 的 编 制 和 递 交</w:t>
            </w:r>
          </w:p>
        </w:tc>
      </w:tr>
      <w:tr w14:paraId="59BE4D3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4" w:hRule="atLeast"/>
        </w:trPr>
        <w:tc>
          <w:tcPr>
            <w:tcW w:w="1026" w:type="dxa"/>
            <w:tcBorders>
              <w:top w:val="single" w:color="auto" w:sz="12" w:space="0"/>
              <w:bottom w:val="single" w:color="auto" w:sz="4" w:space="0"/>
            </w:tcBorders>
            <w:noWrap w:val="0"/>
            <w:vAlign w:val="center"/>
          </w:tcPr>
          <w:p w14:paraId="0AA47CB3">
            <w:pPr>
              <w:wordWrap w:val="0"/>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*5</w:t>
            </w:r>
          </w:p>
        </w:tc>
        <w:tc>
          <w:tcPr>
            <w:tcW w:w="7614" w:type="dxa"/>
            <w:gridSpan w:val="2"/>
            <w:tcBorders>
              <w:top w:val="single" w:color="auto" w:sz="12" w:space="0"/>
              <w:bottom w:val="single" w:color="auto" w:sz="4" w:space="0"/>
            </w:tcBorders>
            <w:noWrap w:val="0"/>
            <w:vAlign w:val="center"/>
          </w:tcPr>
          <w:p w14:paraId="12D3D3D7">
            <w:pPr>
              <w:wordWrap w:val="0"/>
              <w:spacing w:line="276" w:lineRule="auto"/>
              <w:rPr>
                <w:rFonts w:ascii="宋体" w:hAnsi="宋体" w:cs="宋体"/>
                <w:color w:val="auto"/>
                <w:szCs w:val="21"/>
                <w:highlight w:val="none"/>
              </w:rPr>
            </w:pPr>
            <w:r>
              <w:rPr>
                <w:rFonts w:hint="eastAsia" w:ascii="宋体" w:hAnsi="宋体" w:cs="宋体"/>
                <w:color w:val="auto"/>
                <w:szCs w:val="21"/>
                <w:highlight w:val="none"/>
              </w:rPr>
              <w:t>供应商资格要求：详见第一部分竞争性磋商采购公告</w:t>
            </w:r>
          </w:p>
        </w:tc>
      </w:tr>
      <w:tr w14:paraId="03B846B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1" w:hRule="atLeast"/>
        </w:trPr>
        <w:tc>
          <w:tcPr>
            <w:tcW w:w="1026" w:type="dxa"/>
            <w:tcBorders>
              <w:top w:val="single" w:color="auto" w:sz="4" w:space="0"/>
              <w:bottom w:val="single" w:color="000000" w:sz="6" w:space="0"/>
            </w:tcBorders>
            <w:noWrap w:val="0"/>
            <w:vAlign w:val="center"/>
          </w:tcPr>
          <w:p w14:paraId="332C1E8F">
            <w:pPr>
              <w:wordWrap w:val="0"/>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*6</w:t>
            </w:r>
          </w:p>
        </w:tc>
        <w:tc>
          <w:tcPr>
            <w:tcW w:w="7614" w:type="dxa"/>
            <w:gridSpan w:val="2"/>
            <w:tcBorders>
              <w:top w:val="single" w:color="auto" w:sz="4" w:space="0"/>
              <w:bottom w:val="single" w:color="000000" w:sz="6" w:space="0"/>
            </w:tcBorders>
            <w:noWrap w:val="0"/>
            <w:vAlign w:val="center"/>
          </w:tcPr>
          <w:p w14:paraId="6696A271">
            <w:pPr>
              <w:wordWrap w:val="0"/>
              <w:spacing w:line="276" w:lineRule="auto"/>
              <w:rPr>
                <w:rFonts w:ascii="宋体" w:hAnsi="宋体" w:cs="宋体"/>
                <w:b/>
                <w:color w:val="auto"/>
                <w:szCs w:val="21"/>
                <w:highlight w:val="none"/>
              </w:rPr>
            </w:pPr>
            <w:r>
              <w:rPr>
                <w:rFonts w:hint="eastAsia" w:ascii="宋体" w:hAnsi="宋体" w:cs="宋体"/>
                <w:b/>
                <w:color w:val="auto"/>
                <w:szCs w:val="21"/>
                <w:highlight w:val="none"/>
              </w:rPr>
              <w:t>磋商保证金金额</w:t>
            </w:r>
            <w:r>
              <w:rPr>
                <w:rFonts w:hint="eastAsia" w:ascii="宋体" w:hAnsi="宋体" w:cs="宋体"/>
                <w:color w:val="auto"/>
                <w:szCs w:val="21"/>
                <w:highlight w:val="none"/>
              </w:rPr>
              <w:t>：</w:t>
            </w:r>
            <w:r>
              <w:rPr>
                <w:rFonts w:hint="eastAsia" w:ascii="宋体" w:hAnsi="宋体" w:cs="宋体"/>
                <w:b/>
                <w:bCs/>
                <w:color w:val="auto"/>
                <w:szCs w:val="21"/>
                <w:highlight w:val="none"/>
              </w:rPr>
              <w:t>无</w:t>
            </w:r>
          </w:p>
        </w:tc>
      </w:tr>
      <w:tr w14:paraId="0EBD930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11" w:hRule="atLeast"/>
        </w:trPr>
        <w:tc>
          <w:tcPr>
            <w:tcW w:w="1026" w:type="dxa"/>
            <w:tcBorders>
              <w:top w:val="single" w:color="auto" w:sz="4" w:space="0"/>
              <w:bottom w:val="single" w:color="000000" w:sz="6" w:space="0"/>
            </w:tcBorders>
            <w:noWrap w:val="0"/>
            <w:vAlign w:val="center"/>
          </w:tcPr>
          <w:p w14:paraId="41B9A915">
            <w:pPr>
              <w:wordWrap w:val="0"/>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*7</w:t>
            </w:r>
          </w:p>
        </w:tc>
        <w:tc>
          <w:tcPr>
            <w:tcW w:w="7614" w:type="dxa"/>
            <w:gridSpan w:val="2"/>
            <w:tcBorders>
              <w:top w:val="single" w:color="auto" w:sz="4" w:space="0"/>
              <w:bottom w:val="single" w:color="000000" w:sz="6" w:space="0"/>
            </w:tcBorders>
            <w:noWrap w:val="0"/>
            <w:vAlign w:val="center"/>
          </w:tcPr>
          <w:p w14:paraId="1201BA2A">
            <w:pPr>
              <w:wordWrap w:val="0"/>
              <w:spacing w:line="276" w:lineRule="auto"/>
              <w:rPr>
                <w:rFonts w:ascii="宋体" w:hAnsi="宋体" w:cs="宋体"/>
                <w:b/>
                <w:color w:val="auto"/>
                <w:szCs w:val="21"/>
                <w:highlight w:val="none"/>
              </w:rPr>
            </w:pPr>
            <w:r>
              <w:rPr>
                <w:rFonts w:hint="eastAsia" w:ascii="宋体" w:hAnsi="宋体" w:cs="宋体"/>
                <w:b/>
                <w:color w:val="auto"/>
                <w:szCs w:val="21"/>
                <w:highlight w:val="none"/>
              </w:rPr>
              <w:t>磋商保证金的提交和退取：无</w:t>
            </w:r>
          </w:p>
        </w:tc>
      </w:tr>
      <w:tr w14:paraId="70C41C4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82" w:hRule="atLeast"/>
        </w:trPr>
        <w:tc>
          <w:tcPr>
            <w:tcW w:w="1026" w:type="dxa"/>
            <w:tcBorders>
              <w:top w:val="single" w:color="auto" w:sz="4" w:space="0"/>
              <w:bottom w:val="single" w:color="000000" w:sz="6" w:space="0"/>
            </w:tcBorders>
            <w:noWrap w:val="0"/>
            <w:vAlign w:val="center"/>
          </w:tcPr>
          <w:p w14:paraId="00E89E0A">
            <w:pPr>
              <w:wordWrap w:val="0"/>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*8</w:t>
            </w:r>
          </w:p>
        </w:tc>
        <w:tc>
          <w:tcPr>
            <w:tcW w:w="7614" w:type="dxa"/>
            <w:gridSpan w:val="2"/>
            <w:tcBorders>
              <w:top w:val="single" w:color="auto" w:sz="4" w:space="0"/>
              <w:bottom w:val="single" w:color="000000" w:sz="6" w:space="0"/>
            </w:tcBorders>
            <w:noWrap w:val="0"/>
            <w:vAlign w:val="center"/>
          </w:tcPr>
          <w:p w14:paraId="482A007C">
            <w:pPr>
              <w:wordWrap w:val="0"/>
              <w:spacing w:line="276" w:lineRule="auto"/>
              <w:rPr>
                <w:rFonts w:ascii="宋体" w:hAnsi="宋体" w:cs="宋体"/>
                <w:b/>
                <w:color w:val="auto"/>
                <w:szCs w:val="21"/>
                <w:highlight w:val="none"/>
              </w:rPr>
            </w:pPr>
            <w:r>
              <w:rPr>
                <w:rFonts w:hint="eastAsia" w:ascii="宋体" w:hAnsi="宋体" w:cs="宋体"/>
                <w:b/>
                <w:color w:val="auto"/>
                <w:szCs w:val="21"/>
                <w:highlight w:val="none"/>
              </w:rPr>
              <w:t>响应文件的组成及要求：</w:t>
            </w:r>
            <w:r>
              <w:rPr>
                <w:rFonts w:hint="eastAsia" w:ascii="宋体" w:hAnsi="宋体" w:cs="宋体"/>
                <w:color w:val="auto"/>
                <w:szCs w:val="21"/>
                <w:highlight w:val="none"/>
              </w:rPr>
              <w:t>见“第二部分  供应商须知”第4条款</w:t>
            </w:r>
          </w:p>
        </w:tc>
      </w:tr>
      <w:tr w14:paraId="7A54A77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41" w:hRule="atLeast"/>
        </w:trPr>
        <w:tc>
          <w:tcPr>
            <w:tcW w:w="1026" w:type="dxa"/>
            <w:tcBorders>
              <w:top w:val="single" w:color="auto" w:sz="4" w:space="0"/>
              <w:bottom w:val="single" w:color="000000" w:sz="6" w:space="0"/>
            </w:tcBorders>
            <w:noWrap w:val="0"/>
            <w:vAlign w:val="center"/>
          </w:tcPr>
          <w:p w14:paraId="50B10219">
            <w:pPr>
              <w:wordWrap w:val="0"/>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9</w:t>
            </w:r>
          </w:p>
        </w:tc>
        <w:tc>
          <w:tcPr>
            <w:tcW w:w="7614" w:type="dxa"/>
            <w:gridSpan w:val="2"/>
            <w:tcBorders>
              <w:top w:val="single" w:color="auto" w:sz="4" w:space="0"/>
              <w:bottom w:val="single" w:color="000000" w:sz="6" w:space="0"/>
            </w:tcBorders>
            <w:noWrap w:val="0"/>
            <w:vAlign w:val="center"/>
          </w:tcPr>
          <w:p w14:paraId="643046B2">
            <w:pPr>
              <w:wordWrap w:val="0"/>
              <w:spacing w:line="276" w:lineRule="auto"/>
              <w:rPr>
                <w:rFonts w:hint="eastAsia" w:ascii="宋体" w:hAnsi="宋体" w:cs="宋体"/>
                <w:color w:val="auto"/>
                <w:szCs w:val="21"/>
                <w:highlight w:val="none"/>
              </w:rPr>
            </w:pPr>
            <w:r>
              <w:rPr>
                <w:rFonts w:hint="eastAsia" w:ascii="宋体" w:hAnsi="宋体" w:cs="宋体"/>
                <w:b/>
                <w:color w:val="auto"/>
                <w:szCs w:val="21"/>
                <w:highlight w:val="none"/>
              </w:rPr>
              <w:t>报价的价格构成</w:t>
            </w:r>
            <w:r>
              <w:rPr>
                <w:rFonts w:hint="eastAsia" w:ascii="宋体" w:hAnsi="宋体" w:cs="宋体"/>
                <w:color w:val="auto"/>
                <w:szCs w:val="21"/>
                <w:highlight w:val="none"/>
              </w:rPr>
              <w:t>：</w:t>
            </w:r>
            <w:r>
              <w:rPr>
                <w:rFonts w:hint="eastAsia" w:ascii="宋体" w:hAnsi="宋体" w:cs="宋体"/>
                <w:b/>
                <w:bCs/>
                <w:color w:val="auto"/>
                <w:szCs w:val="21"/>
                <w:highlight w:val="none"/>
                <w:u w:val="single"/>
                <w:lang w:eastAsia="zh-CN"/>
              </w:rPr>
              <w:t>宁波老年大学整体修缮工程</w:t>
            </w:r>
            <w:r>
              <w:rPr>
                <w:rFonts w:hint="eastAsia" w:ascii="宋体" w:hAnsi="宋体" w:cs="宋体"/>
                <w:b/>
                <w:bCs/>
                <w:color w:val="auto"/>
                <w:szCs w:val="21"/>
                <w:highlight w:val="none"/>
                <w:u w:val="single"/>
              </w:rPr>
              <w:t>所有采购内容的费用，内容详见工程量清单（招标控制价编制报告）及图纸</w:t>
            </w:r>
          </w:p>
        </w:tc>
      </w:tr>
      <w:tr w14:paraId="2192815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07" w:hRule="atLeast"/>
        </w:trPr>
        <w:tc>
          <w:tcPr>
            <w:tcW w:w="1026" w:type="dxa"/>
            <w:tcBorders>
              <w:top w:val="single" w:color="auto" w:sz="4" w:space="0"/>
              <w:bottom w:val="single" w:color="000000" w:sz="6" w:space="0"/>
            </w:tcBorders>
            <w:noWrap w:val="0"/>
            <w:vAlign w:val="center"/>
          </w:tcPr>
          <w:p w14:paraId="021FE378">
            <w:pPr>
              <w:wordWrap w:val="0"/>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*10</w:t>
            </w:r>
          </w:p>
        </w:tc>
        <w:tc>
          <w:tcPr>
            <w:tcW w:w="7614" w:type="dxa"/>
            <w:gridSpan w:val="2"/>
            <w:tcBorders>
              <w:top w:val="single" w:color="auto" w:sz="4" w:space="0"/>
              <w:bottom w:val="single" w:color="000000" w:sz="6" w:space="0"/>
            </w:tcBorders>
            <w:noWrap w:val="0"/>
            <w:vAlign w:val="center"/>
          </w:tcPr>
          <w:p w14:paraId="4F4FA804">
            <w:pPr>
              <w:wordWrap w:val="0"/>
              <w:spacing w:line="276" w:lineRule="auto"/>
              <w:rPr>
                <w:rFonts w:ascii="宋体" w:hAnsi="宋体" w:cs="宋体"/>
                <w:color w:val="auto"/>
                <w:szCs w:val="21"/>
                <w:highlight w:val="none"/>
              </w:rPr>
            </w:pPr>
            <w:r>
              <w:rPr>
                <w:rFonts w:hint="eastAsia" w:ascii="宋体" w:hAnsi="宋体" w:cs="宋体"/>
                <w:color w:val="auto"/>
                <w:szCs w:val="21"/>
                <w:highlight w:val="none"/>
              </w:rPr>
              <w:t>磋商有效期：</w:t>
            </w:r>
            <w:r>
              <w:rPr>
                <w:rFonts w:hint="eastAsia" w:ascii="宋体" w:hAnsi="宋体" w:cs="宋体"/>
                <w:color w:val="auto"/>
                <w:szCs w:val="21"/>
                <w:highlight w:val="none"/>
                <w:u w:val="single"/>
              </w:rPr>
              <w:t xml:space="preserve"> 90 </w:t>
            </w:r>
            <w:r>
              <w:rPr>
                <w:rFonts w:hint="eastAsia" w:ascii="宋体" w:hAnsi="宋体" w:cs="宋体"/>
                <w:color w:val="auto"/>
                <w:szCs w:val="21"/>
                <w:highlight w:val="none"/>
              </w:rPr>
              <w:t>天</w:t>
            </w:r>
          </w:p>
        </w:tc>
      </w:tr>
      <w:tr w14:paraId="6BEEB88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14" w:hRule="atLeast"/>
        </w:trPr>
        <w:tc>
          <w:tcPr>
            <w:tcW w:w="1026" w:type="dxa"/>
            <w:tcBorders>
              <w:top w:val="single" w:color="auto" w:sz="4" w:space="0"/>
              <w:bottom w:val="single" w:color="auto" w:sz="4" w:space="0"/>
              <w:right w:val="single" w:color="auto" w:sz="4" w:space="0"/>
            </w:tcBorders>
            <w:noWrap w:val="0"/>
            <w:vAlign w:val="center"/>
          </w:tcPr>
          <w:p w14:paraId="0DA3E4CE">
            <w:pPr>
              <w:wordWrap w:val="0"/>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11</w:t>
            </w:r>
          </w:p>
        </w:tc>
        <w:tc>
          <w:tcPr>
            <w:tcW w:w="7614" w:type="dxa"/>
            <w:gridSpan w:val="2"/>
            <w:tcBorders>
              <w:top w:val="single" w:color="auto" w:sz="4" w:space="0"/>
              <w:left w:val="single" w:color="auto" w:sz="4" w:space="0"/>
              <w:bottom w:val="single" w:color="auto" w:sz="4" w:space="0"/>
            </w:tcBorders>
            <w:noWrap w:val="0"/>
            <w:vAlign w:val="center"/>
          </w:tcPr>
          <w:p w14:paraId="061D41C8">
            <w:pPr>
              <w:wordWrap w:val="0"/>
              <w:spacing w:line="400" w:lineRule="exact"/>
              <w:rPr>
                <w:color w:val="auto"/>
                <w:highlight w:val="none"/>
              </w:rPr>
            </w:pPr>
            <w:r>
              <w:rPr>
                <w:rFonts w:hint="eastAsia"/>
                <w:color w:val="auto"/>
                <w:highlight w:val="none"/>
              </w:rPr>
              <w:t>本项目实行网上磋商，供应商应准备以下响应文件：</w:t>
            </w:r>
          </w:p>
          <w:p w14:paraId="4FB8D176">
            <w:pPr>
              <w:wordWrap w:val="0"/>
              <w:spacing w:line="400" w:lineRule="exact"/>
              <w:rPr>
                <w:color w:val="auto"/>
                <w:highlight w:val="none"/>
              </w:rPr>
            </w:pPr>
            <w:r>
              <w:rPr>
                <w:rFonts w:hint="eastAsia"/>
                <w:color w:val="auto"/>
                <w:highlight w:val="none"/>
              </w:rPr>
              <w:t>*（1）上传到政府采购云平台的电子响应文件（含资格文件、商务技术文件、报价文件）1份。</w:t>
            </w:r>
          </w:p>
          <w:p w14:paraId="4E9C4F82">
            <w:pPr>
              <w:wordWrap w:val="0"/>
              <w:spacing w:line="400" w:lineRule="exact"/>
              <w:rPr>
                <w:rFonts w:hint="eastAsia"/>
                <w:color w:val="auto"/>
                <w:highlight w:val="none"/>
              </w:rPr>
            </w:pPr>
            <w:r>
              <w:rPr>
                <w:rFonts w:hint="eastAsia"/>
                <w:color w:val="auto"/>
                <w:highlight w:val="none"/>
              </w:rPr>
              <w:t>（2）以U盘存储的电子备份响应文件（含资格文件、商务技术文件、报价文件）1份。</w:t>
            </w:r>
          </w:p>
          <w:p w14:paraId="24B7D421">
            <w:pPr>
              <w:widowControl/>
              <w:spacing w:line="360" w:lineRule="auto"/>
              <w:rPr>
                <w:color w:val="auto"/>
                <w:highlight w:val="none"/>
              </w:rPr>
            </w:pPr>
            <w:r>
              <w:rPr>
                <w:rFonts w:hint="eastAsia" w:ascii="宋体" w:hAnsi="宋体" w:cs="宋体"/>
                <w:b/>
                <w:bCs/>
                <w:color w:val="auto"/>
                <w:kern w:val="0"/>
                <w:szCs w:val="21"/>
                <w:highlight w:val="none"/>
              </w:rPr>
              <w:t>注：电子备份响应文件不作实质性要求，是否提交由供应商自行决定。</w:t>
            </w:r>
          </w:p>
        </w:tc>
      </w:tr>
      <w:tr w14:paraId="0A71E27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trPr>
        <w:tc>
          <w:tcPr>
            <w:tcW w:w="1026" w:type="dxa"/>
            <w:tcBorders>
              <w:top w:val="single" w:color="auto" w:sz="4" w:space="0"/>
              <w:bottom w:val="single" w:color="auto" w:sz="4" w:space="0"/>
            </w:tcBorders>
            <w:noWrap w:val="0"/>
            <w:vAlign w:val="center"/>
          </w:tcPr>
          <w:p w14:paraId="64D9EA5D">
            <w:pPr>
              <w:wordWrap w:val="0"/>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12</w:t>
            </w:r>
          </w:p>
        </w:tc>
        <w:tc>
          <w:tcPr>
            <w:tcW w:w="7614" w:type="dxa"/>
            <w:gridSpan w:val="2"/>
            <w:tcBorders>
              <w:top w:val="single" w:color="auto" w:sz="4" w:space="0"/>
              <w:bottom w:val="single" w:color="auto" w:sz="4" w:space="0"/>
            </w:tcBorders>
            <w:noWrap w:val="0"/>
            <w:vAlign w:val="center"/>
          </w:tcPr>
          <w:p w14:paraId="1FFF9773">
            <w:pPr>
              <w:wordWrap w:val="0"/>
              <w:spacing w:line="276" w:lineRule="auto"/>
              <w:rPr>
                <w:rFonts w:ascii="宋体" w:hAnsi="宋体" w:cs="宋体"/>
                <w:color w:val="auto"/>
                <w:szCs w:val="21"/>
                <w:highlight w:val="none"/>
                <w:u w:val="single"/>
              </w:rPr>
            </w:pPr>
            <w:r>
              <w:rPr>
                <w:rFonts w:hint="eastAsia" w:ascii="宋体" w:hAnsi="宋体" w:cs="宋体"/>
                <w:color w:val="auto"/>
                <w:szCs w:val="21"/>
                <w:highlight w:val="none"/>
              </w:rPr>
              <w:t>响应文件递交截止时间并开始磋商时间：</w:t>
            </w:r>
            <w:r>
              <w:rPr>
                <w:rFonts w:hint="eastAsia" w:ascii="宋体" w:hAnsi="宋体" w:cs="宋体"/>
                <w:color w:val="auto"/>
                <w:szCs w:val="21"/>
                <w:highlight w:val="none"/>
                <w:u w:val="single"/>
              </w:rPr>
              <w:t>第一部分竞争性磋商采购公告</w:t>
            </w:r>
          </w:p>
        </w:tc>
      </w:tr>
      <w:tr w14:paraId="4353A5E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0" w:hRule="atLeast"/>
        </w:trPr>
        <w:tc>
          <w:tcPr>
            <w:tcW w:w="1026" w:type="dxa"/>
            <w:tcBorders>
              <w:top w:val="single" w:color="auto" w:sz="4" w:space="0"/>
              <w:bottom w:val="single" w:color="auto" w:sz="12" w:space="0"/>
            </w:tcBorders>
            <w:noWrap w:val="0"/>
            <w:vAlign w:val="center"/>
          </w:tcPr>
          <w:p w14:paraId="7E39BC24">
            <w:pPr>
              <w:wordWrap w:val="0"/>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13</w:t>
            </w:r>
          </w:p>
        </w:tc>
        <w:tc>
          <w:tcPr>
            <w:tcW w:w="7614" w:type="dxa"/>
            <w:gridSpan w:val="2"/>
            <w:tcBorders>
              <w:top w:val="single" w:color="auto" w:sz="4" w:space="0"/>
              <w:bottom w:val="single" w:color="auto" w:sz="12" w:space="0"/>
            </w:tcBorders>
            <w:noWrap w:val="0"/>
            <w:vAlign w:val="center"/>
          </w:tcPr>
          <w:p w14:paraId="011C538E">
            <w:pPr>
              <w:wordWrap w:val="0"/>
              <w:spacing w:line="276" w:lineRule="auto"/>
              <w:rPr>
                <w:rFonts w:ascii="宋体" w:hAnsi="宋体" w:cs="宋体"/>
                <w:color w:val="auto"/>
                <w:szCs w:val="21"/>
                <w:highlight w:val="none"/>
              </w:rPr>
            </w:pPr>
            <w:r>
              <w:rPr>
                <w:rFonts w:hint="eastAsia" w:ascii="宋体" w:hAnsi="宋体" w:cs="宋体"/>
                <w:b/>
                <w:color w:val="auto"/>
                <w:szCs w:val="21"/>
                <w:highlight w:val="none"/>
              </w:rPr>
              <w:t>其他应注意的事项</w:t>
            </w:r>
            <w:r>
              <w:rPr>
                <w:rFonts w:hint="eastAsia" w:ascii="宋体" w:hAnsi="宋体" w:cs="宋体"/>
                <w:color w:val="auto"/>
                <w:szCs w:val="21"/>
                <w:highlight w:val="none"/>
              </w:rPr>
              <w:t>：详见“第二部分  供应商须知”</w:t>
            </w:r>
          </w:p>
        </w:tc>
      </w:tr>
      <w:tr w14:paraId="5B5C233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73" w:hRule="atLeast"/>
        </w:trPr>
        <w:tc>
          <w:tcPr>
            <w:tcW w:w="8640" w:type="dxa"/>
            <w:gridSpan w:val="3"/>
            <w:tcBorders>
              <w:top w:val="single" w:color="auto" w:sz="12" w:space="0"/>
              <w:bottom w:val="single" w:color="auto" w:sz="12" w:space="0"/>
            </w:tcBorders>
            <w:noWrap w:val="0"/>
            <w:vAlign w:val="center"/>
          </w:tcPr>
          <w:p w14:paraId="6E754382">
            <w:pPr>
              <w:wordWrap w:val="0"/>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商 务 条 款</w:t>
            </w:r>
          </w:p>
        </w:tc>
      </w:tr>
      <w:tr w14:paraId="131076F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3" w:hRule="atLeast"/>
        </w:trPr>
        <w:tc>
          <w:tcPr>
            <w:tcW w:w="1026" w:type="dxa"/>
            <w:tcBorders>
              <w:top w:val="single" w:color="auto" w:sz="12" w:space="0"/>
              <w:bottom w:val="single" w:color="auto" w:sz="4" w:space="0"/>
              <w:right w:val="single" w:color="auto" w:sz="4" w:space="0"/>
            </w:tcBorders>
            <w:noWrap w:val="0"/>
            <w:vAlign w:val="center"/>
          </w:tcPr>
          <w:p w14:paraId="65EA2A3F">
            <w:pPr>
              <w:wordWrap w:val="0"/>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14</w:t>
            </w:r>
          </w:p>
        </w:tc>
        <w:tc>
          <w:tcPr>
            <w:tcW w:w="7614" w:type="dxa"/>
            <w:gridSpan w:val="2"/>
            <w:tcBorders>
              <w:top w:val="single" w:color="auto" w:sz="12" w:space="0"/>
              <w:left w:val="single" w:color="auto" w:sz="4" w:space="0"/>
              <w:bottom w:val="single" w:color="auto" w:sz="4" w:space="0"/>
            </w:tcBorders>
            <w:noWrap w:val="0"/>
            <w:vAlign w:val="center"/>
          </w:tcPr>
          <w:p w14:paraId="3E6CF094">
            <w:pPr>
              <w:wordWrap w:val="0"/>
              <w:spacing w:line="276" w:lineRule="auto"/>
              <w:rPr>
                <w:rFonts w:hint="eastAsia" w:ascii="宋体" w:hAnsi="宋体" w:cs="宋体"/>
                <w:color w:val="auto"/>
                <w:szCs w:val="21"/>
                <w:highlight w:val="none"/>
                <w:u w:val="single"/>
              </w:rPr>
            </w:pPr>
            <w:r>
              <w:rPr>
                <w:rFonts w:hint="eastAsia" w:ascii="宋体" w:hAnsi="宋体" w:cs="宋体"/>
                <w:b/>
                <w:color w:val="auto"/>
                <w:szCs w:val="21"/>
                <w:highlight w:val="none"/>
              </w:rPr>
              <w:t>在签订合同后7天内需提交的履约保证金金额</w:t>
            </w:r>
            <w:r>
              <w:rPr>
                <w:rFonts w:hint="eastAsia" w:ascii="宋体" w:hAnsi="宋体" w:cs="宋体"/>
                <w:b/>
                <w:bCs/>
                <w:color w:val="auto"/>
                <w:szCs w:val="21"/>
                <w:highlight w:val="none"/>
              </w:rPr>
              <w:t>：</w:t>
            </w:r>
            <w:r>
              <w:rPr>
                <w:rFonts w:hint="eastAsia" w:ascii="宋体" w:hAnsi="宋体" w:cs="宋体"/>
                <w:b/>
                <w:bCs/>
                <w:color w:val="auto"/>
                <w:szCs w:val="21"/>
                <w:highlight w:val="none"/>
                <w:u w:val="single"/>
              </w:rPr>
              <w:t xml:space="preserve"> 合同金额的1%。</w:t>
            </w:r>
          </w:p>
        </w:tc>
      </w:tr>
      <w:tr w14:paraId="1E06848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96" w:hRule="atLeast"/>
        </w:trPr>
        <w:tc>
          <w:tcPr>
            <w:tcW w:w="1026" w:type="dxa"/>
            <w:tcBorders>
              <w:top w:val="single" w:color="auto" w:sz="4" w:space="0"/>
              <w:bottom w:val="single" w:color="auto" w:sz="4" w:space="0"/>
            </w:tcBorders>
            <w:noWrap w:val="0"/>
            <w:vAlign w:val="center"/>
          </w:tcPr>
          <w:p w14:paraId="0E4D14D5">
            <w:pPr>
              <w:wordWrap w:val="0"/>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15</w:t>
            </w:r>
          </w:p>
        </w:tc>
        <w:tc>
          <w:tcPr>
            <w:tcW w:w="7614" w:type="dxa"/>
            <w:gridSpan w:val="2"/>
            <w:tcBorders>
              <w:top w:val="single" w:color="auto" w:sz="4" w:space="0"/>
              <w:bottom w:val="single" w:color="auto" w:sz="4" w:space="0"/>
            </w:tcBorders>
            <w:noWrap w:val="0"/>
            <w:vAlign w:val="center"/>
          </w:tcPr>
          <w:p w14:paraId="18D182D3">
            <w:pPr>
              <w:wordWrap w:val="0"/>
              <w:spacing w:line="276" w:lineRule="auto"/>
              <w:rPr>
                <w:rFonts w:ascii="宋体" w:hAnsi="宋体" w:cs="宋体"/>
                <w:color w:val="auto"/>
                <w:szCs w:val="21"/>
                <w:highlight w:val="none"/>
              </w:rPr>
            </w:pPr>
            <w:r>
              <w:rPr>
                <w:rFonts w:hint="eastAsia" w:ascii="宋体" w:hAnsi="宋体" w:cs="宋体"/>
                <w:color w:val="auto"/>
                <w:szCs w:val="21"/>
                <w:highlight w:val="none"/>
              </w:rPr>
              <w:t>履约保证金的形式：履约保函/现金/银行转账等</w:t>
            </w:r>
          </w:p>
          <w:p w14:paraId="47166566">
            <w:pPr>
              <w:wordWrap w:val="0"/>
              <w:spacing w:line="276" w:lineRule="auto"/>
              <w:rPr>
                <w:rFonts w:ascii="宋体" w:hAnsi="宋体" w:cs="宋体"/>
                <w:color w:val="auto"/>
                <w:szCs w:val="21"/>
                <w:highlight w:val="none"/>
              </w:rPr>
            </w:pPr>
            <w:r>
              <w:rPr>
                <w:rFonts w:hint="eastAsia" w:ascii="宋体" w:hAnsi="宋体" w:cs="宋体"/>
                <w:color w:val="auto"/>
                <w:szCs w:val="21"/>
                <w:highlight w:val="none"/>
              </w:rPr>
              <w:t>履约保证金收件人：</w:t>
            </w:r>
            <w:r>
              <w:rPr>
                <w:rFonts w:hint="eastAsia" w:ascii="宋体" w:hAnsi="宋体" w:cs="宋体"/>
                <w:color w:val="auto"/>
                <w:szCs w:val="21"/>
                <w:highlight w:val="none"/>
                <w:lang w:eastAsia="zh-CN"/>
              </w:rPr>
              <w:t>宁波老年大学管理中心</w:t>
            </w:r>
            <w:r>
              <w:rPr>
                <w:rFonts w:hint="eastAsia" w:ascii="宋体" w:hAnsi="宋体" w:cs="宋体"/>
                <w:color w:val="auto"/>
                <w:szCs w:val="21"/>
                <w:highlight w:val="none"/>
              </w:rPr>
              <w:t xml:space="preserve">                          </w:t>
            </w:r>
          </w:p>
          <w:p w14:paraId="77A69FA7">
            <w:pPr>
              <w:wordWrap w:val="0"/>
              <w:spacing w:line="276" w:lineRule="auto"/>
              <w:rPr>
                <w:rFonts w:ascii="宋体" w:hAnsi="宋体" w:cs="宋体"/>
                <w:color w:val="auto"/>
                <w:szCs w:val="21"/>
                <w:highlight w:val="none"/>
              </w:rPr>
            </w:pPr>
            <w:r>
              <w:rPr>
                <w:rFonts w:hint="eastAsia" w:ascii="宋体" w:hAnsi="宋体" w:cs="宋体"/>
                <w:color w:val="auto"/>
                <w:szCs w:val="21"/>
                <w:highlight w:val="none"/>
              </w:rPr>
              <w:t>履约保证金退还时间:</w:t>
            </w:r>
            <w:r>
              <w:rPr>
                <w:rFonts w:hint="eastAsia" w:ascii="宋体" w:hAnsi="宋体" w:cs="宋体"/>
                <w:color w:val="auto"/>
                <w:highlight w:val="none"/>
              </w:rPr>
              <w:t xml:space="preserve"> </w:t>
            </w:r>
            <w:r>
              <w:rPr>
                <w:rFonts w:hint="eastAsia" w:ascii="宋体" w:hAnsi="宋体" w:cs="仿宋"/>
                <w:color w:val="auto"/>
                <w:highlight w:val="none"/>
              </w:rPr>
              <w:t>项目验收合格后，原额（无息）归还履约保证金</w:t>
            </w:r>
          </w:p>
        </w:tc>
      </w:tr>
      <w:tr w14:paraId="0281F63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44" w:hRule="atLeast"/>
        </w:trPr>
        <w:tc>
          <w:tcPr>
            <w:tcW w:w="1026" w:type="dxa"/>
            <w:tcBorders>
              <w:top w:val="single" w:color="auto" w:sz="4" w:space="0"/>
              <w:bottom w:val="single" w:color="auto" w:sz="4" w:space="0"/>
            </w:tcBorders>
            <w:noWrap w:val="0"/>
            <w:vAlign w:val="center"/>
          </w:tcPr>
          <w:p w14:paraId="42C2CFB2">
            <w:pPr>
              <w:wordWrap w:val="0"/>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16</w:t>
            </w:r>
          </w:p>
        </w:tc>
        <w:tc>
          <w:tcPr>
            <w:tcW w:w="7614" w:type="dxa"/>
            <w:gridSpan w:val="2"/>
            <w:tcBorders>
              <w:top w:val="single" w:color="auto" w:sz="4" w:space="0"/>
            </w:tcBorders>
            <w:noWrap w:val="0"/>
            <w:vAlign w:val="center"/>
          </w:tcPr>
          <w:p w14:paraId="6580200D">
            <w:pPr>
              <w:wordWrap w:val="0"/>
              <w:spacing w:line="276" w:lineRule="auto"/>
              <w:ind w:left="1050" w:hanging="1050" w:hangingChars="498"/>
              <w:rPr>
                <w:rFonts w:ascii="宋体" w:hAnsi="宋体" w:cs="宋体"/>
                <w:color w:val="auto"/>
                <w:szCs w:val="21"/>
                <w:highlight w:val="none"/>
                <w:u w:val="single"/>
              </w:rPr>
            </w:pPr>
            <w:r>
              <w:rPr>
                <w:rFonts w:hint="eastAsia" w:ascii="宋体" w:hAnsi="宋体" w:cs="宋体"/>
                <w:b/>
                <w:color w:val="auto"/>
                <w:szCs w:val="21"/>
                <w:highlight w:val="none"/>
              </w:rPr>
              <w:t>施工地点</w:t>
            </w:r>
            <w:r>
              <w:rPr>
                <w:rFonts w:hint="eastAsia" w:ascii="宋体" w:hAnsi="宋体" w:cs="宋体"/>
                <w:color w:val="auto"/>
                <w:szCs w:val="21"/>
                <w:highlight w:val="none"/>
              </w:rPr>
              <w:t>：</w:t>
            </w:r>
            <w:r>
              <w:rPr>
                <w:rFonts w:hint="eastAsia" w:ascii="宋体" w:hAnsi="宋体" w:cs="宋体"/>
                <w:color w:val="auto"/>
                <w:kern w:val="0"/>
                <w:szCs w:val="21"/>
                <w:highlight w:val="none"/>
              </w:rPr>
              <w:t>位于</w:t>
            </w:r>
            <w:r>
              <w:rPr>
                <w:rFonts w:hint="eastAsia" w:ascii="宋体" w:hAnsi="宋体" w:cs="宋体"/>
                <w:color w:val="auto"/>
                <w:kern w:val="0"/>
                <w:szCs w:val="21"/>
                <w:highlight w:val="none"/>
                <w:lang w:eastAsia="zh-CN"/>
              </w:rPr>
              <w:t>浙江省宁波市海曙区广济街56号</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宁波老年大学</w:t>
            </w:r>
            <w:r>
              <w:rPr>
                <w:rFonts w:hint="eastAsia" w:ascii="宋体" w:hAnsi="宋体" w:cs="宋体"/>
                <w:color w:val="auto"/>
                <w:kern w:val="0"/>
                <w:szCs w:val="21"/>
                <w:highlight w:val="none"/>
              </w:rPr>
              <w:t>内</w:t>
            </w:r>
          </w:p>
        </w:tc>
      </w:tr>
      <w:tr w14:paraId="42CC2A1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99" w:hRule="atLeast"/>
        </w:trPr>
        <w:tc>
          <w:tcPr>
            <w:tcW w:w="8640" w:type="dxa"/>
            <w:gridSpan w:val="3"/>
            <w:tcBorders>
              <w:top w:val="single" w:color="auto" w:sz="12" w:space="0"/>
              <w:left w:val="single" w:color="auto" w:sz="12" w:space="0"/>
              <w:bottom w:val="single" w:color="auto" w:sz="12" w:space="0"/>
            </w:tcBorders>
            <w:noWrap w:val="0"/>
            <w:vAlign w:val="center"/>
          </w:tcPr>
          <w:p w14:paraId="065CEFA8">
            <w:pPr>
              <w:wordWrap w:val="0"/>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竞 争 性 磋 商 程 序</w:t>
            </w:r>
          </w:p>
        </w:tc>
      </w:tr>
      <w:tr w14:paraId="3EE866A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trPr>
        <w:tc>
          <w:tcPr>
            <w:tcW w:w="1026" w:type="dxa"/>
            <w:tcBorders>
              <w:top w:val="single" w:color="auto" w:sz="4" w:space="0"/>
              <w:left w:val="single" w:color="auto" w:sz="12" w:space="0"/>
              <w:bottom w:val="single" w:color="auto" w:sz="12" w:space="0"/>
              <w:right w:val="single" w:color="auto" w:sz="4" w:space="0"/>
            </w:tcBorders>
            <w:noWrap w:val="0"/>
            <w:vAlign w:val="center"/>
          </w:tcPr>
          <w:p w14:paraId="71AA3B05">
            <w:pPr>
              <w:wordWrap w:val="0"/>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17</w:t>
            </w:r>
          </w:p>
        </w:tc>
        <w:tc>
          <w:tcPr>
            <w:tcW w:w="7614" w:type="dxa"/>
            <w:gridSpan w:val="2"/>
            <w:tcBorders>
              <w:top w:val="single" w:color="auto" w:sz="4" w:space="0"/>
              <w:left w:val="single" w:color="auto" w:sz="4" w:space="0"/>
              <w:bottom w:val="single" w:color="auto" w:sz="12" w:space="0"/>
            </w:tcBorders>
            <w:noWrap w:val="0"/>
            <w:vAlign w:val="center"/>
          </w:tcPr>
          <w:p w14:paraId="0093991D">
            <w:pPr>
              <w:wordWrap w:val="0"/>
              <w:spacing w:line="276" w:lineRule="auto"/>
              <w:rPr>
                <w:rFonts w:ascii="宋体" w:hAnsi="宋体" w:cs="宋体"/>
                <w:color w:val="auto"/>
                <w:szCs w:val="21"/>
                <w:highlight w:val="none"/>
              </w:rPr>
            </w:pPr>
            <w:r>
              <w:rPr>
                <w:rFonts w:hint="eastAsia" w:ascii="宋体" w:hAnsi="宋体" w:cs="宋体"/>
                <w:color w:val="auto"/>
                <w:szCs w:val="21"/>
                <w:highlight w:val="none"/>
              </w:rPr>
              <w:t>1.供应商在规定的截止时间之前提交响应文件；若供应商代表不是法定代表人参加磋商的，须持有《法定代表人授权书》及被委托人身份证；若供应商代表是法定代表人，则提供法定代表人身份证明。供应商少于3家的，则采购人重新组织采购活动。</w:t>
            </w:r>
          </w:p>
          <w:p w14:paraId="09C3CB6B">
            <w:pPr>
              <w:wordWrap w:val="0"/>
              <w:spacing w:line="276" w:lineRule="auto"/>
              <w:rPr>
                <w:rFonts w:ascii="宋体" w:hAnsi="宋体" w:cs="宋体"/>
                <w:color w:val="auto"/>
                <w:szCs w:val="21"/>
                <w:highlight w:val="none"/>
              </w:rPr>
            </w:pPr>
            <w:r>
              <w:rPr>
                <w:rFonts w:hint="eastAsia" w:ascii="宋体" w:hAnsi="宋体" w:cs="宋体"/>
                <w:color w:val="auto"/>
                <w:szCs w:val="21"/>
                <w:highlight w:val="none"/>
              </w:rPr>
              <w:t>2.同时开启资格文件、商务技术文件和报价文件，先对供应商进行资格审查，合格的供应商进入商务技术文件和报价文件评审。</w:t>
            </w:r>
          </w:p>
          <w:p w14:paraId="6A72084B">
            <w:pPr>
              <w:wordWrap w:val="0"/>
              <w:spacing w:line="276" w:lineRule="auto"/>
              <w:rPr>
                <w:rFonts w:ascii="宋体" w:hAnsi="宋体" w:cs="宋体"/>
                <w:color w:val="auto"/>
                <w:szCs w:val="21"/>
                <w:highlight w:val="none"/>
              </w:rPr>
            </w:pPr>
            <w:r>
              <w:rPr>
                <w:rFonts w:hint="eastAsia" w:ascii="宋体" w:hAnsi="宋体" w:cs="宋体"/>
                <w:color w:val="auto"/>
                <w:szCs w:val="21"/>
                <w:highlight w:val="none"/>
              </w:rPr>
              <w:t>3.竞争性磋商不进行公开唱价。磋商小组在开始磋商时间到后对供应商响应文件进行评审，判定其是否实质性响应采购文件的要求。</w:t>
            </w:r>
          </w:p>
          <w:p w14:paraId="7B9A21E0">
            <w:pPr>
              <w:wordWrap w:val="0"/>
              <w:spacing w:line="276" w:lineRule="auto"/>
              <w:rPr>
                <w:rFonts w:ascii="宋体" w:hAnsi="宋体" w:cs="宋体"/>
                <w:color w:val="auto"/>
                <w:szCs w:val="21"/>
                <w:highlight w:val="none"/>
              </w:rPr>
            </w:pPr>
            <w:r>
              <w:rPr>
                <w:rFonts w:hint="eastAsia" w:ascii="宋体" w:hAnsi="宋体" w:cs="宋体"/>
                <w:color w:val="auto"/>
                <w:szCs w:val="21"/>
                <w:highlight w:val="none"/>
              </w:rPr>
              <w:t>4.未实质性响应采购文件的供应商，磋商小组应当场告之，不再进入后续程序。磋商小组将与实质性响应采购文件要求的供应商进行磋商。</w:t>
            </w:r>
          </w:p>
          <w:p w14:paraId="58161D28">
            <w:pPr>
              <w:wordWrap w:val="0"/>
              <w:spacing w:line="276" w:lineRule="auto"/>
              <w:rPr>
                <w:rFonts w:ascii="宋体" w:hAnsi="宋体" w:cs="宋体"/>
                <w:color w:val="auto"/>
                <w:szCs w:val="21"/>
                <w:highlight w:val="none"/>
              </w:rPr>
            </w:pPr>
            <w:r>
              <w:rPr>
                <w:rFonts w:hint="eastAsia" w:ascii="宋体" w:hAnsi="宋体" w:cs="宋体"/>
                <w:color w:val="auto"/>
                <w:szCs w:val="21"/>
                <w:highlight w:val="none"/>
              </w:rPr>
              <w:t>5.参加磋商的供应商在规定时间内提交最终报价（第二次报价），提交最终报价的供应商不少于3家；否则采购人重新组织采购。</w:t>
            </w:r>
          </w:p>
          <w:p w14:paraId="39630969">
            <w:pPr>
              <w:wordWrap w:val="0"/>
              <w:spacing w:line="276" w:lineRule="auto"/>
              <w:rPr>
                <w:rFonts w:ascii="宋体" w:hAnsi="宋体" w:cs="宋体"/>
                <w:color w:val="auto"/>
                <w:szCs w:val="21"/>
                <w:highlight w:val="none"/>
              </w:rPr>
            </w:pPr>
            <w:r>
              <w:rPr>
                <w:rFonts w:hint="eastAsia" w:ascii="宋体" w:hAnsi="宋体" w:cs="宋体"/>
                <w:color w:val="auto"/>
                <w:szCs w:val="21"/>
                <w:highlight w:val="none"/>
              </w:rPr>
              <w:t>6.磋商小组按照</w:t>
            </w:r>
            <w:r>
              <w:rPr>
                <w:rFonts w:hint="eastAsia" w:ascii="宋体" w:hAnsi="宋体" w:cs="宋体"/>
                <w:color w:val="auto"/>
                <w:szCs w:val="21"/>
                <w:highlight w:val="none"/>
                <w:lang w:val="en-US" w:eastAsia="zh-CN"/>
              </w:rPr>
              <w:t>评审方法和评审标准</w:t>
            </w:r>
            <w:r>
              <w:rPr>
                <w:rFonts w:hint="eastAsia" w:ascii="宋体" w:hAnsi="宋体" w:cs="宋体"/>
                <w:color w:val="auto"/>
                <w:szCs w:val="21"/>
                <w:highlight w:val="none"/>
              </w:rPr>
              <w:t>确定成交候选人。</w:t>
            </w:r>
          </w:p>
          <w:p w14:paraId="3BC91144">
            <w:pPr>
              <w:wordWrap w:val="0"/>
              <w:spacing w:line="276" w:lineRule="auto"/>
              <w:rPr>
                <w:rFonts w:ascii="宋体" w:hAnsi="宋体" w:cs="宋体"/>
                <w:color w:val="auto"/>
                <w:szCs w:val="21"/>
                <w:highlight w:val="none"/>
              </w:rPr>
            </w:pPr>
            <w:r>
              <w:rPr>
                <w:rFonts w:hint="eastAsia" w:ascii="宋体" w:hAnsi="宋体" w:cs="宋体"/>
                <w:color w:val="auto"/>
                <w:szCs w:val="21"/>
                <w:highlight w:val="none"/>
              </w:rPr>
              <w:t>7.采购人确定成交供应商。</w:t>
            </w:r>
          </w:p>
          <w:p w14:paraId="78C53AD6">
            <w:pPr>
              <w:wordWrap w:val="0"/>
              <w:spacing w:line="276" w:lineRule="auto"/>
              <w:rPr>
                <w:rFonts w:ascii="宋体" w:hAnsi="宋体" w:cs="宋体"/>
                <w:color w:val="auto"/>
                <w:szCs w:val="21"/>
                <w:highlight w:val="none"/>
              </w:rPr>
            </w:pPr>
            <w:r>
              <w:rPr>
                <w:rFonts w:hint="eastAsia" w:ascii="宋体" w:hAnsi="宋体" w:cs="宋体"/>
                <w:color w:val="auto"/>
                <w:szCs w:val="21"/>
                <w:highlight w:val="none"/>
              </w:rPr>
              <w:t>8.采购人与成交供应商签订合同。</w:t>
            </w:r>
          </w:p>
        </w:tc>
      </w:tr>
      <w:tr w14:paraId="24E3E53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257" w:hRule="atLeast"/>
        </w:trPr>
        <w:tc>
          <w:tcPr>
            <w:tcW w:w="8640" w:type="dxa"/>
            <w:gridSpan w:val="3"/>
            <w:tcBorders>
              <w:top w:val="single" w:color="auto" w:sz="12" w:space="0"/>
              <w:left w:val="single" w:color="auto" w:sz="12" w:space="0"/>
              <w:bottom w:val="single" w:color="auto" w:sz="12" w:space="0"/>
            </w:tcBorders>
            <w:noWrap w:val="0"/>
            <w:vAlign w:val="center"/>
          </w:tcPr>
          <w:p w14:paraId="479EEFA6">
            <w:pPr>
              <w:wordWrap w:val="0"/>
              <w:spacing w:line="276" w:lineRule="auto"/>
              <w:ind w:left="211" w:hanging="211" w:hangingChars="100"/>
              <w:jc w:val="center"/>
              <w:rPr>
                <w:rFonts w:ascii="宋体" w:hAnsi="宋体" w:cs="宋体"/>
                <w:b/>
                <w:color w:val="auto"/>
                <w:szCs w:val="21"/>
                <w:highlight w:val="none"/>
              </w:rPr>
            </w:pPr>
            <w:r>
              <w:rPr>
                <w:rFonts w:hint="eastAsia" w:ascii="宋体" w:hAnsi="宋体" w:cs="宋体"/>
                <w:b/>
                <w:color w:val="auto"/>
                <w:szCs w:val="21"/>
                <w:highlight w:val="none"/>
              </w:rPr>
              <w:t>竞 争 性 磋 商 其 它 约 定</w:t>
            </w:r>
          </w:p>
        </w:tc>
      </w:tr>
      <w:tr w14:paraId="7FAF062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trPr>
        <w:tc>
          <w:tcPr>
            <w:tcW w:w="1026" w:type="dxa"/>
            <w:tcBorders>
              <w:top w:val="single" w:color="auto" w:sz="12" w:space="0"/>
              <w:left w:val="single" w:color="auto" w:sz="12" w:space="0"/>
              <w:bottom w:val="single" w:color="auto" w:sz="12" w:space="0"/>
              <w:right w:val="single" w:color="auto" w:sz="4" w:space="0"/>
            </w:tcBorders>
            <w:noWrap w:val="0"/>
            <w:vAlign w:val="center"/>
          </w:tcPr>
          <w:p w14:paraId="60607B1A">
            <w:pPr>
              <w:wordWrap w:val="0"/>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18</w:t>
            </w:r>
          </w:p>
        </w:tc>
        <w:tc>
          <w:tcPr>
            <w:tcW w:w="7614" w:type="dxa"/>
            <w:gridSpan w:val="2"/>
            <w:tcBorders>
              <w:top w:val="single" w:color="auto" w:sz="12" w:space="0"/>
              <w:left w:val="single" w:color="auto" w:sz="4" w:space="0"/>
              <w:bottom w:val="single" w:color="auto" w:sz="12" w:space="0"/>
            </w:tcBorders>
            <w:noWrap w:val="0"/>
            <w:vAlign w:val="center"/>
          </w:tcPr>
          <w:p w14:paraId="465E1E3A">
            <w:pPr>
              <w:wordWrap w:val="0"/>
              <w:spacing w:line="276" w:lineRule="auto"/>
              <w:rPr>
                <w:rFonts w:ascii="宋体" w:hAnsi="宋体" w:cs="宋体"/>
                <w:color w:val="auto"/>
                <w:szCs w:val="21"/>
                <w:highlight w:val="none"/>
              </w:rPr>
            </w:pPr>
            <w:r>
              <w:rPr>
                <w:rFonts w:hint="eastAsia" w:ascii="宋体" w:hAnsi="宋体" w:cs="宋体"/>
                <w:color w:val="auto"/>
                <w:szCs w:val="21"/>
                <w:highlight w:val="none"/>
              </w:rPr>
              <w:t>1、磋商小组在磋商过程中，可以根据采购文件和磋商情况实质性变动</w:t>
            </w:r>
            <w:r>
              <w:rPr>
                <w:rFonts w:hint="eastAsia" w:ascii="宋体" w:hAnsi="宋体" w:cs="宋体"/>
                <w:color w:val="auto"/>
                <w:szCs w:val="21"/>
                <w:highlight w:val="none"/>
                <w:u w:val="single"/>
              </w:rPr>
              <w:t>技术规格要求/服务要求/合同条款</w:t>
            </w:r>
            <w:r>
              <w:rPr>
                <w:rFonts w:hint="eastAsia" w:ascii="宋体" w:hAnsi="宋体" w:cs="宋体"/>
                <w:color w:val="auto"/>
                <w:szCs w:val="21"/>
                <w:highlight w:val="none"/>
              </w:rPr>
              <w:t>，但不得变动采购文件中的其他内容。实质性变动的内容须经采购人代表确认同意。对采购文件作出的实质性变动是采购文件的有效组成部分，磋商小组将以书面形式同时通知所有参加磋商的供应商。供应商应当按照采购文件的变动情况和磋商小组的要求重新提交响应文件，并由其法定代表人或授权代表签字或者加盖公章。</w:t>
            </w:r>
          </w:p>
          <w:p w14:paraId="19EE866B">
            <w:pPr>
              <w:wordWrap w:val="0"/>
              <w:spacing w:line="276" w:lineRule="auto"/>
              <w:rPr>
                <w:rFonts w:ascii="宋体" w:hAnsi="宋体" w:cs="宋体"/>
                <w:color w:val="auto"/>
                <w:szCs w:val="21"/>
                <w:highlight w:val="none"/>
              </w:rPr>
            </w:pPr>
            <w:r>
              <w:rPr>
                <w:rFonts w:hint="eastAsia" w:ascii="宋体" w:hAnsi="宋体" w:cs="宋体"/>
                <w:color w:val="auto"/>
                <w:szCs w:val="21"/>
                <w:highlight w:val="none"/>
              </w:rPr>
              <w:t>2、供应商提交的最终报价（第二次报价）后，在正式合同签订前，成交供应商必须提供与响应文件最终报价相一致的已标价工程量清单明细，作为供应商响应文件的有效组成部分。</w:t>
            </w:r>
          </w:p>
        </w:tc>
      </w:tr>
      <w:tr w14:paraId="5893798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33" w:hRule="atLeast"/>
        </w:trPr>
        <w:tc>
          <w:tcPr>
            <w:tcW w:w="8640" w:type="dxa"/>
            <w:gridSpan w:val="3"/>
            <w:tcBorders>
              <w:top w:val="single" w:color="auto" w:sz="12" w:space="0"/>
              <w:left w:val="single" w:color="auto" w:sz="12" w:space="0"/>
              <w:bottom w:val="single" w:color="auto" w:sz="12" w:space="0"/>
            </w:tcBorders>
            <w:noWrap w:val="0"/>
            <w:vAlign w:val="center"/>
          </w:tcPr>
          <w:p w14:paraId="27B5EBFB">
            <w:pPr>
              <w:wordWrap w:val="0"/>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授   予   合   同</w:t>
            </w:r>
          </w:p>
        </w:tc>
      </w:tr>
      <w:tr w14:paraId="197C035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52" w:hRule="atLeast"/>
        </w:trPr>
        <w:tc>
          <w:tcPr>
            <w:tcW w:w="1026" w:type="dxa"/>
            <w:tcBorders>
              <w:top w:val="single" w:color="auto" w:sz="12" w:space="0"/>
              <w:bottom w:val="single" w:color="auto" w:sz="4" w:space="0"/>
            </w:tcBorders>
            <w:noWrap w:val="0"/>
            <w:vAlign w:val="center"/>
          </w:tcPr>
          <w:p w14:paraId="27030774">
            <w:pPr>
              <w:wordWrap w:val="0"/>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19</w:t>
            </w:r>
          </w:p>
        </w:tc>
        <w:tc>
          <w:tcPr>
            <w:tcW w:w="7614" w:type="dxa"/>
            <w:gridSpan w:val="2"/>
            <w:tcBorders>
              <w:top w:val="single" w:color="auto" w:sz="12" w:space="0"/>
              <w:bottom w:val="single" w:color="auto" w:sz="4" w:space="0"/>
            </w:tcBorders>
            <w:noWrap w:val="0"/>
            <w:vAlign w:val="center"/>
          </w:tcPr>
          <w:p w14:paraId="359964A9">
            <w:pPr>
              <w:wordWrap w:val="0"/>
              <w:spacing w:line="276" w:lineRule="auto"/>
              <w:rPr>
                <w:rFonts w:ascii="宋体" w:hAnsi="宋体" w:cs="宋体"/>
                <w:color w:val="auto"/>
                <w:szCs w:val="21"/>
                <w:highlight w:val="none"/>
              </w:rPr>
            </w:pPr>
            <w:r>
              <w:rPr>
                <w:rFonts w:hint="eastAsia" w:ascii="宋体" w:hAnsi="宋体" w:cs="宋体"/>
                <w:color w:val="auto"/>
                <w:szCs w:val="21"/>
                <w:highlight w:val="none"/>
              </w:rPr>
              <w:t>按照采购文件的规定、成交供应商的响应文件、成交通知书确定的规格、数量和金额签订合同。</w:t>
            </w:r>
          </w:p>
          <w:p w14:paraId="6D9E39CD">
            <w:pPr>
              <w:wordWrap w:val="0"/>
              <w:spacing w:line="276" w:lineRule="auto"/>
              <w:rPr>
                <w:color w:val="auto"/>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允许分包。</w:t>
            </w:r>
          </w:p>
        </w:tc>
      </w:tr>
      <w:tr w14:paraId="123D3A0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trPr>
        <w:tc>
          <w:tcPr>
            <w:tcW w:w="8640" w:type="dxa"/>
            <w:gridSpan w:val="3"/>
            <w:tcBorders>
              <w:top w:val="single" w:color="auto" w:sz="12" w:space="0"/>
              <w:bottom w:val="single" w:color="auto" w:sz="12" w:space="0"/>
            </w:tcBorders>
            <w:noWrap w:val="0"/>
            <w:vAlign w:val="center"/>
          </w:tcPr>
          <w:p w14:paraId="168FCB13">
            <w:pPr>
              <w:wordWrap w:val="0"/>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其他补充内容</w:t>
            </w:r>
          </w:p>
        </w:tc>
      </w:tr>
      <w:tr w14:paraId="31AABAD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90" w:hRule="atLeast"/>
        </w:trPr>
        <w:tc>
          <w:tcPr>
            <w:tcW w:w="1080" w:type="dxa"/>
            <w:gridSpan w:val="2"/>
            <w:tcBorders>
              <w:top w:val="single" w:color="auto" w:sz="12" w:space="0"/>
              <w:bottom w:val="single" w:color="auto" w:sz="12" w:space="0"/>
              <w:right w:val="single" w:color="auto" w:sz="4" w:space="0"/>
            </w:tcBorders>
            <w:noWrap w:val="0"/>
            <w:vAlign w:val="center"/>
          </w:tcPr>
          <w:p w14:paraId="0F3605A0">
            <w:pPr>
              <w:wordWrap w:val="0"/>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20</w:t>
            </w:r>
          </w:p>
        </w:tc>
        <w:tc>
          <w:tcPr>
            <w:tcW w:w="7560" w:type="dxa"/>
            <w:tcBorders>
              <w:top w:val="single" w:color="auto" w:sz="12" w:space="0"/>
              <w:left w:val="single" w:color="auto" w:sz="4" w:space="0"/>
              <w:bottom w:val="single" w:color="auto" w:sz="12" w:space="0"/>
            </w:tcBorders>
            <w:noWrap w:val="0"/>
            <w:vAlign w:val="center"/>
          </w:tcPr>
          <w:p w14:paraId="06B85353">
            <w:pPr>
              <w:tabs>
                <w:tab w:val="left" w:pos="-76"/>
              </w:tabs>
              <w:wordWrap w:val="0"/>
              <w:spacing w:line="276" w:lineRule="auto"/>
              <w:rPr>
                <w:rFonts w:ascii="宋体" w:hAnsi="宋体" w:cs="宋体"/>
                <w:color w:val="auto"/>
                <w:szCs w:val="21"/>
                <w:highlight w:val="none"/>
              </w:rPr>
            </w:pPr>
            <w:r>
              <w:rPr>
                <w:rFonts w:hint="eastAsia" w:ascii="宋体" w:hAnsi="宋体" w:cs="宋体"/>
                <w:b/>
                <w:bCs/>
                <w:color w:val="auto"/>
                <w:szCs w:val="21"/>
                <w:highlight w:val="none"/>
              </w:rPr>
              <w:t>合同价格类型：</w:t>
            </w:r>
            <w:r>
              <w:rPr>
                <w:rFonts w:hint="eastAsia" w:ascii="宋体" w:hAnsi="宋体" w:cs="宋体"/>
                <w:color w:val="auto"/>
                <w:szCs w:val="21"/>
                <w:highlight w:val="none"/>
              </w:rPr>
              <w:t>固定综合单价{根据经供应商确认的由采购人提供的图纸及控制价编制报告中的综合单价和供应商成交浮动率确定，固定综合单价=控制价编制报告中的综合单价*（1+成交浮动率）}，可调合同总价。</w:t>
            </w:r>
          </w:p>
        </w:tc>
      </w:tr>
    </w:tbl>
    <w:p w14:paraId="322093A6">
      <w:pPr>
        <w:wordWrap w:val="0"/>
        <w:spacing w:line="400" w:lineRule="exact"/>
        <w:rPr>
          <w:rFonts w:ascii="宋体" w:hAnsi="宋体" w:cs="宋体"/>
          <w:b/>
          <w:color w:val="auto"/>
          <w:szCs w:val="21"/>
          <w:highlight w:val="none"/>
        </w:rPr>
      </w:pPr>
      <w:r>
        <w:rPr>
          <w:rFonts w:hint="eastAsia" w:ascii="宋体" w:hAnsi="宋体" w:cs="宋体"/>
          <w:b/>
          <w:color w:val="auto"/>
          <w:szCs w:val="21"/>
          <w:highlight w:val="none"/>
        </w:rPr>
        <w:t>注意：本表内打有“*”号的条款为“实质性要求”条款，响应文件对这些条款的任何负偏离将视为没有对采购文件的实质性要求做出响应，将被认定为无效响应处理。</w:t>
      </w:r>
    </w:p>
    <w:p w14:paraId="07224626">
      <w:pPr>
        <w:wordWrap w:val="0"/>
        <w:spacing w:line="360" w:lineRule="auto"/>
        <w:jc w:val="center"/>
        <w:rPr>
          <w:rFonts w:ascii="宋体" w:hAnsi="宋体" w:cs="宋体"/>
          <w:b/>
          <w:bCs/>
          <w:color w:val="auto"/>
          <w:sz w:val="28"/>
          <w:szCs w:val="28"/>
          <w:highlight w:val="none"/>
        </w:rPr>
      </w:pPr>
      <w:r>
        <w:rPr>
          <w:rFonts w:hint="eastAsia" w:ascii="宋体" w:hAnsi="宋体" w:cs="宋体"/>
          <w:color w:val="auto"/>
          <w:szCs w:val="21"/>
          <w:highlight w:val="none"/>
        </w:rPr>
        <w:br w:type="page"/>
      </w:r>
      <w:r>
        <w:rPr>
          <w:rFonts w:hint="eastAsia" w:ascii="宋体" w:hAnsi="宋体" w:cs="宋体"/>
          <w:b/>
          <w:bCs/>
          <w:color w:val="auto"/>
          <w:sz w:val="28"/>
          <w:szCs w:val="28"/>
          <w:highlight w:val="none"/>
        </w:rPr>
        <w:t>附表二</w:t>
      </w:r>
    </w:p>
    <w:tbl>
      <w:tblPr>
        <w:tblStyle w:val="51"/>
        <w:tblpPr w:leftFromText="180" w:rightFromText="180" w:vertAnchor="text" w:horzAnchor="margin" w:tblpX="-176" w:tblpY="685"/>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3213"/>
        <w:gridCol w:w="2849"/>
        <w:gridCol w:w="2010"/>
      </w:tblGrid>
      <w:tr w14:paraId="6CCD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14:paraId="554AE28B">
            <w:pPr>
              <w:wordWrap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3213" w:type="dxa"/>
            <w:tcBorders>
              <w:top w:val="single" w:color="auto" w:sz="4" w:space="0"/>
              <w:left w:val="single" w:color="auto" w:sz="4" w:space="0"/>
              <w:bottom w:val="single" w:color="auto" w:sz="4" w:space="0"/>
              <w:right w:val="single" w:color="auto" w:sz="4" w:space="0"/>
            </w:tcBorders>
            <w:noWrap w:val="0"/>
            <w:vAlign w:val="center"/>
          </w:tcPr>
          <w:p w14:paraId="7576E6D0">
            <w:pPr>
              <w:wordWrap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项目内容</w:t>
            </w:r>
          </w:p>
        </w:tc>
        <w:tc>
          <w:tcPr>
            <w:tcW w:w="2849" w:type="dxa"/>
            <w:tcBorders>
              <w:top w:val="single" w:color="auto" w:sz="4" w:space="0"/>
              <w:left w:val="single" w:color="auto" w:sz="4" w:space="0"/>
              <w:bottom w:val="single" w:color="auto" w:sz="4" w:space="0"/>
              <w:right w:val="single" w:color="auto" w:sz="4" w:space="0"/>
            </w:tcBorders>
            <w:noWrap w:val="0"/>
            <w:vAlign w:val="center"/>
          </w:tcPr>
          <w:p w14:paraId="4118A258">
            <w:pPr>
              <w:wordWrap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说明与要求</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79D51898">
            <w:pPr>
              <w:wordWrap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14:paraId="1E62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14:paraId="42177675">
            <w:pPr>
              <w:wordWrap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3213" w:type="dxa"/>
            <w:tcBorders>
              <w:top w:val="single" w:color="auto" w:sz="4" w:space="0"/>
              <w:left w:val="single" w:color="auto" w:sz="4" w:space="0"/>
              <w:bottom w:val="single" w:color="auto" w:sz="4" w:space="0"/>
              <w:right w:val="single" w:color="auto" w:sz="4" w:space="0"/>
            </w:tcBorders>
            <w:noWrap w:val="0"/>
            <w:vAlign w:val="center"/>
          </w:tcPr>
          <w:p w14:paraId="33B9EB1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施工准备时间</w:t>
            </w:r>
          </w:p>
        </w:tc>
        <w:tc>
          <w:tcPr>
            <w:tcW w:w="2849" w:type="dxa"/>
            <w:tcBorders>
              <w:top w:val="single" w:color="auto" w:sz="4" w:space="0"/>
              <w:left w:val="single" w:color="auto" w:sz="4" w:space="0"/>
              <w:bottom w:val="single" w:color="auto" w:sz="4" w:space="0"/>
              <w:right w:val="single" w:color="auto" w:sz="4" w:space="0"/>
            </w:tcBorders>
            <w:noWrap w:val="0"/>
            <w:vAlign w:val="bottom"/>
          </w:tcPr>
          <w:p w14:paraId="128ED964">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签订合同后</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天</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4A3148E0">
            <w:pPr>
              <w:wordWrap w:val="0"/>
              <w:rPr>
                <w:rFonts w:ascii="宋体" w:hAnsi="宋体" w:cs="宋体"/>
                <w:color w:val="auto"/>
                <w:szCs w:val="21"/>
                <w:highlight w:val="none"/>
              </w:rPr>
            </w:pPr>
          </w:p>
        </w:tc>
      </w:tr>
      <w:tr w14:paraId="08F8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14:paraId="042779C6">
            <w:pPr>
              <w:wordWrap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3213" w:type="dxa"/>
            <w:tcBorders>
              <w:top w:val="single" w:color="auto" w:sz="4" w:space="0"/>
              <w:left w:val="single" w:color="auto" w:sz="4" w:space="0"/>
              <w:bottom w:val="single" w:color="auto" w:sz="4" w:space="0"/>
              <w:right w:val="single" w:color="auto" w:sz="4" w:space="0"/>
            </w:tcBorders>
            <w:noWrap w:val="0"/>
            <w:vAlign w:val="center"/>
          </w:tcPr>
          <w:p w14:paraId="4933224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提前合同工期奖励标准</w:t>
            </w:r>
          </w:p>
        </w:tc>
        <w:tc>
          <w:tcPr>
            <w:tcW w:w="2849" w:type="dxa"/>
            <w:tcBorders>
              <w:top w:val="single" w:color="auto" w:sz="4" w:space="0"/>
              <w:left w:val="single" w:color="auto" w:sz="4" w:space="0"/>
              <w:bottom w:val="single" w:color="auto" w:sz="4" w:space="0"/>
              <w:right w:val="single" w:color="auto" w:sz="4" w:space="0"/>
            </w:tcBorders>
            <w:noWrap w:val="0"/>
            <w:vAlign w:val="center"/>
          </w:tcPr>
          <w:p w14:paraId="2BB324E2">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元/天</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7AEB1374">
            <w:pPr>
              <w:wordWrap w:val="0"/>
              <w:jc w:val="center"/>
              <w:rPr>
                <w:rFonts w:ascii="宋体" w:hAnsi="宋体" w:cs="宋体"/>
                <w:color w:val="auto"/>
                <w:szCs w:val="21"/>
                <w:highlight w:val="none"/>
              </w:rPr>
            </w:pPr>
          </w:p>
        </w:tc>
      </w:tr>
      <w:tr w14:paraId="1DB3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14:paraId="7297715F">
            <w:pPr>
              <w:wordWrap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3213" w:type="dxa"/>
            <w:tcBorders>
              <w:top w:val="single" w:color="auto" w:sz="4" w:space="0"/>
              <w:left w:val="single" w:color="auto" w:sz="4" w:space="0"/>
              <w:bottom w:val="single" w:color="auto" w:sz="4" w:space="0"/>
              <w:right w:val="single" w:color="auto" w:sz="4" w:space="0"/>
            </w:tcBorders>
            <w:noWrap w:val="0"/>
            <w:vAlign w:val="center"/>
          </w:tcPr>
          <w:p w14:paraId="0A4B6D7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延误合同工期赔偿标准</w:t>
            </w:r>
          </w:p>
        </w:tc>
        <w:tc>
          <w:tcPr>
            <w:tcW w:w="2849" w:type="dxa"/>
            <w:tcBorders>
              <w:top w:val="single" w:color="auto" w:sz="4" w:space="0"/>
              <w:left w:val="single" w:color="auto" w:sz="4" w:space="0"/>
              <w:bottom w:val="single" w:color="auto" w:sz="4" w:space="0"/>
              <w:right w:val="single" w:color="auto" w:sz="4" w:space="0"/>
            </w:tcBorders>
            <w:noWrap w:val="0"/>
            <w:vAlign w:val="center"/>
          </w:tcPr>
          <w:p w14:paraId="022D8091">
            <w:pPr>
              <w:wordWrap w:val="0"/>
              <w:jc w:val="center"/>
              <w:rPr>
                <w:rFonts w:ascii="宋体" w:hAnsi="宋体" w:cs="宋体"/>
                <w:color w:val="auto"/>
                <w:szCs w:val="21"/>
                <w:highlight w:val="none"/>
              </w:rPr>
            </w:pP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000</w:t>
            </w:r>
            <w:r>
              <w:rPr>
                <w:rFonts w:hint="eastAsia" w:ascii="宋体" w:hAnsi="宋体" w:cs="宋体"/>
                <w:color w:val="auto"/>
                <w:szCs w:val="21"/>
                <w:highlight w:val="none"/>
              </w:rPr>
              <w:t>元/天</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5BF6BB12">
            <w:pPr>
              <w:wordWrap w:val="0"/>
              <w:jc w:val="center"/>
              <w:rPr>
                <w:rFonts w:ascii="宋体" w:hAnsi="宋体" w:cs="宋体"/>
                <w:color w:val="auto"/>
                <w:szCs w:val="21"/>
                <w:highlight w:val="none"/>
              </w:rPr>
            </w:pPr>
          </w:p>
        </w:tc>
      </w:tr>
      <w:tr w14:paraId="1A89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14:paraId="67BD44C7">
            <w:pPr>
              <w:wordWrap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3213" w:type="dxa"/>
            <w:tcBorders>
              <w:top w:val="single" w:color="auto" w:sz="4" w:space="0"/>
              <w:left w:val="single" w:color="auto" w:sz="4" w:space="0"/>
              <w:bottom w:val="single" w:color="auto" w:sz="4" w:space="0"/>
              <w:right w:val="single" w:color="auto" w:sz="4" w:space="0"/>
            </w:tcBorders>
            <w:noWrap w:val="0"/>
            <w:vAlign w:val="center"/>
          </w:tcPr>
          <w:p w14:paraId="5162D464">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延误合同工期违约金限额</w:t>
            </w:r>
          </w:p>
        </w:tc>
        <w:tc>
          <w:tcPr>
            <w:tcW w:w="2849" w:type="dxa"/>
            <w:tcBorders>
              <w:top w:val="single" w:color="auto" w:sz="4" w:space="0"/>
              <w:left w:val="single" w:color="auto" w:sz="4" w:space="0"/>
              <w:bottom w:val="single" w:color="auto" w:sz="4" w:space="0"/>
              <w:right w:val="single" w:color="auto" w:sz="4" w:space="0"/>
            </w:tcBorders>
            <w:noWrap w:val="0"/>
            <w:vAlign w:val="center"/>
          </w:tcPr>
          <w:p w14:paraId="1D073328">
            <w:pPr>
              <w:wordWrap w:val="0"/>
              <w:spacing w:line="340" w:lineRule="exact"/>
              <w:jc w:val="center"/>
              <w:rPr>
                <w:rFonts w:ascii="宋体" w:hAnsi="宋体" w:cs="宋体"/>
                <w:color w:val="auto"/>
                <w:szCs w:val="21"/>
                <w:highlight w:val="none"/>
              </w:rPr>
            </w:pPr>
            <w:r>
              <w:rPr>
                <w:rFonts w:hint="eastAsia"/>
                <w:color w:val="auto"/>
                <w:highlight w:val="none"/>
              </w:rPr>
              <w:t>履约担保</w:t>
            </w:r>
            <w:r>
              <w:rPr>
                <w:rFonts w:hint="eastAsia" w:ascii="宋体" w:hAnsi="宋体" w:cs="宋体"/>
                <w:color w:val="auto"/>
                <w:szCs w:val="21"/>
                <w:highlight w:val="none"/>
              </w:rPr>
              <w:t>的</w:t>
            </w:r>
            <w:r>
              <w:rPr>
                <w:rFonts w:hint="eastAsia" w:ascii="宋体" w:hAnsi="宋体" w:cs="宋体"/>
                <w:color w:val="auto"/>
                <w:szCs w:val="21"/>
                <w:highlight w:val="none"/>
                <w:u w:val="single"/>
              </w:rPr>
              <w:t>30</w:t>
            </w:r>
            <w:r>
              <w:rPr>
                <w:rFonts w:hint="eastAsia" w:ascii="宋体" w:hAnsi="宋体" w:cs="宋体"/>
                <w:color w:val="auto"/>
                <w:szCs w:val="21"/>
                <w:highlight w:val="none"/>
              </w:rPr>
              <w:t>%</w:t>
            </w:r>
          </w:p>
        </w:tc>
        <w:tc>
          <w:tcPr>
            <w:tcW w:w="2010" w:type="dxa"/>
            <w:vMerge w:val="restart"/>
            <w:tcBorders>
              <w:top w:val="single" w:color="auto" w:sz="4" w:space="0"/>
              <w:left w:val="single" w:color="auto" w:sz="4" w:space="0"/>
              <w:bottom w:val="single" w:color="auto" w:sz="4" w:space="0"/>
              <w:right w:val="single" w:color="auto" w:sz="4" w:space="0"/>
            </w:tcBorders>
            <w:noWrap w:val="0"/>
            <w:vAlign w:val="center"/>
          </w:tcPr>
          <w:p w14:paraId="4478983C">
            <w:pPr>
              <w:wordWrap w:val="0"/>
              <w:rPr>
                <w:rFonts w:ascii="宋体" w:hAnsi="宋体" w:cs="宋体"/>
                <w:color w:val="auto"/>
                <w:szCs w:val="21"/>
                <w:highlight w:val="none"/>
              </w:rPr>
            </w:pPr>
            <w:r>
              <w:rPr>
                <w:rFonts w:hint="eastAsia" w:ascii="宋体" w:hAnsi="宋体" w:cs="宋体"/>
                <w:bCs/>
                <w:color w:val="auto"/>
                <w:szCs w:val="21"/>
                <w:highlight w:val="none"/>
              </w:rPr>
              <w:t>各项违约金限额之和应与履约保证金金额保持一致。</w:t>
            </w:r>
          </w:p>
        </w:tc>
      </w:tr>
      <w:tr w14:paraId="5032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14:paraId="404362FC">
            <w:pPr>
              <w:wordWrap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3213" w:type="dxa"/>
            <w:tcBorders>
              <w:top w:val="single" w:color="auto" w:sz="4" w:space="0"/>
              <w:left w:val="single" w:color="auto" w:sz="4" w:space="0"/>
              <w:bottom w:val="single" w:color="auto" w:sz="4" w:space="0"/>
              <w:right w:val="single" w:color="auto" w:sz="4" w:space="0"/>
            </w:tcBorders>
            <w:noWrap w:val="0"/>
            <w:vAlign w:val="center"/>
          </w:tcPr>
          <w:p w14:paraId="41B81D94">
            <w:pPr>
              <w:wordWrap w:val="0"/>
              <w:spacing w:line="300" w:lineRule="exact"/>
              <w:rPr>
                <w:rFonts w:ascii="宋体" w:hAnsi="宋体" w:cs="宋体"/>
                <w:color w:val="auto"/>
                <w:szCs w:val="21"/>
                <w:highlight w:val="none"/>
              </w:rPr>
            </w:pPr>
            <w:r>
              <w:rPr>
                <w:rFonts w:hint="eastAsia" w:ascii="宋体" w:hAnsi="宋体" w:cs="宋体"/>
                <w:color w:val="auto"/>
                <w:szCs w:val="21"/>
                <w:highlight w:val="none"/>
              </w:rPr>
              <w:t>未达到工程质量验收一次性合格标准违约金限额</w:t>
            </w:r>
          </w:p>
        </w:tc>
        <w:tc>
          <w:tcPr>
            <w:tcW w:w="2849" w:type="dxa"/>
            <w:tcBorders>
              <w:top w:val="single" w:color="auto" w:sz="4" w:space="0"/>
              <w:left w:val="single" w:color="auto" w:sz="4" w:space="0"/>
              <w:bottom w:val="single" w:color="auto" w:sz="4" w:space="0"/>
              <w:right w:val="single" w:color="auto" w:sz="4" w:space="0"/>
            </w:tcBorders>
            <w:noWrap w:val="0"/>
            <w:vAlign w:val="center"/>
          </w:tcPr>
          <w:p w14:paraId="06905A5E">
            <w:pPr>
              <w:wordWrap w:val="0"/>
              <w:spacing w:line="340" w:lineRule="exact"/>
              <w:jc w:val="center"/>
              <w:rPr>
                <w:rFonts w:ascii="宋体" w:hAnsi="宋体" w:cs="宋体"/>
                <w:color w:val="auto"/>
                <w:szCs w:val="21"/>
                <w:highlight w:val="none"/>
              </w:rPr>
            </w:pPr>
            <w:r>
              <w:rPr>
                <w:rFonts w:hint="eastAsia"/>
                <w:color w:val="auto"/>
                <w:highlight w:val="none"/>
              </w:rPr>
              <w:t>履约担保</w:t>
            </w:r>
            <w:r>
              <w:rPr>
                <w:rFonts w:hint="eastAsia" w:ascii="宋体" w:hAnsi="宋体" w:cs="宋体"/>
                <w:color w:val="auto"/>
                <w:szCs w:val="21"/>
                <w:highlight w:val="none"/>
              </w:rPr>
              <w:t>的</w:t>
            </w:r>
            <w:r>
              <w:rPr>
                <w:rFonts w:hint="eastAsia" w:ascii="宋体" w:hAnsi="宋体" w:cs="宋体"/>
                <w:color w:val="auto"/>
                <w:szCs w:val="21"/>
                <w:highlight w:val="none"/>
                <w:u w:val="single"/>
              </w:rPr>
              <w:t>30</w:t>
            </w:r>
            <w:r>
              <w:rPr>
                <w:rFonts w:hint="eastAsia" w:ascii="宋体" w:hAnsi="宋体" w:cs="宋体"/>
                <w:color w:val="auto"/>
                <w:szCs w:val="21"/>
                <w:highlight w:val="none"/>
              </w:rPr>
              <w:t>%</w:t>
            </w:r>
          </w:p>
        </w:tc>
        <w:tc>
          <w:tcPr>
            <w:tcW w:w="2010" w:type="dxa"/>
            <w:vMerge w:val="continue"/>
            <w:tcBorders>
              <w:top w:val="single" w:color="auto" w:sz="4" w:space="0"/>
              <w:left w:val="single" w:color="auto" w:sz="4" w:space="0"/>
              <w:bottom w:val="single" w:color="auto" w:sz="4" w:space="0"/>
              <w:right w:val="single" w:color="auto" w:sz="4" w:space="0"/>
            </w:tcBorders>
            <w:noWrap w:val="0"/>
            <w:vAlign w:val="center"/>
          </w:tcPr>
          <w:p w14:paraId="42E636A3">
            <w:pPr>
              <w:widowControl/>
              <w:wordWrap w:val="0"/>
              <w:jc w:val="left"/>
              <w:rPr>
                <w:rFonts w:ascii="宋体" w:hAnsi="宋体" w:cs="宋体"/>
                <w:color w:val="auto"/>
                <w:szCs w:val="21"/>
                <w:highlight w:val="none"/>
              </w:rPr>
            </w:pPr>
          </w:p>
        </w:tc>
      </w:tr>
      <w:tr w14:paraId="2EBD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14:paraId="64A74FB2">
            <w:pPr>
              <w:wordWrap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3213" w:type="dxa"/>
            <w:tcBorders>
              <w:top w:val="single" w:color="auto" w:sz="4" w:space="0"/>
              <w:left w:val="single" w:color="auto" w:sz="4" w:space="0"/>
              <w:bottom w:val="single" w:color="auto" w:sz="4" w:space="0"/>
              <w:right w:val="single" w:color="auto" w:sz="4" w:space="0"/>
            </w:tcBorders>
            <w:noWrap w:val="0"/>
            <w:vAlign w:val="center"/>
          </w:tcPr>
          <w:p w14:paraId="3F184781">
            <w:pPr>
              <w:wordWrap w:val="0"/>
              <w:spacing w:line="300" w:lineRule="exact"/>
              <w:rPr>
                <w:rFonts w:ascii="宋体" w:hAnsi="宋体" w:cs="宋体"/>
                <w:color w:val="auto"/>
                <w:szCs w:val="21"/>
                <w:highlight w:val="none"/>
              </w:rPr>
            </w:pPr>
            <w:r>
              <w:rPr>
                <w:rFonts w:hint="eastAsia" w:ascii="宋体" w:hAnsi="宋体" w:cs="宋体"/>
                <w:color w:val="auto"/>
                <w:szCs w:val="21"/>
                <w:highlight w:val="none"/>
              </w:rPr>
              <w:t>未履行项目经理及主要施工管理人员到场承诺违约金限额</w:t>
            </w:r>
          </w:p>
        </w:tc>
        <w:tc>
          <w:tcPr>
            <w:tcW w:w="2849" w:type="dxa"/>
            <w:tcBorders>
              <w:top w:val="single" w:color="auto" w:sz="4" w:space="0"/>
              <w:left w:val="single" w:color="auto" w:sz="4" w:space="0"/>
              <w:bottom w:val="single" w:color="auto" w:sz="4" w:space="0"/>
              <w:right w:val="single" w:color="auto" w:sz="4" w:space="0"/>
            </w:tcBorders>
            <w:noWrap w:val="0"/>
            <w:vAlign w:val="center"/>
          </w:tcPr>
          <w:p w14:paraId="57DC48EA">
            <w:pPr>
              <w:wordWrap w:val="0"/>
              <w:spacing w:line="340" w:lineRule="exact"/>
              <w:jc w:val="center"/>
              <w:rPr>
                <w:rFonts w:ascii="宋体" w:hAnsi="宋体" w:cs="宋体"/>
                <w:color w:val="auto"/>
                <w:szCs w:val="21"/>
                <w:highlight w:val="none"/>
              </w:rPr>
            </w:pPr>
            <w:r>
              <w:rPr>
                <w:rFonts w:hint="eastAsia"/>
                <w:color w:val="auto"/>
                <w:highlight w:val="none"/>
              </w:rPr>
              <w:t>履约担保</w:t>
            </w:r>
            <w:r>
              <w:rPr>
                <w:rFonts w:hint="eastAsia" w:ascii="宋体" w:hAnsi="宋体" w:cs="宋体"/>
                <w:color w:val="auto"/>
                <w:szCs w:val="21"/>
                <w:highlight w:val="none"/>
              </w:rPr>
              <w:t>的</w:t>
            </w:r>
            <w:r>
              <w:rPr>
                <w:rFonts w:hint="eastAsia" w:ascii="宋体" w:hAnsi="宋体" w:cs="宋体"/>
                <w:color w:val="auto"/>
                <w:szCs w:val="21"/>
                <w:highlight w:val="none"/>
                <w:u w:val="single"/>
              </w:rPr>
              <w:t>20</w:t>
            </w:r>
            <w:r>
              <w:rPr>
                <w:rFonts w:hint="eastAsia" w:ascii="宋体" w:hAnsi="宋体" w:cs="宋体"/>
                <w:color w:val="auto"/>
                <w:szCs w:val="21"/>
                <w:highlight w:val="none"/>
              </w:rPr>
              <w:t>%</w:t>
            </w:r>
          </w:p>
        </w:tc>
        <w:tc>
          <w:tcPr>
            <w:tcW w:w="2010" w:type="dxa"/>
            <w:vMerge w:val="continue"/>
            <w:tcBorders>
              <w:top w:val="single" w:color="auto" w:sz="4" w:space="0"/>
              <w:left w:val="single" w:color="auto" w:sz="4" w:space="0"/>
              <w:bottom w:val="single" w:color="auto" w:sz="4" w:space="0"/>
              <w:right w:val="single" w:color="auto" w:sz="4" w:space="0"/>
            </w:tcBorders>
            <w:noWrap w:val="0"/>
            <w:vAlign w:val="center"/>
          </w:tcPr>
          <w:p w14:paraId="25950893">
            <w:pPr>
              <w:widowControl/>
              <w:wordWrap w:val="0"/>
              <w:jc w:val="left"/>
              <w:rPr>
                <w:rFonts w:ascii="宋体" w:hAnsi="宋体" w:cs="宋体"/>
                <w:color w:val="auto"/>
                <w:szCs w:val="21"/>
                <w:highlight w:val="none"/>
              </w:rPr>
            </w:pPr>
          </w:p>
        </w:tc>
      </w:tr>
      <w:tr w14:paraId="787C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14:paraId="2FA9E0F3">
            <w:pPr>
              <w:wordWrap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3213" w:type="dxa"/>
            <w:tcBorders>
              <w:top w:val="single" w:color="auto" w:sz="4" w:space="0"/>
              <w:left w:val="single" w:color="auto" w:sz="4" w:space="0"/>
              <w:bottom w:val="single" w:color="auto" w:sz="4" w:space="0"/>
              <w:right w:val="single" w:color="auto" w:sz="4" w:space="0"/>
            </w:tcBorders>
            <w:noWrap w:val="0"/>
            <w:vAlign w:val="center"/>
          </w:tcPr>
          <w:p w14:paraId="29EFACBD">
            <w:pPr>
              <w:wordWrap w:val="0"/>
              <w:spacing w:line="300" w:lineRule="exact"/>
              <w:rPr>
                <w:rFonts w:ascii="宋体" w:hAnsi="宋体" w:cs="宋体"/>
                <w:color w:val="auto"/>
                <w:szCs w:val="21"/>
                <w:highlight w:val="none"/>
              </w:rPr>
            </w:pPr>
            <w:r>
              <w:rPr>
                <w:rFonts w:hint="eastAsia" w:ascii="宋体" w:hAnsi="宋体" w:cs="宋体"/>
                <w:color w:val="auto"/>
                <w:szCs w:val="21"/>
                <w:highlight w:val="none"/>
              </w:rPr>
              <w:t>未履行安全文明施工承诺违约金限额</w:t>
            </w:r>
          </w:p>
        </w:tc>
        <w:tc>
          <w:tcPr>
            <w:tcW w:w="2849" w:type="dxa"/>
            <w:tcBorders>
              <w:top w:val="single" w:color="auto" w:sz="4" w:space="0"/>
              <w:left w:val="single" w:color="auto" w:sz="4" w:space="0"/>
              <w:bottom w:val="single" w:color="auto" w:sz="4" w:space="0"/>
              <w:right w:val="single" w:color="auto" w:sz="4" w:space="0"/>
            </w:tcBorders>
            <w:noWrap w:val="0"/>
            <w:vAlign w:val="center"/>
          </w:tcPr>
          <w:p w14:paraId="155E8D73">
            <w:pPr>
              <w:wordWrap w:val="0"/>
              <w:spacing w:line="340" w:lineRule="exact"/>
              <w:jc w:val="center"/>
              <w:rPr>
                <w:rFonts w:ascii="宋体" w:hAnsi="宋体" w:cs="宋体"/>
                <w:color w:val="auto"/>
                <w:szCs w:val="21"/>
                <w:highlight w:val="none"/>
              </w:rPr>
            </w:pPr>
            <w:r>
              <w:rPr>
                <w:rFonts w:hint="eastAsia"/>
                <w:color w:val="auto"/>
                <w:highlight w:val="none"/>
              </w:rPr>
              <w:t>履约担保</w:t>
            </w:r>
            <w:r>
              <w:rPr>
                <w:rFonts w:hint="eastAsia" w:ascii="宋体" w:hAnsi="宋体" w:cs="宋体"/>
                <w:color w:val="auto"/>
                <w:szCs w:val="21"/>
                <w:highlight w:val="none"/>
              </w:rPr>
              <w:t>的</w:t>
            </w:r>
            <w:r>
              <w:rPr>
                <w:rFonts w:hint="eastAsia" w:ascii="宋体" w:hAnsi="宋体" w:cs="宋体"/>
                <w:color w:val="auto"/>
                <w:szCs w:val="21"/>
                <w:highlight w:val="none"/>
                <w:u w:val="single"/>
              </w:rPr>
              <w:t>20</w:t>
            </w:r>
            <w:r>
              <w:rPr>
                <w:rFonts w:hint="eastAsia" w:ascii="宋体" w:hAnsi="宋体" w:cs="宋体"/>
                <w:color w:val="auto"/>
                <w:szCs w:val="21"/>
                <w:highlight w:val="none"/>
              </w:rPr>
              <w:t>%</w:t>
            </w:r>
          </w:p>
        </w:tc>
        <w:tc>
          <w:tcPr>
            <w:tcW w:w="2010" w:type="dxa"/>
            <w:vMerge w:val="continue"/>
            <w:tcBorders>
              <w:top w:val="single" w:color="auto" w:sz="4" w:space="0"/>
              <w:left w:val="single" w:color="auto" w:sz="4" w:space="0"/>
              <w:bottom w:val="single" w:color="auto" w:sz="4" w:space="0"/>
              <w:right w:val="single" w:color="auto" w:sz="4" w:space="0"/>
            </w:tcBorders>
            <w:noWrap w:val="0"/>
            <w:vAlign w:val="center"/>
          </w:tcPr>
          <w:p w14:paraId="3A3F5063">
            <w:pPr>
              <w:widowControl/>
              <w:wordWrap w:val="0"/>
              <w:jc w:val="left"/>
              <w:rPr>
                <w:rFonts w:ascii="宋体" w:hAnsi="宋体" w:cs="宋体"/>
                <w:color w:val="auto"/>
                <w:szCs w:val="21"/>
                <w:highlight w:val="none"/>
              </w:rPr>
            </w:pPr>
          </w:p>
        </w:tc>
      </w:tr>
      <w:tr w14:paraId="526C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14:paraId="610FD6F0">
            <w:pPr>
              <w:wordWrap w:val="0"/>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8</w:t>
            </w:r>
          </w:p>
        </w:tc>
        <w:tc>
          <w:tcPr>
            <w:tcW w:w="3213" w:type="dxa"/>
            <w:tcBorders>
              <w:top w:val="single" w:color="auto" w:sz="4" w:space="0"/>
              <w:left w:val="single" w:color="auto" w:sz="4" w:space="0"/>
              <w:bottom w:val="single" w:color="auto" w:sz="4" w:space="0"/>
              <w:right w:val="single" w:color="auto" w:sz="4" w:space="0"/>
            </w:tcBorders>
            <w:noWrap w:val="0"/>
            <w:vAlign w:val="center"/>
          </w:tcPr>
          <w:p w14:paraId="6CD2771F">
            <w:pPr>
              <w:wordWrap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工程质量保证担保</w:t>
            </w:r>
          </w:p>
        </w:tc>
        <w:tc>
          <w:tcPr>
            <w:tcW w:w="2849" w:type="dxa"/>
            <w:tcBorders>
              <w:top w:val="single" w:color="auto" w:sz="4" w:space="0"/>
              <w:left w:val="single" w:color="auto" w:sz="4" w:space="0"/>
              <w:bottom w:val="single" w:color="auto" w:sz="4" w:space="0"/>
              <w:right w:val="single" w:color="auto" w:sz="4" w:space="0"/>
            </w:tcBorders>
            <w:noWrap w:val="0"/>
            <w:vAlign w:val="center"/>
          </w:tcPr>
          <w:p w14:paraId="6E667DCF">
            <w:pPr>
              <w:wordWrap w:val="0"/>
              <w:spacing w:line="340" w:lineRule="exact"/>
              <w:jc w:val="center"/>
              <w:rPr>
                <w:rFonts w:hint="eastAsia" w:eastAsia="宋体"/>
                <w:color w:val="auto"/>
                <w:highlight w:val="none"/>
                <w:lang w:val="en-US" w:eastAsia="zh-CN"/>
              </w:rPr>
            </w:pPr>
            <w:r>
              <w:rPr>
                <w:rFonts w:hint="eastAsia"/>
                <w:color w:val="auto"/>
                <w:highlight w:val="none"/>
                <w:lang w:val="en-US" w:eastAsia="zh-CN"/>
              </w:rPr>
              <w:t>/</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2471D25F">
            <w:pPr>
              <w:widowControl/>
              <w:wordWrap w:val="0"/>
              <w:jc w:val="left"/>
              <w:rPr>
                <w:rFonts w:ascii="宋体" w:hAnsi="宋体" w:cs="宋体"/>
                <w:color w:val="auto"/>
                <w:szCs w:val="21"/>
                <w:highlight w:val="none"/>
              </w:rPr>
            </w:pPr>
          </w:p>
        </w:tc>
      </w:tr>
      <w:tr w14:paraId="369B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14:paraId="66CDA1E4">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3213" w:type="dxa"/>
            <w:tcBorders>
              <w:top w:val="single" w:color="auto" w:sz="4" w:space="0"/>
              <w:left w:val="single" w:color="auto" w:sz="4" w:space="0"/>
              <w:bottom w:val="single" w:color="auto" w:sz="4" w:space="0"/>
              <w:right w:val="single" w:color="auto" w:sz="4" w:space="0"/>
            </w:tcBorders>
            <w:noWrap w:val="0"/>
            <w:vAlign w:val="center"/>
          </w:tcPr>
          <w:p w14:paraId="2FBDA4E4">
            <w:pPr>
              <w:wordWrap w:val="0"/>
              <w:spacing w:line="300" w:lineRule="exact"/>
              <w:rPr>
                <w:rFonts w:hint="eastAsia" w:ascii="宋体" w:hAnsi="宋体" w:cs="宋体"/>
                <w:color w:val="auto"/>
                <w:szCs w:val="21"/>
                <w:highlight w:val="none"/>
              </w:rPr>
            </w:pPr>
            <w:r>
              <w:rPr>
                <w:rFonts w:hint="eastAsia" w:ascii="宋体" w:hAnsi="宋体" w:cs="宋体"/>
                <w:color w:val="auto"/>
                <w:szCs w:val="21"/>
                <w:highlight w:val="none"/>
              </w:rPr>
              <w:t>是否同意采购文件其它内容</w:t>
            </w:r>
          </w:p>
        </w:tc>
        <w:tc>
          <w:tcPr>
            <w:tcW w:w="2849" w:type="dxa"/>
            <w:tcBorders>
              <w:top w:val="single" w:color="auto" w:sz="4" w:space="0"/>
              <w:left w:val="single" w:color="auto" w:sz="4" w:space="0"/>
              <w:bottom w:val="single" w:color="auto" w:sz="4" w:space="0"/>
              <w:right w:val="single" w:color="auto" w:sz="4" w:space="0"/>
            </w:tcBorders>
            <w:noWrap w:val="0"/>
            <w:vAlign w:val="center"/>
          </w:tcPr>
          <w:p w14:paraId="46367409">
            <w:pPr>
              <w:wordWrap w:val="0"/>
              <w:spacing w:line="300" w:lineRule="exact"/>
              <w:rPr>
                <w:rFonts w:hint="eastAsia" w:ascii="宋体" w:hAnsi="宋体" w:cs="宋体"/>
                <w:color w:val="auto"/>
                <w:szCs w:val="21"/>
                <w:highlight w:val="none"/>
              </w:rPr>
            </w:pPr>
            <w:r>
              <w:rPr>
                <w:rFonts w:hint="eastAsia" w:ascii="宋体" w:hAnsi="宋体" w:cs="宋体"/>
                <w:color w:val="auto"/>
                <w:szCs w:val="21"/>
                <w:highlight w:val="none"/>
              </w:rPr>
              <w:t>要求供应商承诺“同意”</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17E5490B">
            <w:pPr>
              <w:wordWrap w:val="0"/>
              <w:spacing w:line="300" w:lineRule="exact"/>
              <w:rPr>
                <w:rFonts w:hint="eastAsia" w:ascii="宋体" w:hAnsi="宋体" w:cs="宋体"/>
                <w:color w:val="auto"/>
                <w:szCs w:val="21"/>
                <w:highlight w:val="none"/>
              </w:rPr>
            </w:pPr>
            <w:r>
              <w:rPr>
                <w:rFonts w:hint="eastAsia" w:ascii="宋体" w:hAnsi="宋体" w:cs="宋体"/>
                <w:color w:val="auto"/>
                <w:szCs w:val="21"/>
                <w:highlight w:val="none"/>
              </w:rPr>
              <w:t>供应商必须承诺“同意”</w:t>
            </w:r>
          </w:p>
        </w:tc>
      </w:tr>
      <w:tr w14:paraId="6B70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14:paraId="6F5C11E7">
            <w:pPr>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3213" w:type="dxa"/>
            <w:tcBorders>
              <w:top w:val="single" w:color="auto" w:sz="4" w:space="0"/>
              <w:left w:val="single" w:color="auto" w:sz="4" w:space="0"/>
              <w:bottom w:val="single" w:color="auto" w:sz="4" w:space="0"/>
              <w:right w:val="single" w:color="auto" w:sz="4" w:space="0"/>
            </w:tcBorders>
            <w:noWrap w:val="0"/>
            <w:vAlign w:val="center"/>
          </w:tcPr>
          <w:p w14:paraId="4B226979">
            <w:pPr>
              <w:wordWrap w:val="0"/>
              <w:spacing w:line="300" w:lineRule="exact"/>
              <w:rPr>
                <w:rFonts w:hint="eastAsia" w:ascii="宋体" w:hAnsi="宋体" w:cs="宋体"/>
                <w:color w:val="auto"/>
                <w:szCs w:val="21"/>
                <w:highlight w:val="none"/>
              </w:rPr>
            </w:pPr>
            <w:r>
              <w:rPr>
                <w:rFonts w:hint="eastAsia" w:ascii="宋体" w:hAnsi="宋体" w:cs="宋体"/>
                <w:color w:val="auto"/>
                <w:szCs w:val="21"/>
                <w:highlight w:val="none"/>
              </w:rPr>
              <w:t>是否同意合同条款及合同附件格式</w:t>
            </w:r>
          </w:p>
        </w:tc>
        <w:tc>
          <w:tcPr>
            <w:tcW w:w="2849" w:type="dxa"/>
            <w:tcBorders>
              <w:top w:val="single" w:color="auto" w:sz="4" w:space="0"/>
              <w:left w:val="single" w:color="auto" w:sz="4" w:space="0"/>
              <w:bottom w:val="single" w:color="auto" w:sz="4" w:space="0"/>
              <w:right w:val="single" w:color="auto" w:sz="4" w:space="0"/>
            </w:tcBorders>
            <w:noWrap w:val="0"/>
            <w:vAlign w:val="center"/>
          </w:tcPr>
          <w:p w14:paraId="3392BAA1">
            <w:pPr>
              <w:wordWrap w:val="0"/>
              <w:spacing w:line="300" w:lineRule="exact"/>
              <w:rPr>
                <w:rFonts w:hint="eastAsia" w:ascii="宋体" w:hAnsi="宋体" w:cs="宋体"/>
                <w:color w:val="auto"/>
                <w:szCs w:val="21"/>
                <w:highlight w:val="none"/>
              </w:rPr>
            </w:pPr>
            <w:r>
              <w:rPr>
                <w:rFonts w:hint="eastAsia" w:ascii="宋体" w:hAnsi="宋体" w:cs="宋体"/>
                <w:color w:val="auto"/>
                <w:szCs w:val="21"/>
                <w:highlight w:val="none"/>
              </w:rPr>
              <w:t>要求供应商承诺“同意”</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3DD462B4">
            <w:pPr>
              <w:wordWrap w:val="0"/>
              <w:spacing w:line="300" w:lineRule="exact"/>
              <w:rPr>
                <w:rFonts w:hint="eastAsia" w:ascii="宋体" w:hAnsi="宋体" w:cs="宋体"/>
                <w:color w:val="auto"/>
                <w:szCs w:val="21"/>
                <w:highlight w:val="none"/>
              </w:rPr>
            </w:pPr>
            <w:r>
              <w:rPr>
                <w:rFonts w:hint="eastAsia" w:ascii="宋体" w:hAnsi="宋体" w:cs="宋体"/>
                <w:color w:val="auto"/>
                <w:szCs w:val="21"/>
                <w:highlight w:val="none"/>
              </w:rPr>
              <w:t>供应商必须承诺“同意”</w:t>
            </w:r>
          </w:p>
        </w:tc>
      </w:tr>
      <w:tr w14:paraId="0628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8" w:type="dxa"/>
            <w:gridSpan w:val="4"/>
            <w:tcBorders>
              <w:top w:val="single" w:color="auto" w:sz="4" w:space="0"/>
              <w:left w:val="nil"/>
              <w:bottom w:val="nil"/>
              <w:right w:val="nil"/>
            </w:tcBorders>
            <w:noWrap w:val="0"/>
            <w:vAlign w:val="top"/>
          </w:tcPr>
          <w:p w14:paraId="012EF145">
            <w:pPr>
              <w:wordWrap w:val="0"/>
              <w:spacing w:line="260" w:lineRule="exact"/>
              <w:jc w:val="left"/>
              <w:rPr>
                <w:rFonts w:ascii="宋体" w:hAnsi="宋体" w:cs="宋体"/>
                <w:b/>
                <w:color w:val="auto"/>
                <w:szCs w:val="21"/>
                <w:highlight w:val="none"/>
              </w:rPr>
            </w:pPr>
          </w:p>
          <w:p w14:paraId="67CF0C08">
            <w:pPr>
              <w:wordWrap w:val="0"/>
              <w:spacing w:line="260" w:lineRule="exact"/>
              <w:jc w:val="left"/>
              <w:rPr>
                <w:rFonts w:ascii="宋体" w:hAnsi="宋体" w:cs="宋体"/>
                <w:b/>
                <w:color w:val="auto"/>
                <w:szCs w:val="21"/>
                <w:highlight w:val="none"/>
              </w:rPr>
            </w:pPr>
          </w:p>
          <w:p w14:paraId="739DCB56">
            <w:pPr>
              <w:wordWrap w:val="0"/>
              <w:spacing w:line="260" w:lineRule="exact"/>
              <w:jc w:val="left"/>
              <w:rPr>
                <w:rFonts w:ascii="宋体" w:hAnsi="宋体" w:cs="宋体"/>
                <w:color w:val="auto"/>
                <w:szCs w:val="21"/>
                <w:highlight w:val="none"/>
              </w:rPr>
            </w:pPr>
          </w:p>
        </w:tc>
      </w:tr>
    </w:tbl>
    <w:p w14:paraId="51C69CDD">
      <w:pPr>
        <w:snapToGrid w:val="0"/>
        <w:spacing w:line="360" w:lineRule="auto"/>
        <w:ind w:firstLine="420" w:firstLineChars="200"/>
        <w:jc w:val="left"/>
        <w:rPr>
          <w:rFonts w:asciiTheme="minorEastAsia" w:hAnsiTheme="minorEastAsia" w:eastAsiaTheme="minorEastAsia"/>
          <w:color w:val="auto"/>
          <w:szCs w:val="21"/>
          <w:highlight w:val="none"/>
        </w:rPr>
      </w:pPr>
    </w:p>
    <w:p w14:paraId="4B49F716">
      <w:pPr>
        <w:spacing w:line="360" w:lineRule="auto"/>
        <w:ind w:firstLine="435"/>
        <w:rPr>
          <w:rFonts w:asciiTheme="minorEastAsia" w:hAnsiTheme="minorEastAsia" w:eastAsiaTheme="minorEastAsia"/>
          <w:color w:val="auto"/>
          <w:szCs w:val="21"/>
          <w:highlight w:val="none"/>
        </w:rPr>
      </w:pPr>
    </w:p>
    <w:p w14:paraId="308FC1A1">
      <w:pPr>
        <w:spacing w:line="360" w:lineRule="auto"/>
        <w:ind w:firstLine="435"/>
        <w:rPr>
          <w:rFonts w:asciiTheme="minorEastAsia" w:hAnsiTheme="minorEastAsia" w:eastAsiaTheme="minorEastAsia"/>
          <w:color w:val="auto"/>
          <w:szCs w:val="21"/>
          <w:highlight w:val="none"/>
        </w:rPr>
      </w:pPr>
    </w:p>
    <w:p w14:paraId="456C9171">
      <w:pPr>
        <w:pStyle w:val="2"/>
        <w:rPr>
          <w:rFonts w:asciiTheme="minorEastAsia" w:hAnsiTheme="minorEastAsia" w:eastAsiaTheme="minorEastAsia"/>
          <w:color w:val="auto"/>
          <w:sz w:val="32"/>
          <w:highlight w:val="none"/>
        </w:rPr>
      </w:pPr>
      <w:r>
        <w:rPr>
          <w:rFonts w:asciiTheme="minorEastAsia" w:hAnsiTheme="minorEastAsia" w:eastAsiaTheme="minorEastAsia"/>
          <w:b w:val="0"/>
          <w:bCs w:val="0"/>
          <w:color w:val="auto"/>
          <w:kern w:val="2"/>
          <w:sz w:val="21"/>
          <w:szCs w:val="21"/>
          <w:highlight w:val="none"/>
        </w:rPr>
        <w:br w:type="page"/>
      </w:r>
      <w:bookmarkStart w:id="81" w:name="_Toc34844744"/>
      <w:bookmarkStart w:id="82" w:name="_Toc86053874"/>
      <w:r>
        <w:rPr>
          <w:rFonts w:hint="eastAsia" w:asciiTheme="minorEastAsia" w:hAnsiTheme="minorEastAsia" w:eastAsiaTheme="minorEastAsia"/>
          <w:color w:val="auto"/>
          <w:highlight w:val="none"/>
        </w:rPr>
        <w:t xml:space="preserve">第四章  </w:t>
      </w:r>
      <w:r>
        <w:rPr>
          <w:rFonts w:asciiTheme="minorEastAsia" w:hAnsiTheme="minorEastAsia" w:eastAsiaTheme="minorEastAsia"/>
          <w:color w:val="auto"/>
          <w:highlight w:val="none"/>
        </w:rPr>
        <w:t>评审方法和评审标准</w:t>
      </w:r>
      <w:bookmarkEnd w:id="81"/>
      <w:bookmarkEnd w:id="82"/>
    </w:p>
    <w:p w14:paraId="46DC7921">
      <w:pPr>
        <w:keepNext w:val="0"/>
        <w:keepLines w:val="0"/>
        <w:pageBreakBefore w:val="0"/>
        <w:widowControl w:val="0"/>
        <w:kinsoku/>
        <w:wordWrap w:val="0"/>
        <w:overflowPunct/>
        <w:topLinePunct w:val="0"/>
        <w:bidi w:val="0"/>
        <w:snapToGrid/>
        <w:spacing w:line="420" w:lineRule="exact"/>
        <w:ind w:firstLine="420" w:firstLineChars="200"/>
        <w:textAlignment w:val="auto"/>
        <w:rPr>
          <w:rFonts w:ascii="宋体" w:hAnsi="宋体" w:cs="宋体"/>
          <w:color w:val="auto"/>
          <w:szCs w:val="21"/>
          <w:highlight w:val="none"/>
        </w:rPr>
      </w:pPr>
      <w:bookmarkStart w:id="83" w:name="_Toc86053875"/>
      <w:bookmarkStart w:id="84" w:name="_Toc34844745"/>
      <w:r>
        <w:rPr>
          <w:rFonts w:hint="eastAsia" w:ascii="宋体" w:hAnsi="宋体" w:cs="宋体"/>
          <w:color w:val="auto"/>
          <w:szCs w:val="21"/>
          <w:highlight w:val="none"/>
        </w:rPr>
        <w:t>本评定成交的标准是对 “供应商须知”中相关条款的具体补充，如有矛盾，以本评定成交的标准为准。</w:t>
      </w:r>
    </w:p>
    <w:p w14:paraId="368C1DAC">
      <w:pPr>
        <w:keepNext w:val="0"/>
        <w:keepLines w:val="0"/>
        <w:pageBreakBefore w:val="0"/>
        <w:widowControl w:val="0"/>
        <w:kinsoku/>
        <w:wordWrap w:val="0"/>
        <w:overflowPunct/>
        <w:topLinePunct w:val="0"/>
        <w:bidi w:val="0"/>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磋商小组遵循公平、公正、科学、廉洁的原则和规定的程序进行磋商，依据响应文件和采购文件的内容进行评审。</w:t>
      </w:r>
    </w:p>
    <w:p w14:paraId="263DDDEB">
      <w:pPr>
        <w:keepNext w:val="0"/>
        <w:keepLines w:val="0"/>
        <w:pageBreakBefore w:val="0"/>
        <w:widowControl w:val="0"/>
        <w:kinsoku/>
        <w:wordWrap w:val="0"/>
        <w:overflowPunct/>
        <w:topLinePunct w:val="0"/>
        <w:bidi w:val="0"/>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iCs/>
          <w:color w:val="auto"/>
          <w:szCs w:val="21"/>
          <w:highlight w:val="none"/>
        </w:rPr>
        <w:t>本次采购为</w:t>
      </w:r>
      <w:r>
        <w:rPr>
          <w:rFonts w:hint="eastAsia" w:ascii="宋体" w:hAnsi="宋体" w:cs="宋体"/>
          <w:b/>
          <w:iCs/>
          <w:color w:val="auto"/>
          <w:szCs w:val="21"/>
          <w:highlight w:val="none"/>
        </w:rPr>
        <w:t>专门面向中小企业</w:t>
      </w:r>
      <w:r>
        <w:rPr>
          <w:rFonts w:hint="eastAsia" w:ascii="宋体" w:hAnsi="宋体" w:cs="宋体"/>
          <w:iCs/>
          <w:color w:val="auto"/>
          <w:szCs w:val="21"/>
          <w:highlight w:val="none"/>
        </w:rPr>
        <w:t>，采购标的对应的中小企业划分标准所属行业：</w:t>
      </w:r>
      <w:r>
        <w:rPr>
          <w:rFonts w:hint="eastAsia" w:ascii="宋体" w:hAnsi="宋体" w:cs="宋体"/>
          <w:b/>
          <w:bCs/>
          <w:color w:val="auto"/>
          <w:szCs w:val="21"/>
          <w:highlight w:val="none"/>
          <w:u w:val="single"/>
        </w:rPr>
        <w:t>建筑业</w:t>
      </w:r>
      <w:r>
        <w:rPr>
          <w:rFonts w:hint="eastAsia" w:ascii="宋体" w:hAnsi="宋体" w:cs="宋体"/>
          <w:iCs/>
          <w:color w:val="auto"/>
          <w:szCs w:val="21"/>
          <w:highlight w:val="none"/>
        </w:rPr>
        <w:t>。</w:t>
      </w:r>
    </w:p>
    <w:p w14:paraId="345EA27C">
      <w:pPr>
        <w:keepNext w:val="0"/>
        <w:keepLines w:val="0"/>
        <w:pageBreakBefore w:val="0"/>
        <w:widowControl w:val="0"/>
        <w:kinsoku/>
        <w:wordWrap w:val="0"/>
        <w:overflowPunct/>
        <w:topLinePunct w:val="0"/>
        <w:autoSpaceDE w:val="0"/>
        <w:autoSpaceDN w:val="0"/>
        <w:bidi w:val="0"/>
        <w:adjustRightInd w:val="0"/>
        <w:snapToGrid/>
        <w:spacing w:line="420" w:lineRule="exact"/>
        <w:ind w:firstLine="422" w:firstLineChars="200"/>
        <w:jc w:val="left"/>
        <w:textAlignment w:val="auto"/>
        <w:rPr>
          <w:rFonts w:ascii="宋体" w:hAnsi="宋体" w:cs="宋体"/>
          <w:b/>
          <w:color w:val="auto"/>
          <w:kern w:val="0"/>
          <w:szCs w:val="21"/>
          <w:highlight w:val="none"/>
        </w:rPr>
      </w:pPr>
      <w:r>
        <w:rPr>
          <w:rFonts w:hint="eastAsia" w:ascii="宋体" w:hAnsi="宋体" w:cs="宋体"/>
          <w:b/>
          <w:bCs/>
          <w:color w:val="auto"/>
          <w:kern w:val="0"/>
          <w:szCs w:val="21"/>
          <w:highlight w:val="none"/>
        </w:rPr>
        <w:t>磋商的澄清</w:t>
      </w:r>
    </w:p>
    <w:p w14:paraId="2E64DEAA">
      <w:pPr>
        <w:keepNext w:val="0"/>
        <w:keepLines w:val="0"/>
        <w:pageBreakBefore w:val="0"/>
        <w:widowControl w:val="0"/>
        <w:kinsoku/>
        <w:wordWrap w:val="0"/>
        <w:overflowPunct/>
        <w:topLinePunct w:val="0"/>
        <w:bidi w:val="0"/>
        <w:snapToGrid/>
        <w:spacing w:line="42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1、磋商小组在对响应文件的有效性、完整性和响应程度进行审查时，可以要求供应商对响应文件中含义不明确、同类问题表述不一致或者有明显文字和计算错误的内容等做出必要的澄清。供应商的澄清不得超出竞争性响应文件的范围或者改变竞争性响应文件的实质性内容。</w:t>
      </w:r>
    </w:p>
    <w:p w14:paraId="6800CBE6">
      <w:pPr>
        <w:keepNext w:val="0"/>
        <w:keepLines w:val="0"/>
        <w:pageBreakBefore w:val="0"/>
        <w:widowControl w:val="0"/>
        <w:kinsoku/>
        <w:wordWrap w:val="0"/>
        <w:overflowPunct/>
        <w:topLinePunct w:val="0"/>
        <w:bidi w:val="0"/>
        <w:snapToGrid/>
        <w:spacing w:line="42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2、政采云具体操作如下：</w:t>
      </w:r>
    </w:p>
    <w:p w14:paraId="4B92CBAD">
      <w:pPr>
        <w:keepNext w:val="0"/>
        <w:keepLines w:val="0"/>
        <w:pageBreakBefore w:val="0"/>
        <w:widowControl w:val="0"/>
        <w:kinsoku/>
        <w:wordWrap w:val="0"/>
        <w:overflowPunct/>
        <w:topLinePunct w:val="0"/>
        <w:bidi w:val="0"/>
        <w:snapToGrid/>
        <w:spacing w:line="42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在评审过程中，如评审小组对响应文件有疑问，由评审组长将问题汇总后发函，或由采购代理机构代替发起。供应商在截止时间前，予以回复。此回复将作为响应文件内容的一部分，具有相应的法律效力。</w:t>
      </w:r>
    </w:p>
    <w:p w14:paraId="6E9B2E0E">
      <w:pPr>
        <w:keepNext w:val="0"/>
        <w:keepLines w:val="0"/>
        <w:pageBreakBefore w:val="0"/>
        <w:widowControl w:val="0"/>
        <w:kinsoku/>
        <w:wordWrap w:val="0"/>
        <w:overflowPunct/>
        <w:topLinePunct w:val="0"/>
        <w:bidi w:val="0"/>
        <w:snapToGrid/>
        <w:spacing w:line="42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路径：用户中心—项目采购—询标澄清</w:t>
      </w:r>
    </w:p>
    <w:p w14:paraId="7D5C0358">
      <w:pPr>
        <w:keepNext w:val="0"/>
        <w:keepLines w:val="0"/>
        <w:pageBreakBefore w:val="0"/>
        <w:widowControl w:val="0"/>
        <w:kinsoku/>
        <w:wordWrap w:val="0"/>
        <w:overflowPunct/>
        <w:topLinePunct w:val="0"/>
        <w:bidi w:val="0"/>
        <w:snapToGrid/>
        <w:spacing w:line="42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（1）政采云平台通过待办事项和短信提醒供应商在截止时间前完成澄清。</w:t>
      </w:r>
    </w:p>
    <w:p w14:paraId="6ACC26D2">
      <w:pPr>
        <w:keepNext w:val="0"/>
        <w:keepLines w:val="0"/>
        <w:pageBreakBefore w:val="0"/>
        <w:widowControl w:val="0"/>
        <w:kinsoku/>
        <w:wordWrap w:val="0"/>
        <w:overflowPunct/>
        <w:topLinePunct w:val="0"/>
        <w:bidi w:val="0"/>
        <w:snapToGrid/>
        <w:spacing w:line="42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（2）供应商在“询标澄清-待办理”标签页下选择状态为“待澄清”的项目，点击操作栏【澄清】。</w:t>
      </w:r>
    </w:p>
    <w:p w14:paraId="7F89E5CE">
      <w:pPr>
        <w:keepNext w:val="0"/>
        <w:keepLines w:val="0"/>
        <w:pageBreakBefore w:val="0"/>
        <w:widowControl w:val="0"/>
        <w:kinsoku/>
        <w:wordWrap w:val="0"/>
        <w:overflowPunct/>
        <w:topLinePunct w:val="0"/>
        <w:bidi w:val="0"/>
        <w:snapToGrid/>
        <w:spacing w:line="42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（3）查看函内容，在澄清截止时间前上传澄清文件并对澄清文件进行签章。（注：澄清文件必须以PDF格式上传，文件大小：50M。）</w:t>
      </w:r>
    </w:p>
    <w:p w14:paraId="4095238B">
      <w:pPr>
        <w:keepNext w:val="0"/>
        <w:keepLines w:val="0"/>
        <w:pageBreakBefore w:val="0"/>
        <w:widowControl w:val="0"/>
        <w:kinsoku/>
        <w:wordWrap w:val="0"/>
        <w:overflowPunct/>
        <w:topLinePunct w:val="0"/>
        <w:bidi w:val="0"/>
        <w:snapToGrid/>
        <w:spacing w:line="42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（4）签章完成，文件名称处显示“已签章”，供应商可“撤回签章”修改澄清函和“查看文件”。</w:t>
      </w:r>
    </w:p>
    <w:p w14:paraId="7FBDB8C3">
      <w:pPr>
        <w:keepNext w:val="0"/>
        <w:keepLines w:val="0"/>
        <w:pageBreakBefore w:val="0"/>
        <w:widowControl w:val="0"/>
        <w:kinsoku/>
        <w:wordWrap w:val="0"/>
        <w:overflowPunct/>
        <w:topLinePunct w:val="0"/>
        <w:bidi w:val="0"/>
        <w:snapToGrid/>
        <w:spacing w:line="42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4910382D">
      <w:pPr>
        <w:keepNext w:val="0"/>
        <w:keepLines w:val="0"/>
        <w:pageBreakBefore w:val="0"/>
        <w:widowControl w:val="0"/>
        <w:kinsoku/>
        <w:wordWrap w:val="0"/>
        <w:overflowPunct/>
        <w:topLinePunct w:val="0"/>
        <w:bidi w:val="0"/>
        <w:snapToGrid/>
        <w:spacing w:line="42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（6）完成状态：供应商澄清文件提交成功后，在“询标澄清-全部”标签页下显示状态为“已澄清”。</w:t>
      </w:r>
    </w:p>
    <w:p w14:paraId="2D7CF939">
      <w:pPr>
        <w:keepNext w:val="0"/>
        <w:keepLines w:val="0"/>
        <w:pageBreakBefore w:val="0"/>
        <w:widowControl w:val="0"/>
        <w:kinsoku/>
        <w:wordWrap w:val="0"/>
        <w:overflowPunct/>
        <w:topLinePunct w:val="0"/>
        <w:bidi w:val="0"/>
        <w:snapToGrid/>
        <w:spacing w:line="42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3、磋商现场，供应商安排</w:t>
      </w:r>
      <w:r>
        <w:rPr>
          <w:rFonts w:hint="eastAsia" w:ascii="宋体" w:hAnsi="宋体" w:cs="宋体"/>
          <w:color w:val="auto"/>
          <w:szCs w:val="21"/>
          <w:highlight w:val="none"/>
        </w:rPr>
        <w:t>法定代表人或授权代表到场的，则由</w:t>
      </w:r>
      <w:r>
        <w:rPr>
          <w:rFonts w:hint="eastAsia" w:ascii="宋体" w:hAnsi="宋体" w:cs="宋体"/>
          <w:color w:val="auto"/>
          <w:highlight w:val="none"/>
        </w:rPr>
        <w:t>评审组长将问题汇总后向供应商发出书面“采购响应文件问题澄清通知”，供应商应对需要澄清的问题作书面回答，该书面澄清应当由</w:t>
      </w:r>
      <w:r>
        <w:rPr>
          <w:rFonts w:hint="eastAsia" w:ascii="宋体" w:hAnsi="宋体" w:cs="宋体"/>
          <w:color w:val="auto"/>
          <w:szCs w:val="21"/>
          <w:highlight w:val="none"/>
        </w:rPr>
        <w:t>供应商的法定代表人或授权代表签字</w:t>
      </w:r>
      <w:r>
        <w:rPr>
          <w:rFonts w:hint="eastAsia" w:ascii="宋体" w:hAnsi="宋体" w:cs="宋体"/>
          <w:color w:val="auto"/>
          <w:highlight w:val="none"/>
        </w:rPr>
        <w:t>或者加盖供应商公章。书面澄清将作为响应文件内容的一部分，具有相应的法律效力。</w:t>
      </w:r>
    </w:p>
    <w:p w14:paraId="59E9F089">
      <w:pPr>
        <w:keepNext w:val="0"/>
        <w:keepLines w:val="0"/>
        <w:pageBreakBefore w:val="0"/>
        <w:widowControl w:val="0"/>
        <w:kinsoku/>
        <w:wordWrap w:val="0"/>
        <w:overflowPunct/>
        <w:topLinePunct w:val="0"/>
        <w:bidi w:val="0"/>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highlight w:val="none"/>
        </w:rPr>
        <w:t>4、供应商未在截止时间前完成澄清，将被视作自动放弃。</w:t>
      </w:r>
    </w:p>
    <w:p w14:paraId="111E6CB7">
      <w:pPr>
        <w:wordWrap w:val="0"/>
        <w:spacing w:line="360" w:lineRule="exact"/>
        <w:ind w:right="-506" w:rightChars="-241"/>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br w:type="page"/>
      </w:r>
      <w:r>
        <w:rPr>
          <w:rFonts w:hint="eastAsia" w:ascii="宋体" w:hAnsi="宋体" w:cs="宋体"/>
          <w:b/>
          <w:color w:val="auto"/>
          <w:sz w:val="28"/>
          <w:szCs w:val="28"/>
          <w:highlight w:val="none"/>
        </w:rPr>
        <w:t>评审方法：综合评分法</w:t>
      </w:r>
    </w:p>
    <w:p w14:paraId="00D75FF9">
      <w:pPr>
        <w:wordWrap w:val="0"/>
        <w:spacing w:line="360" w:lineRule="auto"/>
        <w:ind w:firstLine="420" w:firstLineChars="200"/>
        <w:rPr>
          <w:rFonts w:ascii="宋体" w:hAnsi="宋体" w:cs="宋体"/>
          <w:b/>
          <w:color w:val="auto"/>
          <w:szCs w:val="21"/>
          <w:highlight w:val="none"/>
        </w:rPr>
      </w:pPr>
      <w:r>
        <w:rPr>
          <w:rFonts w:hint="eastAsia" w:ascii="宋体" w:hAnsi="宋体" w:cs="宋体"/>
          <w:bCs/>
          <w:color w:val="auto"/>
          <w:kern w:val="0"/>
          <w:szCs w:val="21"/>
          <w:highlight w:val="none"/>
        </w:rPr>
        <w:t>磋商小组遵循公平、公正、科学、廉洁的原则和规定的程序进行磋商，依据响应文件和采购文件的内容进行评审。</w:t>
      </w:r>
    </w:p>
    <w:p w14:paraId="70988625">
      <w:pPr>
        <w:wordWrap w:val="0"/>
        <w:spacing w:line="360" w:lineRule="auto"/>
        <w:ind w:left="-63" w:leftChars="-30" w:firstLine="6" w:firstLineChars="3"/>
        <w:rPr>
          <w:rFonts w:ascii="宋体" w:hAnsi="宋体" w:cs="宋体"/>
          <w:b/>
          <w:color w:val="auto"/>
          <w:szCs w:val="21"/>
          <w:highlight w:val="none"/>
        </w:rPr>
      </w:pPr>
      <w:r>
        <w:rPr>
          <w:rFonts w:hint="eastAsia" w:ascii="宋体" w:hAnsi="宋体" w:cs="宋体"/>
          <w:b/>
          <w:color w:val="auto"/>
          <w:szCs w:val="21"/>
          <w:highlight w:val="none"/>
        </w:rPr>
        <w:t>本次评审采用综合评分法，商务技术分满分</w:t>
      </w:r>
      <w:r>
        <w:rPr>
          <w:rFonts w:hint="eastAsia" w:ascii="宋体" w:hAnsi="宋体" w:cs="宋体"/>
          <w:b/>
          <w:color w:val="auto"/>
          <w:szCs w:val="21"/>
          <w:highlight w:val="none"/>
          <w:u w:val="single"/>
        </w:rPr>
        <w:t xml:space="preserve"> 70 </w:t>
      </w:r>
      <w:r>
        <w:rPr>
          <w:rFonts w:hint="eastAsia" w:ascii="宋体" w:hAnsi="宋体" w:cs="宋体"/>
          <w:b/>
          <w:color w:val="auto"/>
          <w:szCs w:val="21"/>
          <w:highlight w:val="none"/>
        </w:rPr>
        <w:t>分，</w:t>
      </w:r>
      <w:r>
        <w:rPr>
          <w:rFonts w:hint="eastAsia" w:ascii="宋体" w:hAnsi="宋体" w:cs="宋体"/>
          <w:b/>
          <w:bCs/>
          <w:color w:val="auto"/>
          <w:szCs w:val="21"/>
          <w:highlight w:val="none"/>
        </w:rPr>
        <w:t>报价得分满分</w:t>
      </w:r>
      <w:r>
        <w:rPr>
          <w:rFonts w:hint="eastAsia" w:ascii="宋体" w:hAnsi="宋体" w:cs="宋体"/>
          <w:b/>
          <w:color w:val="auto"/>
          <w:szCs w:val="21"/>
          <w:highlight w:val="none"/>
          <w:u w:val="single"/>
        </w:rPr>
        <w:t xml:space="preserve"> 30 </w:t>
      </w:r>
      <w:r>
        <w:rPr>
          <w:rFonts w:hint="eastAsia" w:ascii="宋体" w:hAnsi="宋体" w:cs="宋体"/>
          <w:b/>
          <w:color w:val="auto"/>
          <w:szCs w:val="21"/>
          <w:highlight w:val="none"/>
        </w:rPr>
        <w:t>分。</w:t>
      </w:r>
    </w:p>
    <w:p w14:paraId="2A8E8D96">
      <w:pPr>
        <w:wordWrap w:val="0"/>
        <w:spacing w:line="360" w:lineRule="auto"/>
        <w:ind w:left="-63" w:leftChars="-30" w:firstLine="6" w:firstLineChars="3"/>
        <w:rPr>
          <w:rFonts w:ascii="宋体" w:hAnsi="宋体" w:cs="宋体"/>
          <w:b/>
          <w:color w:val="auto"/>
          <w:szCs w:val="21"/>
          <w:highlight w:val="none"/>
        </w:rPr>
      </w:pPr>
      <w:r>
        <w:rPr>
          <w:rFonts w:hint="eastAsia" w:ascii="宋体" w:hAnsi="宋体" w:cs="宋体"/>
          <w:b/>
          <w:color w:val="auto"/>
          <w:szCs w:val="21"/>
          <w:highlight w:val="none"/>
        </w:rPr>
        <w:t>每个供应商最终得分=商务技术分+报价</w:t>
      </w:r>
      <w:r>
        <w:rPr>
          <w:rFonts w:hint="eastAsia" w:ascii="宋体" w:hAnsi="宋体" w:cs="宋体"/>
          <w:b/>
          <w:bCs/>
          <w:color w:val="auto"/>
          <w:szCs w:val="21"/>
          <w:highlight w:val="none"/>
        </w:rPr>
        <w:t>得</w:t>
      </w:r>
      <w:r>
        <w:rPr>
          <w:rFonts w:hint="eastAsia" w:ascii="宋体" w:hAnsi="宋体" w:cs="宋体"/>
          <w:b/>
          <w:color w:val="auto"/>
          <w:szCs w:val="21"/>
          <w:highlight w:val="none"/>
        </w:rPr>
        <w:t>分</w:t>
      </w:r>
      <w:bookmarkStart w:id="85" w:name="_Toc345320401"/>
      <w:r>
        <w:rPr>
          <w:rFonts w:hint="eastAsia" w:ascii="宋体" w:hAnsi="宋体" w:cs="宋体"/>
          <w:b/>
          <w:color w:val="auto"/>
          <w:szCs w:val="21"/>
          <w:highlight w:val="none"/>
        </w:rPr>
        <w:t>(以最终报价依据计算得分，最终报价不得高于最高限价)</w:t>
      </w:r>
    </w:p>
    <w:p w14:paraId="66E80757">
      <w:pPr>
        <w:wordWrap w:val="0"/>
        <w:spacing w:line="360" w:lineRule="auto"/>
        <w:ind w:left="-63" w:leftChars="-30" w:firstLine="480" w:firstLineChars="229"/>
        <w:rPr>
          <w:rFonts w:ascii="宋体" w:hAnsi="宋体" w:cs="宋体"/>
          <w:color w:val="auto"/>
          <w:szCs w:val="21"/>
          <w:highlight w:val="none"/>
        </w:rPr>
      </w:pPr>
      <w:r>
        <w:rPr>
          <w:rFonts w:hint="eastAsia" w:ascii="宋体" w:hAnsi="宋体" w:cs="宋体"/>
          <w:color w:val="auto"/>
          <w:szCs w:val="21"/>
          <w:highlight w:val="none"/>
        </w:rPr>
        <w:t>评审程序：</w:t>
      </w:r>
    </w:p>
    <w:p w14:paraId="03EF4A0A">
      <w:pPr>
        <w:wordWrap w:val="0"/>
        <w:spacing w:line="360" w:lineRule="auto"/>
        <w:ind w:left="-63" w:leftChars="-30" w:firstLine="480" w:firstLineChars="229"/>
        <w:rPr>
          <w:rFonts w:ascii="宋体" w:hAnsi="宋体" w:cs="宋体"/>
          <w:color w:val="auto"/>
          <w:szCs w:val="21"/>
          <w:highlight w:val="none"/>
        </w:rPr>
      </w:pPr>
      <w:r>
        <w:rPr>
          <w:rFonts w:hint="eastAsia" w:ascii="宋体" w:hAnsi="宋体" w:cs="宋体"/>
          <w:color w:val="auto"/>
          <w:szCs w:val="21"/>
          <w:highlight w:val="none"/>
        </w:rPr>
        <w:t>1、资格审查：资格审查不合格的，作无效响应处理。</w:t>
      </w:r>
    </w:p>
    <w:p w14:paraId="11C1B1A0">
      <w:pPr>
        <w:wordWrap w:val="0"/>
        <w:spacing w:line="360" w:lineRule="auto"/>
        <w:ind w:left="-63" w:leftChars="-30" w:firstLine="480" w:firstLineChars="229"/>
        <w:rPr>
          <w:rFonts w:ascii="宋体" w:hAnsi="宋体" w:cs="宋体"/>
          <w:color w:val="auto"/>
          <w:szCs w:val="21"/>
          <w:highlight w:val="none"/>
        </w:rPr>
      </w:pPr>
      <w:r>
        <w:rPr>
          <w:rFonts w:hint="eastAsia" w:ascii="宋体" w:hAnsi="宋体" w:cs="宋体"/>
          <w:color w:val="auto"/>
          <w:szCs w:val="21"/>
          <w:highlight w:val="none"/>
        </w:rPr>
        <w:t>2、符合性审查：符合性审查不合格的，作无效响应处理。</w:t>
      </w:r>
    </w:p>
    <w:p w14:paraId="34D5466F">
      <w:pPr>
        <w:wordWrap w:val="0"/>
        <w:spacing w:line="360" w:lineRule="auto"/>
        <w:ind w:left="-63" w:leftChars="-30" w:firstLine="480" w:firstLineChars="229"/>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商务技术文件、报价文件评议</w:t>
      </w:r>
      <w:r>
        <w:rPr>
          <w:rFonts w:hint="eastAsia" w:ascii="宋体" w:hAnsi="宋体" w:cs="宋体"/>
          <w:color w:val="auto"/>
          <w:szCs w:val="21"/>
          <w:highlight w:val="none"/>
        </w:rPr>
        <w:t>：由竞争性磋商小组对各供应商的商务技术文件、报价文件进行评审，初步评审通过后进入二次报价程序。</w:t>
      </w:r>
    </w:p>
    <w:bookmarkEnd w:id="85"/>
    <w:p w14:paraId="1668655E">
      <w:pPr>
        <w:wordWrap w:val="0"/>
        <w:spacing w:line="360" w:lineRule="auto"/>
        <w:ind w:left="-63" w:leftChars="-30" w:firstLine="480" w:firstLineChars="229"/>
        <w:rPr>
          <w:rFonts w:ascii="宋体" w:hAnsi="宋体" w:cs="宋体"/>
          <w:color w:val="auto"/>
          <w:szCs w:val="21"/>
          <w:highlight w:val="none"/>
        </w:rPr>
      </w:pPr>
      <w:bookmarkStart w:id="86" w:name="_Toc345320402"/>
      <w:r>
        <w:rPr>
          <w:rFonts w:hint="eastAsia" w:ascii="宋体" w:hAnsi="宋体" w:cs="宋体"/>
          <w:color w:val="auto"/>
          <w:szCs w:val="21"/>
          <w:highlight w:val="none"/>
        </w:rPr>
        <w:t>1、资格审查内容</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6692"/>
        <w:gridCol w:w="1230"/>
      </w:tblGrid>
      <w:tr w14:paraId="5BBD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97" w:type="dxa"/>
            <w:noWrap w:val="0"/>
            <w:vAlign w:val="center"/>
          </w:tcPr>
          <w:p w14:paraId="7603DC94">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6692" w:type="dxa"/>
            <w:noWrap w:val="0"/>
            <w:vAlign w:val="center"/>
          </w:tcPr>
          <w:p w14:paraId="6D5BAA12">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资格审查内容</w:t>
            </w:r>
          </w:p>
        </w:tc>
        <w:tc>
          <w:tcPr>
            <w:tcW w:w="1230" w:type="dxa"/>
            <w:noWrap w:val="0"/>
            <w:vAlign w:val="center"/>
          </w:tcPr>
          <w:p w14:paraId="32586FA2">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4EC7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97" w:type="dxa"/>
            <w:noWrap w:val="0"/>
            <w:vAlign w:val="center"/>
          </w:tcPr>
          <w:p w14:paraId="17575640">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6692" w:type="dxa"/>
            <w:noWrap w:val="0"/>
            <w:vAlign w:val="center"/>
          </w:tcPr>
          <w:p w14:paraId="37E7375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符合《中华人民共和国政府采购法》第二十二条规定的供应商资格条件；</w:t>
            </w:r>
          </w:p>
        </w:tc>
        <w:tc>
          <w:tcPr>
            <w:tcW w:w="1230" w:type="dxa"/>
            <w:noWrap w:val="0"/>
            <w:vAlign w:val="center"/>
          </w:tcPr>
          <w:p w14:paraId="2B0720D6">
            <w:pPr>
              <w:wordWrap w:val="0"/>
              <w:spacing w:line="360" w:lineRule="auto"/>
              <w:jc w:val="center"/>
              <w:rPr>
                <w:rFonts w:ascii="宋体" w:hAnsi="宋体" w:cs="宋体"/>
                <w:color w:val="auto"/>
                <w:szCs w:val="21"/>
                <w:highlight w:val="none"/>
              </w:rPr>
            </w:pPr>
          </w:p>
        </w:tc>
      </w:tr>
      <w:tr w14:paraId="5B753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97" w:type="dxa"/>
            <w:noWrap w:val="0"/>
            <w:vAlign w:val="center"/>
          </w:tcPr>
          <w:p w14:paraId="4335AA19">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6692" w:type="dxa"/>
            <w:noWrap w:val="0"/>
            <w:vAlign w:val="center"/>
          </w:tcPr>
          <w:p w14:paraId="1A153E5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落实政府采购政策需满足的资格要求：</w:t>
            </w:r>
            <w:r>
              <w:rPr>
                <w:rFonts w:hint="eastAsia" w:ascii="宋体" w:hAnsi="宋体" w:cs="宋体"/>
                <w:color w:val="auto"/>
                <w:kern w:val="0"/>
                <w:szCs w:val="21"/>
                <w:highlight w:val="none"/>
              </w:rPr>
              <w:t>依据《政府采购促进中小企业发展管理办法》(财库〔2020〕46号，</w:t>
            </w:r>
            <w:r>
              <w:rPr>
                <w:rFonts w:hint="eastAsia" w:ascii="宋体" w:hAnsi="宋体" w:cs="宋体"/>
                <w:b/>
                <w:color w:val="auto"/>
                <w:kern w:val="0"/>
                <w:szCs w:val="21"/>
                <w:highlight w:val="none"/>
              </w:rPr>
              <w:t>本项目为专门面向中小企业采购</w:t>
            </w:r>
            <w:r>
              <w:rPr>
                <w:rFonts w:hint="eastAsia" w:ascii="宋体" w:hAnsi="宋体" w:cs="宋体"/>
                <w:color w:val="auto"/>
                <w:kern w:val="0"/>
                <w:szCs w:val="21"/>
                <w:highlight w:val="none"/>
              </w:rPr>
              <w:t>，承接工程的企业属于“建筑业”的中型、小型、微型企业(须提供中小微企业声明函)以及监狱企业、残疾人福利性单位视同小型、微型企业(提供相关证明材料)方可参与本项目的磋商活动。中小微企业划型标准详见工信部联企业[2011]300号文</w:t>
            </w:r>
            <w:r>
              <w:rPr>
                <w:rFonts w:hint="eastAsia" w:ascii="宋体" w:hAnsi="宋体" w:cs="宋体"/>
                <w:color w:val="auto"/>
                <w:szCs w:val="21"/>
                <w:highlight w:val="none"/>
              </w:rPr>
              <w:t>；</w:t>
            </w:r>
          </w:p>
        </w:tc>
        <w:tc>
          <w:tcPr>
            <w:tcW w:w="1230" w:type="dxa"/>
            <w:noWrap w:val="0"/>
            <w:vAlign w:val="center"/>
          </w:tcPr>
          <w:p w14:paraId="0A385F08">
            <w:pPr>
              <w:wordWrap w:val="0"/>
              <w:spacing w:line="360" w:lineRule="auto"/>
              <w:jc w:val="center"/>
              <w:rPr>
                <w:rFonts w:ascii="宋体" w:hAnsi="宋体" w:cs="宋体"/>
                <w:color w:val="auto"/>
                <w:szCs w:val="21"/>
                <w:highlight w:val="none"/>
              </w:rPr>
            </w:pPr>
          </w:p>
        </w:tc>
      </w:tr>
      <w:tr w14:paraId="40E0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97" w:type="dxa"/>
            <w:noWrap w:val="0"/>
            <w:vAlign w:val="center"/>
          </w:tcPr>
          <w:p w14:paraId="7C965192">
            <w:pPr>
              <w:wordWrap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6692" w:type="dxa"/>
            <w:noWrap w:val="0"/>
            <w:vAlign w:val="center"/>
          </w:tcPr>
          <w:p w14:paraId="00C78799">
            <w:pPr>
              <w:spacing w:line="360" w:lineRule="auto"/>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供应商须</w:t>
            </w:r>
            <w:r>
              <w:rPr>
                <w:rFonts w:hint="eastAsia" w:ascii="宋体" w:hAnsi="宋体" w:cs="宋体"/>
                <w:color w:val="auto"/>
                <w:szCs w:val="21"/>
                <w:highlight w:val="none"/>
              </w:rPr>
              <w:t>具备</w:t>
            </w:r>
            <w:r>
              <w:rPr>
                <w:rFonts w:hint="eastAsia" w:asciiTheme="minorEastAsia" w:hAnsiTheme="minorEastAsia" w:eastAsiaTheme="minorEastAsia"/>
                <w:color w:val="auto"/>
                <w:szCs w:val="21"/>
                <w:highlight w:val="none"/>
                <w:lang w:eastAsia="zh-CN"/>
              </w:rPr>
              <w:t>建筑工程施工总承包三级及以上资质，</w:t>
            </w:r>
            <w:r>
              <w:rPr>
                <w:rFonts w:hint="eastAsia" w:ascii="宋体" w:hAnsi="宋体" w:cs="宋体"/>
                <w:color w:val="auto"/>
                <w:kern w:val="0"/>
                <w:szCs w:val="21"/>
                <w:highlight w:val="none"/>
              </w:rPr>
              <w:t>并</w:t>
            </w:r>
            <w:r>
              <w:rPr>
                <w:rFonts w:hint="eastAsia" w:ascii="宋体" w:hAnsi="宋体" w:cs="宋体"/>
                <w:color w:val="auto"/>
                <w:szCs w:val="21"/>
                <w:highlight w:val="none"/>
              </w:rPr>
              <w:t>具有建设行政主管部门颁发的有效的安全生产许可证</w:t>
            </w:r>
            <w:r>
              <w:rPr>
                <w:rFonts w:hint="eastAsia" w:ascii="宋体" w:hAnsi="宋体" w:cs="宋体"/>
                <w:color w:val="auto"/>
                <w:szCs w:val="21"/>
                <w:highlight w:val="none"/>
                <w:lang w:eastAsia="zh-CN"/>
              </w:rPr>
              <w:t>。</w:t>
            </w:r>
          </w:p>
        </w:tc>
        <w:tc>
          <w:tcPr>
            <w:tcW w:w="1230" w:type="dxa"/>
            <w:noWrap w:val="0"/>
            <w:vAlign w:val="center"/>
          </w:tcPr>
          <w:p w14:paraId="303D8EB9">
            <w:pPr>
              <w:wordWrap w:val="0"/>
              <w:spacing w:line="360" w:lineRule="auto"/>
              <w:jc w:val="center"/>
              <w:rPr>
                <w:rFonts w:ascii="宋体" w:hAnsi="宋体" w:cs="宋体"/>
                <w:color w:val="auto"/>
                <w:szCs w:val="21"/>
                <w:highlight w:val="none"/>
              </w:rPr>
            </w:pPr>
          </w:p>
        </w:tc>
      </w:tr>
      <w:tr w14:paraId="5946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97" w:type="dxa"/>
            <w:noWrap w:val="0"/>
            <w:vAlign w:val="center"/>
          </w:tcPr>
          <w:p w14:paraId="4645CA86">
            <w:pPr>
              <w:wordWrap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6692" w:type="dxa"/>
            <w:noWrap w:val="0"/>
            <w:vAlign w:val="center"/>
          </w:tcPr>
          <w:p w14:paraId="59EFD4E1">
            <w:pPr>
              <w:wordWrap w:val="0"/>
              <w:spacing w:line="360" w:lineRule="auto"/>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供应商未被列入信用中国网站(www.creditchina.gov.cn)“记录失信被执行人或</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记录名单；不处于中国政府采购网(www.ccgp.gov.cn)“政府采购严重违法失信行为信息记录”中的禁止参加政府采购活动期间（以采购代理机构于磋商截止日当天在信用中国网站及中国政府采购网查询结果为准，如相关失信记录已失效，供应商需提供相关证明资料）；</w:t>
            </w:r>
          </w:p>
        </w:tc>
        <w:tc>
          <w:tcPr>
            <w:tcW w:w="1230" w:type="dxa"/>
            <w:noWrap w:val="0"/>
            <w:vAlign w:val="center"/>
          </w:tcPr>
          <w:p w14:paraId="0D25B74B">
            <w:pPr>
              <w:wordWrap w:val="0"/>
              <w:spacing w:line="360" w:lineRule="auto"/>
              <w:jc w:val="center"/>
              <w:rPr>
                <w:rFonts w:ascii="宋体" w:hAnsi="宋体" w:cs="宋体"/>
                <w:color w:val="auto"/>
                <w:szCs w:val="21"/>
                <w:highlight w:val="none"/>
              </w:rPr>
            </w:pPr>
          </w:p>
        </w:tc>
      </w:tr>
      <w:tr w14:paraId="150DC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7" w:type="dxa"/>
            <w:noWrap w:val="0"/>
            <w:vAlign w:val="center"/>
          </w:tcPr>
          <w:p w14:paraId="2D81E547">
            <w:pPr>
              <w:wordWrap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6692" w:type="dxa"/>
            <w:noWrap w:val="0"/>
            <w:vAlign w:val="center"/>
          </w:tcPr>
          <w:p w14:paraId="3A8CA2BB">
            <w:pPr>
              <w:wordWrap w:val="0"/>
              <w:spacing w:line="360" w:lineRule="auto"/>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本次磋商</w:t>
            </w:r>
            <w:r>
              <w:rPr>
                <w:rFonts w:hint="eastAsia" w:ascii="宋体" w:hAnsi="宋体" w:cs="宋体"/>
                <w:color w:val="auto"/>
                <w:szCs w:val="21"/>
                <w:highlight w:val="none"/>
                <w:u w:val="single"/>
              </w:rPr>
              <w:t xml:space="preserve"> 不接受 </w:t>
            </w:r>
            <w:r>
              <w:rPr>
                <w:rFonts w:hint="eastAsia" w:ascii="宋体" w:hAnsi="宋体" w:cs="宋体"/>
                <w:color w:val="auto"/>
                <w:szCs w:val="21"/>
                <w:highlight w:val="none"/>
              </w:rPr>
              <w:t>联合体。</w:t>
            </w:r>
          </w:p>
        </w:tc>
        <w:tc>
          <w:tcPr>
            <w:tcW w:w="1230" w:type="dxa"/>
            <w:noWrap w:val="0"/>
            <w:vAlign w:val="center"/>
          </w:tcPr>
          <w:p w14:paraId="3C400741">
            <w:pPr>
              <w:wordWrap w:val="0"/>
              <w:spacing w:line="360" w:lineRule="auto"/>
              <w:jc w:val="center"/>
              <w:rPr>
                <w:rFonts w:ascii="宋体" w:hAnsi="宋体" w:cs="宋体"/>
                <w:color w:val="auto"/>
                <w:szCs w:val="21"/>
                <w:highlight w:val="none"/>
              </w:rPr>
            </w:pPr>
          </w:p>
        </w:tc>
      </w:tr>
    </w:tbl>
    <w:p w14:paraId="70F92B8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2、符合性审查内容：</w:t>
      </w:r>
    </w:p>
    <w:tbl>
      <w:tblPr>
        <w:tblStyle w:val="51"/>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868"/>
        <w:gridCol w:w="4327"/>
        <w:gridCol w:w="1726"/>
      </w:tblGrid>
      <w:tr w14:paraId="0F3B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4" w:type="pct"/>
            <w:noWrap w:val="0"/>
            <w:vAlign w:val="center"/>
          </w:tcPr>
          <w:p w14:paraId="75EAA742">
            <w:pPr>
              <w:wordWrap w:val="0"/>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1072" w:type="pct"/>
            <w:noWrap w:val="0"/>
            <w:vAlign w:val="center"/>
          </w:tcPr>
          <w:p w14:paraId="0AF22DF5">
            <w:pPr>
              <w:wordWrap w:val="0"/>
              <w:spacing w:line="400" w:lineRule="exact"/>
              <w:jc w:val="center"/>
              <w:rPr>
                <w:rFonts w:ascii="宋体" w:hAnsi="宋体"/>
                <w:b/>
                <w:color w:val="auto"/>
                <w:szCs w:val="21"/>
                <w:highlight w:val="none"/>
              </w:rPr>
            </w:pPr>
            <w:r>
              <w:rPr>
                <w:rFonts w:hint="eastAsia" w:ascii="宋体" w:hAnsi="宋体"/>
                <w:b/>
                <w:color w:val="auto"/>
                <w:szCs w:val="21"/>
                <w:highlight w:val="none"/>
              </w:rPr>
              <w:t>审查项目</w:t>
            </w:r>
          </w:p>
        </w:tc>
        <w:tc>
          <w:tcPr>
            <w:tcW w:w="2483" w:type="pct"/>
            <w:noWrap w:val="0"/>
            <w:vAlign w:val="center"/>
          </w:tcPr>
          <w:p w14:paraId="0DD7E74E">
            <w:pPr>
              <w:wordWrap w:val="0"/>
              <w:spacing w:line="400" w:lineRule="exact"/>
              <w:jc w:val="center"/>
              <w:rPr>
                <w:rFonts w:ascii="宋体" w:hAnsi="宋体"/>
                <w:b/>
                <w:color w:val="auto"/>
                <w:szCs w:val="21"/>
                <w:highlight w:val="none"/>
              </w:rPr>
            </w:pPr>
            <w:r>
              <w:rPr>
                <w:rFonts w:hint="eastAsia" w:ascii="宋体" w:hAnsi="宋体"/>
                <w:b/>
                <w:color w:val="auto"/>
                <w:szCs w:val="21"/>
                <w:highlight w:val="none"/>
              </w:rPr>
              <w:t>采购文件要求</w:t>
            </w:r>
          </w:p>
        </w:tc>
        <w:tc>
          <w:tcPr>
            <w:tcW w:w="990" w:type="pct"/>
            <w:noWrap w:val="0"/>
            <w:vAlign w:val="center"/>
          </w:tcPr>
          <w:p w14:paraId="07E71AA0">
            <w:pPr>
              <w:wordWrap w:val="0"/>
              <w:spacing w:line="400" w:lineRule="exact"/>
              <w:jc w:val="center"/>
              <w:rPr>
                <w:rFonts w:ascii="宋体" w:hAnsi="宋体"/>
                <w:b/>
                <w:color w:val="auto"/>
                <w:szCs w:val="21"/>
                <w:highlight w:val="none"/>
              </w:rPr>
            </w:pPr>
            <w:r>
              <w:rPr>
                <w:rFonts w:hint="eastAsia" w:ascii="宋体" w:hAnsi="宋体"/>
                <w:b/>
                <w:color w:val="auto"/>
                <w:szCs w:val="21"/>
                <w:highlight w:val="none"/>
              </w:rPr>
              <w:t>（符合</w:t>
            </w:r>
            <w:r>
              <w:rPr>
                <w:rFonts w:ascii="宋体" w:hAnsi="宋体"/>
                <w:b/>
                <w:color w:val="auto"/>
                <w:szCs w:val="21"/>
                <w:highlight w:val="none"/>
              </w:rPr>
              <w:t>/</w:t>
            </w:r>
            <w:r>
              <w:rPr>
                <w:rFonts w:hint="eastAsia" w:ascii="宋体" w:hAnsi="宋体"/>
                <w:b/>
                <w:color w:val="auto"/>
                <w:szCs w:val="21"/>
                <w:highlight w:val="none"/>
              </w:rPr>
              <w:t>不符合）</w:t>
            </w:r>
          </w:p>
        </w:tc>
      </w:tr>
      <w:tr w14:paraId="2A46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noWrap w:val="0"/>
            <w:vAlign w:val="center"/>
          </w:tcPr>
          <w:p w14:paraId="79574210">
            <w:pPr>
              <w:wordWrap w:val="0"/>
              <w:spacing w:line="400" w:lineRule="exact"/>
              <w:jc w:val="center"/>
              <w:rPr>
                <w:rFonts w:ascii="宋体" w:hAnsi="宋体"/>
                <w:color w:val="auto"/>
                <w:szCs w:val="21"/>
                <w:highlight w:val="none"/>
              </w:rPr>
            </w:pPr>
            <w:r>
              <w:rPr>
                <w:rFonts w:ascii="宋体" w:hAnsi="宋体"/>
                <w:color w:val="auto"/>
                <w:szCs w:val="21"/>
                <w:highlight w:val="none"/>
              </w:rPr>
              <w:t>1</w:t>
            </w:r>
          </w:p>
        </w:tc>
        <w:tc>
          <w:tcPr>
            <w:tcW w:w="1072" w:type="pct"/>
            <w:noWrap w:val="0"/>
            <w:vAlign w:val="center"/>
          </w:tcPr>
          <w:p w14:paraId="7E82317B">
            <w:pPr>
              <w:wordWrap w:val="0"/>
              <w:spacing w:line="400" w:lineRule="exact"/>
              <w:rPr>
                <w:rFonts w:ascii="宋体" w:hAnsi="宋体"/>
                <w:color w:val="auto"/>
                <w:szCs w:val="21"/>
                <w:highlight w:val="none"/>
              </w:rPr>
            </w:pPr>
            <w:r>
              <w:rPr>
                <w:rFonts w:hint="eastAsia" w:ascii="宋体" w:hAnsi="宋体"/>
                <w:color w:val="auto"/>
                <w:szCs w:val="21"/>
                <w:highlight w:val="none"/>
              </w:rPr>
              <w:t>供应商名称</w:t>
            </w:r>
          </w:p>
        </w:tc>
        <w:tc>
          <w:tcPr>
            <w:tcW w:w="2483" w:type="pct"/>
            <w:noWrap w:val="0"/>
            <w:vAlign w:val="center"/>
          </w:tcPr>
          <w:p w14:paraId="2F0AE3FD">
            <w:pPr>
              <w:wordWrap w:val="0"/>
              <w:spacing w:line="400" w:lineRule="exact"/>
              <w:rPr>
                <w:rFonts w:ascii="宋体" w:hAnsi="宋体"/>
                <w:color w:val="auto"/>
                <w:szCs w:val="21"/>
                <w:highlight w:val="none"/>
              </w:rPr>
            </w:pPr>
            <w:r>
              <w:rPr>
                <w:rFonts w:hint="eastAsia" w:ascii="宋体" w:hAnsi="宋体"/>
                <w:color w:val="auto"/>
                <w:szCs w:val="21"/>
                <w:highlight w:val="none"/>
              </w:rPr>
              <w:t>应当为供应商全称，响应文件供应商名称、营业执照、资质证书、安全生产许可证供应商名称应当一致。</w:t>
            </w:r>
          </w:p>
        </w:tc>
        <w:tc>
          <w:tcPr>
            <w:tcW w:w="990" w:type="pct"/>
            <w:noWrap w:val="0"/>
            <w:vAlign w:val="center"/>
          </w:tcPr>
          <w:p w14:paraId="6076525D">
            <w:pPr>
              <w:wordWrap w:val="0"/>
              <w:spacing w:line="400" w:lineRule="exact"/>
              <w:jc w:val="center"/>
              <w:rPr>
                <w:rFonts w:ascii="宋体" w:hAnsi="宋体"/>
                <w:color w:val="auto"/>
                <w:szCs w:val="21"/>
                <w:highlight w:val="none"/>
              </w:rPr>
            </w:pPr>
          </w:p>
        </w:tc>
      </w:tr>
      <w:tr w14:paraId="6390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noWrap w:val="0"/>
            <w:vAlign w:val="center"/>
          </w:tcPr>
          <w:p w14:paraId="78CB6F29">
            <w:pPr>
              <w:wordWrap w:val="0"/>
              <w:spacing w:line="40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1072" w:type="pct"/>
            <w:noWrap w:val="0"/>
            <w:vAlign w:val="center"/>
          </w:tcPr>
          <w:p w14:paraId="3523E659">
            <w:pPr>
              <w:wordWrap w:val="0"/>
              <w:spacing w:line="400" w:lineRule="exact"/>
              <w:rPr>
                <w:rFonts w:hint="eastAsia" w:ascii="宋体" w:hAnsi="宋体"/>
                <w:color w:val="auto"/>
                <w:szCs w:val="21"/>
                <w:highlight w:val="none"/>
              </w:rPr>
            </w:pPr>
            <w:r>
              <w:rPr>
                <w:rFonts w:hint="eastAsia" w:ascii="宋体" w:hAnsi="宋体"/>
                <w:color w:val="auto"/>
                <w:szCs w:val="21"/>
                <w:highlight w:val="none"/>
              </w:rPr>
              <w:t>法定代表人授权委托书或法定代表人身份证明</w:t>
            </w:r>
          </w:p>
        </w:tc>
        <w:tc>
          <w:tcPr>
            <w:tcW w:w="2483" w:type="pct"/>
            <w:noWrap w:val="0"/>
            <w:vAlign w:val="center"/>
          </w:tcPr>
          <w:p w14:paraId="19A5CB63">
            <w:pPr>
              <w:wordWrap w:val="0"/>
              <w:spacing w:line="400" w:lineRule="exact"/>
              <w:rPr>
                <w:rFonts w:ascii="宋体" w:hAnsi="宋体"/>
                <w:color w:val="auto"/>
                <w:szCs w:val="21"/>
                <w:highlight w:val="none"/>
              </w:rPr>
            </w:pPr>
            <w:r>
              <w:rPr>
                <w:rFonts w:hint="eastAsia" w:ascii="宋体" w:hAnsi="宋体"/>
                <w:color w:val="auto"/>
                <w:szCs w:val="21"/>
                <w:highlight w:val="none"/>
              </w:rPr>
              <w:t>若供应商代表不是法定代表人，响应文件须提供《法定代表人授权委托书》（格式见第七部分，或《组织授权书》（适用非法人的其它组织，格式参照《法定代表人授权委托书》），并提供社保部门出具的供应商单位在磋商截止时间前6个月内任意1个月为授权代表缴纳社保的证明资料复印件；</w:t>
            </w:r>
          </w:p>
          <w:p w14:paraId="2BEE8208">
            <w:pPr>
              <w:wordWrap w:val="0"/>
              <w:spacing w:line="400" w:lineRule="exact"/>
              <w:rPr>
                <w:rFonts w:ascii="宋体" w:hAnsi="宋体"/>
                <w:color w:val="auto"/>
                <w:szCs w:val="21"/>
                <w:highlight w:val="none"/>
              </w:rPr>
            </w:pPr>
            <w:r>
              <w:rPr>
                <w:rFonts w:hint="eastAsia" w:ascii="宋体" w:hAnsi="宋体"/>
                <w:color w:val="auto"/>
                <w:szCs w:val="21"/>
                <w:highlight w:val="none"/>
              </w:rPr>
              <w:t>若供应商代表是法定代表人，响应文件无须提供《法定代表人授权委托书》，但须提供与营业执照相符合的《法定代表人身份证明》（格式见第七部分）。</w:t>
            </w:r>
          </w:p>
        </w:tc>
        <w:tc>
          <w:tcPr>
            <w:tcW w:w="990" w:type="pct"/>
            <w:noWrap w:val="0"/>
            <w:vAlign w:val="center"/>
          </w:tcPr>
          <w:p w14:paraId="2AE0A289">
            <w:pPr>
              <w:wordWrap w:val="0"/>
              <w:spacing w:line="400" w:lineRule="exact"/>
              <w:jc w:val="center"/>
              <w:rPr>
                <w:rFonts w:ascii="宋体" w:hAnsi="宋体"/>
                <w:color w:val="auto"/>
                <w:szCs w:val="21"/>
                <w:highlight w:val="none"/>
              </w:rPr>
            </w:pPr>
          </w:p>
        </w:tc>
      </w:tr>
      <w:tr w14:paraId="5D45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noWrap w:val="0"/>
            <w:vAlign w:val="center"/>
          </w:tcPr>
          <w:p w14:paraId="6948030E">
            <w:pPr>
              <w:wordWrap w:val="0"/>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1072" w:type="pct"/>
            <w:noWrap w:val="0"/>
            <w:vAlign w:val="center"/>
          </w:tcPr>
          <w:p w14:paraId="47778C55">
            <w:pPr>
              <w:wordWrap w:val="0"/>
              <w:spacing w:line="400" w:lineRule="exact"/>
              <w:rPr>
                <w:rFonts w:ascii="宋体" w:hAnsi="宋体"/>
                <w:color w:val="auto"/>
                <w:szCs w:val="21"/>
                <w:highlight w:val="none"/>
              </w:rPr>
            </w:pPr>
            <w:r>
              <w:rPr>
                <w:rFonts w:hint="eastAsia" w:ascii="宋体" w:hAnsi="宋体"/>
                <w:color w:val="auto"/>
                <w:szCs w:val="21"/>
                <w:highlight w:val="none"/>
              </w:rPr>
              <w:t>磋商有效期</w:t>
            </w:r>
          </w:p>
        </w:tc>
        <w:tc>
          <w:tcPr>
            <w:tcW w:w="2483" w:type="pct"/>
            <w:noWrap w:val="0"/>
            <w:vAlign w:val="center"/>
          </w:tcPr>
          <w:p w14:paraId="0ED3C638">
            <w:pPr>
              <w:wordWrap w:val="0"/>
              <w:spacing w:line="400" w:lineRule="exact"/>
              <w:rPr>
                <w:rFonts w:ascii="宋体" w:hAnsi="宋体"/>
                <w:color w:val="auto"/>
                <w:szCs w:val="21"/>
                <w:highlight w:val="none"/>
              </w:rPr>
            </w:pPr>
            <w:r>
              <w:rPr>
                <w:rFonts w:hint="eastAsia" w:ascii="宋体" w:hAnsi="宋体"/>
                <w:bCs/>
                <w:color w:val="auto"/>
                <w:szCs w:val="21"/>
                <w:highlight w:val="none"/>
              </w:rPr>
              <w:t>详见供应商须知“6、磋商有效期”的</w:t>
            </w:r>
            <w:r>
              <w:rPr>
                <w:rFonts w:hint="eastAsia" w:ascii="宋体" w:hAnsi="宋体" w:cs="宋体"/>
                <w:color w:val="auto"/>
                <w:szCs w:val="21"/>
                <w:highlight w:val="none"/>
              </w:rPr>
              <w:t>*条款。</w:t>
            </w:r>
          </w:p>
        </w:tc>
        <w:tc>
          <w:tcPr>
            <w:tcW w:w="990" w:type="pct"/>
            <w:noWrap w:val="0"/>
            <w:vAlign w:val="center"/>
          </w:tcPr>
          <w:p w14:paraId="4F21391F">
            <w:pPr>
              <w:wordWrap w:val="0"/>
              <w:spacing w:line="400" w:lineRule="exact"/>
              <w:jc w:val="center"/>
              <w:rPr>
                <w:rFonts w:ascii="宋体" w:hAnsi="宋体"/>
                <w:color w:val="auto"/>
                <w:szCs w:val="21"/>
                <w:highlight w:val="none"/>
              </w:rPr>
            </w:pPr>
          </w:p>
        </w:tc>
      </w:tr>
      <w:tr w14:paraId="69AD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noWrap w:val="0"/>
            <w:vAlign w:val="center"/>
          </w:tcPr>
          <w:p w14:paraId="66E0C653">
            <w:pPr>
              <w:wordWrap w:val="0"/>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1072" w:type="pct"/>
            <w:noWrap w:val="0"/>
            <w:vAlign w:val="center"/>
          </w:tcPr>
          <w:p w14:paraId="37AF0C8A">
            <w:pPr>
              <w:wordWrap w:val="0"/>
              <w:spacing w:line="400" w:lineRule="exact"/>
              <w:rPr>
                <w:rFonts w:ascii="宋体" w:hAnsi="宋体"/>
                <w:color w:val="auto"/>
                <w:szCs w:val="21"/>
                <w:highlight w:val="none"/>
              </w:rPr>
            </w:pPr>
            <w:r>
              <w:rPr>
                <w:rFonts w:hint="eastAsia" w:ascii="宋体" w:hAnsi="宋体"/>
                <w:color w:val="auto"/>
                <w:szCs w:val="21"/>
                <w:highlight w:val="none"/>
              </w:rPr>
              <w:t>响应文件的签署、盖章、</w:t>
            </w:r>
            <w:r>
              <w:rPr>
                <w:rFonts w:hint="eastAsia" w:ascii="宋体" w:hAnsi="宋体"/>
                <w:bCs/>
                <w:color w:val="auto"/>
                <w:szCs w:val="21"/>
                <w:highlight w:val="none"/>
              </w:rPr>
              <w:t>装订</w:t>
            </w:r>
          </w:p>
        </w:tc>
        <w:tc>
          <w:tcPr>
            <w:tcW w:w="2483" w:type="pct"/>
            <w:noWrap w:val="0"/>
            <w:vAlign w:val="center"/>
          </w:tcPr>
          <w:p w14:paraId="286582C7">
            <w:pPr>
              <w:wordWrap w:val="0"/>
              <w:spacing w:line="400" w:lineRule="exact"/>
              <w:rPr>
                <w:rFonts w:ascii="宋体" w:hAnsi="宋体"/>
                <w:color w:val="auto"/>
                <w:szCs w:val="21"/>
                <w:highlight w:val="none"/>
              </w:rPr>
            </w:pPr>
            <w:r>
              <w:rPr>
                <w:rFonts w:hint="eastAsia" w:ascii="宋体" w:hAnsi="宋体"/>
                <w:bCs/>
                <w:color w:val="auto"/>
                <w:szCs w:val="21"/>
                <w:highlight w:val="none"/>
              </w:rPr>
              <w:t>详见供应商须知“7、响应文件的签署盖章”的</w:t>
            </w:r>
            <w:r>
              <w:rPr>
                <w:rFonts w:hint="eastAsia" w:ascii="宋体" w:hAnsi="宋体" w:cs="宋体"/>
                <w:color w:val="auto"/>
                <w:szCs w:val="21"/>
                <w:highlight w:val="none"/>
              </w:rPr>
              <w:t>*条款。</w:t>
            </w:r>
          </w:p>
        </w:tc>
        <w:tc>
          <w:tcPr>
            <w:tcW w:w="990" w:type="pct"/>
            <w:noWrap w:val="0"/>
            <w:vAlign w:val="center"/>
          </w:tcPr>
          <w:p w14:paraId="025395FE">
            <w:pPr>
              <w:wordWrap w:val="0"/>
              <w:spacing w:line="400" w:lineRule="exact"/>
              <w:jc w:val="center"/>
              <w:rPr>
                <w:rFonts w:ascii="宋体" w:hAnsi="宋体"/>
                <w:color w:val="auto"/>
                <w:szCs w:val="21"/>
                <w:highlight w:val="none"/>
              </w:rPr>
            </w:pPr>
          </w:p>
        </w:tc>
      </w:tr>
      <w:tr w14:paraId="3FFB6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noWrap w:val="0"/>
            <w:vAlign w:val="center"/>
          </w:tcPr>
          <w:p w14:paraId="665081B1">
            <w:pPr>
              <w:wordWrap w:val="0"/>
              <w:spacing w:line="400" w:lineRule="exact"/>
              <w:jc w:val="center"/>
              <w:rPr>
                <w:rFonts w:ascii="宋体" w:hAnsi="宋体"/>
                <w:color w:val="auto"/>
                <w:szCs w:val="21"/>
                <w:highlight w:val="none"/>
              </w:rPr>
            </w:pPr>
            <w:r>
              <w:rPr>
                <w:rFonts w:hint="eastAsia" w:ascii="宋体" w:hAnsi="宋体"/>
                <w:color w:val="auto"/>
                <w:szCs w:val="21"/>
                <w:highlight w:val="none"/>
              </w:rPr>
              <w:t>5</w:t>
            </w:r>
          </w:p>
        </w:tc>
        <w:tc>
          <w:tcPr>
            <w:tcW w:w="1072" w:type="pct"/>
            <w:noWrap w:val="0"/>
            <w:vAlign w:val="center"/>
          </w:tcPr>
          <w:p w14:paraId="0CAFF57D">
            <w:pPr>
              <w:wordWrap w:val="0"/>
              <w:spacing w:line="400" w:lineRule="exact"/>
              <w:rPr>
                <w:rFonts w:ascii="宋体" w:hAnsi="宋体"/>
                <w:color w:val="auto"/>
                <w:szCs w:val="21"/>
                <w:highlight w:val="none"/>
              </w:rPr>
            </w:pPr>
            <w:r>
              <w:rPr>
                <w:rFonts w:hint="eastAsia" w:ascii="宋体" w:hAnsi="宋体"/>
                <w:color w:val="auto"/>
                <w:szCs w:val="21"/>
                <w:highlight w:val="none"/>
              </w:rPr>
              <w:t>响应文件组成</w:t>
            </w:r>
          </w:p>
        </w:tc>
        <w:tc>
          <w:tcPr>
            <w:tcW w:w="2483" w:type="pct"/>
            <w:noWrap w:val="0"/>
            <w:vAlign w:val="center"/>
          </w:tcPr>
          <w:p w14:paraId="3434E7DD">
            <w:pPr>
              <w:wordWrap w:val="0"/>
              <w:spacing w:line="400" w:lineRule="exact"/>
              <w:rPr>
                <w:rFonts w:hint="eastAsia" w:ascii="宋体" w:hAnsi="宋体"/>
                <w:color w:val="auto"/>
                <w:szCs w:val="21"/>
                <w:highlight w:val="none"/>
              </w:rPr>
            </w:pPr>
            <w:r>
              <w:rPr>
                <w:rFonts w:hint="eastAsia" w:ascii="宋体" w:hAnsi="宋体"/>
                <w:bCs/>
                <w:color w:val="auto"/>
                <w:szCs w:val="21"/>
                <w:highlight w:val="none"/>
              </w:rPr>
              <w:t>详见供应商须知“4.1响应文件的组成”</w:t>
            </w:r>
          </w:p>
        </w:tc>
        <w:tc>
          <w:tcPr>
            <w:tcW w:w="990" w:type="pct"/>
            <w:noWrap w:val="0"/>
            <w:vAlign w:val="center"/>
          </w:tcPr>
          <w:p w14:paraId="1D188962">
            <w:pPr>
              <w:wordWrap w:val="0"/>
              <w:spacing w:line="400" w:lineRule="exact"/>
              <w:jc w:val="center"/>
              <w:rPr>
                <w:rFonts w:ascii="宋体" w:hAnsi="宋体"/>
                <w:color w:val="auto"/>
                <w:szCs w:val="21"/>
                <w:highlight w:val="none"/>
              </w:rPr>
            </w:pPr>
          </w:p>
        </w:tc>
      </w:tr>
      <w:tr w14:paraId="197E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Merge w:val="restart"/>
            <w:noWrap w:val="0"/>
            <w:vAlign w:val="center"/>
          </w:tcPr>
          <w:p w14:paraId="6C14EF6A">
            <w:pPr>
              <w:wordWrap w:val="0"/>
              <w:spacing w:line="400" w:lineRule="exact"/>
              <w:jc w:val="center"/>
              <w:rPr>
                <w:rFonts w:ascii="宋体" w:hAnsi="宋体"/>
                <w:color w:val="auto"/>
                <w:szCs w:val="21"/>
                <w:highlight w:val="none"/>
              </w:rPr>
            </w:pPr>
            <w:r>
              <w:rPr>
                <w:rFonts w:hint="eastAsia" w:ascii="宋体" w:hAnsi="宋体"/>
                <w:color w:val="auto"/>
                <w:szCs w:val="21"/>
                <w:highlight w:val="none"/>
              </w:rPr>
              <w:t>6</w:t>
            </w:r>
          </w:p>
        </w:tc>
        <w:tc>
          <w:tcPr>
            <w:tcW w:w="1072" w:type="pct"/>
            <w:vMerge w:val="restart"/>
            <w:noWrap w:val="0"/>
            <w:vAlign w:val="center"/>
          </w:tcPr>
          <w:p w14:paraId="6E1E4882">
            <w:pPr>
              <w:wordWrap w:val="0"/>
              <w:spacing w:line="400" w:lineRule="exact"/>
              <w:rPr>
                <w:rFonts w:ascii="宋体" w:hAnsi="宋体"/>
                <w:color w:val="auto"/>
                <w:szCs w:val="21"/>
                <w:highlight w:val="none"/>
              </w:rPr>
            </w:pPr>
            <w:r>
              <w:rPr>
                <w:rFonts w:hint="eastAsia" w:ascii="宋体" w:hAnsi="宋体"/>
                <w:color w:val="auto"/>
                <w:szCs w:val="21"/>
                <w:highlight w:val="none"/>
              </w:rPr>
              <w:t>响应报价</w:t>
            </w:r>
          </w:p>
        </w:tc>
        <w:tc>
          <w:tcPr>
            <w:tcW w:w="2483" w:type="pct"/>
            <w:noWrap w:val="0"/>
            <w:vAlign w:val="center"/>
          </w:tcPr>
          <w:p w14:paraId="371926FD">
            <w:pPr>
              <w:wordWrap w:val="0"/>
              <w:spacing w:line="400" w:lineRule="exact"/>
              <w:rPr>
                <w:rFonts w:ascii="宋体" w:hAnsi="宋体"/>
                <w:color w:val="auto"/>
                <w:szCs w:val="21"/>
                <w:highlight w:val="none"/>
              </w:rPr>
            </w:pPr>
            <w:r>
              <w:rPr>
                <w:rFonts w:hint="eastAsia" w:ascii="宋体" w:hAnsi="宋体"/>
                <w:color w:val="auto"/>
                <w:szCs w:val="21"/>
                <w:highlight w:val="none"/>
              </w:rPr>
              <w:t>最高限价：最高限价金额为人民币</w:t>
            </w:r>
            <w:r>
              <w:rPr>
                <w:rFonts w:hint="eastAsia" w:ascii="宋体" w:hAnsi="宋体"/>
                <w:color w:val="auto"/>
                <w:szCs w:val="21"/>
                <w:highlight w:val="none"/>
                <w:u w:val="single"/>
                <w:lang w:val="en-US" w:eastAsia="zh-CN"/>
              </w:rPr>
              <w:t>3292148</w:t>
            </w:r>
            <w:r>
              <w:rPr>
                <w:rFonts w:hint="eastAsia" w:ascii="宋体" w:hAnsi="宋体"/>
                <w:color w:val="auto"/>
                <w:szCs w:val="21"/>
                <w:highlight w:val="none"/>
              </w:rPr>
              <w:t>元</w:t>
            </w:r>
            <w:r>
              <w:rPr>
                <w:rFonts w:hint="eastAsia" w:ascii="宋体" w:hAnsi="宋体" w:cs="宋体"/>
                <w:color w:val="auto"/>
                <w:szCs w:val="21"/>
                <w:highlight w:val="none"/>
              </w:rPr>
              <w:t>[其中暂估价（含暂定综合单价）</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rPr>
              <w:t>元（含税价）</w:t>
            </w:r>
            <w:r>
              <w:rPr>
                <w:rFonts w:ascii="宋体" w:hAnsi="宋体" w:cs="宋体"/>
                <w:color w:val="auto"/>
                <w:szCs w:val="21"/>
                <w:highlight w:val="none"/>
              </w:rPr>
              <w:t>，</w:t>
            </w:r>
            <w:r>
              <w:rPr>
                <w:rFonts w:hint="eastAsia" w:ascii="宋体" w:hAnsi="宋体" w:cs="宋体"/>
                <w:color w:val="auto"/>
                <w:szCs w:val="21"/>
                <w:highlight w:val="none"/>
              </w:rPr>
              <w:t>暂列金额</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rPr>
              <w:t>元（含税价）及其他不可竞争费</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rPr>
              <w:t>元（含税价）]</w:t>
            </w:r>
            <w:r>
              <w:rPr>
                <w:rFonts w:hint="eastAsia" w:ascii="宋体" w:hAnsi="宋体"/>
                <w:color w:val="auto"/>
                <w:szCs w:val="21"/>
                <w:highlight w:val="none"/>
              </w:rPr>
              <w:t>，响应报价超过最高限价的将作无效响应处理，提供“报价一览表”。</w:t>
            </w:r>
          </w:p>
        </w:tc>
        <w:tc>
          <w:tcPr>
            <w:tcW w:w="990" w:type="pct"/>
            <w:noWrap w:val="0"/>
            <w:vAlign w:val="center"/>
          </w:tcPr>
          <w:p w14:paraId="156166D2">
            <w:pPr>
              <w:wordWrap w:val="0"/>
              <w:spacing w:line="400" w:lineRule="exact"/>
              <w:jc w:val="center"/>
              <w:rPr>
                <w:rFonts w:ascii="宋体" w:hAnsi="宋体"/>
                <w:color w:val="auto"/>
                <w:szCs w:val="21"/>
                <w:highlight w:val="none"/>
              </w:rPr>
            </w:pPr>
          </w:p>
        </w:tc>
      </w:tr>
      <w:tr w14:paraId="7F22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54" w:type="pct"/>
            <w:vMerge w:val="continue"/>
            <w:noWrap w:val="0"/>
            <w:vAlign w:val="center"/>
          </w:tcPr>
          <w:p w14:paraId="70F298F5">
            <w:pPr>
              <w:wordWrap w:val="0"/>
              <w:spacing w:line="400" w:lineRule="exact"/>
              <w:jc w:val="center"/>
              <w:rPr>
                <w:rFonts w:ascii="宋体" w:hAnsi="宋体"/>
                <w:color w:val="auto"/>
                <w:szCs w:val="21"/>
                <w:highlight w:val="none"/>
              </w:rPr>
            </w:pPr>
          </w:p>
        </w:tc>
        <w:tc>
          <w:tcPr>
            <w:tcW w:w="1072" w:type="pct"/>
            <w:vMerge w:val="continue"/>
            <w:noWrap w:val="0"/>
            <w:vAlign w:val="center"/>
          </w:tcPr>
          <w:p w14:paraId="6C32B149">
            <w:pPr>
              <w:wordWrap w:val="0"/>
              <w:spacing w:line="400" w:lineRule="exact"/>
              <w:rPr>
                <w:rFonts w:ascii="宋体" w:hAnsi="宋体"/>
                <w:color w:val="auto"/>
                <w:szCs w:val="21"/>
                <w:highlight w:val="none"/>
              </w:rPr>
            </w:pPr>
          </w:p>
        </w:tc>
        <w:tc>
          <w:tcPr>
            <w:tcW w:w="2483" w:type="pct"/>
            <w:noWrap w:val="0"/>
            <w:vAlign w:val="center"/>
          </w:tcPr>
          <w:p w14:paraId="75EFCCE4">
            <w:pPr>
              <w:wordWrap w:val="0"/>
              <w:jc w:val="left"/>
              <w:rPr>
                <w:rFonts w:ascii="宋体" w:hAnsi="宋体"/>
                <w:color w:val="auto"/>
                <w:szCs w:val="21"/>
                <w:highlight w:val="none"/>
              </w:rPr>
            </w:pPr>
            <w:r>
              <w:rPr>
                <w:rFonts w:hint="eastAsia" w:ascii="宋体" w:hAnsi="宋体" w:cs="宋体"/>
                <w:color w:val="auto"/>
                <w:szCs w:val="21"/>
                <w:highlight w:val="none"/>
              </w:rPr>
              <w:t>未擅自变更采购人提供的暂估、暂列金额及其他不可竞争费。</w:t>
            </w:r>
          </w:p>
        </w:tc>
        <w:tc>
          <w:tcPr>
            <w:tcW w:w="990" w:type="pct"/>
            <w:noWrap w:val="0"/>
            <w:vAlign w:val="center"/>
          </w:tcPr>
          <w:p w14:paraId="53EC2B15">
            <w:pPr>
              <w:wordWrap w:val="0"/>
              <w:spacing w:line="400" w:lineRule="exact"/>
              <w:jc w:val="center"/>
              <w:rPr>
                <w:rFonts w:ascii="宋体" w:hAnsi="宋体"/>
                <w:color w:val="auto"/>
                <w:szCs w:val="21"/>
                <w:highlight w:val="none"/>
              </w:rPr>
            </w:pPr>
          </w:p>
        </w:tc>
      </w:tr>
      <w:tr w14:paraId="1BC1E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Merge w:val="continue"/>
            <w:noWrap w:val="0"/>
            <w:vAlign w:val="center"/>
          </w:tcPr>
          <w:p w14:paraId="06B5EA4D">
            <w:pPr>
              <w:wordWrap w:val="0"/>
              <w:spacing w:line="400" w:lineRule="exact"/>
              <w:jc w:val="center"/>
              <w:rPr>
                <w:rFonts w:ascii="宋体" w:hAnsi="宋体"/>
                <w:color w:val="auto"/>
                <w:szCs w:val="21"/>
                <w:highlight w:val="none"/>
              </w:rPr>
            </w:pPr>
          </w:p>
        </w:tc>
        <w:tc>
          <w:tcPr>
            <w:tcW w:w="1072" w:type="pct"/>
            <w:vMerge w:val="continue"/>
            <w:noWrap w:val="0"/>
            <w:vAlign w:val="center"/>
          </w:tcPr>
          <w:p w14:paraId="73F1FE6B">
            <w:pPr>
              <w:wordWrap w:val="0"/>
              <w:spacing w:line="400" w:lineRule="exact"/>
              <w:rPr>
                <w:rFonts w:ascii="宋体" w:hAnsi="宋体"/>
                <w:color w:val="auto"/>
                <w:szCs w:val="21"/>
                <w:highlight w:val="none"/>
              </w:rPr>
            </w:pPr>
          </w:p>
        </w:tc>
        <w:tc>
          <w:tcPr>
            <w:tcW w:w="2483" w:type="pct"/>
            <w:noWrap w:val="0"/>
            <w:vAlign w:val="center"/>
          </w:tcPr>
          <w:p w14:paraId="6C6BF1F1">
            <w:pPr>
              <w:wordWrap w:val="0"/>
              <w:spacing w:line="400" w:lineRule="exact"/>
              <w:rPr>
                <w:rFonts w:ascii="宋体" w:hAnsi="宋体"/>
                <w:color w:val="auto"/>
                <w:szCs w:val="21"/>
                <w:highlight w:val="none"/>
              </w:rPr>
            </w:pPr>
            <w:r>
              <w:rPr>
                <w:rFonts w:hint="eastAsia" w:ascii="宋体" w:hAnsi="宋体"/>
                <w:color w:val="auto"/>
                <w:szCs w:val="21"/>
                <w:highlight w:val="none"/>
              </w:rPr>
              <w:t>评审小组认为供应商的响应报价明显低于其他通过符合性审查供应商的响应报价，有可能影响产品质量或者不能诚信履约的，供应商不能证明其响应报价合理性的；作无效响应处理。</w:t>
            </w:r>
          </w:p>
        </w:tc>
        <w:tc>
          <w:tcPr>
            <w:tcW w:w="990" w:type="pct"/>
            <w:noWrap w:val="0"/>
            <w:vAlign w:val="center"/>
          </w:tcPr>
          <w:p w14:paraId="6E6CE938">
            <w:pPr>
              <w:wordWrap w:val="0"/>
              <w:spacing w:line="400" w:lineRule="exact"/>
              <w:jc w:val="center"/>
              <w:rPr>
                <w:rFonts w:ascii="宋体" w:hAnsi="宋体"/>
                <w:color w:val="auto"/>
                <w:szCs w:val="21"/>
                <w:highlight w:val="none"/>
              </w:rPr>
            </w:pPr>
          </w:p>
        </w:tc>
      </w:tr>
      <w:tr w14:paraId="7A2E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Merge w:val="continue"/>
            <w:noWrap w:val="0"/>
            <w:vAlign w:val="center"/>
          </w:tcPr>
          <w:p w14:paraId="56293821">
            <w:pPr>
              <w:wordWrap w:val="0"/>
              <w:spacing w:line="400" w:lineRule="exact"/>
              <w:jc w:val="center"/>
              <w:rPr>
                <w:rFonts w:ascii="宋体" w:hAnsi="宋体"/>
                <w:color w:val="auto"/>
                <w:szCs w:val="21"/>
                <w:highlight w:val="none"/>
              </w:rPr>
            </w:pPr>
          </w:p>
        </w:tc>
        <w:tc>
          <w:tcPr>
            <w:tcW w:w="1072" w:type="pct"/>
            <w:vMerge w:val="continue"/>
            <w:noWrap w:val="0"/>
            <w:vAlign w:val="center"/>
          </w:tcPr>
          <w:p w14:paraId="6AD6709E">
            <w:pPr>
              <w:wordWrap w:val="0"/>
              <w:spacing w:line="400" w:lineRule="exact"/>
              <w:rPr>
                <w:rFonts w:ascii="宋体" w:hAnsi="宋体"/>
                <w:color w:val="auto"/>
                <w:szCs w:val="21"/>
                <w:highlight w:val="none"/>
              </w:rPr>
            </w:pPr>
          </w:p>
        </w:tc>
        <w:tc>
          <w:tcPr>
            <w:tcW w:w="2483" w:type="pct"/>
            <w:noWrap w:val="0"/>
            <w:vAlign w:val="center"/>
          </w:tcPr>
          <w:p w14:paraId="3766F9A6">
            <w:pPr>
              <w:wordWrap w:val="0"/>
              <w:spacing w:line="400" w:lineRule="exact"/>
              <w:rPr>
                <w:rFonts w:ascii="宋体" w:hAnsi="宋体"/>
                <w:color w:val="auto"/>
                <w:szCs w:val="21"/>
                <w:highlight w:val="none"/>
              </w:rPr>
            </w:pPr>
            <w:r>
              <w:rPr>
                <w:rFonts w:hint="eastAsia" w:ascii="宋体" w:hAnsi="宋体"/>
                <w:color w:val="auto"/>
                <w:szCs w:val="21"/>
                <w:highlight w:val="none"/>
              </w:rPr>
              <w:t>评审小组经过审查，认定供应商响应报价低于成本价的，作无效响应处理。</w:t>
            </w:r>
          </w:p>
        </w:tc>
        <w:tc>
          <w:tcPr>
            <w:tcW w:w="990" w:type="pct"/>
            <w:noWrap w:val="0"/>
            <w:vAlign w:val="center"/>
          </w:tcPr>
          <w:p w14:paraId="77025A35">
            <w:pPr>
              <w:wordWrap w:val="0"/>
              <w:spacing w:line="400" w:lineRule="exact"/>
              <w:jc w:val="center"/>
              <w:rPr>
                <w:rFonts w:ascii="宋体" w:hAnsi="宋体"/>
                <w:color w:val="auto"/>
                <w:szCs w:val="21"/>
                <w:highlight w:val="none"/>
              </w:rPr>
            </w:pPr>
          </w:p>
        </w:tc>
      </w:tr>
      <w:tr w14:paraId="69FD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noWrap w:val="0"/>
            <w:vAlign w:val="center"/>
          </w:tcPr>
          <w:p w14:paraId="14DA9C6D">
            <w:pPr>
              <w:wordWrap w:val="0"/>
              <w:spacing w:line="400" w:lineRule="exact"/>
              <w:jc w:val="center"/>
              <w:rPr>
                <w:rFonts w:ascii="宋体" w:hAnsi="宋体"/>
                <w:color w:val="auto"/>
                <w:szCs w:val="21"/>
                <w:highlight w:val="none"/>
              </w:rPr>
            </w:pPr>
            <w:r>
              <w:rPr>
                <w:rFonts w:hint="eastAsia" w:ascii="宋体" w:hAnsi="宋体"/>
                <w:color w:val="auto"/>
                <w:szCs w:val="21"/>
                <w:highlight w:val="none"/>
              </w:rPr>
              <w:t>7</w:t>
            </w:r>
          </w:p>
        </w:tc>
        <w:tc>
          <w:tcPr>
            <w:tcW w:w="1072" w:type="pct"/>
            <w:noWrap w:val="0"/>
            <w:vAlign w:val="center"/>
          </w:tcPr>
          <w:p w14:paraId="0474D579">
            <w:pPr>
              <w:wordWrap w:val="0"/>
              <w:spacing w:line="400" w:lineRule="exact"/>
              <w:rPr>
                <w:rFonts w:ascii="宋体" w:hAnsi="宋体"/>
                <w:color w:val="auto"/>
                <w:szCs w:val="21"/>
                <w:highlight w:val="none"/>
              </w:rPr>
            </w:pPr>
            <w:r>
              <w:rPr>
                <w:rFonts w:hint="eastAsia" w:ascii="宋体" w:hAnsi="宋体"/>
                <w:color w:val="auto"/>
                <w:szCs w:val="21"/>
                <w:highlight w:val="none"/>
              </w:rPr>
              <w:t>不存在两家或两家以上供应商的单位负责人为同一人或者存在直接控股、管理关系</w:t>
            </w:r>
          </w:p>
        </w:tc>
        <w:tc>
          <w:tcPr>
            <w:tcW w:w="2483" w:type="pct"/>
            <w:noWrap w:val="0"/>
            <w:vAlign w:val="center"/>
          </w:tcPr>
          <w:p w14:paraId="6B6F4910">
            <w:pPr>
              <w:wordWrap w:val="0"/>
              <w:spacing w:line="400" w:lineRule="exact"/>
              <w:rPr>
                <w:rFonts w:ascii="宋体" w:hAnsi="宋体"/>
                <w:color w:val="auto"/>
                <w:szCs w:val="21"/>
                <w:highlight w:val="none"/>
              </w:rPr>
            </w:pPr>
            <w:r>
              <w:rPr>
                <w:rFonts w:hint="eastAsia" w:ascii="宋体" w:hAnsi="宋体"/>
                <w:color w:val="auto"/>
                <w:szCs w:val="21"/>
                <w:highlight w:val="none"/>
              </w:rPr>
              <w:t>符合所述要求。</w:t>
            </w:r>
          </w:p>
        </w:tc>
        <w:tc>
          <w:tcPr>
            <w:tcW w:w="990" w:type="pct"/>
            <w:noWrap w:val="0"/>
            <w:vAlign w:val="center"/>
          </w:tcPr>
          <w:p w14:paraId="1F87C818">
            <w:pPr>
              <w:wordWrap w:val="0"/>
              <w:spacing w:line="400" w:lineRule="exact"/>
              <w:jc w:val="center"/>
              <w:rPr>
                <w:rFonts w:ascii="宋体" w:hAnsi="宋体"/>
                <w:color w:val="auto"/>
                <w:szCs w:val="21"/>
                <w:highlight w:val="none"/>
              </w:rPr>
            </w:pPr>
          </w:p>
        </w:tc>
      </w:tr>
      <w:tr w14:paraId="3DB7A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noWrap w:val="0"/>
            <w:vAlign w:val="center"/>
          </w:tcPr>
          <w:p w14:paraId="597E2E69">
            <w:pPr>
              <w:wordWrap w:val="0"/>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1072" w:type="pct"/>
            <w:noWrap w:val="0"/>
            <w:vAlign w:val="center"/>
          </w:tcPr>
          <w:p w14:paraId="78989F8A">
            <w:pPr>
              <w:wordWrap w:val="0"/>
              <w:spacing w:line="400" w:lineRule="exact"/>
              <w:rPr>
                <w:rFonts w:ascii="宋体" w:hAnsi="宋体"/>
                <w:color w:val="auto"/>
                <w:szCs w:val="21"/>
                <w:highlight w:val="none"/>
              </w:rPr>
            </w:pPr>
            <w:r>
              <w:rPr>
                <w:rFonts w:hint="eastAsia" w:ascii="宋体" w:hAnsi="宋体"/>
                <w:color w:val="auto"/>
                <w:szCs w:val="21"/>
                <w:highlight w:val="none"/>
              </w:rPr>
              <w:t>符合实质性条款（带</w:t>
            </w:r>
            <w:r>
              <w:rPr>
                <w:rFonts w:ascii="宋体" w:hAnsi="宋体"/>
                <w:color w:val="auto"/>
                <w:szCs w:val="21"/>
                <w:highlight w:val="none"/>
              </w:rPr>
              <w:t>*</w:t>
            </w:r>
            <w:r>
              <w:rPr>
                <w:rFonts w:hint="eastAsia" w:ascii="宋体" w:hAnsi="宋体"/>
                <w:color w:val="auto"/>
                <w:szCs w:val="21"/>
                <w:highlight w:val="none"/>
              </w:rPr>
              <w:t>号条款）</w:t>
            </w:r>
          </w:p>
        </w:tc>
        <w:tc>
          <w:tcPr>
            <w:tcW w:w="2483" w:type="pct"/>
            <w:noWrap w:val="0"/>
            <w:vAlign w:val="center"/>
          </w:tcPr>
          <w:p w14:paraId="44B6C8AA">
            <w:pPr>
              <w:wordWrap w:val="0"/>
              <w:spacing w:line="400" w:lineRule="exact"/>
              <w:rPr>
                <w:rFonts w:ascii="宋体" w:hAnsi="宋体"/>
                <w:color w:val="auto"/>
                <w:szCs w:val="21"/>
                <w:highlight w:val="none"/>
              </w:rPr>
            </w:pPr>
            <w:r>
              <w:rPr>
                <w:rFonts w:hint="eastAsia" w:ascii="宋体" w:hAnsi="宋体"/>
                <w:color w:val="auto"/>
                <w:szCs w:val="21"/>
                <w:highlight w:val="none"/>
              </w:rPr>
              <w:t>符合所述要求。</w:t>
            </w:r>
          </w:p>
        </w:tc>
        <w:tc>
          <w:tcPr>
            <w:tcW w:w="990" w:type="pct"/>
            <w:noWrap w:val="0"/>
            <w:vAlign w:val="center"/>
          </w:tcPr>
          <w:p w14:paraId="64E74615">
            <w:pPr>
              <w:wordWrap w:val="0"/>
              <w:spacing w:line="400" w:lineRule="exact"/>
              <w:jc w:val="center"/>
              <w:rPr>
                <w:rFonts w:ascii="宋体" w:hAnsi="宋体"/>
                <w:color w:val="auto"/>
                <w:szCs w:val="21"/>
                <w:highlight w:val="none"/>
              </w:rPr>
            </w:pPr>
          </w:p>
        </w:tc>
      </w:tr>
      <w:tr w14:paraId="7D00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Merge w:val="restart"/>
            <w:noWrap w:val="0"/>
            <w:vAlign w:val="center"/>
          </w:tcPr>
          <w:p w14:paraId="1A517353">
            <w:pPr>
              <w:wordWrap w:val="0"/>
              <w:spacing w:line="400" w:lineRule="exact"/>
              <w:jc w:val="center"/>
              <w:rPr>
                <w:rFonts w:ascii="宋体" w:hAnsi="宋体"/>
                <w:color w:val="auto"/>
                <w:szCs w:val="21"/>
                <w:highlight w:val="none"/>
              </w:rPr>
            </w:pPr>
            <w:r>
              <w:rPr>
                <w:rFonts w:hint="eastAsia" w:ascii="宋体" w:hAnsi="宋体"/>
                <w:color w:val="auto"/>
                <w:szCs w:val="21"/>
                <w:highlight w:val="none"/>
              </w:rPr>
              <w:t>9</w:t>
            </w:r>
          </w:p>
        </w:tc>
        <w:tc>
          <w:tcPr>
            <w:tcW w:w="1072" w:type="pct"/>
            <w:vMerge w:val="restart"/>
            <w:noWrap w:val="0"/>
            <w:vAlign w:val="center"/>
          </w:tcPr>
          <w:p w14:paraId="31CF9CB9">
            <w:pPr>
              <w:wordWrap w:val="0"/>
              <w:spacing w:line="400" w:lineRule="exact"/>
              <w:rPr>
                <w:rFonts w:ascii="宋体" w:hAnsi="宋体"/>
                <w:color w:val="auto"/>
                <w:szCs w:val="21"/>
                <w:highlight w:val="none"/>
              </w:rPr>
            </w:pPr>
            <w:r>
              <w:rPr>
                <w:rFonts w:hint="eastAsia" w:ascii="宋体" w:hAnsi="宋体"/>
                <w:color w:val="auto"/>
                <w:szCs w:val="21"/>
                <w:highlight w:val="none"/>
              </w:rPr>
              <w:t>其他无效响应认定情形</w:t>
            </w:r>
          </w:p>
        </w:tc>
        <w:tc>
          <w:tcPr>
            <w:tcW w:w="2483" w:type="pct"/>
            <w:noWrap w:val="0"/>
            <w:vAlign w:val="center"/>
          </w:tcPr>
          <w:p w14:paraId="2D4BC000">
            <w:pPr>
              <w:wordWrap w:val="0"/>
              <w:spacing w:line="400" w:lineRule="exact"/>
              <w:rPr>
                <w:rFonts w:ascii="宋体" w:hAnsi="宋体"/>
                <w:color w:val="auto"/>
                <w:szCs w:val="21"/>
                <w:highlight w:val="none"/>
              </w:rPr>
            </w:pPr>
            <w:r>
              <w:rPr>
                <w:rFonts w:hint="eastAsia" w:ascii="宋体" w:hAnsi="宋体"/>
                <w:color w:val="auto"/>
                <w:szCs w:val="21"/>
                <w:highlight w:val="none"/>
              </w:rPr>
              <w:t>采购需求响应表中有缺项、漏项且评审小组认定该缺项、漏项使得响应文件没有对采购文件的要求作出实质性响应的。</w:t>
            </w:r>
          </w:p>
        </w:tc>
        <w:tc>
          <w:tcPr>
            <w:tcW w:w="990" w:type="pct"/>
            <w:noWrap w:val="0"/>
            <w:vAlign w:val="center"/>
          </w:tcPr>
          <w:p w14:paraId="50F4EF59">
            <w:pPr>
              <w:wordWrap w:val="0"/>
              <w:spacing w:line="400" w:lineRule="exact"/>
              <w:jc w:val="center"/>
              <w:rPr>
                <w:rFonts w:ascii="宋体" w:hAnsi="宋体"/>
                <w:color w:val="auto"/>
                <w:szCs w:val="21"/>
                <w:highlight w:val="none"/>
              </w:rPr>
            </w:pPr>
          </w:p>
        </w:tc>
      </w:tr>
      <w:tr w14:paraId="5027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Merge w:val="continue"/>
            <w:noWrap w:val="0"/>
            <w:vAlign w:val="center"/>
          </w:tcPr>
          <w:p w14:paraId="218A2817">
            <w:pPr>
              <w:wordWrap w:val="0"/>
              <w:spacing w:line="400" w:lineRule="exact"/>
              <w:jc w:val="center"/>
              <w:rPr>
                <w:rFonts w:ascii="宋体" w:hAnsi="宋体"/>
                <w:color w:val="auto"/>
                <w:szCs w:val="21"/>
                <w:highlight w:val="none"/>
              </w:rPr>
            </w:pPr>
          </w:p>
        </w:tc>
        <w:tc>
          <w:tcPr>
            <w:tcW w:w="1072" w:type="pct"/>
            <w:vMerge w:val="continue"/>
            <w:noWrap w:val="0"/>
            <w:vAlign w:val="center"/>
          </w:tcPr>
          <w:p w14:paraId="7F4CBC04">
            <w:pPr>
              <w:wordWrap w:val="0"/>
              <w:spacing w:line="400" w:lineRule="exact"/>
              <w:rPr>
                <w:rFonts w:ascii="宋体" w:hAnsi="宋体"/>
                <w:color w:val="auto"/>
                <w:szCs w:val="21"/>
                <w:highlight w:val="none"/>
              </w:rPr>
            </w:pPr>
          </w:p>
        </w:tc>
        <w:tc>
          <w:tcPr>
            <w:tcW w:w="2483" w:type="pct"/>
            <w:noWrap w:val="0"/>
            <w:vAlign w:val="center"/>
          </w:tcPr>
          <w:p w14:paraId="125A97E1">
            <w:pPr>
              <w:wordWrap w:val="0"/>
              <w:spacing w:line="400" w:lineRule="exact"/>
              <w:rPr>
                <w:rFonts w:ascii="宋体" w:hAnsi="宋体"/>
                <w:color w:val="auto"/>
                <w:szCs w:val="21"/>
                <w:highlight w:val="none"/>
              </w:rPr>
            </w:pPr>
            <w:r>
              <w:rPr>
                <w:rFonts w:hint="eastAsia" w:ascii="宋体" w:hAnsi="宋体"/>
                <w:color w:val="auto"/>
                <w:szCs w:val="21"/>
                <w:highlight w:val="none"/>
              </w:rPr>
              <w:t>供应商的分部分项工程量清单与采购人提供的对应工程量清单中的项目编码、项目名称、项目特征、计量单位、工程量应一致，不得缺项。</w:t>
            </w:r>
          </w:p>
        </w:tc>
        <w:tc>
          <w:tcPr>
            <w:tcW w:w="990" w:type="pct"/>
            <w:noWrap w:val="0"/>
            <w:vAlign w:val="center"/>
          </w:tcPr>
          <w:p w14:paraId="299A9BE3">
            <w:pPr>
              <w:wordWrap w:val="0"/>
              <w:spacing w:line="400" w:lineRule="exact"/>
              <w:jc w:val="center"/>
              <w:rPr>
                <w:rFonts w:ascii="宋体" w:hAnsi="宋体"/>
                <w:color w:val="auto"/>
                <w:szCs w:val="21"/>
                <w:highlight w:val="none"/>
              </w:rPr>
            </w:pPr>
          </w:p>
        </w:tc>
      </w:tr>
      <w:tr w14:paraId="0142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Merge w:val="continue"/>
            <w:noWrap w:val="0"/>
            <w:vAlign w:val="center"/>
          </w:tcPr>
          <w:p w14:paraId="6F2EC700">
            <w:pPr>
              <w:wordWrap w:val="0"/>
              <w:spacing w:line="400" w:lineRule="exact"/>
              <w:jc w:val="center"/>
              <w:rPr>
                <w:rFonts w:ascii="宋体" w:hAnsi="宋体"/>
                <w:color w:val="auto"/>
                <w:szCs w:val="21"/>
                <w:highlight w:val="none"/>
              </w:rPr>
            </w:pPr>
          </w:p>
        </w:tc>
        <w:tc>
          <w:tcPr>
            <w:tcW w:w="1072" w:type="pct"/>
            <w:vMerge w:val="continue"/>
            <w:noWrap w:val="0"/>
            <w:vAlign w:val="center"/>
          </w:tcPr>
          <w:p w14:paraId="6B9AA367">
            <w:pPr>
              <w:wordWrap w:val="0"/>
              <w:spacing w:line="400" w:lineRule="exact"/>
              <w:rPr>
                <w:rFonts w:ascii="宋体" w:hAnsi="宋体"/>
                <w:color w:val="auto"/>
                <w:szCs w:val="21"/>
                <w:highlight w:val="none"/>
              </w:rPr>
            </w:pPr>
          </w:p>
        </w:tc>
        <w:tc>
          <w:tcPr>
            <w:tcW w:w="2483" w:type="pct"/>
            <w:noWrap w:val="0"/>
            <w:vAlign w:val="center"/>
          </w:tcPr>
          <w:p w14:paraId="654531AB">
            <w:pPr>
              <w:wordWrap w:val="0"/>
              <w:spacing w:line="400" w:lineRule="exact"/>
              <w:rPr>
                <w:rFonts w:ascii="宋体" w:hAnsi="宋体"/>
                <w:color w:val="auto"/>
                <w:szCs w:val="21"/>
                <w:highlight w:val="none"/>
              </w:rPr>
            </w:pPr>
            <w:r>
              <w:rPr>
                <w:rFonts w:hint="eastAsia" w:ascii="宋体" w:hAnsi="宋体"/>
                <w:color w:val="auto"/>
                <w:szCs w:val="21"/>
                <w:highlight w:val="none"/>
              </w:rPr>
              <w:t>评审小组经过审查，认定供应商提供虚假材料响应的。</w:t>
            </w:r>
          </w:p>
        </w:tc>
        <w:tc>
          <w:tcPr>
            <w:tcW w:w="990" w:type="pct"/>
            <w:noWrap w:val="0"/>
            <w:vAlign w:val="center"/>
          </w:tcPr>
          <w:p w14:paraId="5866934F">
            <w:pPr>
              <w:wordWrap w:val="0"/>
              <w:spacing w:line="400" w:lineRule="exact"/>
              <w:jc w:val="center"/>
              <w:rPr>
                <w:rFonts w:ascii="宋体" w:hAnsi="宋体"/>
                <w:color w:val="auto"/>
                <w:szCs w:val="21"/>
                <w:highlight w:val="none"/>
              </w:rPr>
            </w:pPr>
          </w:p>
        </w:tc>
      </w:tr>
      <w:tr w14:paraId="18E4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Merge w:val="continue"/>
            <w:noWrap w:val="0"/>
            <w:vAlign w:val="center"/>
          </w:tcPr>
          <w:p w14:paraId="01461653">
            <w:pPr>
              <w:wordWrap w:val="0"/>
              <w:spacing w:line="400" w:lineRule="exact"/>
              <w:jc w:val="center"/>
              <w:rPr>
                <w:rFonts w:ascii="宋体" w:hAnsi="宋体"/>
                <w:color w:val="auto"/>
                <w:szCs w:val="21"/>
                <w:highlight w:val="none"/>
              </w:rPr>
            </w:pPr>
          </w:p>
        </w:tc>
        <w:tc>
          <w:tcPr>
            <w:tcW w:w="1072" w:type="pct"/>
            <w:vMerge w:val="continue"/>
            <w:noWrap w:val="0"/>
            <w:vAlign w:val="center"/>
          </w:tcPr>
          <w:p w14:paraId="69C5F430">
            <w:pPr>
              <w:wordWrap w:val="0"/>
              <w:spacing w:line="400" w:lineRule="exact"/>
              <w:rPr>
                <w:rFonts w:ascii="宋体" w:hAnsi="宋体"/>
                <w:color w:val="auto"/>
                <w:szCs w:val="21"/>
                <w:highlight w:val="none"/>
              </w:rPr>
            </w:pPr>
          </w:p>
        </w:tc>
        <w:tc>
          <w:tcPr>
            <w:tcW w:w="2483" w:type="pct"/>
            <w:noWrap w:val="0"/>
            <w:vAlign w:val="center"/>
          </w:tcPr>
          <w:p w14:paraId="7F48A73C">
            <w:pPr>
              <w:wordWrap w:val="0"/>
              <w:spacing w:line="400" w:lineRule="exact"/>
              <w:rPr>
                <w:rFonts w:ascii="宋体" w:hAnsi="宋体"/>
                <w:color w:val="auto"/>
                <w:szCs w:val="21"/>
                <w:highlight w:val="none"/>
              </w:rPr>
            </w:pPr>
            <w:r>
              <w:rPr>
                <w:rFonts w:hint="eastAsia" w:ascii="宋体" w:hAnsi="宋体"/>
                <w:color w:val="auto"/>
                <w:szCs w:val="21"/>
                <w:highlight w:val="none"/>
              </w:rPr>
              <w:t>本项目采购文件规定的其他无效响应认定情形。</w:t>
            </w:r>
          </w:p>
        </w:tc>
        <w:tc>
          <w:tcPr>
            <w:tcW w:w="990" w:type="pct"/>
            <w:noWrap w:val="0"/>
            <w:vAlign w:val="center"/>
          </w:tcPr>
          <w:p w14:paraId="2AC47275">
            <w:pPr>
              <w:wordWrap w:val="0"/>
              <w:spacing w:line="400" w:lineRule="exact"/>
              <w:jc w:val="center"/>
              <w:rPr>
                <w:rFonts w:ascii="宋体" w:hAnsi="宋体"/>
                <w:color w:val="auto"/>
                <w:szCs w:val="21"/>
                <w:highlight w:val="none"/>
              </w:rPr>
            </w:pPr>
          </w:p>
        </w:tc>
      </w:tr>
      <w:tr w14:paraId="760B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9" w:type="pct"/>
            <w:gridSpan w:val="3"/>
            <w:noWrap w:val="0"/>
            <w:vAlign w:val="center"/>
          </w:tcPr>
          <w:p w14:paraId="7C0B3FB5">
            <w:pPr>
              <w:wordWrap w:val="0"/>
              <w:spacing w:line="400" w:lineRule="exact"/>
              <w:jc w:val="center"/>
              <w:rPr>
                <w:rFonts w:ascii="宋体" w:hAnsi="宋体"/>
                <w:color w:val="auto"/>
                <w:szCs w:val="21"/>
                <w:highlight w:val="none"/>
              </w:rPr>
            </w:pPr>
            <w:r>
              <w:rPr>
                <w:rFonts w:hint="eastAsia" w:ascii="宋体" w:hAnsi="宋体"/>
                <w:color w:val="auto"/>
                <w:szCs w:val="21"/>
                <w:highlight w:val="none"/>
              </w:rPr>
              <w:t>审查结论（合格</w:t>
            </w:r>
            <w:r>
              <w:rPr>
                <w:rFonts w:ascii="宋体" w:hAnsi="宋体"/>
                <w:color w:val="auto"/>
                <w:szCs w:val="21"/>
                <w:highlight w:val="none"/>
              </w:rPr>
              <w:t>/</w:t>
            </w:r>
            <w:r>
              <w:rPr>
                <w:rFonts w:hint="eastAsia" w:ascii="宋体" w:hAnsi="宋体"/>
                <w:color w:val="auto"/>
                <w:szCs w:val="21"/>
                <w:highlight w:val="none"/>
              </w:rPr>
              <w:t>不合格）</w:t>
            </w:r>
          </w:p>
        </w:tc>
        <w:tc>
          <w:tcPr>
            <w:tcW w:w="990" w:type="pct"/>
            <w:noWrap w:val="0"/>
            <w:vAlign w:val="center"/>
          </w:tcPr>
          <w:p w14:paraId="794BC244">
            <w:pPr>
              <w:wordWrap w:val="0"/>
              <w:spacing w:line="400" w:lineRule="exact"/>
              <w:jc w:val="center"/>
              <w:rPr>
                <w:rFonts w:ascii="宋体" w:hAnsi="宋体"/>
                <w:color w:val="auto"/>
                <w:szCs w:val="21"/>
                <w:highlight w:val="none"/>
              </w:rPr>
            </w:pPr>
          </w:p>
        </w:tc>
      </w:tr>
    </w:tbl>
    <w:p w14:paraId="57EAD85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w:t>
      </w:r>
      <w:bookmarkEnd w:id="86"/>
      <w:r>
        <w:rPr>
          <w:rFonts w:hint="eastAsia" w:ascii="宋体" w:hAnsi="宋体" w:cs="宋体"/>
          <w:color w:val="auto"/>
          <w:szCs w:val="21"/>
          <w:highlight w:val="none"/>
        </w:rPr>
        <w:t>商务技术文件评审(总分70分)</w:t>
      </w:r>
    </w:p>
    <w:p w14:paraId="4578D62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资格审查评审以及符合性审查评审均合格后，进入下一步评审打分工作。</w:t>
      </w:r>
    </w:p>
    <w:tbl>
      <w:tblPr>
        <w:tblStyle w:val="51"/>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30"/>
        <w:gridCol w:w="7218"/>
        <w:gridCol w:w="754"/>
      </w:tblGrid>
      <w:tr w14:paraId="1073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152" w:type="dxa"/>
            <w:gridSpan w:val="3"/>
            <w:tcBorders>
              <w:tl2br w:val="single" w:color="auto" w:sz="4" w:space="0"/>
            </w:tcBorders>
            <w:noWrap w:val="0"/>
            <w:vAlign w:val="center"/>
          </w:tcPr>
          <w:p w14:paraId="460DFC8E">
            <w:pPr>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供应商</w:t>
            </w:r>
          </w:p>
          <w:p w14:paraId="74E33B9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分值</w:t>
            </w:r>
          </w:p>
        </w:tc>
        <w:tc>
          <w:tcPr>
            <w:tcW w:w="754" w:type="dxa"/>
            <w:noWrap w:val="0"/>
            <w:vAlign w:val="center"/>
          </w:tcPr>
          <w:p w14:paraId="204695F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分值范围</w:t>
            </w:r>
          </w:p>
        </w:tc>
      </w:tr>
      <w:tr w14:paraId="55E6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704" w:type="dxa"/>
            <w:vMerge w:val="restart"/>
            <w:noWrap w:val="0"/>
            <w:vAlign w:val="center"/>
          </w:tcPr>
          <w:p w14:paraId="4EE1738A">
            <w:pPr>
              <w:spacing w:line="360" w:lineRule="auto"/>
              <w:jc w:val="center"/>
              <w:rPr>
                <w:rFonts w:ascii="宋体" w:hAnsi="宋体" w:cs="宋体"/>
                <w:color w:val="auto"/>
                <w:highlight w:val="none"/>
              </w:rPr>
            </w:pPr>
            <w:r>
              <w:rPr>
                <w:rFonts w:hint="eastAsia" w:ascii="宋体" w:hAnsi="宋体" w:cs="宋体"/>
                <w:color w:val="auto"/>
                <w:highlight w:val="none"/>
              </w:rPr>
              <w:t>商务技术（70分）</w:t>
            </w:r>
          </w:p>
        </w:tc>
        <w:tc>
          <w:tcPr>
            <w:tcW w:w="1230" w:type="dxa"/>
            <w:noWrap w:val="0"/>
            <w:vAlign w:val="center"/>
          </w:tcPr>
          <w:p w14:paraId="7115992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施工现场平面布置</w:t>
            </w:r>
          </w:p>
        </w:tc>
        <w:tc>
          <w:tcPr>
            <w:tcW w:w="7218" w:type="dxa"/>
            <w:noWrap w:val="0"/>
            <w:vAlign w:val="center"/>
          </w:tcPr>
          <w:p w14:paraId="77C9AAB3">
            <w:pPr>
              <w:rPr>
                <w:rFonts w:hint="eastAsia" w:ascii="宋体" w:hAnsi="宋体" w:cs="宋体"/>
                <w:color w:val="auto"/>
                <w:highlight w:val="none"/>
              </w:rPr>
            </w:pPr>
            <w:r>
              <w:rPr>
                <w:rFonts w:hint="eastAsia" w:ascii="宋体" w:hAnsi="宋体" w:cs="宋体"/>
                <w:color w:val="auto"/>
                <w:highlight w:val="none"/>
              </w:rPr>
              <w:t>根据</w:t>
            </w:r>
            <w:r>
              <w:rPr>
                <w:rFonts w:hint="eastAsia" w:ascii="宋体" w:hAnsi="宋体" w:cs="宋体"/>
                <w:color w:val="auto"/>
                <w:highlight w:val="none"/>
                <w:lang w:val="en-US" w:eastAsia="zh-CN"/>
              </w:rPr>
              <w:t>供应商针对本项目拟定的</w:t>
            </w:r>
            <w:r>
              <w:rPr>
                <w:rFonts w:hint="eastAsia" w:ascii="宋体" w:hAnsi="宋体" w:cs="宋体"/>
                <w:color w:val="auto"/>
                <w:highlight w:val="none"/>
              </w:rPr>
              <w:t>施工现场平面布置</w:t>
            </w:r>
            <w:r>
              <w:rPr>
                <w:rFonts w:hint="eastAsia" w:ascii="宋体" w:hAnsi="宋体" w:cs="宋体"/>
                <w:color w:val="auto"/>
                <w:highlight w:val="none"/>
                <w:lang w:val="en-US" w:eastAsia="zh-CN"/>
              </w:rPr>
              <w:t>方案</w:t>
            </w:r>
            <w:r>
              <w:rPr>
                <w:rFonts w:hint="eastAsia" w:ascii="宋体" w:hAnsi="宋体" w:cs="宋体"/>
                <w:color w:val="auto"/>
                <w:highlight w:val="none"/>
              </w:rPr>
              <w:t>（包含但不仅限于方案详实情况；施工现场临时设置布置情况；施工设备、原材料堆放情况；</w:t>
            </w:r>
            <w:r>
              <w:rPr>
                <w:rFonts w:hint="eastAsia" w:ascii="宋体" w:hAnsi="宋体" w:cs="宋体"/>
                <w:color w:val="auto"/>
                <w:highlight w:val="none"/>
                <w:lang w:val="en-US" w:eastAsia="zh-CN"/>
              </w:rPr>
              <w:t>交通运输情况</w:t>
            </w:r>
            <w:r>
              <w:rPr>
                <w:rFonts w:hint="eastAsia" w:ascii="宋体" w:hAnsi="宋体" w:cs="宋体"/>
                <w:color w:val="auto"/>
                <w:highlight w:val="none"/>
              </w:rPr>
              <w:t>等）进行综合评议，最高得6分。</w:t>
            </w:r>
          </w:p>
          <w:p w14:paraId="00E97104">
            <w:pPr>
              <w:rPr>
                <w:rFonts w:hint="eastAsia" w:ascii="宋体" w:hAnsi="宋体" w:cs="宋体"/>
                <w:color w:val="auto"/>
                <w:highlight w:val="none"/>
              </w:rPr>
            </w:pPr>
            <w:r>
              <w:rPr>
                <w:rFonts w:hint="eastAsia" w:ascii="宋体" w:hAnsi="宋体" w:cs="宋体"/>
                <w:color w:val="auto"/>
                <w:highlight w:val="none"/>
              </w:rPr>
              <w:t>平面布置方案内容完整详实，施工现场临时设施布置规范齐全，施工设备、原材料堆放有序，</w:t>
            </w:r>
            <w:r>
              <w:rPr>
                <w:rFonts w:hint="eastAsia" w:ascii="宋体" w:hAnsi="宋体" w:cs="宋体"/>
                <w:color w:val="auto"/>
                <w:highlight w:val="none"/>
                <w:lang w:val="en-US" w:eastAsia="zh-CN"/>
              </w:rPr>
              <w:t>运输道路畅通</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有利于各子项目并行施工</w:t>
            </w:r>
            <w:r>
              <w:rPr>
                <w:rFonts w:hint="eastAsia" w:ascii="宋体" w:hAnsi="宋体" w:cs="宋体"/>
                <w:color w:val="auto"/>
                <w:highlight w:val="none"/>
              </w:rPr>
              <w:t>的得6分；</w:t>
            </w:r>
          </w:p>
          <w:p w14:paraId="46B53AC9">
            <w:pPr>
              <w:rPr>
                <w:rFonts w:hint="eastAsia" w:ascii="宋体" w:hAnsi="宋体" w:cs="宋体"/>
                <w:color w:val="auto"/>
                <w:highlight w:val="none"/>
              </w:rPr>
            </w:pPr>
            <w:r>
              <w:rPr>
                <w:rFonts w:hint="eastAsia" w:ascii="宋体" w:hAnsi="宋体" w:cs="宋体"/>
                <w:color w:val="auto"/>
                <w:highlight w:val="none"/>
              </w:rPr>
              <w:t>平面布置方案内容</w:t>
            </w:r>
            <w:r>
              <w:rPr>
                <w:rFonts w:hint="eastAsia" w:ascii="宋体" w:hAnsi="宋体" w:cs="宋体"/>
                <w:color w:val="auto"/>
                <w:highlight w:val="none"/>
                <w:lang w:val="en-US" w:eastAsia="zh-CN"/>
              </w:rPr>
              <w:t>基本</w:t>
            </w:r>
            <w:r>
              <w:rPr>
                <w:rFonts w:hint="eastAsia" w:ascii="宋体" w:hAnsi="宋体" w:cs="宋体"/>
                <w:color w:val="auto"/>
                <w:highlight w:val="none"/>
              </w:rPr>
              <w:t>完整，施工现场临时设施布置</w:t>
            </w:r>
            <w:r>
              <w:rPr>
                <w:rFonts w:hint="eastAsia" w:ascii="宋体" w:hAnsi="宋体" w:cs="宋体"/>
                <w:color w:val="auto"/>
                <w:highlight w:val="none"/>
                <w:lang w:val="en-US" w:eastAsia="zh-CN"/>
              </w:rPr>
              <w:t>不全</w:t>
            </w:r>
            <w:r>
              <w:rPr>
                <w:rFonts w:hint="eastAsia" w:ascii="宋体" w:hAnsi="宋体" w:cs="宋体"/>
                <w:color w:val="auto"/>
                <w:highlight w:val="none"/>
              </w:rPr>
              <w:t>，施工设备、原材料堆放</w:t>
            </w:r>
            <w:r>
              <w:rPr>
                <w:rFonts w:hint="eastAsia" w:ascii="宋体" w:hAnsi="宋体" w:cs="宋体"/>
                <w:color w:val="auto"/>
                <w:highlight w:val="none"/>
                <w:lang w:val="en-US" w:eastAsia="zh-CN"/>
              </w:rPr>
              <w:t>混乱</w:t>
            </w:r>
            <w:r>
              <w:rPr>
                <w:rFonts w:hint="eastAsia" w:ascii="宋体" w:hAnsi="宋体" w:cs="宋体"/>
                <w:color w:val="auto"/>
                <w:highlight w:val="none"/>
              </w:rPr>
              <w:t>，</w:t>
            </w:r>
            <w:r>
              <w:rPr>
                <w:rFonts w:hint="eastAsia" w:ascii="宋体" w:hAnsi="宋体" w:cs="宋体"/>
                <w:color w:val="auto"/>
                <w:highlight w:val="none"/>
                <w:lang w:val="en-US" w:eastAsia="zh-CN"/>
              </w:rPr>
              <w:t>运输道路可通行</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各子项目施工互不干扰</w:t>
            </w:r>
            <w:r>
              <w:rPr>
                <w:rFonts w:hint="eastAsia" w:ascii="宋体" w:hAnsi="宋体" w:cs="宋体"/>
                <w:color w:val="auto"/>
                <w:highlight w:val="none"/>
              </w:rPr>
              <w:t>的得</w:t>
            </w:r>
            <w:r>
              <w:rPr>
                <w:rFonts w:hint="eastAsia" w:ascii="宋体" w:hAnsi="宋体" w:cs="宋体"/>
                <w:color w:val="auto"/>
                <w:highlight w:val="none"/>
                <w:lang w:val="en-US" w:eastAsia="zh-CN"/>
              </w:rPr>
              <w:t>4</w:t>
            </w:r>
            <w:r>
              <w:rPr>
                <w:rFonts w:hint="eastAsia" w:ascii="宋体" w:hAnsi="宋体" w:cs="宋体"/>
                <w:color w:val="auto"/>
                <w:highlight w:val="none"/>
              </w:rPr>
              <w:t>分；</w:t>
            </w:r>
          </w:p>
          <w:p w14:paraId="1AD58F04">
            <w:pPr>
              <w:rPr>
                <w:rFonts w:hint="eastAsia" w:ascii="宋体" w:hAnsi="宋体" w:cs="宋体"/>
                <w:color w:val="auto"/>
                <w:highlight w:val="none"/>
              </w:rPr>
            </w:pPr>
            <w:r>
              <w:rPr>
                <w:rFonts w:hint="eastAsia" w:ascii="宋体" w:hAnsi="宋体" w:cs="宋体"/>
                <w:color w:val="auto"/>
                <w:highlight w:val="none"/>
              </w:rPr>
              <w:t>平面布置方案内容</w:t>
            </w:r>
            <w:r>
              <w:rPr>
                <w:rFonts w:hint="eastAsia" w:ascii="宋体" w:hAnsi="宋体" w:cs="宋体"/>
                <w:color w:val="auto"/>
                <w:highlight w:val="none"/>
                <w:lang w:val="en-US" w:eastAsia="zh-CN"/>
              </w:rPr>
              <w:t>简单</w:t>
            </w:r>
            <w:r>
              <w:rPr>
                <w:rFonts w:hint="eastAsia" w:ascii="宋体" w:hAnsi="宋体" w:cs="宋体"/>
                <w:color w:val="auto"/>
                <w:highlight w:val="none"/>
              </w:rPr>
              <w:t>，施工现场临时设施布置</w:t>
            </w:r>
            <w:r>
              <w:rPr>
                <w:rFonts w:hint="eastAsia" w:ascii="宋体" w:hAnsi="宋体" w:cs="宋体"/>
                <w:color w:val="auto"/>
                <w:highlight w:val="none"/>
                <w:lang w:val="en-US" w:eastAsia="zh-CN"/>
              </w:rPr>
              <w:t>欠缺</w:t>
            </w:r>
            <w:r>
              <w:rPr>
                <w:rFonts w:hint="eastAsia" w:ascii="宋体" w:hAnsi="宋体" w:cs="宋体"/>
                <w:color w:val="auto"/>
                <w:highlight w:val="none"/>
              </w:rPr>
              <w:t>，施工设备、原材料堆放</w:t>
            </w:r>
            <w:r>
              <w:rPr>
                <w:rFonts w:hint="eastAsia" w:ascii="宋体" w:hAnsi="宋体" w:cs="宋体"/>
                <w:color w:val="auto"/>
                <w:highlight w:val="none"/>
                <w:lang w:val="en-US" w:eastAsia="zh-CN"/>
              </w:rPr>
              <w:t>混乱</w:t>
            </w:r>
            <w:r>
              <w:rPr>
                <w:rFonts w:hint="eastAsia" w:ascii="宋体" w:hAnsi="宋体" w:cs="宋体"/>
                <w:color w:val="auto"/>
                <w:highlight w:val="none"/>
              </w:rPr>
              <w:t>，</w:t>
            </w:r>
            <w:r>
              <w:rPr>
                <w:rFonts w:hint="eastAsia" w:ascii="宋体" w:hAnsi="宋体" w:cs="宋体"/>
                <w:color w:val="auto"/>
                <w:highlight w:val="none"/>
                <w:lang w:val="en-US" w:eastAsia="zh-CN"/>
              </w:rPr>
              <w:t>运输道路不可行</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各子项目施工有干扰</w:t>
            </w:r>
            <w:r>
              <w:rPr>
                <w:rFonts w:hint="eastAsia" w:ascii="宋体" w:hAnsi="宋体" w:cs="宋体"/>
                <w:color w:val="auto"/>
                <w:highlight w:val="none"/>
              </w:rPr>
              <w:t>的得</w:t>
            </w:r>
            <w:r>
              <w:rPr>
                <w:rFonts w:hint="eastAsia" w:ascii="宋体" w:hAnsi="宋体" w:cs="宋体"/>
                <w:color w:val="auto"/>
                <w:highlight w:val="none"/>
                <w:lang w:val="en-US" w:eastAsia="zh-CN"/>
              </w:rPr>
              <w:t>2</w:t>
            </w:r>
            <w:r>
              <w:rPr>
                <w:rFonts w:hint="eastAsia" w:ascii="宋体" w:hAnsi="宋体" w:cs="宋体"/>
                <w:color w:val="auto"/>
                <w:highlight w:val="none"/>
              </w:rPr>
              <w:t>分；</w:t>
            </w:r>
          </w:p>
          <w:p w14:paraId="710A160C">
            <w:pPr>
              <w:pStyle w:val="67"/>
              <w:ind w:firstLine="0" w:firstLineChars="0"/>
              <w:rPr>
                <w:rFonts w:hint="eastAsia" w:ascii="宋体" w:hAnsi="宋体" w:cs="宋体"/>
                <w:color w:val="auto"/>
                <w:highlight w:val="none"/>
                <w:lang w:val="en-US"/>
              </w:rPr>
            </w:pPr>
            <w:r>
              <w:rPr>
                <w:rFonts w:hint="eastAsia" w:ascii="宋体" w:hAnsi="宋体" w:cs="宋体"/>
                <w:color w:val="auto"/>
                <w:szCs w:val="21"/>
                <w:highlight w:val="none"/>
              </w:rPr>
              <w:t>未提供施工现场平面布置</w:t>
            </w:r>
            <w:r>
              <w:rPr>
                <w:rFonts w:hint="eastAsia" w:ascii="宋体" w:hAnsi="宋体" w:cs="宋体"/>
                <w:color w:val="auto"/>
                <w:szCs w:val="21"/>
                <w:highlight w:val="none"/>
                <w:lang w:val="en-US" w:eastAsia="zh-CN"/>
              </w:rPr>
              <w:t>方案</w:t>
            </w:r>
            <w:r>
              <w:rPr>
                <w:rFonts w:hint="eastAsia" w:ascii="宋体" w:hAnsi="宋体" w:cs="宋体"/>
                <w:color w:val="auto"/>
                <w:szCs w:val="21"/>
                <w:highlight w:val="none"/>
              </w:rPr>
              <w:t>的本项不得分。</w:t>
            </w:r>
          </w:p>
        </w:tc>
        <w:tc>
          <w:tcPr>
            <w:tcW w:w="754" w:type="dxa"/>
            <w:noWrap w:val="0"/>
            <w:vAlign w:val="center"/>
          </w:tcPr>
          <w:p w14:paraId="211195F2">
            <w:pPr>
              <w:jc w:val="center"/>
              <w:rPr>
                <w:rFonts w:hint="eastAsia" w:ascii="宋体" w:hAnsi="宋体" w:cs="宋体"/>
                <w:color w:val="auto"/>
                <w:highlight w:val="none"/>
              </w:rPr>
            </w:pPr>
            <w:r>
              <w:rPr>
                <w:rFonts w:hint="eastAsia" w:ascii="宋体" w:hAnsi="宋体" w:cs="宋体"/>
                <w:color w:val="auto"/>
                <w:highlight w:val="none"/>
              </w:rPr>
              <w:t>6</w:t>
            </w:r>
          </w:p>
        </w:tc>
      </w:tr>
      <w:tr w14:paraId="707D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4" w:type="dxa"/>
            <w:vMerge w:val="continue"/>
            <w:noWrap w:val="0"/>
            <w:vAlign w:val="center"/>
          </w:tcPr>
          <w:p w14:paraId="63B6531B">
            <w:pPr>
              <w:spacing w:line="360" w:lineRule="auto"/>
              <w:jc w:val="center"/>
              <w:rPr>
                <w:rFonts w:hint="eastAsia" w:ascii="宋体" w:hAnsi="宋体" w:cs="宋体"/>
                <w:color w:val="auto"/>
                <w:highlight w:val="none"/>
              </w:rPr>
            </w:pPr>
          </w:p>
        </w:tc>
        <w:tc>
          <w:tcPr>
            <w:tcW w:w="1230" w:type="dxa"/>
            <w:vMerge w:val="restart"/>
            <w:noWrap w:val="0"/>
            <w:vAlign w:val="center"/>
          </w:tcPr>
          <w:p w14:paraId="7391286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技术方案</w:t>
            </w:r>
          </w:p>
        </w:tc>
        <w:tc>
          <w:tcPr>
            <w:tcW w:w="7218" w:type="dxa"/>
            <w:noWrap w:val="0"/>
            <w:vAlign w:val="center"/>
          </w:tcPr>
          <w:p w14:paraId="22CA0C8B">
            <w:pPr>
              <w:rPr>
                <w:rFonts w:hint="eastAsia" w:ascii="宋体" w:hAnsi="宋体" w:cs="宋体"/>
                <w:color w:val="auto"/>
                <w:highlight w:val="none"/>
              </w:rPr>
            </w:pPr>
            <w:r>
              <w:rPr>
                <w:rFonts w:hint="eastAsia" w:ascii="宋体" w:hAnsi="宋体" w:cs="宋体"/>
                <w:color w:val="auto"/>
                <w:highlight w:val="none"/>
              </w:rPr>
              <w:t>根据对项目现有状况和实施状况的调研和分析，项目目标整体把握情况，技术方案</w:t>
            </w:r>
            <w:r>
              <w:rPr>
                <w:rFonts w:hint="eastAsia" w:ascii="宋体" w:hAnsi="宋体" w:cs="宋体"/>
                <w:color w:val="auto"/>
                <w:highlight w:val="none"/>
                <w:lang w:eastAsia="zh-CN"/>
              </w:rPr>
              <w:t>（包含但不仅限于</w:t>
            </w:r>
            <w:r>
              <w:rPr>
                <w:rFonts w:hint="eastAsia" w:ascii="宋体" w:hAnsi="宋体" w:cs="宋体"/>
                <w:color w:val="auto"/>
                <w:highlight w:val="none"/>
                <w:lang w:val="en-US" w:eastAsia="zh-CN"/>
              </w:rPr>
              <w:t>建筑工程、室外附属工程、智能化工程</w:t>
            </w:r>
            <w:r>
              <w:rPr>
                <w:rFonts w:hint="eastAsia" w:ascii="宋体" w:hAnsi="宋体" w:cs="宋体"/>
                <w:color w:val="auto"/>
                <w:highlight w:val="none"/>
                <w:lang w:eastAsia="zh-CN"/>
              </w:rPr>
              <w:t>）</w:t>
            </w:r>
            <w:r>
              <w:rPr>
                <w:rFonts w:hint="eastAsia" w:ascii="宋体" w:hAnsi="宋体" w:cs="宋体"/>
                <w:color w:val="auto"/>
                <w:highlight w:val="none"/>
              </w:rPr>
              <w:t>等内容进行综合评议，最高得</w:t>
            </w:r>
            <w:r>
              <w:rPr>
                <w:rFonts w:hint="eastAsia" w:ascii="宋体" w:hAnsi="宋体" w:cs="宋体"/>
                <w:color w:val="auto"/>
                <w:highlight w:val="none"/>
                <w:lang w:val="en-US" w:eastAsia="zh-CN"/>
              </w:rPr>
              <w:t>5</w:t>
            </w:r>
            <w:r>
              <w:rPr>
                <w:rFonts w:hint="eastAsia" w:ascii="宋体" w:hAnsi="宋体" w:cs="宋体"/>
                <w:color w:val="auto"/>
                <w:highlight w:val="none"/>
              </w:rPr>
              <w:t>分。</w:t>
            </w:r>
          </w:p>
          <w:p w14:paraId="5E3AE4ED">
            <w:pPr>
              <w:pStyle w:val="67"/>
              <w:ind w:firstLine="0" w:firstLineChars="0"/>
              <w:rPr>
                <w:rFonts w:hint="eastAsia" w:ascii="宋体" w:hAnsi="宋体" w:cs="宋体"/>
                <w:color w:val="auto"/>
                <w:highlight w:val="none"/>
              </w:rPr>
            </w:pPr>
            <w:r>
              <w:rPr>
                <w:rFonts w:hint="eastAsia" w:ascii="宋体" w:hAnsi="宋体" w:cs="宋体"/>
                <w:color w:val="auto"/>
                <w:highlight w:val="none"/>
                <w:lang w:val="en-US"/>
              </w:rPr>
              <w:t>现状调研充分、数据详实、分析到位，整体项目目标把握准确，技术方案详实、措施得力，可执行力度高的得</w:t>
            </w:r>
            <w:r>
              <w:rPr>
                <w:rFonts w:hint="eastAsia" w:ascii="宋体" w:hAnsi="宋体" w:cs="宋体"/>
                <w:color w:val="auto"/>
                <w:highlight w:val="none"/>
                <w:lang w:val="en-US" w:eastAsia="zh-CN"/>
              </w:rPr>
              <w:t>5</w:t>
            </w:r>
            <w:r>
              <w:rPr>
                <w:rFonts w:hint="eastAsia" w:ascii="宋体" w:hAnsi="宋体" w:cs="宋体"/>
                <w:color w:val="auto"/>
                <w:highlight w:val="none"/>
              </w:rPr>
              <w:t>分；</w:t>
            </w:r>
          </w:p>
          <w:p w14:paraId="75A48917">
            <w:pPr>
              <w:pStyle w:val="67"/>
              <w:ind w:firstLine="0" w:firstLineChars="0"/>
              <w:rPr>
                <w:rFonts w:hint="eastAsia" w:ascii="宋体" w:hAnsi="宋体" w:cs="宋体"/>
                <w:color w:val="auto"/>
                <w:highlight w:val="none"/>
              </w:rPr>
            </w:pPr>
            <w:r>
              <w:rPr>
                <w:rFonts w:hint="eastAsia" w:ascii="宋体" w:hAnsi="宋体" w:cs="宋体"/>
                <w:color w:val="auto"/>
                <w:highlight w:val="none"/>
                <w:lang w:val="en-US"/>
              </w:rPr>
              <w:t>现状调研完整、分析不到位，整体项目目标把握基本准确，技术方案内容充分，措施得当，可执行力度较高的得</w:t>
            </w:r>
            <w:r>
              <w:rPr>
                <w:rFonts w:hint="eastAsia" w:ascii="宋体" w:hAnsi="宋体" w:cs="宋体"/>
                <w:color w:val="auto"/>
                <w:highlight w:val="none"/>
                <w:lang w:val="en-US" w:eastAsia="zh-CN"/>
              </w:rPr>
              <w:t>3</w:t>
            </w:r>
            <w:r>
              <w:rPr>
                <w:rFonts w:hint="eastAsia" w:ascii="宋体" w:hAnsi="宋体" w:cs="宋体"/>
                <w:color w:val="auto"/>
                <w:highlight w:val="none"/>
              </w:rPr>
              <w:t>分；</w:t>
            </w:r>
          </w:p>
          <w:p w14:paraId="04654874">
            <w:pPr>
              <w:pStyle w:val="67"/>
              <w:ind w:firstLine="0" w:firstLineChars="0"/>
              <w:rPr>
                <w:rFonts w:hint="eastAsia" w:ascii="宋体" w:hAnsi="宋体" w:cs="宋体"/>
                <w:color w:val="auto"/>
                <w:highlight w:val="none"/>
              </w:rPr>
            </w:pPr>
            <w:r>
              <w:rPr>
                <w:rFonts w:hint="eastAsia" w:ascii="宋体" w:hAnsi="宋体" w:cs="宋体"/>
                <w:color w:val="auto"/>
                <w:highlight w:val="none"/>
                <w:lang w:val="en-US"/>
              </w:rPr>
              <w:t>现状调研有欠缺、分析简单，整体项目目标把握不准确，技术方案内容简单，可执行力低的得</w:t>
            </w:r>
            <w:r>
              <w:rPr>
                <w:rFonts w:hint="eastAsia" w:ascii="宋体" w:hAnsi="宋体" w:cs="宋体"/>
                <w:color w:val="auto"/>
                <w:highlight w:val="none"/>
                <w:lang w:val="en-US" w:eastAsia="zh-CN"/>
              </w:rPr>
              <w:t>1</w:t>
            </w:r>
            <w:r>
              <w:rPr>
                <w:rFonts w:hint="eastAsia" w:ascii="宋体" w:hAnsi="宋体" w:cs="宋体"/>
                <w:color w:val="auto"/>
                <w:highlight w:val="none"/>
                <w:lang w:val="en-US"/>
              </w:rPr>
              <w:t>分</w:t>
            </w:r>
            <w:r>
              <w:rPr>
                <w:rFonts w:hint="eastAsia" w:ascii="宋体" w:hAnsi="宋体" w:cs="宋体"/>
                <w:color w:val="auto"/>
                <w:highlight w:val="none"/>
              </w:rPr>
              <w:t>；</w:t>
            </w:r>
          </w:p>
          <w:p w14:paraId="1F1FDB71">
            <w:pPr>
              <w:pStyle w:val="67"/>
              <w:ind w:firstLine="0" w:firstLineChars="0"/>
              <w:rPr>
                <w:rFonts w:hint="eastAsia" w:ascii="宋体" w:hAnsi="宋体" w:cs="宋体"/>
                <w:color w:val="auto"/>
                <w:highlight w:val="none"/>
                <w:lang w:val="en-US"/>
              </w:rPr>
            </w:pPr>
            <w:r>
              <w:rPr>
                <w:rFonts w:hint="eastAsia" w:ascii="宋体" w:hAnsi="宋体" w:cs="宋体"/>
                <w:color w:val="auto"/>
                <w:szCs w:val="21"/>
                <w:highlight w:val="none"/>
              </w:rPr>
              <w:t>未提供的本项不得分。</w:t>
            </w:r>
          </w:p>
        </w:tc>
        <w:tc>
          <w:tcPr>
            <w:tcW w:w="754" w:type="dxa"/>
            <w:noWrap w:val="0"/>
            <w:vAlign w:val="center"/>
          </w:tcPr>
          <w:p w14:paraId="12EB0F6B">
            <w:pPr>
              <w:jc w:val="center"/>
              <w:rPr>
                <w:rFonts w:ascii="宋体" w:hAnsi="宋体" w:cs="宋体"/>
                <w:color w:val="auto"/>
                <w:szCs w:val="21"/>
                <w:highlight w:val="none"/>
              </w:rPr>
            </w:pPr>
            <w:r>
              <w:rPr>
                <w:rFonts w:hint="eastAsia" w:ascii="宋体" w:hAnsi="宋体" w:cs="宋体"/>
                <w:color w:val="auto"/>
                <w:szCs w:val="21"/>
                <w:highlight w:val="none"/>
              </w:rPr>
              <w:t>5</w:t>
            </w:r>
          </w:p>
        </w:tc>
      </w:tr>
      <w:tr w14:paraId="3FAB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4" w:type="dxa"/>
            <w:vMerge w:val="continue"/>
            <w:noWrap w:val="0"/>
            <w:vAlign w:val="center"/>
          </w:tcPr>
          <w:p w14:paraId="0D690BC0">
            <w:pPr>
              <w:spacing w:line="360" w:lineRule="auto"/>
              <w:jc w:val="center"/>
              <w:rPr>
                <w:rFonts w:hint="eastAsia" w:ascii="宋体" w:hAnsi="宋体" w:cs="宋体"/>
                <w:color w:val="auto"/>
                <w:highlight w:val="none"/>
              </w:rPr>
            </w:pPr>
          </w:p>
        </w:tc>
        <w:tc>
          <w:tcPr>
            <w:tcW w:w="1230" w:type="dxa"/>
            <w:vMerge w:val="continue"/>
            <w:noWrap w:val="0"/>
            <w:vAlign w:val="center"/>
          </w:tcPr>
          <w:p w14:paraId="73BBD0D2">
            <w:pPr>
              <w:spacing w:line="360" w:lineRule="auto"/>
              <w:jc w:val="center"/>
              <w:rPr>
                <w:rFonts w:ascii="宋体" w:hAnsi="宋体" w:cs="宋体"/>
                <w:color w:val="auto"/>
                <w:szCs w:val="21"/>
                <w:highlight w:val="none"/>
              </w:rPr>
            </w:pPr>
          </w:p>
        </w:tc>
        <w:tc>
          <w:tcPr>
            <w:tcW w:w="7218" w:type="dxa"/>
            <w:noWrap w:val="0"/>
            <w:vAlign w:val="center"/>
          </w:tcPr>
          <w:p w14:paraId="0E227A0C">
            <w:pPr>
              <w:pStyle w:val="67"/>
              <w:ind w:firstLine="0" w:firstLineChars="0"/>
              <w:rPr>
                <w:rFonts w:hint="eastAsia" w:ascii="宋体" w:hAnsi="宋体" w:cs="宋体"/>
                <w:color w:val="auto"/>
                <w:highlight w:val="none"/>
                <w:lang w:val="en-US"/>
              </w:rPr>
            </w:pPr>
            <w:r>
              <w:rPr>
                <w:rFonts w:hint="eastAsia" w:ascii="宋体" w:hAnsi="宋体" w:cs="宋体"/>
                <w:color w:val="auto"/>
                <w:highlight w:val="none"/>
                <w:lang w:val="en-US"/>
              </w:rPr>
              <w:t>根据</w:t>
            </w:r>
            <w:r>
              <w:rPr>
                <w:rFonts w:hint="eastAsia" w:ascii="宋体" w:hAnsi="宋体" w:cs="宋体"/>
                <w:color w:val="auto"/>
                <w:highlight w:val="none"/>
              </w:rPr>
              <w:t>对项目的重点、难点分析</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包含但不仅限于防水施工、多点位施工、施工区域封闭管理、对正常教学的影响等</w:t>
            </w:r>
            <w:r>
              <w:rPr>
                <w:rFonts w:hint="eastAsia" w:ascii="宋体" w:hAnsi="宋体" w:cs="宋体"/>
                <w:color w:val="auto"/>
                <w:highlight w:val="none"/>
                <w:lang w:eastAsia="zh-CN"/>
              </w:rPr>
              <w:t>）</w:t>
            </w:r>
            <w:r>
              <w:rPr>
                <w:rFonts w:hint="eastAsia" w:ascii="宋体" w:hAnsi="宋体" w:cs="宋体"/>
                <w:color w:val="auto"/>
                <w:highlight w:val="none"/>
              </w:rPr>
              <w:t>进行</w:t>
            </w:r>
            <w:r>
              <w:rPr>
                <w:rFonts w:hint="eastAsia" w:ascii="宋体" w:hAnsi="宋体" w:cs="宋体"/>
                <w:color w:val="auto"/>
                <w:highlight w:val="none"/>
                <w:lang w:val="en-US"/>
              </w:rPr>
              <w:t>综合评议，最高得6分。</w:t>
            </w:r>
          </w:p>
          <w:p w14:paraId="373512CE">
            <w:pPr>
              <w:pStyle w:val="67"/>
              <w:ind w:firstLine="0" w:firstLineChars="0"/>
              <w:rPr>
                <w:rFonts w:hint="eastAsia" w:ascii="宋体" w:hAnsi="宋体" w:cs="宋体"/>
                <w:color w:val="auto"/>
                <w:highlight w:val="none"/>
              </w:rPr>
            </w:pPr>
            <w:r>
              <w:rPr>
                <w:rFonts w:hint="eastAsia" w:ascii="宋体" w:hAnsi="宋体" w:cs="宋体"/>
                <w:color w:val="auto"/>
                <w:highlight w:val="none"/>
                <w:lang w:val="en-US"/>
              </w:rPr>
              <w:t>项目重点、难点分析到位且具有可行的解决方案的得</w:t>
            </w:r>
            <w:r>
              <w:rPr>
                <w:rFonts w:hint="eastAsia" w:ascii="宋体" w:hAnsi="宋体" w:cs="宋体"/>
                <w:color w:val="auto"/>
                <w:highlight w:val="none"/>
                <w:lang w:val="en-US" w:eastAsia="zh-CN"/>
              </w:rPr>
              <w:t>6</w:t>
            </w:r>
            <w:r>
              <w:rPr>
                <w:rFonts w:hint="eastAsia" w:ascii="宋体" w:hAnsi="宋体" w:cs="宋体"/>
                <w:color w:val="auto"/>
                <w:highlight w:val="none"/>
                <w:lang w:val="en-US"/>
              </w:rPr>
              <w:t>分</w:t>
            </w:r>
            <w:r>
              <w:rPr>
                <w:rFonts w:hint="eastAsia" w:ascii="宋体" w:hAnsi="宋体" w:cs="宋体"/>
                <w:color w:val="auto"/>
                <w:highlight w:val="none"/>
              </w:rPr>
              <w:t>；</w:t>
            </w:r>
          </w:p>
          <w:p w14:paraId="234CC0DD">
            <w:pPr>
              <w:pStyle w:val="67"/>
              <w:ind w:firstLine="0" w:firstLineChars="0"/>
              <w:rPr>
                <w:rFonts w:hint="eastAsia" w:ascii="宋体" w:hAnsi="宋体" w:cs="宋体"/>
                <w:color w:val="auto"/>
                <w:highlight w:val="none"/>
              </w:rPr>
            </w:pPr>
            <w:r>
              <w:rPr>
                <w:rFonts w:hint="eastAsia" w:ascii="宋体" w:hAnsi="宋体" w:cs="宋体"/>
                <w:color w:val="auto"/>
                <w:highlight w:val="none"/>
              </w:rPr>
              <w:t>项目重</w:t>
            </w:r>
            <w:r>
              <w:rPr>
                <w:rFonts w:hint="eastAsia" w:ascii="宋体" w:hAnsi="宋体" w:cs="宋体"/>
                <w:color w:val="auto"/>
                <w:highlight w:val="none"/>
                <w:lang w:val="en-US"/>
              </w:rPr>
              <w:t>点、</w:t>
            </w:r>
            <w:r>
              <w:rPr>
                <w:rFonts w:hint="eastAsia" w:ascii="宋体" w:hAnsi="宋体" w:cs="宋体"/>
                <w:color w:val="auto"/>
                <w:highlight w:val="none"/>
              </w:rPr>
              <w:t>难点分析不到位，且没有可行的解决方案的得</w:t>
            </w:r>
            <w:r>
              <w:rPr>
                <w:rFonts w:hint="eastAsia" w:ascii="宋体" w:hAnsi="宋体" w:cs="宋体"/>
                <w:color w:val="auto"/>
                <w:highlight w:val="none"/>
                <w:lang w:val="en-US" w:eastAsia="zh-CN"/>
              </w:rPr>
              <w:t>4</w:t>
            </w:r>
            <w:r>
              <w:rPr>
                <w:rFonts w:hint="eastAsia" w:ascii="宋体" w:hAnsi="宋体" w:cs="宋体"/>
                <w:color w:val="auto"/>
                <w:highlight w:val="none"/>
              </w:rPr>
              <w:t>分；</w:t>
            </w:r>
          </w:p>
          <w:p w14:paraId="26AE933E">
            <w:pPr>
              <w:pStyle w:val="67"/>
              <w:ind w:firstLine="0" w:firstLineChars="0"/>
              <w:rPr>
                <w:rFonts w:hint="eastAsia" w:ascii="宋体" w:hAnsi="宋体" w:cs="宋体"/>
                <w:color w:val="auto"/>
                <w:highlight w:val="none"/>
              </w:rPr>
            </w:pPr>
            <w:r>
              <w:rPr>
                <w:rFonts w:hint="eastAsia" w:ascii="宋体" w:hAnsi="宋体" w:cs="宋体"/>
                <w:color w:val="auto"/>
                <w:highlight w:val="none"/>
              </w:rPr>
              <w:t>项目重</w:t>
            </w:r>
            <w:r>
              <w:rPr>
                <w:rFonts w:hint="eastAsia" w:ascii="宋体" w:hAnsi="宋体" w:cs="宋体"/>
                <w:color w:val="auto"/>
                <w:highlight w:val="none"/>
                <w:lang w:val="en-US"/>
              </w:rPr>
              <w:t>点、</w:t>
            </w:r>
            <w:r>
              <w:rPr>
                <w:rFonts w:hint="eastAsia" w:ascii="宋体" w:hAnsi="宋体" w:cs="宋体"/>
                <w:color w:val="auto"/>
                <w:highlight w:val="none"/>
              </w:rPr>
              <w:t>难点分析分析不准确，或未能提供有效的解决方案的得</w:t>
            </w:r>
            <w:r>
              <w:rPr>
                <w:rFonts w:hint="eastAsia" w:ascii="宋体" w:hAnsi="宋体" w:cs="宋体"/>
                <w:color w:val="auto"/>
                <w:highlight w:val="none"/>
                <w:lang w:val="en-US" w:eastAsia="zh-CN"/>
              </w:rPr>
              <w:t>2</w:t>
            </w:r>
            <w:r>
              <w:rPr>
                <w:rFonts w:hint="eastAsia" w:ascii="宋体" w:hAnsi="宋体" w:cs="宋体"/>
                <w:color w:val="auto"/>
                <w:highlight w:val="none"/>
              </w:rPr>
              <w:t>分；</w:t>
            </w:r>
          </w:p>
          <w:p w14:paraId="7534ED2E">
            <w:pPr>
              <w:pStyle w:val="67"/>
              <w:ind w:firstLine="0" w:firstLineChars="0"/>
              <w:rPr>
                <w:rFonts w:hint="eastAsia" w:ascii="宋体" w:hAnsi="宋体" w:cs="宋体"/>
                <w:color w:val="auto"/>
                <w:highlight w:val="none"/>
                <w:lang w:val="en-US"/>
              </w:rPr>
            </w:pPr>
            <w:r>
              <w:rPr>
                <w:rFonts w:hint="eastAsia" w:ascii="宋体" w:hAnsi="宋体" w:cs="宋体"/>
                <w:color w:val="auto"/>
                <w:szCs w:val="21"/>
                <w:highlight w:val="none"/>
              </w:rPr>
              <w:t>未提供的本项不得分。</w:t>
            </w:r>
          </w:p>
        </w:tc>
        <w:tc>
          <w:tcPr>
            <w:tcW w:w="754" w:type="dxa"/>
            <w:noWrap w:val="0"/>
            <w:vAlign w:val="center"/>
          </w:tcPr>
          <w:p w14:paraId="438AFC87">
            <w:pPr>
              <w:jc w:val="center"/>
              <w:rPr>
                <w:rFonts w:ascii="宋体" w:hAnsi="宋体" w:cs="宋体"/>
                <w:color w:val="auto"/>
                <w:szCs w:val="21"/>
                <w:highlight w:val="none"/>
              </w:rPr>
            </w:pPr>
            <w:r>
              <w:rPr>
                <w:rFonts w:hint="eastAsia" w:ascii="宋体" w:hAnsi="宋体" w:cs="宋体"/>
                <w:color w:val="auto"/>
                <w:szCs w:val="21"/>
                <w:highlight w:val="none"/>
              </w:rPr>
              <w:t>6</w:t>
            </w:r>
          </w:p>
        </w:tc>
      </w:tr>
      <w:tr w14:paraId="7FB8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4" w:type="dxa"/>
            <w:vMerge w:val="continue"/>
            <w:noWrap w:val="0"/>
            <w:vAlign w:val="center"/>
          </w:tcPr>
          <w:p w14:paraId="273C83E0">
            <w:pPr>
              <w:spacing w:line="360" w:lineRule="auto"/>
              <w:jc w:val="center"/>
              <w:rPr>
                <w:rFonts w:hint="eastAsia" w:ascii="宋体" w:hAnsi="宋体" w:cs="宋体"/>
                <w:color w:val="auto"/>
                <w:highlight w:val="none"/>
              </w:rPr>
            </w:pPr>
          </w:p>
        </w:tc>
        <w:tc>
          <w:tcPr>
            <w:tcW w:w="1230" w:type="dxa"/>
            <w:vMerge w:val="continue"/>
            <w:noWrap w:val="0"/>
            <w:vAlign w:val="center"/>
          </w:tcPr>
          <w:p w14:paraId="6237B5A8">
            <w:pPr>
              <w:spacing w:line="360" w:lineRule="auto"/>
              <w:jc w:val="center"/>
              <w:rPr>
                <w:rFonts w:ascii="宋体" w:hAnsi="宋体" w:cs="宋体"/>
                <w:color w:val="auto"/>
                <w:szCs w:val="21"/>
                <w:highlight w:val="none"/>
              </w:rPr>
            </w:pPr>
          </w:p>
        </w:tc>
        <w:tc>
          <w:tcPr>
            <w:tcW w:w="7218" w:type="dxa"/>
            <w:noWrap w:val="0"/>
            <w:vAlign w:val="center"/>
          </w:tcPr>
          <w:p w14:paraId="4AEDCCFD">
            <w:pPr>
              <w:rPr>
                <w:rFonts w:hint="eastAsia" w:ascii="宋体" w:hAnsi="宋体" w:cs="宋体"/>
                <w:color w:val="auto"/>
                <w:highlight w:val="none"/>
              </w:rPr>
            </w:pPr>
            <w:r>
              <w:rPr>
                <w:rFonts w:hint="eastAsia" w:ascii="宋体" w:hAnsi="宋体" w:cs="宋体"/>
                <w:color w:val="auto"/>
                <w:highlight w:val="none"/>
              </w:rPr>
              <w:t>根据对突发事件应急措施</w:t>
            </w:r>
            <w:r>
              <w:rPr>
                <w:rFonts w:hint="eastAsia" w:ascii="宋体" w:hAnsi="宋体" w:cs="宋体"/>
                <w:color w:val="auto"/>
                <w:highlight w:val="none"/>
                <w:lang w:eastAsia="zh-CN"/>
              </w:rPr>
              <w:t>（包含不限于发生火灾、触电、机械伤害等事故的逃生和急救方案等）</w:t>
            </w:r>
            <w:r>
              <w:rPr>
                <w:rFonts w:hint="eastAsia" w:ascii="宋体" w:hAnsi="宋体" w:cs="宋体"/>
                <w:color w:val="auto"/>
                <w:highlight w:val="none"/>
              </w:rPr>
              <w:t>内容进行综合评议，最高得</w:t>
            </w:r>
            <w:r>
              <w:rPr>
                <w:rFonts w:hint="eastAsia" w:ascii="宋体" w:hAnsi="宋体" w:cs="宋体"/>
                <w:color w:val="auto"/>
                <w:highlight w:val="none"/>
                <w:lang w:val="en-US" w:eastAsia="zh-CN"/>
              </w:rPr>
              <w:t>6</w:t>
            </w:r>
            <w:r>
              <w:rPr>
                <w:rFonts w:hint="eastAsia" w:ascii="宋体" w:hAnsi="宋体" w:cs="宋体"/>
                <w:color w:val="auto"/>
                <w:highlight w:val="none"/>
              </w:rPr>
              <w:t>分。</w:t>
            </w:r>
          </w:p>
          <w:p w14:paraId="3C78A6A1">
            <w:pPr>
              <w:pStyle w:val="67"/>
              <w:ind w:firstLine="0" w:firstLineChars="0"/>
              <w:rPr>
                <w:rFonts w:hint="eastAsia" w:ascii="宋体" w:hAnsi="宋体" w:cs="宋体"/>
                <w:color w:val="auto"/>
                <w:highlight w:val="none"/>
                <w:lang w:val="en-US"/>
              </w:rPr>
            </w:pPr>
            <w:r>
              <w:rPr>
                <w:rFonts w:hint="eastAsia" w:ascii="宋体" w:hAnsi="宋体" w:cs="宋体"/>
                <w:color w:val="auto"/>
                <w:highlight w:val="none"/>
                <w:lang w:val="en-US"/>
              </w:rPr>
              <w:t>应急措施方案完善，发生火灾、触电、机械伤害等事故的逃生和急救方案有利</w:t>
            </w:r>
            <w:r>
              <w:rPr>
                <w:rFonts w:hint="eastAsia" w:ascii="宋体" w:hAnsi="宋体" w:cs="宋体"/>
                <w:color w:val="auto"/>
                <w:highlight w:val="none"/>
                <w:lang w:val="en-US" w:eastAsia="zh-CN"/>
              </w:rPr>
              <w:t>得当</w:t>
            </w:r>
            <w:r>
              <w:rPr>
                <w:rFonts w:hint="eastAsia" w:ascii="宋体" w:hAnsi="宋体" w:cs="宋体"/>
                <w:color w:val="auto"/>
                <w:highlight w:val="none"/>
                <w:lang w:val="en-US"/>
              </w:rPr>
              <w:t>，紧急响应及时，能精准的处理各种突发事件，措施安全可靠的得</w:t>
            </w:r>
            <w:r>
              <w:rPr>
                <w:rFonts w:hint="eastAsia" w:ascii="宋体" w:hAnsi="宋体" w:cs="宋体"/>
                <w:color w:val="auto"/>
                <w:highlight w:val="none"/>
                <w:lang w:val="en-US" w:eastAsia="zh-CN"/>
              </w:rPr>
              <w:t>6</w:t>
            </w:r>
            <w:r>
              <w:rPr>
                <w:rFonts w:hint="eastAsia" w:ascii="宋体" w:hAnsi="宋体" w:cs="宋体"/>
                <w:color w:val="auto"/>
                <w:highlight w:val="none"/>
                <w:lang w:val="en-US"/>
              </w:rPr>
              <w:t>分；</w:t>
            </w:r>
          </w:p>
          <w:p w14:paraId="09CB4BC6">
            <w:pPr>
              <w:pStyle w:val="67"/>
              <w:ind w:firstLine="0" w:firstLineChars="0"/>
              <w:rPr>
                <w:rFonts w:hint="eastAsia" w:ascii="宋体" w:hAnsi="宋体" w:cs="宋体"/>
                <w:color w:val="auto"/>
                <w:highlight w:val="none"/>
                <w:lang w:val="en-US"/>
              </w:rPr>
            </w:pPr>
            <w:r>
              <w:rPr>
                <w:rFonts w:hint="eastAsia" w:ascii="宋体" w:hAnsi="宋体" w:cs="宋体"/>
                <w:color w:val="auto"/>
                <w:highlight w:val="none"/>
                <w:lang w:val="en-US"/>
              </w:rPr>
              <w:t>应急措施方案内容充分，发生火灾、触电、机械伤害等事故的逃生和急救方案措施处理</w:t>
            </w:r>
            <w:r>
              <w:rPr>
                <w:rFonts w:hint="eastAsia" w:ascii="宋体" w:hAnsi="宋体" w:cs="宋体"/>
                <w:color w:val="auto"/>
                <w:highlight w:val="none"/>
                <w:lang w:val="en-US" w:eastAsia="zh-CN"/>
              </w:rPr>
              <w:t>有效</w:t>
            </w:r>
            <w:r>
              <w:rPr>
                <w:rFonts w:hint="eastAsia" w:ascii="宋体" w:hAnsi="宋体" w:cs="宋体"/>
                <w:color w:val="auto"/>
                <w:highlight w:val="none"/>
                <w:lang w:val="en-US"/>
              </w:rPr>
              <w:t>，执行方法灵活</w:t>
            </w:r>
            <w:r>
              <w:rPr>
                <w:rFonts w:hint="eastAsia" w:ascii="宋体" w:hAnsi="宋体" w:cs="宋体"/>
                <w:color w:val="auto"/>
                <w:highlight w:val="none"/>
                <w:lang w:val="en-US" w:eastAsia="zh-CN"/>
              </w:rPr>
              <w:t>，但存在安全隐患</w:t>
            </w:r>
            <w:r>
              <w:rPr>
                <w:rFonts w:hint="eastAsia" w:ascii="宋体" w:hAnsi="宋体" w:cs="宋体"/>
                <w:color w:val="auto"/>
                <w:highlight w:val="none"/>
                <w:lang w:val="en-US"/>
              </w:rPr>
              <w:t>的得</w:t>
            </w:r>
            <w:r>
              <w:rPr>
                <w:rFonts w:hint="eastAsia" w:ascii="宋体" w:hAnsi="宋体" w:cs="宋体"/>
                <w:color w:val="auto"/>
                <w:highlight w:val="none"/>
                <w:lang w:val="en-US" w:eastAsia="zh-CN"/>
              </w:rPr>
              <w:t>4</w:t>
            </w:r>
            <w:r>
              <w:rPr>
                <w:rFonts w:hint="eastAsia" w:ascii="宋体" w:hAnsi="宋体" w:cs="宋体"/>
                <w:color w:val="auto"/>
                <w:highlight w:val="none"/>
                <w:lang w:val="en-US"/>
              </w:rPr>
              <w:t>分；</w:t>
            </w:r>
          </w:p>
          <w:p w14:paraId="66514D17">
            <w:pPr>
              <w:pStyle w:val="67"/>
              <w:ind w:firstLine="0" w:firstLineChars="0"/>
              <w:rPr>
                <w:rFonts w:hint="eastAsia" w:ascii="宋体" w:hAnsi="宋体" w:cs="宋体"/>
                <w:color w:val="auto"/>
                <w:highlight w:val="none"/>
                <w:lang w:val="en-US"/>
              </w:rPr>
            </w:pPr>
            <w:r>
              <w:rPr>
                <w:rFonts w:hint="eastAsia" w:ascii="宋体" w:hAnsi="宋体" w:cs="宋体"/>
                <w:color w:val="auto"/>
                <w:highlight w:val="none"/>
                <w:lang w:val="en-US"/>
              </w:rPr>
              <w:t>应急措施方案内容简单，发生火灾、触电、机械伤害等事故的逃生和急救方案措施不</w:t>
            </w:r>
            <w:r>
              <w:rPr>
                <w:rFonts w:hint="eastAsia" w:ascii="宋体" w:hAnsi="宋体" w:cs="宋体"/>
                <w:color w:val="auto"/>
                <w:highlight w:val="none"/>
                <w:lang w:val="en-US" w:eastAsia="zh-CN"/>
              </w:rPr>
              <w:t>当</w:t>
            </w:r>
            <w:r>
              <w:rPr>
                <w:rFonts w:hint="eastAsia" w:ascii="宋体" w:hAnsi="宋体" w:cs="宋体"/>
                <w:color w:val="auto"/>
                <w:highlight w:val="none"/>
                <w:lang w:val="en-US"/>
              </w:rPr>
              <w:t>，可执行力低</w:t>
            </w:r>
            <w:r>
              <w:rPr>
                <w:rFonts w:hint="eastAsia" w:ascii="宋体" w:hAnsi="宋体" w:cs="宋体"/>
                <w:color w:val="auto"/>
                <w:highlight w:val="none"/>
                <w:lang w:val="en-US" w:eastAsia="zh-CN"/>
              </w:rPr>
              <w:t>，极易造成安全事故</w:t>
            </w:r>
            <w:r>
              <w:rPr>
                <w:rFonts w:hint="eastAsia" w:ascii="宋体" w:hAnsi="宋体" w:cs="宋体"/>
                <w:color w:val="auto"/>
                <w:highlight w:val="none"/>
                <w:lang w:val="en-US"/>
              </w:rPr>
              <w:t>的得</w:t>
            </w:r>
            <w:r>
              <w:rPr>
                <w:rFonts w:hint="eastAsia" w:ascii="宋体" w:hAnsi="宋体" w:cs="宋体"/>
                <w:color w:val="auto"/>
                <w:highlight w:val="none"/>
                <w:lang w:val="en-US" w:eastAsia="zh-CN"/>
              </w:rPr>
              <w:t>2</w:t>
            </w:r>
            <w:r>
              <w:rPr>
                <w:rFonts w:hint="eastAsia" w:ascii="宋体" w:hAnsi="宋体" w:cs="宋体"/>
                <w:color w:val="auto"/>
                <w:highlight w:val="none"/>
                <w:lang w:val="en-US"/>
              </w:rPr>
              <w:t>分；</w:t>
            </w:r>
          </w:p>
          <w:p w14:paraId="0099D961">
            <w:pPr>
              <w:pStyle w:val="67"/>
              <w:ind w:firstLine="0" w:firstLineChars="0"/>
              <w:rPr>
                <w:rFonts w:hint="eastAsia" w:ascii="宋体" w:hAnsi="宋体" w:cs="宋体"/>
                <w:color w:val="auto"/>
                <w:highlight w:val="none"/>
                <w:lang w:val="en-US"/>
              </w:rPr>
            </w:pPr>
            <w:r>
              <w:rPr>
                <w:rFonts w:hint="eastAsia" w:ascii="宋体" w:hAnsi="宋体" w:cs="宋体"/>
                <w:color w:val="auto"/>
                <w:highlight w:val="none"/>
                <w:lang w:val="en-US"/>
              </w:rPr>
              <w:t>未提供的</w:t>
            </w:r>
            <w:r>
              <w:rPr>
                <w:rFonts w:hint="eastAsia" w:ascii="宋体" w:hAnsi="宋体" w:cs="宋体"/>
                <w:color w:val="auto"/>
                <w:szCs w:val="21"/>
                <w:highlight w:val="none"/>
              </w:rPr>
              <w:t>本项不得分</w:t>
            </w:r>
            <w:r>
              <w:rPr>
                <w:rFonts w:hint="eastAsia" w:ascii="宋体" w:hAnsi="宋体" w:cs="宋体"/>
                <w:color w:val="auto"/>
                <w:highlight w:val="none"/>
                <w:lang w:val="en-US"/>
              </w:rPr>
              <w:t xml:space="preserve">。 </w:t>
            </w:r>
          </w:p>
        </w:tc>
        <w:tc>
          <w:tcPr>
            <w:tcW w:w="754" w:type="dxa"/>
            <w:noWrap w:val="0"/>
            <w:vAlign w:val="center"/>
          </w:tcPr>
          <w:p w14:paraId="769806C9">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r>
      <w:tr w14:paraId="5ACA5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4" w:type="dxa"/>
            <w:vMerge w:val="continue"/>
            <w:noWrap w:val="0"/>
            <w:vAlign w:val="center"/>
          </w:tcPr>
          <w:p w14:paraId="3DA00EFD">
            <w:pPr>
              <w:spacing w:line="360" w:lineRule="auto"/>
              <w:jc w:val="center"/>
              <w:rPr>
                <w:rFonts w:hint="eastAsia" w:ascii="宋体" w:hAnsi="宋体" w:cs="宋体"/>
                <w:color w:val="auto"/>
                <w:highlight w:val="none"/>
              </w:rPr>
            </w:pPr>
          </w:p>
        </w:tc>
        <w:tc>
          <w:tcPr>
            <w:tcW w:w="1230" w:type="dxa"/>
            <w:noWrap w:val="0"/>
            <w:vAlign w:val="center"/>
          </w:tcPr>
          <w:p w14:paraId="4ED8D1C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进度计划、劳动力计划措施</w:t>
            </w:r>
          </w:p>
        </w:tc>
        <w:tc>
          <w:tcPr>
            <w:tcW w:w="7218" w:type="dxa"/>
            <w:noWrap w:val="0"/>
            <w:vAlign w:val="center"/>
          </w:tcPr>
          <w:p w14:paraId="190BB850">
            <w:pPr>
              <w:rPr>
                <w:rFonts w:hint="eastAsia" w:ascii="宋体" w:hAnsi="宋体" w:cs="宋体"/>
                <w:color w:val="auto"/>
                <w:highlight w:val="none"/>
              </w:rPr>
            </w:pPr>
            <w:r>
              <w:rPr>
                <w:rFonts w:hint="eastAsia" w:ascii="宋体" w:hAnsi="宋体" w:cs="宋体"/>
                <w:color w:val="auto"/>
                <w:highlight w:val="none"/>
              </w:rPr>
              <w:t>根据对项目施工进度计划</w:t>
            </w:r>
            <w:r>
              <w:rPr>
                <w:rFonts w:hint="eastAsia" w:ascii="宋体" w:hAnsi="宋体" w:cs="宋体"/>
                <w:color w:val="auto"/>
                <w:highlight w:val="none"/>
                <w:lang w:val="en-US" w:eastAsia="zh-CN"/>
              </w:rPr>
              <w:t>(</w:t>
            </w:r>
            <w:r>
              <w:rPr>
                <w:rFonts w:hint="eastAsia" w:ascii="宋体" w:hAnsi="宋体" w:cs="宋体"/>
                <w:color w:val="auto"/>
                <w:highlight w:val="none"/>
                <w:lang w:eastAsia="zh-CN"/>
              </w:rPr>
              <w:t>包含不限于</w:t>
            </w:r>
            <w:r>
              <w:rPr>
                <w:rFonts w:hint="eastAsia" w:ascii="宋体" w:hAnsi="宋体" w:cs="宋体"/>
                <w:color w:val="auto"/>
                <w:highlight w:val="none"/>
                <w:lang w:val="en-US" w:eastAsia="zh-CN"/>
              </w:rPr>
              <w:t>时间节点安排、关键线路施工安排)</w:t>
            </w:r>
            <w:r>
              <w:rPr>
                <w:rFonts w:hint="eastAsia" w:ascii="宋体" w:hAnsi="宋体" w:cs="宋体"/>
                <w:color w:val="auto"/>
                <w:highlight w:val="none"/>
              </w:rPr>
              <w:t>、劳动力计划措施方案</w:t>
            </w:r>
            <w:r>
              <w:rPr>
                <w:rFonts w:hint="eastAsia" w:ascii="宋体" w:hAnsi="宋体" w:cs="宋体"/>
                <w:color w:val="auto"/>
                <w:highlight w:val="none"/>
                <w:lang w:eastAsia="zh-CN"/>
              </w:rPr>
              <w:t>（包含不限于</w:t>
            </w:r>
            <w:r>
              <w:rPr>
                <w:rFonts w:hint="eastAsia" w:ascii="宋体" w:hAnsi="宋体" w:cs="宋体"/>
                <w:color w:val="auto"/>
                <w:highlight w:val="none"/>
                <w:lang w:val="en-US" w:eastAsia="zh-CN"/>
              </w:rPr>
              <w:t>各阶段施工工种配置、作业人员数量</w:t>
            </w:r>
            <w:r>
              <w:rPr>
                <w:rFonts w:hint="eastAsia" w:ascii="宋体" w:hAnsi="宋体" w:cs="宋体"/>
                <w:color w:val="auto"/>
                <w:highlight w:val="none"/>
                <w:lang w:eastAsia="zh-CN"/>
              </w:rPr>
              <w:t>）</w:t>
            </w:r>
            <w:r>
              <w:rPr>
                <w:rFonts w:hint="eastAsia" w:ascii="宋体" w:hAnsi="宋体" w:cs="宋体"/>
                <w:color w:val="auto"/>
                <w:highlight w:val="none"/>
              </w:rPr>
              <w:t>进行综合评议，最高得6分。</w:t>
            </w:r>
          </w:p>
          <w:p w14:paraId="04BA9879">
            <w:pPr>
              <w:pStyle w:val="67"/>
              <w:ind w:firstLine="0" w:firstLineChars="0"/>
              <w:rPr>
                <w:rFonts w:hint="eastAsia" w:ascii="宋体" w:hAnsi="宋体" w:cs="宋体"/>
                <w:color w:val="auto"/>
                <w:highlight w:val="none"/>
                <w:lang w:val="en-US"/>
              </w:rPr>
            </w:pPr>
            <w:r>
              <w:rPr>
                <w:rFonts w:hint="eastAsia" w:ascii="宋体" w:hAnsi="宋体" w:cs="宋体"/>
                <w:color w:val="auto"/>
                <w:highlight w:val="none"/>
              </w:rPr>
              <w:t>项目施工进度计划</w:t>
            </w:r>
            <w:r>
              <w:rPr>
                <w:rFonts w:hint="eastAsia" w:ascii="宋体" w:hAnsi="宋体" w:cs="宋体"/>
                <w:color w:val="auto"/>
                <w:highlight w:val="none"/>
                <w:lang w:val="en-US" w:eastAsia="zh-CN"/>
              </w:rPr>
              <w:t>安排得当</w:t>
            </w:r>
            <w:r>
              <w:rPr>
                <w:rFonts w:hint="eastAsia" w:ascii="宋体" w:hAnsi="宋体" w:cs="宋体"/>
                <w:color w:val="auto"/>
                <w:highlight w:val="none"/>
              </w:rPr>
              <w:t>、</w:t>
            </w:r>
            <w:r>
              <w:rPr>
                <w:rFonts w:hint="eastAsia" w:ascii="宋体" w:hAnsi="宋体" w:cs="宋体"/>
                <w:color w:val="auto"/>
                <w:highlight w:val="none"/>
                <w:lang w:val="en-US" w:eastAsia="zh-CN"/>
              </w:rPr>
              <w:t>时间节点明确、关键线路清晰准确、作业人员工种及人数可确保施工按期完成</w:t>
            </w:r>
            <w:r>
              <w:rPr>
                <w:rFonts w:hint="eastAsia" w:ascii="宋体" w:hAnsi="宋体" w:cs="宋体"/>
                <w:color w:val="auto"/>
                <w:highlight w:val="none"/>
                <w:lang w:val="en-US"/>
              </w:rPr>
              <w:t>的得</w:t>
            </w:r>
            <w:r>
              <w:rPr>
                <w:rFonts w:hint="eastAsia" w:ascii="宋体" w:hAnsi="宋体" w:cs="宋体"/>
                <w:color w:val="auto"/>
                <w:highlight w:val="none"/>
                <w:lang w:val="en-US" w:eastAsia="zh-CN"/>
              </w:rPr>
              <w:t>6</w:t>
            </w:r>
            <w:r>
              <w:rPr>
                <w:rFonts w:hint="eastAsia" w:ascii="宋体" w:hAnsi="宋体" w:cs="宋体"/>
                <w:color w:val="auto"/>
                <w:highlight w:val="none"/>
                <w:lang w:val="en-US"/>
              </w:rPr>
              <w:t>分；</w:t>
            </w:r>
          </w:p>
          <w:p w14:paraId="2D041212">
            <w:pPr>
              <w:pStyle w:val="67"/>
              <w:ind w:firstLine="0" w:firstLineChars="0"/>
              <w:rPr>
                <w:rFonts w:hint="eastAsia" w:ascii="宋体" w:hAnsi="宋体" w:cs="宋体"/>
                <w:color w:val="auto"/>
                <w:highlight w:val="none"/>
                <w:lang w:val="en-US"/>
              </w:rPr>
            </w:pPr>
            <w:r>
              <w:rPr>
                <w:rFonts w:hint="eastAsia" w:ascii="宋体" w:hAnsi="宋体" w:cs="宋体"/>
                <w:color w:val="auto"/>
                <w:highlight w:val="none"/>
              </w:rPr>
              <w:t>项目施工进度计划</w:t>
            </w:r>
            <w:r>
              <w:rPr>
                <w:rFonts w:hint="eastAsia" w:ascii="宋体" w:hAnsi="宋体" w:cs="宋体"/>
                <w:color w:val="auto"/>
                <w:highlight w:val="none"/>
                <w:lang w:val="en-US" w:eastAsia="zh-CN"/>
              </w:rPr>
              <w:t>安排基本满足需求</w:t>
            </w:r>
            <w:r>
              <w:rPr>
                <w:rFonts w:hint="eastAsia" w:ascii="宋体" w:hAnsi="宋体" w:cs="宋体"/>
                <w:color w:val="auto"/>
                <w:highlight w:val="none"/>
              </w:rPr>
              <w:t>、</w:t>
            </w:r>
            <w:r>
              <w:rPr>
                <w:rFonts w:hint="eastAsia" w:ascii="宋体" w:hAnsi="宋体" w:cs="宋体"/>
                <w:color w:val="auto"/>
                <w:highlight w:val="none"/>
                <w:lang w:val="en-US" w:eastAsia="zh-CN"/>
              </w:rPr>
              <w:t>部分时间节点不明确、关键线路安排有欠缺、作业人员工种及人数与进度计划匹配</w:t>
            </w:r>
            <w:r>
              <w:rPr>
                <w:rFonts w:hint="eastAsia" w:ascii="宋体" w:hAnsi="宋体" w:cs="宋体"/>
                <w:color w:val="auto"/>
                <w:highlight w:val="none"/>
                <w:lang w:val="en-US"/>
              </w:rPr>
              <w:t>的得</w:t>
            </w:r>
            <w:r>
              <w:rPr>
                <w:rFonts w:hint="eastAsia" w:ascii="宋体" w:hAnsi="宋体" w:cs="宋体"/>
                <w:color w:val="auto"/>
                <w:highlight w:val="none"/>
                <w:lang w:val="en-US" w:eastAsia="zh-CN"/>
              </w:rPr>
              <w:t>4</w:t>
            </w:r>
            <w:r>
              <w:rPr>
                <w:rFonts w:hint="eastAsia" w:ascii="宋体" w:hAnsi="宋体" w:cs="宋体"/>
                <w:color w:val="auto"/>
                <w:highlight w:val="none"/>
                <w:lang w:val="en-US"/>
              </w:rPr>
              <w:t>分；</w:t>
            </w:r>
          </w:p>
          <w:p w14:paraId="13DC3950">
            <w:pPr>
              <w:pStyle w:val="67"/>
              <w:ind w:firstLine="0" w:firstLineChars="0"/>
              <w:rPr>
                <w:rFonts w:hint="eastAsia" w:ascii="宋体" w:hAnsi="宋体" w:cs="宋体"/>
                <w:color w:val="auto"/>
                <w:highlight w:val="none"/>
                <w:lang w:val="en-US"/>
              </w:rPr>
            </w:pPr>
            <w:r>
              <w:rPr>
                <w:rFonts w:hint="eastAsia" w:ascii="宋体" w:hAnsi="宋体" w:cs="宋体"/>
                <w:color w:val="auto"/>
                <w:highlight w:val="none"/>
              </w:rPr>
              <w:t>项目施工进度计划</w:t>
            </w:r>
            <w:r>
              <w:rPr>
                <w:rFonts w:hint="eastAsia" w:ascii="宋体" w:hAnsi="宋体" w:cs="宋体"/>
                <w:color w:val="auto"/>
                <w:highlight w:val="none"/>
                <w:lang w:val="en-US" w:eastAsia="zh-CN"/>
              </w:rPr>
              <w:t>安排存在不合理之处或时间节点混乱、前后矛盾或关键线路不明或作业人员工种及人数不足</w:t>
            </w:r>
            <w:r>
              <w:rPr>
                <w:rFonts w:hint="eastAsia" w:ascii="宋体" w:hAnsi="宋体" w:cs="宋体"/>
                <w:color w:val="auto"/>
                <w:highlight w:val="none"/>
                <w:lang w:val="en-US"/>
              </w:rPr>
              <w:t>的得</w:t>
            </w:r>
            <w:r>
              <w:rPr>
                <w:rFonts w:hint="eastAsia" w:ascii="宋体" w:hAnsi="宋体" w:cs="宋体"/>
                <w:color w:val="auto"/>
                <w:highlight w:val="none"/>
                <w:lang w:val="en-US" w:eastAsia="zh-CN"/>
              </w:rPr>
              <w:t>2</w:t>
            </w:r>
            <w:r>
              <w:rPr>
                <w:rFonts w:hint="eastAsia" w:ascii="宋体" w:hAnsi="宋体" w:cs="宋体"/>
                <w:color w:val="auto"/>
                <w:highlight w:val="none"/>
                <w:lang w:val="en-US"/>
              </w:rPr>
              <w:t>分；</w:t>
            </w:r>
          </w:p>
          <w:p w14:paraId="674592CE">
            <w:pPr>
              <w:pStyle w:val="67"/>
              <w:ind w:firstLine="0" w:firstLineChars="0"/>
              <w:rPr>
                <w:rFonts w:hint="eastAsia" w:ascii="宋体" w:hAnsi="宋体" w:cs="宋体"/>
                <w:color w:val="auto"/>
                <w:highlight w:val="none"/>
                <w:lang w:val="en-US"/>
              </w:rPr>
            </w:pPr>
            <w:r>
              <w:rPr>
                <w:rFonts w:hint="eastAsia" w:ascii="宋体" w:hAnsi="宋体" w:cs="宋体"/>
                <w:color w:val="auto"/>
                <w:highlight w:val="none"/>
                <w:lang w:val="en-US"/>
              </w:rPr>
              <w:t>未提供的</w:t>
            </w:r>
            <w:r>
              <w:rPr>
                <w:rFonts w:hint="eastAsia" w:ascii="宋体" w:hAnsi="宋体" w:cs="宋体"/>
                <w:color w:val="auto"/>
                <w:szCs w:val="21"/>
                <w:highlight w:val="none"/>
              </w:rPr>
              <w:t>本项不得分</w:t>
            </w:r>
            <w:r>
              <w:rPr>
                <w:rFonts w:hint="eastAsia" w:ascii="宋体" w:hAnsi="宋体" w:cs="宋体"/>
                <w:color w:val="auto"/>
                <w:highlight w:val="none"/>
                <w:lang w:val="en-US"/>
              </w:rPr>
              <w:t>。</w:t>
            </w:r>
          </w:p>
        </w:tc>
        <w:tc>
          <w:tcPr>
            <w:tcW w:w="754" w:type="dxa"/>
            <w:noWrap w:val="0"/>
            <w:vAlign w:val="center"/>
          </w:tcPr>
          <w:p w14:paraId="021A1533">
            <w:pPr>
              <w:jc w:val="center"/>
              <w:rPr>
                <w:rFonts w:ascii="宋体" w:hAnsi="宋体" w:cs="宋体"/>
                <w:color w:val="auto"/>
                <w:szCs w:val="21"/>
                <w:highlight w:val="none"/>
              </w:rPr>
            </w:pPr>
            <w:r>
              <w:rPr>
                <w:rFonts w:hint="eastAsia" w:ascii="宋体" w:hAnsi="宋体" w:cs="宋体"/>
                <w:color w:val="auto"/>
                <w:szCs w:val="21"/>
                <w:highlight w:val="none"/>
              </w:rPr>
              <w:t>6</w:t>
            </w:r>
          </w:p>
        </w:tc>
      </w:tr>
      <w:tr w14:paraId="6ECD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4" w:type="dxa"/>
            <w:vMerge w:val="continue"/>
            <w:noWrap w:val="0"/>
            <w:vAlign w:val="center"/>
          </w:tcPr>
          <w:p w14:paraId="1B0196CA">
            <w:pPr>
              <w:pStyle w:val="67"/>
              <w:ind w:firstLine="0" w:firstLineChars="0"/>
              <w:rPr>
                <w:rFonts w:hint="eastAsia"/>
                <w:color w:val="auto"/>
                <w:highlight w:val="none"/>
              </w:rPr>
            </w:pPr>
          </w:p>
        </w:tc>
        <w:tc>
          <w:tcPr>
            <w:tcW w:w="1230" w:type="dxa"/>
            <w:noWrap w:val="0"/>
            <w:vAlign w:val="center"/>
          </w:tcPr>
          <w:p w14:paraId="5DB1146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质量管理体系和管理措施</w:t>
            </w:r>
          </w:p>
        </w:tc>
        <w:tc>
          <w:tcPr>
            <w:tcW w:w="7218" w:type="dxa"/>
            <w:noWrap w:val="0"/>
            <w:vAlign w:val="center"/>
          </w:tcPr>
          <w:p w14:paraId="20B5064D">
            <w:pPr>
              <w:rPr>
                <w:rFonts w:hint="eastAsia" w:ascii="宋体" w:hAnsi="宋体" w:cs="宋体"/>
                <w:color w:val="auto"/>
                <w:highlight w:val="none"/>
              </w:rPr>
            </w:pPr>
            <w:r>
              <w:rPr>
                <w:rFonts w:hint="eastAsia" w:ascii="宋体" w:hAnsi="宋体" w:cs="宋体"/>
                <w:color w:val="auto"/>
                <w:highlight w:val="none"/>
              </w:rPr>
              <w:t>根据质量管理体系和</w:t>
            </w:r>
            <w:r>
              <w:rPr>
                <w:rFonts w:hint="eastAsia" w:ascii="宋体" w:hAnsi="宋体" w:cs="宋体"/>
                <w:color w:val="auto"/>
                <w:highlight w:val="none"/>
                <w:lang w:val="en-US" w:eastAsia="zh-CN"/>
              </w:rPr>
              <w:t>保障</w:t>
            </w:r>
            <w:r>
              <w:rPr>
                <w:rFonts w:hint="eastAsia" w:ascii="宋体" w:hAnsi="宋体" w:cs="宋体"/>
                <w:color w:val="auto"/>
                <w:highlight w:val="none"/>
              </w:rPr>
              <w:t>措施</w:t>
            </w:r>
            <w:r>
              <w:rPr>
                <w:rFonts w:hint="eastAsia" w:ascii="宋体" w:hAnsi="宋体" w:cs="宋体"/>
                <w:color w:val="auto"/>
                <w:szCs w:val="21"/>
                <w:highlight w:val="none"/>
              </w:rPr>
              <w:t>（</w:t>
            </w:r>
            <w:r>
              <w:rPr>
                <w:rFonts w:hint="eastAsia" w:ascii="宋体" w:hAnsi="宋体" w:cs="宋体"/>
                <w:color w:val="auto"/>
                <w:highlight w:val="none"/>
              </w:rPr>
              <w:t>包括但不仅限于材料</w:t>
            </w:r>
            <w:r>
              <w:rPr>
                <w:rFonts w:hint="eastAsia" w:ascii="宋体" w:hAnsi="宋体" w:cs="宋体"/>
                <w:color w:val="auto"/>
                <w:szCs w:val="21"/>
                <w:highlight w:val="none"/>
              </w:rPr>
              <w:t>、</w:t>
            </w:r>
            <w:r>
              <w:rPr>
                <w:rFonts w:hint="eastAsia" w:ascii="宋体" w:hAnsi="宋体" w:cs="宋体"/>
                <w:color w:val="auto"/>
                <w:highlight w:val="none"/>
              </w:rPr>
              <w:t>设备质量保证措施</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采用的施工方法</w:t>
            </w:r>
            <w:r>
              <w:rPr>
                <w:rFonts w:hint="eastAsia" w:ascii="宋体" w:hAnsi="宋体" w:cs="宋体"/>
                <w:color w:val="auto"/>
                <w:highlight w:val="none"/>
              </w:rPr>
              <w:t>等</w:t>
            </w:r>
            <w:r>
              <w:rPr>
                <w:rFonts w:hint="eastAsia" w:ascii="宋体" w:hAnsi="宋体" w:cs="宋体"/>
                <w:color w:val="auto"/>
                <w:szCs w:val="21"/>
                <w:highlight w:val="none"/>
              </w:rPr>
              <w:t>）</w:t>
            </w:r>
            <w:r>
              <w:rPr>
                <w:rFonts w:hint="eastAsia" w:ascii="宋体" w:hAnsi="宋体" w:cs="宋体"/>
                <w:color w:val="auto"/>
                <w:highlight w:val="none"/>
              </w:rPr>
              <w:t>进行综合评议，最高得5分。</w:t>
            </w:r>
          </w:p>
          <w:p w14:paraId="2510CEA9">
            <w:pPr>
              <w:pStyle w:val="67"/>
              <w:ind w:firstLine="0" w:firstLineChars="0"/>
              <w:rPr>
                <w:rFonts w:hint="eastAsia" w:ascii="宋体" w:hAnsi="宋体" w:cs="宋体"/>
                <w:color w:val="auto"/>
                <w:highlight w:val="none"/>
                <w:lang w:val="en-US"/>
              </w:rPr>
            </w:pPr>
            <w:r>
              <w:rPr>
                <w:rFonts w:hint="eastAsia" w:ascii="宋体" w:hAnsi="宋体" w:cs="宋体"/>
                <w:color w:val="auto"/>
                <w:highlight w:val="none"/>
                <w:lang w:val="en-US" w:eastAsia="zh-CN"/>
              </w:rPr>
              <w:t>具有完整可靠的</w:t>
            </w:r>
            <w:r>
              <w:rPr>
                <w:rFonts w:hint="eastAsia" w:ascii="宋体" w:hAnsi="宋体" w:cs="宋体"/>
                <w:color w:val="auto"/>
                <w:highlight w:val="none"/>
              </w:rPr>
              <w:t>质量管理体系</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质量保障措施符合现行建筑行业规范，拟采用的施工方法可有效确保工程质量的得5分</w:t>
            </w:r>
            <w:r>
              <w:rPr>
                <w:rFonts w:hint="eastAsia" w:ascii="宋体" w:hAnsi="宋体" w:cs="宋体"/>
                <w:color w:val="auto"/>
                <w:highlight w:val="none"/>
                <w:lang w:val="en-US"/>
              </w:rPr>
              <w:t>；</w:t>
            </w:r>
          </w:p>
          <w:p w14:paraId="4DA39CE0">
            <w:pPr>
              <w:pStyle w:val="67"/>
              <w:ind w:firstLine="0" w:firstLineChars="0"/>
              <w:rPr>
                <w:rFonts w:hint="eastAsia" w:ascii="宋体" w:hAnsi="宋体" w:cs="宋体"/>
                <w:color w:val="auto"/>
                <w:highlight w:val="none"/>
              </w:rPr>
            </w:pPr>
            <w:r>
              <w:rPr>
                <w:rFonts w:hint="eastAsia" w:ascii="宋体" w:hAnsi="宋体" w:cs="宋体"/>
                <w:color w:val="auto"/>
                <w:highlight w:val="none"/>
                <w:lang w:val="en-US" w:eastAsia="zh-CN"/>
              </w:rPr>
              <w:t>具有</w:t>
            </w:r>
            <w:r>
              <w:rPr>
                <w:rFonts w:hint="eastAsia" w:ascii="宋体" w:hAnsi="宋体" w:cs="宋体"/>
                <w:color w:val="auto"/>
                <w:highlight w:val="none"/>
              </w:rPr>
              <w:t>质量管理体系</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质量保障措施非主要内容有欠缺，拟采用的施工方法可执行的得3分</w:t>
            </w:r>
            <w:r>
              <w:rPr>
                <w:rFonts w:hint="eastAsia" w:ascii="宋体" w:hAnsi="宋体" w:cs="宋体"/>
                <w:color w:val="auto"/>
                <w:highlight w:val="none"/>
                <w:lang w:val="en-US"/>
              </w:rPr>
              <w:t>；</w:t>
            </w:r>
          </w:p>
          <w:p w14:paraId="06E3A1DE">
            <w:pPr>
              <w:pStyle w:val="67"/>
              <w:ind w:firstLine="0" w:firstLineChars="0"/>
              <w:rPr>
                <w:rFonts w:hint="eastAsia" w:ascii="宋体" w:hAnsi="宋体" w:cs="宋体"/>
                <w:color w:val="auto"/>
                <w:highlight w:val="none"/>
              </w:rPr>
            </w:pPr>
            <w:r>
              <w:rPr>
                <w:rFonts w:hint="eastAsia" w:ascii="宋体" w:hAnsi="宋体" w:cs="宋体"/>
                <w:color w:val="auto"/>
                <w:highlight w:val="none"/>
                <w:lang w:val="en-US" w:eastAsia="zh-CN"/>
              </w:rPr>
              <w:t>缺少</w:t>
            </w:r>
            <w:r>
              <w:rPr>
                <w:rFonts w:hint="eastAsia" w:ascii="宋体" w:hAnsi="宋体" w:cs="宋体"/>
                <w:color w:val="auto"/>
                <w:highlight w:val="none"/>
              </w:rPr>
              <w:t>质量管理体系</w:t>
            </w:r>
            <w:r>
              <w:rPr>
                <w:rFonts w:hint="eastAsia" w:ascii="宋体" w:hAnsi="宋体" w:cs="宋体"/>
                <w:color w:val="auto"/>
                <w:highlight w:val="none"/>
                <w:lang w:val="en-US" w:eastAsia="zh-CN"/>
              </w:rPr>
              <w:t>或质量保障措施主要内容缺失或拟采用的施工方法已被限制使用的得1分</w:t>
            </w:r>
            <w:r>
              <w:rPr>
                <w:rFonts w:hint="eastAsia" w:ascii="宋体" w:hAnsi="宋体" w:cs="宋体"/>
                <w:color w:val="auto"/>
                <w:highlight w:val="none"/>
                <w:lang w:val="en-US"/>
              </w:rPr>
              <w:t>；</w:t>
            </w:r>
          </w:p>
          <w:p w14:paraId="0D9F56F0">
            <w:pPr>
              <w:pStyle w:val="67"/>
              <w:ind w:firstLine="0" w:firstLineChars="0"/>
              <w:rPr>
                <w:rFonts w:hint="eastAsia" w:ascii="宋体" w:hAnsi="宋体" w:cs="宋体"/>
                <w:color w:val="auto"/>
                <w:highlight w:val="none"/>
                <w:lang w:val="en-US"/>
              </w:rPr>
            </w:pPr>
            <w:r>
              <w:rPr>
                <w:rFonts w:hint="eastAsia" w:ascii="宋体" w:hAnsi="宋体" w:cs="宋体"/>
                <w:color w:val="auto"/>
                <w:highlight w:val="none"/>
                <w:lang w:val="en-US"/>
              </w:rPr>
              <w:t>未提供的</w:t>
            </w:r>
            <w:r>
              <w:rPr>
                <w:rFonts w:hint="eastAsia" w:ascii="宋体" w:hAnsi="宋体" w:cs="宋体"/>
                <w:color w:val="auto"/>
                <w:szCs w:val="21"/>
                <w:highlight w:val="none"/>
              </w:rPr>
              <w:t>本项不得分。</w:t>
            </w:r>
          </w:p>
        </w:tc>
        <w:tc>
          <w:tcPr>
            <w:tcW w:w="754" w:type="dxa"/>
            <w:noWrap w:val="0"/>
            <w:vAlign w:val="center"/>
          </w:tcPr>
          <w:p w14:paraId="685046A2">
            <w:pPr>
              <w:jc w:val="center"/>
              <w:rPr>
                <w:rFonts w:ascii="宋体" w:hAnsi="宋体" w:cs="宋体"/>
                <w:color w:val="auto"/>
                <w:szCs w:val="21"/>
                <w:highlight w:val="none"/>
              </w:rPr>
            </w:pPr>
            <w:r>
              <w:rPr>
                <w:rFonts w:hint="eastAsia" w:ascii="宋体" w:hAnsi="宋体" w:cs="宋体"/>
                <w:color w:val="auto"/>
                <w:szCs w:val="21"/>
                <w:highlight w:val="none"/>
              </w:rPr>
              <w:t>5</w:t>
            </w:r>
          </w:p>
        </w:tc>
      </w:tr>
      <w:tr w14:paraId="6504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4" w:type="dxa"/>
            <w:vMerge w:val="continue"/>
            <w:noWrap w:val="0"/>
            <w:vAlign w:val="center"/>
          </w:tcPr>
          <w:p w14:paraId="201DCB18">
            <w:pPr>
              <w:pStyle w:val="67"/>
              <w:ind w:firstLine="0" w:firstLineChars="0"/>
              <w:rPr>
                <w:rFonts w:hint="eastAsia"/>
                <w:color w:val="auto"/>
                <w:highlight w:val="none"/>
              </w:rPr>
            </w:pPr>
          </w:p>
        </w:tc>
        <w:tc>
          <w:tcPr>
            <w:tcW w:w="1230" w:type="dxa"/>
            <w:noWrap w:val="0"/>
            <w:vAlign w:val="center"/>
          </w:tcPr>
          <w:p w14:paraId="14086DA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安全文明、环境保护管理体系和措施</w:t>
            </w:r>
          </w:p>
        </w:tc>
        <w:tc>
          <w:tcPr>
            <w:tcW w:w="7218" w:type="dxa"/>
            <w:noWrap w:val="0"/>
            <w:vAlign w:val="center"/>
          </w:tcPr>
          <w:p w14:paraId="53F9EC4A">
            <w:pPr>
              <w:rPr>
                <w:rFonts w:hint="eastAsia" w:ascii="宋体" w:hAnsi="宋体" w:cs="宋体"/>
                <w:color w:val="auto"/>
                <w:highlight w:val="none"/>
              </w:rPr>
            </w:pPr>
            <w:r>
              <w:rPr>
                <w:rFonts w:hint="eastAsia" w:ascii="宋体" w:hAnsi="宋体" w:cs="宋体"/>
                <w:color w:val="auto"/>
                <w:highlight w:val="none"/>
              </w:rPr>
              <w:t>根据安全文明</w:t>
            </w:r>
            <w:r>
              <w:rPr>
                <w:rFonts w:hint="eastAsia" w:ascii="宋体" w:hAnsi="宋体" w:cs="宋体"/>
                <w:color w:val="auto"/>
                <w:highlight w:val="none"/>
                <w:lang w:eastAsia="zh-CN"/>
              </w:rPr>
              <w:t>（包含但不限于安全保障措施、安全教育、施工安全管理、临时用电、</w:t>
            </w:r>
            <w:r>
              <w:rPr>
                <w:rFonts w:hint="eastAsia" w:ascii="宋体" w:hAnsi="宋体" w:cs="宋体"/>
                <w:color w:val="auto"/>
                <w:highlight w:val="none"/>
                <w:lang w:val="en-US" w:eastAsia="zh-CN"/>
              </w:rPr>
              <w:t>用火</w:t>
            </w:r>
            <w:r>
              <w:rPr>
                <w:rFonts w:hint="eastAsia" w:ascii="宋体" w:hAnsi="宋体" w:cs="宋体"/>
                <w:color w:val="auto"/>
                <w:highlight w:val="none"/>
                <w:lang w:eastAsia="zh-CN"/>
              </w:rPr>
              <w:t>防护措施）</w:t>
            </w:r>
            <w:r>
              <w:rPr>
                <w:rFonts w:hint="eastAsia" w:ascii="宋体" w:hAnsi="宋体" w:cs="宋体"/>
                <w:color w:val="auto"/>
                <w:highlight w:val="none"/>
              </w:rPr>
              <w:t>、环境保护措施（包含</w:t>
            </w:r>
            <w:r>
              <w:rPr>
                <w:rFonts w:hint="eastAsia" w:ascii="宋体" w:hAnsi="宋体" w:cs="宋体"/>
                <w:color w:val="auto"/>
                <w:highlight w:val="none"/>
                <w:lang w:val="en-US" w:eastAsia="zh-CN"/>
              </w:rPr>
              <w:t>但不限于</w:t>
            </w:r>
            <w:r>
              <w:rPr>
                <w:rFonts w:hint="eastAsia" w:ascii="宋体" w:hAnsi="宋体" w:cs="宋体"/>
                <w:color w:val="auto"/>
                <w:highlight w:val="none"/>
              </w:rPr>
              <w:t>防噪音、防扬尘、防刺鼻气味等施工环境维护保障措施等）进行综合评议，最高得</w:t>
            </w:r>
            <w:r>
              <w:rPr>
                <w:rFonts w:hint="eastAsia" w:ascii="宋体" w:hAnsi="宋体" w:cs="宋体"/>
                <w:color w:val="auto"/>
                <w:highlight w:val="none"/>
                <w:lang w:val="en-US" w:eastAsia="zh-CN"/>
              </w:rPr>
              <w:t>6</w:t>
            </w:r>
            <w:r>
              <w:rPr>
                <w:rFonts w:hint="eastAsia" w:ascii="宋体" w:hAnsi="宋体" w:cs="宋体"/>
                <w:color w:val="auto"/>
                <w:highlight w:val="none"/>
              </w:rPr>
              <w:t>分。</w:t>
            </w:r>
          </w:p>
          <w:p w14:paraId="7AEFB629">
            <w:pPr>
              <w:pStyle w:val="67"/>
              <w:ind w:firstLine="0" w:firstLineChars="0"/>
              <w:rPr>
                <w:rFonts w:hint="eastAsia" w:ascii="宋体" w:hAnsi="宋体" w:cs="宋体"/>
                <w:color w:val="auto"/>
                <w:szCs w:val="21"/>
                <w:highlight w:val="none"/>
                <w:lang w:val="en-US" w:eastAsia="zh-CN"/>
              </w:rPr>
            </w:pPr>
            <w:r>
              <w:rPr>
                <w:rFonts w:hint="eastAsia" w:ascii="宋体" w:hAnsi="宋体" w:cs="宋体"/>
                <w:color w:val="auto"/>
                <w:highlight w:val="none"/>
                <w:lang w:val="en-US" w:eastAsia="zh-CN"/>
              </w:rPr>
              <w:t>安全保障措施齐全、目标明确、各子项内容符合施工规范要求，</w:t>
            </w:r>
            <w:r>
              <w:rPr>
                <w:rFonts w:hint="eastAsia" w:ascii="宋体" w:hAnsi="宋体" w:cs="宋体"/>
                <w:color w:val="auto"/>
                <w:szCs w:val="21"/>
                <w:highlight w:val="none"/>
              </w:rPr>
              <w:t>防噪音、防扬尘、防刺鼻气味等施工环境维护保障措施可行</w:t>
            </w:r>
            <w:r>
              <w:rPr>
                <w:rFonts w:hint="eastAsia" w:ascii="宋体" w:hAnsi="宋体" w:cs="宋体"/>
                <w:color w:val="auto"/>
                <w:szCs w:val="21"/>
                <w:highlight w:val="none"/>
                <w:lang w:val="en-US" w:eastAsia="zh-CN"/>
              </w:rPr>
              <w:t>的得6分；</w:t>
            </w:r>
          </w:p>
          <w:p w14:paraId="18C1903F">
            <w:pPr>
              <w:pStyle w:val="67"/>
              <w:ind w:firstLine="0" w:firstLineChars="0"/>
              <w:rPr>
                <w:rFonts w:hint="eastAsia" w:ascii="宋体" w:hAnsi="宋体" w:cs="宋体"/>
                <w:color w:val="auto"/>
                <w:szCs w:val="21"/>
                <w:highlight w:val="none"/>
                <w:lang w:val="en-US" w:eastAsia="zh-CN"/>
              </w:rPr>
            </w:pPr>
            <w:r>
              <w:rPr>
                <w:rFonts w:hint="eastAsia" w:ascii="宋体" w:hAnsi="宋体" w:cs="宋体"/>
                <w:color w:val="auto"/>
                <w:highlight w:val="none"/>
                <w:lang w:val="en-US" w:eastAsia="zh-CN"/>
              </w:rPr>
              <w:t>安全保障措施完整、各子项内容有欠缺，</w:t>
            </w:r>
            <w:r>
              <w:rPr>
                <w:rFonts w:hint="eastAsia" w:ascii="宋体" w:hAnsi="宋体" w:cs="宋体"/>
                <w:color w:val="auto"/>
                <w:szCs w:val="21"/>
                <w:highlight w:val="none"/>
              </w:rPr>
              <w:t>防噪音、防扬尘、防刺鼻气味等施工环境维护保障措施</w:t>
            </w:r>
            <w:r>
              <w:rPr>
                <w:rFonts w:hint="eastAsia" w:ascii="宋体" w:hAnsi="宋体" w:cs="宋体"/>
                <w:color w:val="auto"/>
                <w:szCs w:val="21"/>
                <w:highlight w:val="none"/>
                <w:lang w:val="en-US" w:eastAsia="zh-CN"/>
              </w:rPr>
              <w:t>基本</w:t>
            </w:r>
            <w:r>
              <w:rPr>
                <w:rFonts w:hint="eastAsia" w:ascii="宋体" w:hAnsi="宋体" w:cs="宋体"/>
                <w:color w:val="auto"/>
                <w:szCs w:val="21"/>
                <w:highlight w:val="none"/>
              </w:rPr>
              <w:t>可行</w:t>
            </w:r>
            <w:r>
              <w:rPr>
                <w:rFonts w:hint="eastAsia" w:ascii="宋体" w:hAnsi="宋体" w:cs="宋体"/>
                <w:color w:val="auto"/>
                <w:szCs w:val="21"/>
                <w:highlight w:val="none"/>
                <w:lang w:val="en-US" w:eastAsia="zh-CN"/>
              </w:rPr>
              <w:t>的得4分；</w:t>
            </w:r>
          </w:p>
          <w:p w14:paraId="5B7760C2">
            <w:pPr>
              <w:pStyle w:val="67"/>
              <w:ind w:firstLine="0" w:firstLineChars="0"/>
              <w:rPr>
                <w:rFonts w:hint="eastAsia" w:ascii="宋体" w:hAnsi="宋体" w:cs="宋体"/>
                <w:color w:val="auto"/>
                <w:szCs w:val="21"/>
                <w:highlight w:val="none"/>
                <w:lang w:val="en-US" w:eastAsia="zh-CN"/>
              </w:rPr>
            </w:pPr>
            <w:r>
              <w:rPr>
                <w:rFonts w:hint="eastAsia" w:ascii="宋体" w:hAnsi="宋体" w:cs="宋体"/>
                <w:color w:val="auto"/>
                <w:highlight w:val="none"/>
                <w:lang w:val="en-US" w:eastAsia="zh-CN"/>
              </w:rPr>
              <w:t>安全保障措施不全或各子项内容不符合规范要求或</w:t>
            </w:r>
            <w:r>
              <w:rPr>
                <w:rFonts w:hint="eastAsia" w:ascii="宋体" w:hAnsi="宋体" w:cs="宋体"/>
                <w:color w:val="auto"/>
                <w:szCs w:val="21"/>
                <w:highlight w:val="none"/>
              </w:rPr>
              <w:t>防噪音、防扬尘、防刺鼻气味等施工环境维护保障措施</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可行</w:t>
            </w:r>
            <w:r>
              <w:rPr>
                <w:rFonts w:hint="eastAsia" w:ascii="宋体" w:hAnsi="宋体" w:cs="宋体"/>
                <w:color w:val="auto"/>
                <w:szCs w:val="21"/>
                <w:highlight w:val="none"/>
                <w:lang w:val="en-US" w:eastAsia="zh-CN"/>
              </w:rPr>
              <w:t>的得2分；</w:t>
            </w:r>
          </w:p>
          <w:p w14:paraId="5B4E3972">
            <w:pPr>
              <w:pStyle w:val="67"/>
              <w:ind w:firstLine="0" w:firstLineChars="0"/>
              <w:rPr>
                <w:rFonts w:hint="eastAsia" w:ascii="宋体" w:hAnsi="宋体" w:cs="宋体"/>
                <w:color w:val="auto"/>
                <w:highlight w:val="none"/>
                <w:lang w:val="en-US"/>
              </w:rPr>
            </w:pPr>
            <w:r>
              <w:rPr>
                <w:rFonts w:hint="eastAsia" w:ascii="宋体" w:hAnsi="宋体" w:cs="宋体"/>
                <w:color w:val="auto"/>
                <w:highlight w:val="none"/>
                <w:lang w:val="en-US"/>
              </w:rPr>
              <w:t>未提供的</w:t>
            </w:r>
            <w:r>
              <w:rPr>
                <w:rFonts w:hint="eastAsia" w:ascii="宋体" w:hAnsi="宋体" w:cs="宋体"/>
                <w:color w:val="auto"/>
                <w:szCs w:val="21"/>
                <w:highlight w:val="none"/>
              </w:rPr>
              <w:t>本项不得分。</w:t>
            </w:r>
          </w:p>
        </w:tc>
        <w:tc>
          <w:tcPr>
            <w:tcW w:w="754" w:type="dxa"/>
            <w:noWrap w:val="0"/>
            <w:vAlign w:val="center"/>
          </w:tcPr>
          <w:p w14:paraId="444B1348">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r>
      <w:tr w14:paraId="449A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jc w:val="center"/>
        </w:trPr>
        <w:tc>
          <w:tcPr>
            <w:tcW w:w="704" w:type="dxa"/>
            <w:vMerge w:val="continue"/>
            <w:noWrap w:val="0"/>
            <w:vAlign w:val="center"/>
          </w:tcPr>
          <w:p w14:paraId="07734A7B">
            <w:pPr>
              <w:pStyle w:val="67"/>
              <w:ind w:firstLine="0" w:firstLineChars="0"/>
              <w:rPr>
                <w:rFonts w:hint="eastAsia"/>
                <w:color w:val="auto"/>
                <w:highlight w:val="none"/>
              </w:rPr>
            </w:pPr>
          </w:p>
        </w:tc>
        <w:tc>
          <w:tcPr>
            <w:tcW w:w="1230" w:type="dxa"/>
            <w:noWrap w:val="0"/>
            <w:vAlign w:val="center"/>
          </w:tcPr>
          <w:p w14:paraId="5A3F57F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施工阶段正常进入非施工区域的安全施工保障措施</w:t>
            </w:r>
          </w:p>
        </w:tc>
        <w:tc>
          <w:tcPr>
            <w:tcW w:w="7218" w:type="dxa"/>
            <w:noWrap w:val="0"/>
            <w:vAlign w:val="center"/>
          </w:tcPr>
          <w:p w14:paraId="199C3AA7">
            <w:pPr>
              <w:rPr>
                <w:rFonts w:hint="eastAsia" w:ascii="宋体" w:hAnsi="宋体" w:cs="宋体"/>
                <w:color w:val="auto"/>
                <w:highlight w:val="none"/>
              </w:rPr>
            </w:pPr>
            <w:r>
              <w:rPr>
                <w:rFonts w:hint="eastAsia" w:ascii="宋体" w:hAnsi="宋体" w:cs="宋体"/>
                <w:color w:val="auto"/>
                <w:highlight w:val="none"/>
              </w:rPr>
              <w:t>根据对施工阶段正常出入非施工区域的安全施工保障措施进行综合评议，最高得6分。</w:t>
            </w:r>
          </w:p>
          <w:p w14:paraId="4B86C8C0">
            <w:pPr>
              <w:pStyle w:val="67"/>
              <w:ind w:firstLine="0" w:firstLineChars="0"/>
              <w:rPr>
                <w:rFonts w:hint="eastAsia" w:ascii="宋体" w:hAnsi="宋体" w:cs="宋体"/>
                <w:color w:val="auto"/>
                <w:highlight w:val="none"/>
                <w:lang w:val="en-US"/>
              </w:rPr>
            </w:pPr>
            <w:r>
              <w:rPr>
                <w:rFonts w:hint="eastAsia" w:ascii="宋体" w:hAnsi="宋体" w:cs="宋体"/>
                <w:color w:val="auto"/>
                <w:kern w:val="1"/>
                <w:highlight w:val="none"/>
                <w:lang w:val="en-US" w:eastAsia="zh-CN"/>
              </w:rPr>
              <w:t>施工区域封闭方式安全可靠、施工通道结构牢固、维护措施合理、可确保行人</w:t>
            </w:r>
            <w:r>
              <w:rPr>
                <w:rFonts w:hint="eastAsia" w:ascii="宋体" w:hAnsi="宋体" w:cs="宋体"/>
                <w:color w:val="auto"/>
                <w:szCs w:val="21"/>
                <w:highlight w:val="none"/>
              </w:rPr>
              <w:t>正常</w:t>
            </w:r>
            <w:r>
              <w:rPr>
                <w:rFonts w:hint="eastAsia" w:ascii="宋体" w:hAnsi="宋体" w:cs="宋体"/>
                <w:color w:val="auto"/>
                <w:szCs w:val="21"/>
                <w:highlight w:val="none"/>
                <w:lang w:val="en-US" w:eastAsia="zh-CN"/>
              </w:rPr>
              <w:t>安全</w:t>
            </w:r>
            <w:r>
              <w:rPr>
                <w:rFonts w:hint="eastAsia" w:ascii="宋体" w:hAnsi="宋体" w:cs="宋体"/>
                <w:color w:val="auto"/>
                <w:szCs w:val="21"/>
                <w:highlight w:val="none"/>
              </w:rPr>
              <w:t>通行</w:t>
            </w:r>
            <w:r>
              <w:rPr>
                <w:rFonts w:hint="eastAsia" w:ascii="宋体" w:hAnsi="宋体" w:cs="宋体"/>
                <w:color w:val="auto"/>
                <w:szCs w:val="21"/>
                <w:highlight w:val="none"/>
                <w:lang w:val="en-US" w:eastAsia="zh-CN"/>
              </w:rPr>
              <w:t>的</w:t>
            </w:r>
            <w:r>
              <w:rPr>
                <w:rFonts w:hint="eastAsia" w:ascii="宋体" w:hAnsi="宋体" w:cs="宋体"/>
                <w:color w:val="auto"/>
                <w:kern w:val="1"/>
                <w:highlight w:val="none"/>
              </w:rPr>
              <w:t>得</w:t>
            </w:r>
            <w:r>
              <w:rPr>
                <w:rFonts w:hint="eastAsia" w:ascii="宋体" w:hAnsi="宋体" w:cs="宋体"/>
                <w:color w:val="auto"/>
                <w:highlight w:val="none"/>
                <w:lang w:val="en-US" w:eastAsia="zh-CN"/>
              </w:rPr>
              <w:t>6</w:t>
            </w:r>
            <w:r>
              <w:rPr>
                <w:rFonts w:hint="eastAsia" w:ascii="宋体" w:hAnsi="宋体" w:cs="宋体"/>
                <w:color w:val="auto"/>
                <w:highlight w:val="none"/>
                <w:lang w:val="en-US"/>
              </w:rPr>
              <w:t>分；</w:t>
            </w:r>
          </w:p>
          <w:p w14:paraId="7B79C901">
            <w:pPr>
              <w:pStyle w:val="67"/>
              <w:ind w:firstLine="0" w:firstLineChars="0"/>
              <w:rPr>
                <w:rFonts w:hint="eastAsia" w:ascii="宋体" w:hAnsi="宋体" w:cs="宋体"/>
                <w:color w:val="auto"/>
                <w:highlight w:val="none"/>
                <w:lang w:val="en-US"/>
              </w:rPr>
            </w:pPr>
            <w:r>
              <w:rPr>
                <w:rFonts w:hint="eastAsia" w:ascii="宋体" w:hAnsi="宋体" w:cs="宋体"/>
                <w:color w:val="auto"/>
                <w:kern w:val="1"/>
                <w:highlight w:val="none"/>
                <w:lang w:val="en-US" w:eastAsia="zh-CN"/>
              </w:rPr>
              <w:t>施工区域封闭方式牢固、施工通道结构一般、维护措施有效、基本保障行人</w:t>
            </w:r>
            <w:r>
              <w:rPr>
                <w:rFonts w:hint="eastAsia" w:ascii="宋体" w:hAnsi="宋体" w:cs="宋体"/>
                <w:color w:val="auto"/>
                <w:szCs w:val="21"/>
                <w:highlight w:val="none"/>
              </w:rPr>
              <w:t>通行</w:t>
            </w:r>
            <w:r>
              <w:rPr>
                <w:rFonts w:hint="eastAsia" w:ascii="宋体" w:hAnsi="宋体" w:cs="宋体"/>
                <w:color w:val="auto"/>
                <w:szCs w:val="21"/>
                <w:highlight w:val="none"/>
                <w:lang w:val="en-US" w:eastAsia="zh-CN"/>
              </w:rPr>
              <w:t>的</w:t>
            </w:r>
            <w:r>
              <w:rPr>
                <w:rFonts w:hint="eastAsia" w:ascii="宋体" w:hAnsi="宋体" w:cs="宋体"/>
                <w:color w:val="auto"/>
                <w:kern w:val="1"/>
                <w:highlight w:val="none"/>
              </w:rPr>
              <w:t>得</w:t>
            </w:r>
            <w:r>
              <w:rPr>
                <w:rFonts w:hint="eastAsia" w:ascii="宋体" w:hAnsi="宋体" w:cs="宋体"/>
                <w:color w:val="auto"/>
                <w:highlight w:val="none"/>
                <w:lang w:val="en-US" w:eastAsia="zh-CN"/>
              </w:rPr>
              <w:t>4</w:t>
            </w:r>
            <w:r>
              <w:rPr>
                <w:rFonts w:hint="eastAsia" w:ascii="宋体" w:hAnsi="宋体" w:cs="宋体"/>
                <w:color w:val="auto"/>
                <w:highlight w:val="none"/>
                <w:lang w:val="en-US"/>
              </w:rPr>
              <w:t>分；</w:t>
            </w:r>
          </w:p>
          <w:p w14:paraId="26338249">
            <w:pPr>
              <w:pStyle w:val="67"/>
              <w:ind w:firstLine="0" w:firstLineChars="0"/>
              <w:rPr>
                <w:rFonts w:hint="eastAsia" w:ascii="宋体" w:hAnsi="宋体" w:cs="宋体"/>
                <w:color w:val="auto"/>
                <w:highlight w:val="none"/>
                <w:lang w:val="en-US"/>
              </w:rPr>
            </w:pPr>
            <w:r>
              <w:rPr>
                <w:rFonts w:hint="eastAsia" w:ascii="宋体" w:hAnsi="宋体" w:cs="宋体"/>
                <w:color w:val="auto"/>
                <w:kern w:val="1"/>
                <w:highlight w:val="none"/>
                <w:lang w:val="en-US" w:eastAsia="zh-CN"/>
              </w:rPr>
              <w:t>施工区域封闭方式不牢固或施工通道结构不稳定或维护措施有欠缺、影响行人通行</w:t>
            </w:r>
            <w:r>
              <w:rPr>
                <w:rFonts w:hint="eastAsia" w:ascii="宋体" w:hAnsi="宋体" w:cs="宋体"/>
                <w:color w:val="auto"/>
                <w:szCs w:val="21"/>
                <w:highlight w:val="none"/>
                <w:lang w:val="en-US" w:eastAsia="zh-CN"/>
              </w:rPr>
              <w:t>的</w:t>
            </w:r>
            <w:r>
              <w:rPr>
                <w:rFonts w:hint="eastAsia" w:ascii="宋体" w:hAnsi="宋体" w:cs="宋体"/>
                <w:color w:val="auto"/>
                <w:kern w:val="1"/>
                <w:highlight w:val="none"/>
              </w:rPr>
              <w:t>得</w:t>
            </w:r>
            <w:r>
              <w:rPr>
                <w:rFonts w:hint="eastAsia" w:ascii="宋体" w:hAnsi="宋体" w:cs="宋体"/>
                <w:color w:val="auto"/>
                <w:highlight w:val="none"/>
                <w:lang w:val="en-US" w:eastAsia="zh-CN"/>
              </w:rPr>
              <w:t>2</w:t>
            </w:r>
            <w:r>
              <w:rPr>
                <w:rFonts w:hint="eastAsia" w:ascii="宋体" w:hAnsi="宋体" w:cs="宋体"/>
                <w:color w:val="auto"/>
                <w:highlight w:val="none"/>
                <w:lang w:val="en-US"/>
              </w:rPr>
              <w:t>分；</w:t>
            </w:r>
          </w:p>
          <w:p w14:paraId="540894B4">
            <w:pPr>
              <w:pStyle w:val="67"/>
              <w:ind w:firstLine="0" w:firstLineChars="0"/>
              <w:rPr>
                <w:rFonts w:hint="eastAsia" w:ascii="宋体" w:hAnsi="宋体" w:cs="宋体"/>
                <w:color w:val="auto"/>
                <w:highlight w:val="none"/>
                <w:lang w:val="en-US"/>
              </w:rPr>
            </w:pPr>
            <w:r>
              <w:rPr>
                <w:rFonts w:hint="eastAsia" w:ascii="宋体" w:hAnsi="宋体" w:cs="宋体"/>
                <w:color w:val="auto"/>
                <w:highlight w:val="none"/>
                <w:lang w:val="en-US"/>
              </w:rPr>
              <w:t>未提供的</w:t>
            </w:r>
            <w:r>
              <w:rPr>
                <w:rFonts w:hint="eastAsia" w:ascii="宋体" w:hAnsi="宋体" w:cs="宋体"/>
                <w:color w:val="auto"/>
                <w:szCs w:val="21"/>
                <w:highlight w:val="none"/>
              </w:rPr>
              <w:t>本项不得分。</w:t>
            </w:r>
          </w:p>
        </w:tc>
        <w:tc>
          <w:tcPr>
            <w:tcW w:w="754" w:type="dxa"/>
            <w:noWrap w:val="0"/>
            <w:vAlign w:val="center"/>
          </w:tcPr>
          <w:p w14:paraId="41AAFA6C">
            <w:pPr>
              <w:jc w:val="center"/>
              <w:rPr>
                <w:rFonts w:ascii="宋体" w:hAnsi="宋体" w:cs="宋体"/>
                <w:color w:val="auto"/>
                <w:szCs w:val="21"/>
                <w:highlight w:val="none"/>
              </w:rPr>
            </w:pPr>
            <w:r>
              <w:rPr>
                <w:rFonts w:hint="eastAsia" w:ascii="宋体" w:hAnsi="宋体" w:cs="宋体"/>
                <w:color w:val="auto"/>
                <w:szCs w:val="21"/>
                <w:highlight w:val="none"/>
              </w:rPr>
              <w:t>6</w:t>
            </w:r>
          </w:p>
        </w:tc>
      </w:tr>
      <w:tr w14:paraId="56C3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704" w:type="dxa"/>
            <w:vMerge w:val="continue"/>
            <w:noWrap w:val="0"/>
            <w:vAlign w:val="center"/>
          </w:tcPr>
          <w:p w14:paraId="6B7DB0B8">
            <w:pPr>
              <w:pStyle w:val="67"/>
              <w:ind w:firstLine="0" w:firstLineChars="0"/>
              <w:rPr>
                <w:rFonts w:hint="eastAsia"/>
                <w:color w:val="auto"/>
                <w:highlight w:val="none"/>
              </w:rPr>
            </w:pPr>
          </w:p>
        </w:tc>
        <w:tc>
          <w:tcPr>
            <w:tcW w:w="1230" w:type="dxa"/>
            <w:noWrap w:val="0"/>
            <w:vAlign w:val="center"/>
          </w:tcPr>
          <w:p w14:paraId="75C4E4D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机械配备措施</w:t>
            </w:r>
          </w:p>
        </w:tc>
        <w:tc>
          <w:tcPr>
            <w:tcW w:w="7218" w:type="dxa"/>
            <w:noWrap w:val="0"/>
            <w:vAlign w:val="center"/>
          </w:tcPr>
          <w:p w14:paraId="64D4F1EC">
            <w:pPr>
              <w:rPr>
                <w:rFonts w:hint="eastAsia" w:ascii="宋体" w:hAnsi="宋体" w:cs="宋体"/>
                <w:color w:val="auto"/>
                <w:highlight w:val="none"/>
              </w:rPr>
            </w:pPr>
            <w:r>
              <w:rPr>
                <w:rFonts w:hint="eastAsia" w:ascii="宋体" w:hAnsi="宋体" w:cs="宋体"/>
                <w:color w:val="auto"/>
                <w:highlight w:val="none"/>
              </w:rPr>
              <w:t>根据机械配备措施方案</w:t>
            </w:r>
            <w:r>
              <w:rPr>
                <w:rFonts w:hint="eastAsia" w:ascii="宋体" w:hAnsi="宋体" w:cs="宋体"/>
                <w:color w:val="auto"/>
                <w:highlight w:val="none"/>
                <w:lang w:eastAsia="zh-CN"/>
              </w:rPr>
              <w:t>（包括但不仅限于主要施工机械设备配备</w:t>
            </w:r>
            <w:r>
              <w:rPr>
                <w:rFonts w:hint="eastAsia" w:ascii="宋体" w:hAnsi="宋体" w:cs="宋体"/>
                <w:color w:val="auto"/>
                <w:highlight w:val="none"/>
                <w:lang w:val="en-US" w:eastAsia="zh-CN"/>
              </w:rPr>
              <w:t>、设备管理制度</w:t>
            </w:r>
            <w:r>
              <w:rPr>
                <w:rFonts w:hint="eastAsia" w:ascii="宋体" w:hAnsi="宋体" w:cs="宋体"/>
                <w:color w:val="auto"/>
                <w:highlight w:val="none"/>
                <w:lang w:eastAsia="zh-CN"/>
              </w:rPr>
              <w:t>）</w:t>
            </w:r>
            <w:r>
              <w:rPr>
                <w:rFonts w:hint="eastAsia" w:ascii="宋体" w:hAnsi="宋体" w:cs="宋体"/>
                <w:color w:val="auto"/>
                <w:highlight w:val="none"/>
              </w:rPr>
              <w:t>等内容进行综合评议，最高得5分。</w:t>
            </w:r>
          </w:p>
          <w:p w14:paraId="50128C02">
            <w:pPr>
              <w:rPr>
                <w:rFonts w:hint="eastAsia" w:ascii="宋体" w:hAnsi="宋体" w:cs="宋体"/>
                <w:color w:val="auto"/>
                <w:highlight w:val="none"/>
              </w:rPr>
            </w:pPr>
            <w:r>
              <w:rPr>
                <w:rFonts w:hint="eastAsia" w:ascii="宋体" w:hAnsi="宋体" w:cs="宋体"/>
                <w:color w:val="auto"/>
                <w:highlight w:val="none"/>
                <w:lang w:val="en-US" w:eastAsia="zh-CN"/>
              </w:rPr>
              <w:t>机械设备有计划、安排详细周密，施工机械设备配备齐全，安全可靠，设备管理制度严谨，对设备管理有着严格的要求和标准，完全满足项目实施过程中施工机械设备使用需求的得5</w:t>
            </w:r>
            <w:r>
              <w:rPr>
                <w:rFonts w:hint="eastAsia" w:ascii="宋体" w:hAnsi="宋体" w:cs="宋体"/>
                <w:color w:val="auto"/>
                <w:highlight w:val="none"/>
              </w:rPr>
              <w:t>分；</w:t>
            </w:r>
          </w:p>
          <w:p w14:paraId="77CF410D">
            <w:pPr>
              <w:rPr>
                <w:rFonts w:hint="eastAsia" w:ascii="宋体" w:hAnsi="宋体" w:cs="宋体"/>
                <w:color w:val="auto"/>
                <w:highlight w:val="none"/>
              </w:rPr>
            </w:pPr>
            <w:r>
              <w:rPr>
                <w:rFonts w:hint="eastAsia" w:ascii="宋体" w:hAnsi="宋体" w:cs="宋体"/>
                <w:color w:val="auto"/>
                <w:highlight w:val="none"/>
                <w:lang w:val="en-US" w:eastAsia="zh-CN"/>
              </w:rPr>
              <w:t>机械设备齐全、设备管理制度完善，基本满足项目实施过程中施工机械设备使用需求的得3</w:t>
            </w:r>
            <w:r>
              <w:rPr>
                <w:rFonts w:hint="eastAsia" w:ascii="宋体" w:hAnsi="宋体" w:cs="宋体"/>
                <w:color w:val="auto"/>
                <w:highlight w:val="none"/>
              </w:rPr>
              <w:t>分；</w:t>
            </w:r>
          </w:p>
          <w:p w14:paraId="4B42FD4A">
            <w:pPr>
              <w:pStyle w:val="67"/>
              <w:ind w:firstLine="0" w:firstLineChars="0"/>
              <w:rPr>
                <w:rFonts w:hint="eastAsia" w:ascii="宋体" w:hAnsi="宋体" w:cs="宋体"/>
                <w:color w:val="auto"/>
                <w:highlight w:val="none"/>
                <w:lang w:val="en-US"/>
              </w:rPr>
            </w:pPr>
            <w:r>
              <w:rPr>
                <w:rFonts w:hint="eastAsia" w:ascii="宋体" w:hAnsi="宋体" w:cs="宋体"/>
                <w:color w:val="auto"/>
                <w:highlight w:val="none"/>
                <w:lang w:val="en-US" w:eastAsia="zh-CN"/>
              </w:rPr>
              <w:t>机械设备不全或设备保障措施不合理，可能造成施工进度及质量问题的得1</w:t>
            </w:r>
            <w:r>
              <w:rPr>
                <w:rFonts w:hint="eastAsia" w:ascii="宋体" w:hAnsi="宋体" w:cs="宋体"/>
                <w:color w:val="auto"/>
                <w:highlight w:val="none"/>
              </w:rPr>
              <w:t>分</w:t>
            </w:r>
            <w:r>
              <w:rPr>
                <w:rFonts w:hint="eastAsia" w:ascii="宋体" w:hAnsi="宋体" w:cs="宋体"/>
                <w:color w:val="auto"/>
                <w:highlight w:val="none"/>
                <w:lang w:val="en-US"/>
              </w:rPr>
              <w:t>；</w:t>
            </w:r>
          </w:p>
          <w:p w14:paraId="3CC64AC3">
            <w:pPr>
              <w:pStyle w:val="67"/>
              <w:ind w:firstLine="0" w:firstLineChars="0"/>
              <w:rPr>
                <w:rFonts w:hint="eastAsia" w:ascii="宋体" w:hAnsi="宋体" w:cs="宋体"/>
                <w:color w:val="auto"/>
                <w:highlight w:val="none"/>
                <w:lang w:val="en-US"/>
              </w:rPr>
            </w:pPr>
            <w:r>
              <w:rPr>
                <w:rFonts w:hint="eastAsia" w:ascii="宋体" w:hAnsi="宋体" w:cs="宋体"/>
                <w:color w:val="auto"/>
                <w:highlight w:val="none"/>
                <w:lang w:val="en-US"/>
              </w:rPr>
              <w:t>未提供的</w:t>
            </w:r>
            <w:r>
              <w:rPr>
                <w:rFonts w:hint="eastAsia" w:ascii="宋体" w:hAnsi="宋体" w:cs="宋体"/>
                <w:color w:val="auto"/>
                <w:szCs w:val="21"/>
                <w:highlight w:val="none"/>
              </w:rPr>
              <w:t>本项不得分。</w:t>
            </w:r>
          </w:p>
        </w:tc>
        <w:tc>
          <w:tcPr>
            <w:tcW w:w="754" w:type="dxa"/>
            <w:noWrap w:val="0"/>
            <w:vAlign w:val="center"/>
          </w:tcPr>
          <w:p w14:paraId="5F760D6D">
            <w:pPr>
              <w:jc w:val="center"/>
              <w:rPr>
                <w:rFonts w:ascii="宋体" w:hAnsi="宋体" w:cs="宋体"/>
                <w:color w:val="auto"/>
                <w:szCs w:val="21"/>
                <w:highlight w:val="none"/>
              </w:rPr>
            </w:pPr>
            <w:r>
              <w:rPr>
                <w:rFonts w:hint="eastAsia" w:ascii="宋体" w:hAnsi="宋体" w:cs="宋体"/>
                <w:color w:val="auto"/>
                <w:szCs w:val="21"/>
                <w:highlight w:val="none"/>
              </w:rPr>
              <w:t>5</w:t>
            </w:r>
          </w:p>
        </w:tc>
      </w:tr>
      <w:tr w14:paraId="028A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04" w:type="dxa"/>
            <w:vMerge w:val="continue"/>
            <w:noWrap w:val="0"/>
            <w:vAlign w:val="center"/>
          </w:tcPr>
          <w:p w14:paraId="65F0C6C9">
            <w:pPr>
              <w:spacing w:line="360" w:lineRule="auto"/>
              <w:jc w:val="center"/>
              <w:rPr>
                <w:rFonts w:hint="eastAsia" w:ascii="宋体" w:hAnsi="宋体" w:cs="宋体"/>
                <w:color w:val="auto"/>
                <w:highlight w:val="none"/>
              </w:rPr>
            </w:pPr>
          </w:p>
        </w:tc>
        <w:tc>
          <w:tcPr>
            <w:tcW w:w="1230" w:type="dxa"/>
            <w:noWrap w:val="0"/>
            <w:vAlign w:val="center"/>
          </w:tcPr>
          <w:p w14:paraId="5E725F6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类似项目施工经验</w:t>
            </w:r>
          </w:p>
        </w:tc>
        <w:tc>
          <w:tcPr>
            <w:tcW w:w="7218" w:type="dxa"/>
            <w:noWrap w:val="0"/>
            <w:vAlign w:val="center"/>
          </w:tcPr>
          <w:p w14:paraId="1510B5FD">
            <w:pPr>
              <w:rPr>
                <w:rFonts w:hint="eastAsia" w:ascii="宋体" w:hAnsi="宋体" w:cs="宋体"/>
                <w:color w:val="auto"/>
                <w:kern w:val="1"/>
                <w:highlight w:val="none"/>
              </w:rPr>
            </w:pPr>
            <w:r>
              <w:rPr>
                <w:rFonts w:hint="eastAsia" w:ascii="宋体" w:hAnsi="宋体" w:cs="宋体"/>
                <w:color w:val="auto"/>
                <w:kern w:val="1"/>
                <w:highlight w:val="none"/>
              </w:rPr>
              <w:t>供应商近3年以来（自202</w:t>
            </w:r>
            <w:r>
              <w:rPr>
                <w:rFonts w:hint="eastAsia" w:ascii="宋体" w:hAnsi="宋体" w:cs="宋体"/>
                <w:color w:val="auto"/>
                <w:kern w:val="1"/>
                <w:highlight w:val="none"/>
                <w:lang w:val="en-US" w:eastAsia="zh-CN"/>
              </w:rPr>
              <w:t>1</w:t>
            </w:r>
            <w:r>
              <w:rPr>
                <w:rFonts w:hint="eastAsia" w:ascii="宋体" w:hAnsi="宋体" w:cs="宋体"/>
                <w:color w:val="auto"/>
                <w:kern w:val="1"/>
                <w:highlight w:val="none"/>
              </w:rPr>
              <w:t>年1月1日起，以合同签订时间为准）承担过</w:t>
            </w:r>
            <w:r>
              <w:rPr>
                <w:rFonts w:hint="eastAsia" w:ascii="宋体" w:hAnsi="宋体" w:cs="宋体"/>
                <w:color w:val="auto"/>
                <w:kern w:val="1"/>
                <w:highlight w:val="none"/>
                <w:lang w:val="en-US" w:eastAsia="zh-CN"/>
              </w:rPr>
              <w:t>类似</w:t>
            </w:r>
            <w:r>
              <w:rPr>
                <w:rFonts w:hint="eastAsia" w:ascii="宋体" w:hAnsi="宋体" w:cs="宋体"/>
                <w:color w:val="auto"/>
                <w:kern w:val="1"/>
                <w:highlight w:val="none"/>
              </w:rPr>
              <w:t>项目的，每提供一个项目业绩得1分，最高得</w:t>
            </w:r>
            <w:r>
              <w:rPr>
                <w:rFonts w:hint="eastAsia" w:ascii="宋体" w:hAnsi="宋体" w:cs="宋体"/>
                <w:color w:val="auto"/>
                <w:kern w:val="1"/>
                <w:highlight w:val="none"/>
                <w:lang w:val="en-US" w:eastAsia="zh-CN"/>
              </w:rPr>
              <w:t>1</w:t>
            </w:r>
            <w:r>
              <w:rPr>
                <w:rFonts w:hint="eastAsia" w:ascii="宋体" w:hAnsi="宋体" w:cs="宋体"/>
                <w:color w:val="auto"/>
                <w:kern w:val="1"/>
                <w:highlight w:val="none"/>
              </w:rPr>
              <w:t>分。</w:t>
            </w:r>
          </w:p>
          <w:p w14:paraId="175ECEA2">
            <w:pPr>
              <w:rPr>
                <w:rFonts w:hint="eastAsia" w:ascii="宋体" w:hAnsi="宋体" w:cs="宋体"/>
                <w:color w:val="auto"/>
                <w:kern w:val="1"/>
                <w:highlight w:val="none"/>
              </w:rPr>
            </w:pPr>
            <w:r>
              <w:rPr>
                <w:rFonts w:hint="eastAsia" w:ascii="宋体" w:hAnsi="宋体" w:cs="宋体"/>
                <w:color w:val="auto"/>
                <w:kern w:val="1"/>
                <w:highlight w:val="none"/>
              </w:rPr>
              <w:t>响应文件中提供施工合同复印件，</w:t>
            </w:r>
            <w:r>
              <w:rPr>
                <w:rFonts w:hint="eastAsia" w:ascii="宋体" w:hAnsi="宋体" w:cs="宋体"/>
                <w:color w:val="auto"/>
                <w:highlight w:val="none"/>
              </w:rPr>
              <w:t>未提供</w:t>
            </w:r>
            <w:r>
              <w:rPr>
                <w:rFonts w:hint="eastAsia" w:ascii="宋体" w:hAnsi="宋体" w:cs="宋体"/>
                <w:color w:val="auto"/>
                <w:highlight w:val="none"/>
                <w:lang w:val="en-US" w:eastAsia="zh-CN"/>
              </w:rPr>
              <w:t>合同或合同不能体现评审因素的</w:t>
            </w:r>
            <w:r>
              <w:rPr>
                <w:rFonts w:hint="eastAsia" w:ascii="宋体" w:hAnsi="宋体" w:cs="宋体"/>
                <w:color w:val="auto"/>
                <w:kern w:val="1"/>
                <w:highlight w:val="none"/>
              </w:rPr>
              <w:t>，该业绩不予认可。</w:t>
            </w:r>
          </w:p>
        </w:tc>
        <w:tc>
          <w:tcPr>
            <w:tcW w:w="754" w:type="dxa"/>
            <w:noWrap w:val="0"/>
            <w:vAlign w:val="center"/>
          </w:tcPr>
          <w:p w14:paraId="03A22C39">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1</w:t>
            </w:r>
          </w:p>
        </w:tc>
      </w:tr>
      <w:tr w14:paraId="332F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04" w:type="dxa"/>
            <w:vMerge w:val="continue"/>
            <w:noWrap w:val="0"/>
            <w:vAlign w:val="center"/>
          </w:tcPr>
          <w:p w14:paraId="25639D11">
            <w:pPr>
              <w:spacing w:line="360" w:lineRule="auto"/>
              <w:jc w:val="center"/>
              <w:rPr>
                <w:rFonts w:hint="eastAsia" w:ascii="宋体" w:hAnsi="宋体" w:cs="宋体"/>
                <w:color w:val="auto"/>
                <w:highlight w:val="none"/>
              </w:rPr>
            </w:pPr>
          </w:p>
        </w:tc>
        <w:tc>
          <w:tcPr>
            <w:tcW w:w="1230" w:type="dxa"/>
            <w:noWrap w:val="0"/>
            <w:vAlign w:val="center"/>
          </w:tcPr>
          <w:p w14:paraId="5BCC3AE5">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产品保护措施</w:t>
            </w:r>
          </w:p>
        </w:tc>
        <w:tc>
          <w:tcPr>
            <w:tcW w:w="7218" w:type="dxa"/>
            <w:noWrap w:val="0"/>
            <w:vAlign w:val="center"/>
          </w:tcPr>
          <w:p w14:paraId="581B9294">
            <w:pPr>
              <w:rPr>
                <w:rFonts w:hint="eastAsia" w:ascii="宋体" w:hAnsi="宋体" w:cs="宋体"/>
                <w:color w:val="auto"/>
                <w:kern w:val="1"/>
                <w:highlight w:val="none"/>
              </w:rPr>
            </w:pPr>
            <w:r>
              <w:rPr>
                <w:rFonts w:hint="eastAsia" w:ascii="宋体" w:hAnsi="宋体" w:cs="宋体"/>
                <w:color w:val="auto"/>
                <w:kern w:val="1"/>
                <w:highlight w:val="none"/>
              </w:rPr>
              <w:t>根据供应商提供的本项目的产品保护措施进行综合评议（包括但不仅限于原材料</w:t>
            </w:r>
            <w:r>
              <w:rPr>
                <w:rFonts w:hint="eastAsia" w:ascii="宋体" w:hAnsi="宋体" w:cs="宋体"/>
                <w:color w:val="auto"/>
                <w:kern w:val="1"/>
                <w:highlight w:val="none"/>
                <w:lang w:val="en-US" w:eastAsia="zh-CN"/>
              </w:rPr>
              <w:t>采购</w:t>
            </w:r>
            <w:r>
              <w:rPr>
                <w:rFonts w:hint="eastAsia" w:ascii="宋体" w:hAnsi="宋体" w:cs="宋体"/>
                <w:color w:val="auto"/>
                <w:kern w:val="1"/>
                <w:highlight w:val="none"/>
              </w:rPr>
              <w:t>、已完工的成品等失窃或失火），最高得3分。</w:t>
            </w:r>
          </w:p>
          <w:p w14:paraId="29ED0BE5">
            <w:pPr>
              <w:rPr>
                <w:rFonts w:hint="eastAsia" w:ascii="宋体" w:hAnsi="宋体" w:cs="宋体"/>
                <w:color w:val="auto"/>
                <w:kern w:val="1"/>
                <w:highlight w:val="none"/>
              </w:rPr>
            </w:pPr>
            <w:r>
              <w:rPr>
                <w:rFonts w:hint="eastAsia" w:ascii="宋体" w:hAnsi="宋体" w:cs="宋体"/>
                <w:color w:val="auto"/>
                <w:kern w:val="1"/>
                <w:highlight w:val="none"/>
                <w:lang w:val="en-US" w:eastAsia="zh-CN"/>
              </w:rPr>
              <w:t>产品保护措施完整、原材料保管措施得当、多区域已完成品防护措施可行</w:t>
            </w:r>
            <w:r>
              <w:rPr>
                <w:rFonts w:hint="eastAsia" w:ascii="宋体" w:hAnsi="宋体" w:cs="宋体"/>
                <w:color w:val="auto"/>
                <w:kern w:val="1"/>
                <w:highlight w:val="none"/>
              </w:rPr>
              <w:t>的得</w:t>
            </w:r>
            <w:r>
              <w:rPr>
                <w:rFonts w:hint="eastAsia" w:ascii="宋体" w:hAnsi="宋体" w:cs="宋体"/>
                <w:color w:val="auto"/>
                <w:kern w:val="1"/>
                <w:highlight w:val="none"/>
                <w:lang w:val="en-US" w:eastAsia="zh-CN"/>
              </w:rPr>
              <w:t>3</w:t>
            </w:r>
            <w:r>
              <w:rPr>
                <w:rFonts w:hint="eastAsia" w:ascii="宋体" w:hAnsi="宋体" w:cs="宋体"/>
                <w:color w:val="auto"/>
                <w:kern w:val="1"/>
                <w:highlight w:val="none"/>
              </w:rPr>
              <w:t>分；</w:t>
            </w:r>
          </w:p>
          <w:p w14:paraId="258F7727">
            <w:pPr>
              <w:rPr>
                <w:rFonts w:hint="eastAsia" w:ascii="宋体" w:hAnsi="宋体" w:cs="宋体"/>
                <w:color w:val="auto"/>
                <w:kern w:val="1"/>
                <w:highlight w:val="none"/>
              </w:rPr>
            </w:pPr>
            <w:r>
              <w:rPr>
                <w:rFonts w:hint="eastAsia" w:ascii="宋体" w:hAnsi="宋体" w:cs="宋体"/>
                <w:color w:val="auto"/>
                <w:kern w:val="1"/>
                <w:highlight w:val="none"/>
                <w:lang w:val="en-US" w:eastAsia="zh-CN"/>
              </w:rPr>
              <w:t>产品保护措施简单、部分原材料保管措施不当、多区域已完成品防护措施基本可行</w:t>
            </w:r>
            <w:r>
              <w:rPr>
                <w:rFonts w:hint="eastAsia" w:ascii="宋体" w:hAnsi="宋体" w:cs="宋体"/>
                <w:color w:val="auto"/>
                <w:kern w:val="1"/>
                <w:highlight w:val="none"/>
              </w:rPr>
              <w:t>的得</w:t>
            </w:r>
            <w:r>
              <w:rPr>
                <w:rFonts w:hint="eastAsia" w:ascii="宋体" w:hAnsi="宋体" w:cs="宋体"/>
                <w:color w:val="auto"/>
                <w:kern w:val="1"/>
                <w:highlight w:val="none"/>
                <w:lang w:val="en-US" w:eastAsia="zh-CN"/>
              </w:rPr>
              <w:t>2</w:t>
            </w:r>
            <w:r>
              <w:rPr>
                <w:rFonts w:hint="eastAsia" w:ascii="宋体" w:hAnsi="宋体" w:cs="宋体"/>
                <w:color w:val="auto"/>
                <w:kern w:val="1"/>
                <w:highlight w:val="none"/>
              </w:rPr>
              <w:t>分；</w:t>
            </w:r>
          </w:p>
          <w:p w14:paraId="74CA946E">
            <w:pPr>
              <w:rPr>
                <w:rFonts w:hint="eastAsia" w:ascii="宋体" w:hAnsi="宋体" w:cs="宋体"/>
                <w:color w:val="auto"/>
                <w:kern w:val="1"/>
                <w:highlight w:val="none"/>
              </w:rPr>
            </w:pPr>
            <w:r>
              <w:rPr>
                <w:rFonts w:hint="eastAsia" w:ascii="宋体" w:hAnsi="宋体" w:cs="宋体"/>
                <w:color w:val="auto"/>
                <w:kern w:val="1"/>
                <w:highlight w:val="none"/>
                <w:lang w:val="en-US" w:eastAsia="zh-CN"/>
              </w:rPr>
              <w:t>产品保护措施不全或原材料保管措施不当或已完成品防护措施不可行</w:t>
            </w:r>
            <w:r>
              <w:rPr>
                <w:rFonts w:hint="eastAsia" w:ascii="宋体" w:hAnsi="宋体" w:cs="宋体"/>
                <w:color w:val="auto"/>
                <w:kern w:val="1"/>
                <w:highlight w:val="none"/>
              </w:rPr>
              <w:t>的得</w:t>
            </w:r>
            <w:r>
              <w:rPr>
                <w:rFonts w:hint="eastAsia" w:ascii="宋体" w:hAnsi="宋体" w:cs="宋体"/>
                <w:color w:val="auto"/>
                <w:kern w:val="1"/>
                <w:highlight w:val="none"/>
                <w:lang w:val="en-US" w:eastAsia="zh-CN"/>
              </w:rPr>
              <w:t>1</w:t>
            </w:r>
            <w:r>
              <w:rPr>
                <w:rFonts w:hint="eastAsia" w:ascii="宋体" w:hAnsi="宋体" w:cs="宋体"/>
                <w:color w:val="auto"/>
                <w:kern w:val="1"/>
                <w:highlight w:val="none"/>
              </w:rPr>
              <w:t>分；</w:t>
            </w:r>
          </w:p>
          <w:p w14:paraId="1225A4C5">
            <w:pPr>
              <w:rPr>
                <w:rFonts w:hint="eastAsia" w:ascii="宋体" w:hAnsi="宋体" w:cs="宋体"/>
                <w:color w:val="auto"/>
                <w:highlight w:val="none"/>
              </w:rPr>
            </w:pPr>
            <w:r>
              <w:rPr>
                <w:rFonts w:hint="eastAsia" w:ascii="宋体" w:hAnsi="宋体" w:cs="宋体"/>
                <w:color w:val="auto"/>
                <w:highlight w:val="none"/>
                <w:lang w:val="en-US"/>
              </w:rPr>
              <w:t>未提供的</w:t>
            </w:r>
            <w:r>
              <w:rPr>
                <w:rFonts w:hint="eastAsia" w:ascii="宋体" w:hAnsi="宋体" w:cs="宋体"/>
                <w:color w:val="auto"/>
                <w:szCs w:val="21"/>
                <w:highlight w:val="none"/>
              </w:rPr>
              <w:t>本项不得分。</w:t>
            </w:r>
          </w:p>
        </w:tc>
        <w:tc>
          <w:tcPr>
            <w:tcW w:w="754" w:type="dxa"/>
            <w:noWrap w:val="0"/>
            <w:vAlign w:val="center"/>
          </w:tcPr>
          <w:p w14:paraId="383CF9CE">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w:t>
            </w:r>
          </w:p>
        </w:tc>
      </w:tr>
      <w:tr w14:paraId="7BBC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04" w:type="dxa"/>
            <w:vMerge w:val="continue"/>
            <w:noWrap w:val="0"/>
            <w:vAlign w:val="center"/>
          </w:tcPr>
          <w:p w14:paraId="40000799">
            <w:pPr>
              <w:spacing w:line="360" w:lineRule="auto"/>
              <w:jc w:val="center"/>
              <w:rPr>
                <w:rFonts w:hint="eastAsia" w:ascii="宋体" w:hAnsi="宋体" w:cs="宋体"/>
                <w:color w:val="auto"/>
                <w:highlight w:val="none"/>
              </w:rPr>
            </w:pPr>
          </w:p>
        </w:tc>
        <w:tc>
          <w:tcPr>
            <w:tcW w:w="1230" w:type="dxa"/>
            <w:noWrap w:val="0"/>
            <w:vAlign w:val="center"/>
          </w:tcPr>
          <w:p w14:paraId="102B173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认证证书</w:t>
            </w:r>
          </w:p>
        </w:tc>
        <w:tc>
          <w:tcPr>
            <w:tcW w:w="7218" w:type="dxa"/>
            <w:noWrap w:val="0"/>
            <w:vAlign w:val="center"/>
          </w:tcPr>
          <w:p w14:paraId="37E7979F">
            <w:pPr>
              <w:rPr>
                <w:rFonts w:hint="eastAsia" w:ascii="宋体" w:hAnsi="宋体" w:cs="宋体"/>
                <w:color w:val="auto"/>
                <w:kern w:val="1"/>
                <w:highlight w:val="none"/>
              </w:rPr>
            </w:pPr>
            <w:r>
              <w:rPr>
                <w:rFonts w:hint="eastAsia" w:ascii="宋体" w:hAnsi="宋体" w:cs="宋体"/>
                <w:color w:val="auto"/>
                <w:kern w:val="1"/>
                <w:highlight w:val="none"/>
              </w:rPr>
              <w:t>供应商提供有效的质量管理体系认证书、环境管理体系认证证书、职业健康安全管理体系证书，每提供一个认证证书得2分，最高得6分。</w:t>
            </w:r>
          </w:p>
          <w:p w14:paraId="783FC171">
            <w:pPr>
              <w:rPr>
                <w:rFonts w:hint="eastAsia" w:ascii="宋体" w:hAnsi="宋体" w:cs="宋体"/>
                <w:color w:val="auto"/>
                <w:kern w:val="1"/>
                <w:highlight w:val="none"/>
              </w:rPr>
            </w:pPr>
            <w:r>
              <w:rPr>
                <w:rFonts w:hint="eastAsia" w:ascii="宋体" w:hAnsi="宋体" w:cs="宋体"/>
                <w:color w:val="auto"/>
                <w:kern w:val="1"/>
                <w:highlight w:val="none"/>
              </w:rPr>
              <w:t>响应文件中提供</w:t>
            </w:r>
            <w:r>
              <w:rPr>
                <w:rFonts w:hint="eastAsia" w:ascii="宋体" w:hAnsi="宋体" w:cs="宋体"/>
                <w:color w:val="auto"/>
                <w:highlight w:val="none"/>
              </w:rPr>
              <w:t>相关证明材料复印件</w:t>
            </w:r>
            <w:r>
              <w:rPr>
                <w:rFonts w:hint="eastAsia" w:ascii="宋体" w:hAnsi="宋体" w:cs="宋体"/>
                <w:color w:val="auto"/>
                <w:kern w:val="1"/>
                <w:highlight w:val="none"/>
              </w:rPr>
              <w:t>，未提供的本项不得分</w:t>
            </w:r>
            <w:r>
              <w:rPr>
                <w:rFonts w:hint="eastAsia" w:ascii="宋体" w:hAnsi="宋体" w:cs="宋体"/>
                <w:color w:val="auto"/>
                <w:highlight w:val="none"/>
              </w:rPr>
              <w:t>。</w:t>
            </w:r>
          </w:p>
        </w:tc>
        <w:tc>
          <w:tcPr>
            <w:tcW w:w="754" w:type="dxa"/>
            <w:noWrap w:val="0"/>
            <w:vAlign w:val="center"/>
          </w:tcPr>
          <w:p w14:paraId="3DF9D56A">
            <w:pPr>
              <w:jc w:val="center"/>
              <w:rPr>
                <w:rFonts w:ascii="宋体" w:hAnsi="宋体" w:cs="宋体"/>
                <w:color w:val="auto"/>
                <w:highlight w:val="none"/>
              </w:rPr>
            </w:pPr>
            <w:r>
              <w:rPr>
                <w:rFonts w:hint="eastAsia" w:ascii="宋体" w:hAnsi="宋体" w:cs="宋体"/>
                <w:color w:val="auto"/>
                <w:highlight w:val="none"/>
              </w:rPr>
              <w:t>6</w:t>
            </w:r>
          </w:p>
        </w:tc>
      </w:tr>
      <w:tr w14:paraId="7C98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04" w:type="dxa"/>
            <w:vMerge w:val="continue"/>
            <w:noWrap w:val="0"/>
            <w:vAlign w:val="center"/>
          </w:tcPr>
          <w:p w14:paraId="5DB9CE0C">
            <w:pPr>
              <w:spacing w:line="360" w:lineRule="auto"/>
              <w:jc w:val="center"/>
              <w:rPr>
                <w:rFonts w:hint="eastAsia" w:ascii="宋体" w:hAnsi="宋体" w:cs="宋体"/>
                <w:color w:val="auto"/>
                <w:highlight w:val="none"/>
              </w:rPr>
            </w:pPr>
          </w:p>
        </w:tc>
        <w:tc>
          <w:tcPr>
            <w:tcW w:w="1230" w:type="dxa"/>
            <w:noWrap w:val="0"/>
            <w:vAlign w:val="center"/>
          </w:tcPr>
          <w:p w14:paraId="31229494">
            <w:pPr>
              <w:spacing w:line="360" w:lineRule="auto"/>
              <w:jc w:val="center"/>
              <w:rPr>
                <w:rFonts w:hint="eastAsia" w:ascii="宋体" w:hAnsi="宋体" w:cs="宋体"/>
                <w:color w:val="auto"/>
                <w:szCs w:val="21"/>
                <w:highlight w:val="none"/>
              </w:rPr>
            </w:pPr>
            <w:r>
              <w:rPr>
                <w:rFonts w:hint="eastAsia" w:ascii="宋体" w:hAnsi="宋体" w:cs="宋体"/>
                <w:color w:val="auto"/>
                <w:highlight w:val="none"/>
              </w:rPr>
              <w:t>服务便捷性</w:t>
            </w:r>
          </w:p>
        </w:tc>
        <w:tc>
          <w:tcPr>
            <w:tcW w:w="7218" w:type="dxa"/>
            <w:noWrap w:val="0"/>
            <w:vAlign w:val="center"/>
          </w:tcPr>
          <w:p w14:paraId="287A3504">
            <w:pPr>
              <w:rPr>
                <w:rFonts w:hint="eastAsia" w:ascii="宋体" w:hAnsi="宋体" w:cs="宋体"/>
                <w:color w:val="auto"/>
                <w:highlight w:val="none"/>
              </w:rPr>
            </w:pPr>
            <w:r>
              <w:rPr>
                <w:rFonts w:hint="eastAsia" w:ascii="宋体" w:hAnsi="宋体" w:cs="宋体"/>
                <w:color w:val="auto"/>
                <w:highlight w:val="none"/>
              </w:rPr>
              <w:t>根据供应商针对服务便捷性优势方面的描述，包括服务机构基本情况、稳定性、项目实施期间配合服务的便捷程度等进行评审，最高得5分。</w:t>
            </w:r>
          </w:p>
          <w:p w14:paraId="445E4BD0">
            <w:pPr>
              <w:rPr>
                <w:rFonts w:hint="eastAsia" w:ascii="宋体" w:hAnsi="宋体" w:cs="宋体"/>
                <w:color w:val="auto"/>
                <w:highlight w:val="none"/>
              </w:rPr>
            </w:pPr>
            <w:r>
              <w:rPr>
                <w:rFonts w:hint="eastAsia" w:ascii="宋体" w:hAnsi="宋体" w:cs="宋体"/>
                <w:color w:val="auto"/>
                <w:highlight w:val="none"/>
                <w:lang w:val="en-US" w:eastAsia="zh-CN"/>
              </w:rPr>
              <w:t>服务机构架构完整、人员长期稳定、可根据采购人要求及时安排人员进行配合</w:t>
            </w:r>
            <w:r>
              <w:rPr>
                <w:rFonts w:hint="eastAsia" w:ascii="宋体" w:hAnsi="宋体" w:cs="宋体"/>
                <w:color w:val="auto"/>
                <w:highlight w:val="none"/>
              </w:rPr>
              <w:t xml:space="preserve">的得 </w:t>
            </w:r>
            <w:r>
              <w:rPr>
                <w:rFonts w:hint="eastAsia" w:ascii="宋体" w:hAnsi="宋体" w:cs="宋体"/>
                <w:color w:val="auto"/>
                <w:highlight w:val="none"/>
                <w:lang w:val="en-US" w:eastAsia="zh-CN"/>
              </w:rPr>
              <w:t>5</w:t>
            </w:r>
            <w:r>
              <w:rPr>
                <w:rFonts w:hint="eastAsia" w:ascii="宋体" w:hAnsi="宋体" w:cs="宋体"/>
                <w:color w:val="auto"/>
                <w:highlight w:val="none"/>
              </w:rPr>
              <w:t>分；</w:t>
            </w:r>
          </w:p>
          <w:p w14:paraId="5F488D69">
            <w:pPr>
              <w:rPr>
                <w:rFonts w:hint="eastAsia" w:ascii="宋体" w:hAnsi="宋体" w:cs="宋体"/>
                <w:color w:val="auto"/>
                <w:highlight w:val="none"/>
              </w:rPr>
            </w:pPr>
            <w:r>
              <w:rPr>
                <w:rFonts w:hint="eastAsia" w:ascii="宋体" w:hAnsi="宋体" w:cs="宋体"/>
                <w:color w:val="auto"/>
                <w:highlight w:val="none"/>
                <w:lang w:val="en-US" w:eastAsia="zh-CN"/>
              </w:rPr>
              <w:t>服务机构架构简单、短期内人员流动、无法及时按照采购人要求进行调整</w:t>
            </w:r>
            <w:r>
              <w:rPr>
                <w:rFonts w:hint="eastAsia" w:ascii="宋体" w:hAnsi="宋体" w:cs="宋体"/>
                <w:color w:val="auto"/>
                <w:highlight w:val="none"/>
              </w:rPr>
              <w:t xml:space="preserve">的得 </w:t>
            </w:r>
            <w:r>
              <w:rPr>
                <w:rFonts w:hint="eastAsia" w:ascii="宋体" w:hAnsi="宋体" w:cs="宋体"/>
                <w:color w:val="auto"/>
                <w:highlight w:val="none"/>
                <w:lang w:val="en-US" w:eastAsia="zh-CN"/>
              </w:rPr>
              <w:t>3</w:t>
            </w:r>
            <w:r>
              <w:rPr>
                <w:rFonts w:hint="eastAsia" w:ascii="宋体" w:hAnsi="宋体" w:cs="宋体"/>
                <w:color w:val="auto"/>
                <w:highlight w:val="none"/>
              </w:rPr>
              <w:t>分；</w:t>
            </w:r>
          </w:p>
          <w:p w14:paraId="17C93E34">
            <w:pPr>
              <w:rPr>
                <w:rFonts w:hint="eastAsia" w:ascii="宋体" w:hAnsi="宋体" w:cs="宋体"/>
                <w:color w:val="auto"/>
                <w:highlight w:val="none"/>
              </w:rPr>
            </w:pPr>
            <w:r>
              <w:rPr>
                <w:rFonts w:hint="eastAsia" w:ascii="宋体" w:hAnsi="宋体" w:cs="宋体"/>
                <w:color w:val="auto"/>
                <w:highlight w:val="none"/>
                <w:lang w:val="en-US" w:eastAsia="zh-CN"/>
              </w:rPr>
              <w:t>服务机构缺失或人员长期不稳定、流动性大、无法配合采购人</w:t>
            </w:r>
            <w:r>
              <w:rPr>
                <w:rFonts w:hint="eastAsia" w:ascii="宋体" w:hAnsi="宋体" w:cs="宋体"/>
                <w:color w:val="auto"/>
                <w:highlight w:val="none"/>
              </w:rPr>
              <w:t xml:space="preserve">的得 </w:t>
            </w:r>
            <w:r>
              <w:rPr>
                <w:rFonts w:hint="eastAsia" w:ascii="宋体" w:hAnsi="宋体" w:cs="宋体"/>
                <w:color w:val="auto"/>
                <w:highlight w:val="none"/>
                <w:lang w:val="en-US" w:eastAsia="zh-CN"/>
              </w:rPr>
              <w:t>1</w:t>
            </w:r>
            <w:r>
              <w:rPr>
                <w:rFonts w:hint="eastAsia" w:ascii="宋体" w:hAnsi="宋体" w:cs="宋体"/>
                <w:color w:val="auto"/>
                <w:highlight w:val="none"/>
              </w:rPr>
              <w:t>分；</w:t>
            </w:r>
          </w:p>
          <w:p w14:paraId="6FB2F1F1">
            <w:pPr>
              <w:rPr>
                <w:rFonts w:hint="eastAsia"/>
                <w:color w:val="auto"/>
                <w:highlight w:val="none"/>
              </w:rPr>
            </w:pPr>
            <w:r>
              <w:rPr>
                <w:rFonts w:hint="eastAsia" w:ascii="宋体" w:hAnsi="宋体" w:cs="宋体"/>
                <w:color w:val="auto"/>
                <w:highlight w:val="none"/>
                <w:lang w:val="en-US"/>
              </w:rPr>
              <w:t>未提供的</w:t>
            </w:r>
            <w:r>
              <w:rPr>
                <w:rFonts w:hint="eastAsia" w:ascii="宋体" w:hAnsi="宋体" w:cs="宋体"/>
                <w:color w:val="auto"/>
                <w:szCs w:val="21"/>
                <w:highlight w:val="none"/>
              </w:rPr>
              <w:t>本项不得分。</w:t>
            </w:r>
          </w:p>
        </w:tc>
        <w:tc>
          <w:tcPr>
            <w:tcW w:w="754" w:type="dxa"/>
            <w:noWrap w:val="0"/>
            <w:vAlign w:val="center"/>
          </w:tcPr>
          <w:p w14:paraId="6797E348">
            <w:pPr>
              <w:jc w:val="center"/>
              <w:rPr>
                <w:rFonts w:ascii="宋体" w:hAnsi="宋体" w:cs="宋体"/>
                <w:color w:val="auto"/>
                <w:highlight w:val="none"/>
              </w:rPr>
            </w:pPr>
            <w:r>
              <w:rPr>
                <w:rFonts w:hint="eastAsia" w:ascii="宋体" w:hAnsi="宋体" w:cs="宋体"/>
                <w:color w:val="auto"/>
                <w:highlight w:val="none"/>
              </w:rPr>
              <w:t>5</w:t>
            </w:r>
          </w:p>
        </w:tc>
      </w:tr>
      <w:tr w14:paraId="2850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04" w:type="dxa"/>
            <w:vMerge w:val="continue"/>
            <w:noWrap w:val="0"/>
            <w:vAlign w:val="center"/>
          </w:tcPr>
          <w:p w14:paraId="293751EA">
            <w:pPr>
              <w:spacing w:line="360" w:lineRule="auto"/>
              <w:jc w:val="center"/>
              <w:rPr>
                <w:rFonts w:hint="eastAsia" w:ascii="宋体" w:hAnsi="宋体" w:cs="宋体"/>
                <w:color w:val="auto"/>
                <w:highlight w:val="none"/>
              </w:rPr>
            </w:pPr>
          </w:p>
        </w:tc>
        <w:tc>
          <w:tcPr>
            <w:tcW w:w="1230" w:type="dxa"/>
            <w:noWrap w:val="0"/>
            <w:vAlign w:val="center"/>
          </w:tcPr>
          <w:p w14:paraId="72242642">
            <w:pPr>
              <w:spacing w:line="360" w:lineRule="auto"/>
              <w:ind w:left="-199" w:leftChars="-95" w:right="-246" w:rightChars="-117"/>
              <w:jc w:val="center"/>
              <w:rPr>
                <w:rFonts w:hint="eastAsia" w:ascii="宋体" w:hAnsi="宋体" w:cs="宋体"/>
                <w:color w:val="auto"/>
                <w:szCs w:val="21"/>
                <w:highlight w:val="none"/>
              </w:rPr>
            </w:pPr>
            <w:r>
              <w:rPr>
                <w:rFonts w:hint="eastAsia" w:ascii="宋体" w:hAnsi="宋体" w:cs="宋体"/>
                <w:color w:val="auto"/>
                <w:szCs w:val="21"/>
                <w:highlight w:val="none"/>
              </w:rPr>
              <w:t>合理化建议</w:t>
            </w:r>
          </w:p>
        </w:tc>
        <w:tc>
          <w:tcPr>
            <w:tcW w:w="7218" w:type="dxa"/>
            <w:noWrap w:val="0"/>
            <w:vAlign w:val="center"/>
          </w:tcPr>
          <w:p w14:paraId="4FC6B2D1">
            <w:pPr>
              <w:pStyle w:val="67"/>
              <w:ind w:firstLine="0" w:firstLineChars="0"/>
              <w:rPr>
                <w:rFonts w:hint="eastAsia" w:ascii="宋体" w:hAnsi="宋体"/>
                <w:color w:val="auto"/>
                <w:highlight w:val="none"/>
              </w:rPr>
            </w:pPr>
            <w:r>
              <w:rPr>
                <w:rFonts w:hint="eastAsia" w:ascii="宋体" w:hAnsi="宋体"/>
                <w:color w:val="auto"/>
                <w:highlight w:val="none"/>
              </w:rPr>
              <w:t>根据供应商提供的合理化建议</w:t>
            </w:r>
            <w:r>
              <w:rPr>
                <w:rFonts w:hint="eastAsia" w:ascii="宋体" w:hAnsi="宋体" w:cs="宋体"/>
                <w:color w:val="auto"/>
                <w:highlight w:val="none"/>
              </w:rPr>
              <w:t>进行评审</w:t>
            </w:r>
            <w:r>
              <w:rPr>
                <w:rFonts w:hint="eastAsia" w:ascii="宋体" w:hAnsi="宋体"/>
                <w:color w:val="auto"/>
                <w:highlight w:val="none"/>
              </w:rPr>
              <w:t>，</w:t>
            </w:r>
            <w:r>
              <w:rPr>
                <w:rFonts w:hint="eastAsia" w:ascii="宋体" w:hAnsi="宋体"/>
                <w:color w:val="auto"/>
                <w:highlight w:val="none"/>
                <w:lang w:val="en-US"/>
              </w:rPr>
              <w:t>最高得</w:t>
            </w:r>
            <w:r>
              <w:rPr>
                <w:rFonts w:hint="eastAsia" w:ascii="宋体" w:hAnsi="宋体"/>
                <w:color w:val="auto"/>
                <w:highlight w:val="none"/>
              </w:rPr>
              <w:t>4分。</w:t>
            </w:r>
          </w:p>
          <w:p w14:paraId="3D731247">
            <w:pPr>
              <w:pStyle w:val="67"/>
              <w:ind w:firstLine="0" w:firstLineChars="0"/>
              <w:rPr>
                <w:rFonts w:ascii="宋体" w:hAnsi="宋体"/>
                <w:color w:val="auto"/>
                <w:highlight w:val="none"/>
                <w:lang w:val="en-US"/>
              </w:rPr>
            </w:pPr>
            <w:r>
              <w:rPr>
                <w:rFonts w:hint="eastAsia" w:ascii="宋体" w:hAnsi="宋体" w:cs="宋体"/>
                <w:color w:val="auto"/>
                <w:highlight w:val="none"/>
              </w:rPr>
              <w:t xml:space="preserve">建议具有实质性意义、具有采纳价值的得 </w:t>
            </w:r>
            <w:r>
              <w:rPr>
                <w:rFonts w:hint="eastAsia" w:ascii="宋体" w:hAnsi="宋体" w:cs="宋体"/>
                <w:color w:val="auto"/>
                <w:highlight w:val="none"/>
                <w:lang w:val="en-US" w:eastAsia="zh-CN"/>
              </w:rPr>
              <w:t>4</w:t>
            </w:r>
            <w:r>
              <w:rPr>
                <w:rFonts w:hint="eastAsia" w:ascii="宋体" w:hAnsi="宋体" w:cs="宋体"/>
                <w:color w:val="auto"/>
                <w:highlight w:val="none"/>
              </w:rPr>
              <w:t xml:space="preserve"> 分；建议部分具有实质性意义，可采纳价值内容较少的得 </w:t>
            </w:r>
            <w:r>
              <w:rPr>
                <w:rFonts w:hint="eastAsia" w:ascii="宋体" w:hAnsi="宋体" w:cs="宋体"/>
                <w:color w:val="auto"/>
                <w:highlight w:val="none"/>
                <w:lang w:val="en-US" w:eastAsia="zh-CN"/>
              </w:rPr>
              <w:t>2</w:t>
            </w:r>
            <w:r>
              <w:rPr>
                <w:rFonts w:hint="eastAsia" w:ascii="宋体" w:hAnsi="宋体" w:cs="宋体"/>
                <w:color w:val="auto"/>
                <w:highlight w:val="none"/>
              </w:rPr>
              <w:t>分；建议无实质性意义、无采纳价值的得</w:t>
            </w:r>
            <w:r>
              <w:rPr>
                <w:rFonts w:hint="eastAsia" w:ascii="宋体" w:hAnsi="宋体" w:cs="宋体"/>
                <w:color w:val="auto"/>
                <w:highlight w:val="none"/>
                <w:lang w:val="en-US" w:eastAsia="zh-CN"/>
              </w:rPr>
              <w:t>1</w:t>
            </w:r>
            <w:r>
              <w:rPr>
                <w:rFonts w:hint="eastAsia" w:ascii="宋体" w:hAnsi="宋体" w:cs="宋体"/>
                <w:color w:val="auto"/>
                <w:highlight w:val="none"/>
              </w:rPr>
              <w:t xml:space="preserve"> 分；无合理化建议的，得0分。</w:t>
            </w:r>
          </w:p>
        </w:tc>
        <w:tc>
          <w:tcPr>
            <w:tcW w:w="754" w:type="dxa"/>
            <w:noWrap w:val="0"/>
            <w:vAlign w:val="center"/>
          </w:tcPr>
          <w:p w14:paraId="2650C33E">
            <w:pPr>
              <w:jc w:val="center"/>
              <w:rPr>
                <w:rFonts w:ascii="宋体" w:hAnsi="宋体" w:cs="宋体"/>
                <w:color w:val="auto"/>
                <w:highlight w:val="none"/>
              </w:rPr>
            </w:pPr>
            <w:r>
              <w:rPr>
                <w:rFonts w:hint="eastAsia" w:ascii="宋体" w:hAnsi="宋体" w:cs="宋体"/>
                <w:color w:val="auto"/>
                <w:highlight w:val="none"/>
              </w:rPr>
              <w:t>4</w:t>
            </w:r>
          </w:p>
        </w:tc>
      </w:tr>
    </w:tbl>
    <w:p w14:paraId="2ACF643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该评分分值由评审委员会根据评审情况再分值范围内独立打分（具体分值设定详见表格），小数点后保留一位小数。每个供应商的商务技术分为评审委员会打分的算术平均值（计算结果保留两位小数，第三位四舍五入）。对明显畸高、畸低的评分（偏离平均分30%及以上的），评审小组长应提醒相关评审人员进行复核或书面说明理由。</w:t>
      </w:r>
    </w:p>
    <w:p w14:paraId="2889F73A">
      <w:pPr>
        <w:wordWrap w:val="0"/>
        <w:spacing w:line="360" w:lineRule="auto"/>
        <w:ind w:left="105" w:hanging="105" w:hangingChars="50"/>
        <w:rPr>
          <w:rFonts w:ascii="宋体" w:hAnsi="宋体" w:cs="宋体"/>
          <w:color w:val="auto"/>
          <w:szCs w:val="21"/>
          <w:highlight w:val="none"/>
        </w:rPr>
      </w:pPr>
      <w:r>
        <w:rPr>
          <w:rFonts w:hint="eastAsia" w:ascii="宋体" w:hAnsi="宋体" w:cs="宋体"/>
          <w:color w:val="auto"/>
          <w:szCs w:val="21"/>
          <w:highlight w:val="none"/>
        </w:rPr>
        <w:t xml:space="preserve">3、报价文件评审  </w:t>
      </w:r>
    </w:p>
    <w:p w14:paraId="1179D7A0">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3.1响应报价(总分30分)</w:t>
      </w:r>
    </w:p>
    <w:p w14:paraId="4FE98980">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3.1.1 本磋商项目最高限价为人民币</w:t>
      </w:r>
      <w:r>
        <w:rPr>
          <w:rFonts w:hint="eastAsia" w:ascii="宋体" w:hAnsi="宋体"/>
          <w:color w:val="auto"/>
          <w:szCs w:val="21"/>
          <w:highlight w:val="none"/>
          <w:u w:val="single"/>
          <w:lang w:val="en-US" w:eastAsia="zh-CN"/>
        </w:rPr>
        <w:t>3292148</w:t>
      </w:r>
      <w:r>
        <w:rPr>
          <w:rFonts w:hint="eastAsia" w:ascii="宋体" w:hAnsi="宋体" w:cs="宋体"/>
          <w:color w:val="auto"/>
          <w:szCs w:val="21"/>
          <w:highlight w:val="none"/>
        </w:rPr>
        <w:t>元（含税价，下同），其中工程暂估价（含暂定综合单价）</w:t>
      </w:r>
      <w:r>
        <w:rPr>
          <w:rFonts w:hint="eastAsia" w:ascii="宋体" w:hAnsi="宋体"/>
          <w:color w:val="auto"/>
          <w:szCs w:val="21"/>
          <w:highlight w:val="none"/>
          <w:u w:val="single"/>
          <w:lang w:val="en-US" w:eastAsia="zh-CN"/>
        </w:rPr>
        <w:t>0</w:t>
      </w:r>
      <w:r>
        <w:rPr>
          <w:rFonts w:hint="eastAsia" w:ascii="宋体" w:hAnsi="宋体" w:cs="宋体"/>
          <w:color w:val="auto"/>
          <w:szCs w:val="21"/>
          <w:highlight w:val="none"/>
        </w:rPr>
        <w:t>元（含税价）、暂列金额</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rPr>
        <w:t>元（含税价）及其他不可竞争费</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rPr>
        <w:t>元（含税价），工程暂估价（含暂定综合单价）、暂列金额及其他不可竞争费在响应报价时不可竞争不作浮动，供应商修改工程暂估价（含暂定综合单价）、暂列金额及其他不可竞争费的或响应报价超过最高限价的，将作无效响应处理。</w:t>
      </w:r>
    </w:p>
    <w:p w14:paraId="5D7C13C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本采购文件约定供应商的响应报价=（最高限价-工程暂估价（含暂定综合单价）、暂列金额及其他不可竞争费总和）×（1+响应报价浮动率）+工程暂估价（含暂定综合单价）、暂列金额及其他不可竞争费总和。</w:t>
      </w:r>
    </w:p>
    <w:p w14:paraId="703649A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响应报价采用总报价形式，以元表示，保留整数。对未按此规定进行报价的供应商，其报价部分被视作有细微偏差，允许供应商按上述规定进行修改，小数点后第一位四舍五入。</w:t>
      </w:r>
    </w:p>
    <w:p w14:paraId="32416DA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3.2.2报价文件得分计算公式</w:t>
      </w:r>
    </w:p>
    <w:p w14:paraId="37F4EF0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进入报价文件初步评审，供应商评审合格后，进入磋商程序。</w:t>
      </w:r>
    </w:p>
    <w:p w14:paraId="05D4E45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当与供应商的磋商结束后，磋商小组将要求供应商提出最终报价，并当场对磋商结果进行书面确认。超过规定时间提交的报价应当作为无效响应处理。在磋商内容不变的情况下，最终报价不能高于最高限价，高出的报价将作为无效响应处理。</w:t>
      </w:r>
    </w:p>
    <w:p w14:paraId="1BD3FDB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磋商基准价=满足采购文件要求且最低的参与评审的价格</w:t>
      </w:r>
    </w:p>
    <w:p w14:paraId="0C9A8F6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参与评审的价格＝最终报价</w:t>
      </w:r>
    </w:p>
    <w:p w14:paraId="5C732CB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报价文件评审得分：磋商基准价</w:t>
      </w:r>
      <w:r>
        <w:rPr>
          <w:rFonts w:hint="eastAsia" w:ascii="宋体" w:hAnsi="宋体" w:cs="宋体"/>
          <w:color w:val="auto"/>
          <w:szCs w:val="21"/>
          <w:highlight w:val="none"/>
          <w:lang w:val="en-US" w:eastAsia="zh-CN"/>
        </w:rPr>
        <w:t>的报价</w:t>
      </w:r>
      <w:r>
        <w:rPr>
          <w:rFonts w:hint="eastAsia" w:ascii="宋体" w:hAnsi="宋体" w:cs="宋体"/>
          <w:color w:val="auto"/>
          <w:szCs w:val="21"/>
          <w:highlight w:val="none"/>
        </w:rPr>
        <w:t>得分</w:t>
      </w:r>
      <w:r>
        <w:rPr>
          <w:rFonts w:hint="eastAsia" w:ascii="宋体" w:hAnsi="宋体" w:cs="宋体"/>
          <w:color w:val="auto"/>
          <w:szCs w:val="21"/>
          <w:highlight w:val="none"/>
          <w:lang w:val="en-US" w:eastAsia="zh-CN"/>
        </w:rPr>
        <w:t>为满分</w:t>
      </w:r>
      <w:r>
        <w:rPr>
          <w:rFonts w:hint="eastAsia" w:ascii="宋体" w:hAnsi="宋体" w:cs="宋体"/>
          <w:color w:val="auto"/>
          <w:szCs w:val="21"/>
          <w:highlight w:val="none"/>
        </w:rPr>
        <w:t>30分。</w:t>
      </w:r>
    </w:p>
    <w:p w14:paraId="10054FF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报价得分=(磋商基准价/参与评审的价格)×30×100%</w:t>
      </w:r>
    </w:p>
    <w:p w14:paraId="2EF5688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响应报价得分以四舍五入保留小数点后2位。</w:t>
      </w:r>
    </w:p>
    <w:p w14:paraId="161D8A3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供应商应当做好详细且依据充分的报价合理性的书面说明材料，有下列情形之一的，将视为不合理报价作无效响应处理；</w:t>
      </w:r>
    </w:p>
    <w:p w14:paraId="1CA202D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认为供应商的报价明显低于其他通过符合性审查供应商的报价，有可能影响工程质量或者不能诚信履约的，且供应商未在1小时内向磋商小组提供报价合理性的书面说明材料（至少包括工程量清单综合单价工料分析表、措施项目清单综合单价工料分析表）；</w:t>
      </w:r>
    </w:p>
    <w:p w14:paraId="2A951B7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（2）供应商虽然提供了书面说明材料，但材料内容不完整、或依据不充分、或磋商小组经分析认为其依据不合理。</w:t>
      </w:r>
    </w:p>
    <w:p w14:paraId="2E9F397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4、计算评审得分（满分为100分）</w:t>
      </w:r>
    </w:p>
    <w:p w14:paraId="066202FE">
      <w:pPr>
        <w:wordWrap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总得分＝商务技术分+报价得分</w:t>
      </w:r>
      <w:r>
        <w:rPr>
          <w:rFonts w:hint="eastAsia" w:ascii="宋体" w:hAnsi="宋体" w:cs="宋体"/>
          <w:b/>
          <w:color w:val="auto"/>
          <w:szCs w:val="21"/>
          <w:highlight w:val="none"/>
        </w:rPr>
        <w:t>(以最终报价依据计算得分)</w:t>
      </w:r>
      <w:r>
        <w:rPr>
          <w:rFonts w:hint="eastAsia" w:ascii="宋体" w:hAnsi="宋体" w:cs="宋体"/>
          <w:color w:val="auto"/>
          <w:szCs w:val="21"/>
          <w:highlight w:val="none"/>
        </w:rPr>
        <w:t>（均保留两位小数）</w:t>
      </w:r>
    </w:p>
    <w:p w14:paraId="328E87C1">
      <w:pPr>
        <w:wordWrap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5、推荐成交候选人</w:t>
      </w:r>
    </w:p>
    <w:p w14:paraId="3F2E4529">
      <w:pPr>
        <w:wordWrap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5.1本次评审，按总得分从高到低排序，推荐排序前三名依次为第一、第二、第三成交候选人。</w:t>
      </w:r>
    </w:p>
    <w:p w14:paraId="5F7DD4C5">
      <w:pPr>
        <w:wordWrap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采用综合评分法的，磋商结果按评审后得分由高到低顺序排列。得分相同的，按最终报价由低到高顺序排列，最终报价也相同的，由采购人抽签确定，先抽中者排序在前。磋商小组推荐排序第一的为第一成交候选人，以此类推。</w:t>
      </w:r>
    </w:p>
    <w:p w14:paraId="6C38DB25">
      <w:pPr>
        <w:wordWrap w:val="0"/>
        <w:adjustRightInd w:val="0"/>
        <w:snapToGrid w:val="0"/>
        <w:spacing w:line="360" w:lineRule="auto"/>
        <w:ind w:firstLine="420" w:firstLineChars="200"/>
        <w:rPr>
          <w:rFonts w:ascii="宋体" w:hAnsi="宋体" w:cs="宋体"/>
          <w:strike/>
          <w:color w:val="auto"/>
          <w:szCs w:val="21"/>
          <w:highlight w:val="none"/>
        </w:rPr>
      </w:pPr>
      <w:r>
        <w:rPr>
          <w:rFonts w:hint="eastAsia" w:ascii="宋体" w:hAnsi="宋体" w:cs="宋体"/>
          <w:color w:val="auto"/>
          <w:szCs w:val="21"/>
          <w:highlight w:val="none"/>
        </w:rPr>
        <w:t>6、其他说明</w:t>
      </w:r>
    </w:p>
    <w:p w14:paraId="585B8D46">
      <w:pPr>
        <w:wordWrap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除另有约定外，本细则所列计算公式，其计算结果保留两位小数，中间计算过程不予取舍，采用内插法计算各项得分。</w:t>
      </w:r>
    </w:p>
    <w:p w14:paraId="6E23B7B7">
      <w:pPr>
        <w:wordWrap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7、本细则由采购人负责解释。评审过程如有异常情况，由评委集体讨论决定，以少数服从多数的原则进行表决。</w:t>
      </w:r>
    </w:p>
    <w:p w14:paraId="5758A7EC">
      <w:pP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br w:type="page"/>
      </w:r>
    </w:p>
    <w:p w14:paraId="1DBC84D2">
      <w:pPr>
        <w:pStyle w:val="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第五章  合同草案条款</w:t>
      </w:r>
      <w:bookmarkEnd w:id="83"/>
      <w:bookmarkEnd w:id="84"/>
    </w:p>
    <w:p w14:paraId="574DF400">
      <w:pPr>
        <w:pStyle w:val="47"/>
        <w:spacing w:before="0" w:after="0" w:line="360" w:lineRule="auto"/>
        <w:jc w:val="left"/>
        <w:rPr>
          <w:rFonts w:ascii="宋体" w:hAnsi="宋体" w:eastAsia="宋体"/>
          <w:color w:val="auto"/>
          <w:sz w:val="21"/>
          <w:szCs w:val="21"/>
          <w:highlight w:val="none"/>
        </w:rPr>
      </w:pPr>
      <w:r>
        <w:rPr>
          <w:rFonts w:hint="eastAsia" w:asciiTheme="minorEastAsia" w:hAnsiTheme="minorEastAsia" w:eastAsiaTheme="minorEastAsia"/>
          <w:color w:val="auto"/>
          <w:sz w:val="21"/>
          <w:highlight w:val="none"/>
        </w:rPr>
        <w:t>注：本合同文本为成交后签订合同的草案，并根据磋商结果签订，请供应商仔细阅读并理解。</w:t>
      </w:r>
    </w:p>
    <w:p w14:paraId="16F28657">
      <w:pPr>
        <w:pStyle w:val="4"/>
        <w:tabs>
          <w:tab w:val="left" w:pos="636"/>
          <w:tab w:val="clear" w:pos="1740"/>
        </w:tabs>
        <w:spacing w:before="120"/>
        <w:rPr>
          <w:color w:val="auto"/>
          <w:highlight w:val="none"/>
        </w:rPr>
      </w:pPr>
      <w:bookmarkStart w:id="87" w:name="_Toc500941711"/>
      <w:bookmarkStart w:id="88" w:name="_Toc387415093"/>
      <w:bookmarkStart w:id="89" w:name="_Toc387418339"/>
      <w:bookmarkStart w:id="90" w:name="_Toc387417987"/>
      <w:r>
        <w:rPr>
          <w:color w:val="auto"/>
          <w:highlight w:val="none"/>
        </w:rPr>
        <w:t>第一部分 合同协议书</w:t>
      </w:r>
      <w:bookmarkEnd w:id="87"/>
    </w:p>
    <w:p w14:paraId="64C43A32">
      <w:pPr>
        <w:spacing w:line="360" w:lineRule="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rPr>
        <w:t>发包人（全称）：</w:t>
      </w:r>
      <w:r>
        <w:rPr>
          <w:rFonts w:hint="eastAsia"/>
          <w:color w:val="auto"/>
          <w:highlight w:val="none"/>
          <w:u w:val="single"/>
          <w:lang w:eastAsia="zh-CN"/>
        </w:rPr>
        <w:t>宁波老年大学管理中心</w:t>
      </w:r>
    </w:p>
    <w:p w14:paraId="4E4C2C6E">
      <w:pPr>
        <w:spacing w:line="360" w:lineRule="auto"/>
        <w:rPr>
          <w:rFonts w:hint="eastAsia" w:ascii="宋体" w:hAnsi="宋体" w:cs="宋体"/>
          <w:b/>
          <w:color w:val="auto"/>
          <w:szCs w:val="21"/>
          <w:highlight w:val="none"/>
          <w:u w:val="single"/>
        </w:rPr>
      </w:pPr>
      <w:r>
        <w:rPr>
          <w:rFonts w:hint="eastAsia" w:ascii="宋体" w:hAnsi="宋体" w:cs="宋体"/>
          <w:b/>
          <w:color w:val="auto"/>
          <w:szCs w:val="21"/>
          <w:highlight w:val="none"/>
        </w:rPr>
        <w:t>承包人（全称）：</w:t>
      </w:r>
      <w:r>
        <w:rPr>
          <w:rFonts w:hint="eastAsia"/>
          <w:color w:val="auto"/>
          <w:highlight w:val="none"/>
          <w:u w:val="single"/>
        </w:rPr>
        <w:t xml:space="preserve">                              </w:t>
      </w:r>
    </w:p>
    <w:p w14:paraId="07214D3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根据《中华人民共和国民法典》、《中华人民共和国建筑法》及有关法律规定，遵循平等、自愿、公平和诚实信用的原则，双方就</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施工及有关事项协商一致，共同达成如下协议：</w:t>
      </w:r>
    </w:p>
    <w:p w14:paraId="78FFBD4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一、工程概况</w:t>
      </w:r>
    </w:p>
    <w:p w14:paraId="0CCD201E">
      <w:pPr>
        <w:spacing w:line="360" w:lineRule="auto"/>
        <w:ind w:firstLine="411" w:firstLineChars="196"/>
        <w:rPr>
          <w:rFonts w:hint="eastAsia" w:ascii="宋体" w:hAnsi="宋体" w:cs="宋体"/>
          <w:color w:val="auto"/>
          <w:szCs w:val="21"/>
          <w:highlight w:val="none"/>
          <w:u w:val="single"/>
        </w:rPr>
      </w:pPr>
      <w:r>
        <w:rPr>
          <w:rFonts w:hint="eastAsia" w:ascii="宋体" w:hAnsi="宋体" w:cs="宋体"/>
          <w:bCs/>
          <w:color w:val="auto"/>
          <w:szCs w:val="21"/>
          <w:highlight w:val="none"/>
        </w:rPr>
        <w:t>1.工程名称</w:t>
      </w:r>
      <w:r>
        <w:rPr>
          <w:rFonts w:hint="eastAsia" w:ascii="宋体" w:hAnsi="宋体" w:cs="宋体"/>
          <w:color w:val="auto"/>
          <w:szCs w:val="21"/>
          <w:highlight w:val="non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BD0ACE0">
      <w:pPr>
        <w:spacing w:line="360" w:lineRule="auto"/>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2.工程地点：</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14B37043">
      <w:pPr>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3.工程立项批准文号</w:t>
      </w:r>
      <w:r>
        <w:rPr>
          <w:rFonts w:hint="eastAsia" w:ascii="宋体" w:hAnsi="宋体" w:cs="宋体"/>
          <w:color w:val="auto"/>
          <w:szCs w:val="21"/>
          <w:highlight w:val="none"/>
        </w:rPr>
        <w:t>：</w:t>
      </w:r>
      <w:r>
        <w:rPr>
          <w:rFonts w:hint="eastAsia" w:ascii="宋体" w:hAnsi="宋体" w:cs="宋体"/>
          <w:color w:val="auto"/>
          <w:szCs w:val="21"/>
          <w:highlight w:val="none"/>
          <w:u w:val="single"/>
          <w:lang w:val="en-US" w:eastAsia="zh-CN"/>
        </w:rPr>
        <w:t xml:space="preserve">       </w:t>
      </w:r>
      <w:r>
        <w:rPr>
          <w:rFonts w:hint="eastAsia" w:ascii="宋体" w:hAnsi="宋体" w:cs="宋体"/>
          <w:bCs/>
          <w:color w:val="auto"/>
          <w:szCs w:val="21"/>
          <w:highlight w:val="none"/>
        </w:rPr>
        <w:t>。</w:t>
      </w:r>
    </w:p>
    <w:p w14:paraId="74A79392">
      <w:pPr>
        <w:spacing w:line="360" w:lineRule="auto"/>
        <w:ind w:firstLine="411" w:firstLineChars="196"/>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4.资金来源：</w:t>
      </w:r>
      <w:r>
        <w:rPr>
          <w:rFonts w:hint="eastAsia" w:ascii="宋体" w:hAnsi="宋体"/>
          <w:color w:val="auto"/>
          <w:highlight w:val="none"/>
          <w:u w:val="single"/>
          <w:lang w:val="en-US" w:eastAsia="zh-CN"/>
        </w:rPr>
        <w:t xml:space="preserve">               。</w:t>
      </w:r>
    </w:p>
    <w:p w14:paraId="7BC1D881">
      <w:pPr>
        <w:spacing w:line="360" w:lineRule="auto"/>
        <w:ind w:firstLine="411" w:firstLineChars="196"/>
        <w:rPr>
          <w:rFonts w:hint="eastAsia" w:ascii="宋体" w:hAnsi="宋体" w:cs="宋体"/>
          <w:color w:val="auto"/>
          <w:szCs w:val="21"/>
          <w:highlight w:val="none"/>
          <w:u w:val="single"/>
        </w:rPr>
      </w:pPr>
      <w:r>
        <w:rPr>
          <w:rFonts w:hint="eastAsia" w:ascii="宋体" w:hAnsi="宋体" w:cs="宋体"/>
          <w:bCs/>
          <w:color w:val="auto"/>
          <w:szCs w:val="21"/>
          <w:highlight w:val="none"/>
        </w:rPr>
        <w:t>5.工程内容：</w:t>
      </w:r>
      <w:r>
        <w:rPr>
          <w:rFonts w:hint="eastAsia" w:ascii="宋体" w:hAnsi="宋体"/>
          <w:color w:val="auto"/>
          <w:szCs w:val="21"/>
          <w:highlight w:val="none"/>
          <w:u w:val="single"/>
        </w:rPr>
        <w:t xml:space="preserve">                       。</w:t>
      </w:r>
    </w:p>
    <w:p w14:paraId="6BBF21B8">
      <w:pPr>
        <w:spacing w:line="360" w:lineRule="auto"/>
        <w:ind w:firstLine="411" w:firstLineChars="196"/>
        <w:rPr>
          <w:rFonts w:hint="eastAsia" w:ascii="宋体" w:hAnsi="宋体" w:cs="宋体"/>
          <w:color w:val="auto"/>
          <w:szCs w:val="21"/>
          <w:highlight w:val="none"/>
        </w:rPr>
      </w:pPr>
      <w:r>
        <w:rPr>
          <w:rFonts w:hint="eastAsia" w:ascii="宋体" w:hAnsi="宋体" w:cs="宋体"/>
          <w:bCs/>
          <w:color w:val="auto"/>
          <w:szCs w:val="21"/>
          <w:highlight w:val="none"/>
        </w:rPr>
        <w:t>6.工程承包范围：</w:t>
      </w:r>
      <w:r>
        <w:rPr>
          <w:rFonts w:hint="eastAsia" w:ascii="宋体" w:hAnsi="宋体"/>
          <w:color w:val="auto"/>
          <w:szCs w:val="21"/>
          <w:highlight w:val="none"/>
          <w:u w:val="single"/>
        </w:rPr>
        <w:t xml:space="preserve">                   。</w:t>
      </w:r>
    </w:p>
    <w:p w14:paraId="5D99EF5F">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二、合同工期</w:t>
      </w:r>
    </w:p>
    <w:p w14:paraId="5946F5A1">
      <w:pPr>
        <w:spacing w:line="360" w:lineRule="auto"/>
        <w:ind w:firstLine="459"/>
        <w:rPr>
          <w:rFonts w:hint="eastAsia" w:ascii="宋体" w:hAnsi="宋体" w:cs="宋体"/>
          <w:color w:val="auto"/>
          <w:szCs w:val="21"/>
          <w:highlight w:val="none"/>
        </w:rPr>
      </w:pPr>
      <w:r>
        <w:rPr>
          <w:rFonts w:hint="eastAsia" w:ascii="宋体" w:hAnsi="宋体" w:cs="宋体"/>
          <w:color w:val="auto"/>
          <w:szCs w:val="21"/>
          <w:highlight w:val="none"/>
        </w:rPr>
        <w:t>计划开工日期：</w:t>
      </w:r>
      <w:r>
        <w:rPr>
          <w:rFonts w:hint="eastAsia" w:ascii="MingLiU_HKSCS" w:hAnsi="MingLiU_HKSCS" w:cs="MingLiU_HKS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MingLiU_HKSCS" w:hAnsi="MingLiU_HKSCS" w:cs="MingLiU_HKSCS"/>
          <w:color w:val="auto"/>
          <w:szCs w:val="21"/>
          <w:highlight w:val="none"/>
          <w:u w:val="single"/>
        </w:rPr>
        <w:t xml:space="preserve"> </w:t>
      </w:r>
      <w:r>
        <w:rPr>
          <w:rFonts w:hint="eastAsia" w:ascii="宋体" w:hAnsi="宋体" w:cs="宋体"/>
          <w:color w:val="auto"/>
          <w:szCs w:val="21"/>
          <w:highlight w:val="none"/>
        </w:rPr>
        <w:t>年</w:t>
      </w:r>
      <w:r>
        <w:rPr>
          <w:rFonts w:hint="eastAsia" w:ascii="MingLiU_HKSCS" w:hAnsi="MingLiU_HKSCS" w:cs="MingLiU_HKSCS"/>
          <w:color w:val="auto"/>
          <w:szCs w:val="21"/>
          <w:highlight w:val="none"/>
          <w:u w:val="single"/>
        </w:rPr>
        <w:t xml:space="preserve">    </w:t>
      </w:r>
      <w:r>
        <w:rPr>
          <w:rFonts w:hint="eastAsia" w:ascii="宋体" w:hAnsi="宋体" w:cs="宋体"/>
          <w:color w:val="auto"/>
          <w:szCs w:val="21"/>
          <w:highlight w:val="none"/>
        </w:rPr>
        <w:t>月</w:t>
      </w:r>
      <w:r>
        <w:rPr>
          <w:rFonts w:hint="eastAsia" w:ascii="MingLiU_HKSCS" w:hAnsi="MingLiU_HKSCS" w:cs="MingLiU_HKSCS"/>
          <w:color w:val="auto"/>
          <w:szCs w:val="21"/>
          <w:highlight w:val="none"/>
          <w:u w:val="single"/>
        </w:rPr>
        <w:t xml:space="preserve">    </w:t>
      </w:r>
      <w:r>
        <w:rPr>
          <w:rFonts w:hint="eastAsia" w:ascii="宋体" w:hAnsi="宋体" w:cs="宋体"/>
          <w:color w:val="auto"/>
          <w:szCs w:val="21"/>
          <w:highlight w:val="none"/>
        </w:rPr>
        <w:t>日（具体以开工报告为准）。</w:t>
      </w:r>
    </w:p>
    <w:p w14:paraId="70546F91">
      <w:pPr>
        <w:spacing w:line="360" w:lineRule="auto"/>
        <w:ind w:firstLine="459"/>
        <w:rPr>
          <w:rFonts w:hint="eastAsia" w:ascii="宋体" w:hAnsi="宋体" w:cs="宋体"/>
          <w:color w:val="auto"/>
          <w:szCs w:val="21"/>
          <w:highlight w:val="none"/>
        </w:rPr>
      </w:pPr>
      <w:r>
        <w:rPr>
          <w:rFonts w:hint="eastAsia" w:ascii="宋体" w:hAnsi="宋体" w:cs="宋体"/>
          <w:color w:val="auto"/>
          <w:szCs w:val="21"/>
          <w:highlight w:val="none"/>
        </w:rPr>
        <w:t>计划竣工日期：</w:t>
      </w:r>
      <w:r>
        <w:rPr>
          <w:rFonts w:hint="eastAsia" w:ascii="MingLiU_HKSCS" w:hAnsi="MingLiU_HKSCS" w:cs="MingLiU_HKS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MingLiU_HKSCS" w:hAnsi="MingLiU_HKSCS" w:cs="MingLiU_HKSCS"/>
          <w:color w:val="auto"/>
          <w:szCs w:val="21"/>
          <w:highlight w:val="none"/>
          <w:u w:val="single"/>
        </w:rPr>
        <w:t xml:space="preserve"> </w:t>
      </w:r>
      <w:r>
        <w:rPr>
          <w:rFonts w:hint="eastAsia" w:ascii="宋体" w:hAnsi="宋体" w:cs="宋体"/>
          <w:color w:val="auto"/>
          <w:szCs w:val="21"/>
          <w:highlight w:val="none"/>
        </w:rPr>
        <w:t>年</w:t>
      </w:r>
      <w:r>
        <w:rPr>
          <w:rFonts w:hint="eastAsia" w:ascii="MingLiU_HKSCS" w:hAnsi="MingLiU_HKSCS" w:cs="MingLiU_HKSCS"/>
          <w:color w:val="auto"/>
          <w:szCs w:val="21"/>
          <w:highlight w:val="none"/>
          <w:u w:val="single"/>
        </w:rPr>
        <w:t xml:space="preserve">    </w:t>
      </w:r>
      <w:r>
        <w:rPr>
          <w:rFonts w:hint="eastAsia" w:ascii="宋体" w:hAnsi="宋体" w:cs="宋体"/>
          <w:color w:val="auto"/>
          <w:szCs w:val="21"/>
          <w:highlight w:val="none"/>
        </w:rPr>
        <w:t>月</w:t>
      </w:r>
      <w:r>
        <w:rPr>
          <w:rFonts w:hint="eastAsia" w:ascii="MingLiU_HKSCS" w:hAnsi="MingLiU_HKSCS" w:cs="MingLiU_HKS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834283F">
      <w:pPr>
        <w:spacing w:line="360" w:lineRule="auto"/>
        <w:ind w:firstLine="459"/>
        <w:rPr>
          <w:rFonts w:hint="eastAsia" w:ascii="宋体" w:hAnsi="宋体" w:cs="宋体"/>
          <w:color w:val="auto"/>
          <w:szCs w:val="21"/>
          <w:highlight w:val="none"/>
        </w:rPr>
      </w:pPr>
      <w:r>
        <w:rPr>
          <w:rFonts w:hint="eastAsia" w:ascii="宋体" w:hAnsi="宋体" w:cs="宋体"/>
          <w:color w:val="auto"/>
          <w:szCs w:val="21"/>
          <w:highlight w:val="none"/>
        </w:rPr>
        <w:t>工期总日历天数：</w:t>
      </w:r>
      <w:r>
        <w:rPr>
          <w:rFonts w:hint="eastAsia" w:ascii="宋体" w:hAnsi="宋体" w:cs="宋体"/>
          <w:color w:val="auto"/>
          <w:szCs w:val="21"/>
          <w:highlight w:val="none"/>
          <w:u w:val="single"/>
        </w:rPr>
        <w:t xml:space="preserve">      日历天 </w:t>
      </w:r>
      <w:r>
        <w:rPr>
          <w:rFonts w:hint="eastAsia" w:ascii="宋体" w:hAnsi="宋体" w:cs="宋体"/>
          <w:color w:val="auto"/>
          <w:szCs w:val="21"/>
          <w:highlight w:val="none"/>
        </w:rPr>
        <w:t>。工期总日历天数与根据前述计划开竣工日期计算的工期天数不一致的，以工期总日历天数为准。</w:t>
      </w:r>
    </w:p>
    <w:p w14:paraId="48A34F5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三、质量标准</w:t>
      </w:r>
    </w:p>
    <w:p w14:paraId="1030A788">
      <w:pPr>
        <w:spacing w:line="360" w:lineRule="auto"/>
        <w:ind w:firstLine="459"/>
        <w:rPr>
          <w:rFonts w:hint="eastAsia" w:ascii="宋体" w:hAnsi="宋体" w:cs="宋体"/>
          <w:color w:val="auto"/>
          <w:szCs w:val="21"/>
          <w:highlight w:val="none"/>
        </w:rPr>
      </w:pPr>
      <w:r>
        <w:rPr>
          <w:rFonts w:hint="eastAsia" w:ascii="宋体" w:hAnsi="宋体" w:cs="宋体"/>
          <w:color w:val="auto"/>
          <w:szCs w:val="21"/>
          <w:highlight w:val="none"/>
        </w:rPr>
        <w:t>工程质量符合</w:t>
      </w:r>
      <w:r>
        <w:rPr>
          <w:rFonts w:hint="eastAsia"/>
          <w:color w:val="auto"/>
          <w:highlight w:val="none"/>
          <w:u w:val="single"/>
          <w:lang w:val="en-US" w:eastAsia="zh-CN"/>
        </w:rPr>
        <w:t xml:space="preserve">         </w:t>
      </w:r>
      <w:r>
        <w:rPr>
          <w:rFonts w:hint="eastAsia" w:ascii="宋体" w:hAnsi="宋体" w:cs="宋体"/>
          <w:color w:val="auto"/>
          <w:szCs w:val="21"/>
          <w:highlight w:val="none"/>
        </w:rPr>
        <w:t>。</w:t>
      </w:r>
    </w:p>
    <w:p w14:paraId="0CD46A5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w:t>
      </w:r>
      <w:r>
        <w:rPr>
          <w:rFonts w:hint="eastAsia" w:ascii="宋体" w:hAnsi="宋体" w:cs="宋体"/>
          <w:color w:val="auto"/>
          <w:szCs w:val="21"/>
          <w:highlight w:val="none"/>
        </w:rPr>
        <w:t>四、签约合同价与合同价格形式</w:t>
      </w:r>
      <w:r>
        <w:rPr>
          <w:rFonts w:hint="eastAsia" w:ascii="宋体" w:hAnsi="宋体" w:cs="宋体"/>
          <w:b/>
          <w:color w:val="auto"/>
          <w:szCs w:val="21"/>
          <w:highlight w:val="none"/>
        </w:rPr>
        <w:tab/>
      </w:r>
    </w:p>
    <w:p w14:paraId="796FB5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1.签约合同价为：</w:t>
      </w:r>
    </w:p>
    <w:p w14:paraId="331DD233">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471971CD">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中标浮动率：</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2772EE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其中：</w:t>
      </w:r>
    </w:p>
    <w:p w14:paraId="71104D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（1）安全文明施工费：人民币（大写）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5242028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（2）材料和工程设备暂估价金额：人民币（大写）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29F0FB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（3）暂估价金额：人民币（大写）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2A35DA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（4）暂列金额：人民币（大写）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795A5A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2.合同价格形式：</w:t>
      </w:r>
      <w:r>
        <w:rPr>
          <w:rFonts w:hint="eastAsia" w:ascii="MingLiU_HKSCS" w:hAnsi="MingLiU_HKSCS" w:cs="MingLiU_HKSCS"/>
          <w:color w:val="auto"/>
          <w:szCs w:val="21"/>
          <w:highlight w:val="none"/>
          <w:u w:val="single"/>
        </w:rPr>
        <w:t xml:space="preserve"> </w:t>
      </w:r>
      <w:r>
        <w:rPr>
          <w:rFonts w:hint="eastAsia" w:ascii="宋体" w:hAnsi="宋体" w:cs="宋体"/>
          <w:color w:val="auto"/>
          <w:szCs w:val="21"/>
          <w:highlight w:val="none"/>
          <w:u w:val="single"/>
        </w:rPr>
        <w:t>单价合同（固定单价，可调总价）。</w:t>
      </w:r>
    </w:p>
    <w:p w14:paraId="2268D2DD">
      <w:pPr>
        <w:spacing w:line="374" w:lineRule="exact"/>
        <w:rPr>
          <w:rFonts w:hint="eastAsia" w:ascii="宋体" w:hAnsi="宋体" w:cs="宋体"/>
          <w:b/>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w:t>
      </w:r>
      <w:r>
        <w:rPr>
          <w:rFonts w:hint="eastAsia" w:ascii="宋体" w:hAnsi="宋体" w:cs="宋体"/>
          <w:color w:val="auto"/>
          <w:szCs w:val="21"/>
          <w:highlight w:val="none"/>
        </w:rPr>
        <w:t>五、项目经理</w:t>
      </w:r>
    </w:p>
    <w:p w14:paraId="3B2A1BDA">
      <w:pPr>
        <w:spacing w:line="374"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承包人项目经理：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E4B1539">
      <w:pPr>
        <w:spacing w:line="374"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联系方式：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E81F318">
      <w:pPr>
        <w:spacing w:line="374"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271D3D5">
      <w:pPr>
        <w:spacing w:line="374"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注册证书及证书号：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3F49DAC">
      <w:pPr>
        <w:spacing w:line="374" w:lineRule="exact"/>
        <w:rPr>
          <w:rFonts w:hint="eastAsia" w:ascii="宋体" w:hAnsi="宋体" w:cs="宋体"/>
          <w:color w:val="auto"/>
          <w:szCs w:val="21"/>
          <w:highlight w:val="none"/>
        </w:rPr>
      </w:pPr>
      <w:r>
        <w:rPr>
          <w:rFonts w:hint="eastAsia" w:ascii="宋体" w:hAnsi="宋体" w:cs="宋体"/>
          <w:color w:val="auto"/>
          <w:szCs w:val="21"/>
          <w:highlight w:val="none"/>
        </w:rPr>
        <w:t xml:space="preserve">    六、合同文件构成</w:t>
      </w:r>
    </w:p>
    <w:p w14:paraId="3C5B1861">
      <w:pPr>
        <w:spacing w:line="374"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本协议书与下列文件一起构成合同文件：</w:t>
      </w:r>
    </w:p>
    <w:p w14:paraId="7F21F747">
      <w:pPr>
        <w:autoSpaceDE w:val="0"/>
        <w:autoSpaceDN w:val="0"/>
        <w:adjustRightInd w:val="0"/>
        <w:spacing w:line="374"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（1）成交通知书（如果有）；</w:t>
      </w:r>
    </w:p>
    <w:p w14:paraId="64801A1A">
      <w:pPr>
        <w:autoSpaceDE w:val="0"/>
        <w:autoSpaceDN w:val="0"/>
        <w:adjustRightInd w:val="0"/>
        <w:spacing w:line="374"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招标文件、投标文件、</w:t>
      </w:r>
      <w:r>
        <w:rPr>
          <w:rFonts w:hint="eastAsia" w:ascii="宋体" w:hAnsi="宋体" w:cs="宋体"/>
          <w:color w:val="auto"/>
          <w:szCs w:val="21"/>
          <w:highlight w:val="none"/>
        </w:rPr>
        <w:t xml:space="preserve">投标函及其附录（如果有）； </w:t>
      </w:r>
    </w:p>
    <w:p w14:paraId="5DE32AB0">
      <w:pPr>
        <w:autoSpaceDE w:val="0"/>
        <w:autoSpaceDN w:val="0"/>
        <w:adjustRightInd w:val="0"/>
        <w:spacing w:line="374"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（3）专用合同条款及其附件；</w:t>
      </w:r>
    </w:p>
    <w:p w14:paraId="54ADB44F">
      <w:pPr>
        <w:autoSpaceDE w:val="0"/>
        <w:autoSpaceDN w:val="0"/>
        <w:adjustRightInd w:val="0"/>
        <w:spacing w:line="374"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（4）通用合同条款；</w:t>
      </w:r>
    </w:p>
    <w:p w14:paraId="1E3C9E06">
      <w:pPr>
        <w:autoSpaceDE w:val="0"/>
        <w:autoSpaceDN w:val="0"/>
        <w:adjustRightInd w:val="0"/>
        <w:spacing w:line="374"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（5）技术标准和要求；</w:t>
      </w:r>
    </w:p>
    <w:p w14:paraId="3ED271B2">
      <w:pPr>
        <w:autoSpaceDE w:val="0"/>
        <w:autoSpaceDN w:val="0"/>
        <w:adjustRightInd w:val="0"/>
        <w:spacing w:line="374"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（6）图纸；</w:t>
      </w:r>
    </w:p>
    <w:p w14:paraId="063F5F38">
      <w:pPr>
        <w:autoSpaceDE w:val="0"/>
        <w:autoSpaceDN w:val="0"/>
        <w:adjustRightInd w:val="0"/>
        <w:spacing w:line="374"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（7）已标价工程量清单或预算书；</w:t>
      </w:r>
    </w:p>
    <w:p w14:paraId="6884C3C0">
      <w:pPr>
        <w:autoSpaceDE w:val="0"/>
        <w:autoSpaceDN w:val="0"/>
        <w:adjustRightInd w:val="0"/>
        <w:spacing w:line="374"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（8）其他合同文件。</w:t>
      </w:r>
    </w:p>
    <w:p w14:paraId="0A9928D8">
      <w:pPr>
        <w:autoSpaceDE w:val="0"/>
        <w:autoSpaceDN w:val="0"/>
        <w:adjustRightInd w:val="0"/>
        <w:spacing w:line="374"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w:t>
      </w:r>
    </w:p>
    <w:p w14:paraId="790DF7BD">
      <w:pPr>
        <w:autoSpaceDE w:val="0"/>
        <w:autoSpaceDN w:val="0"/>
        <w:adjustRightInd w:val="0"/>
        <w:spacing w:line="374"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67BE9CE9">
      <w:pPr>
        <w:autoSpaceDE w:val="0"/>
        <w:autoSpaceDN w:val="0"/>
        <w:adjustRightInd w:val="0"/>
        <w:spacing w:line="374"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七、承诺</w:t>
      </w:r>
    </w:p>
    <w:p w14:paraId="08590272">
      <w:pPr>
        <w:autoSpaceDE w:val="0"/>
        <w:autoSpaceDN w:val="0"/>
        <w:adjustRightInd w:val="0"/>
        <w:spacing w:line="374"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1.发包人承诺按照法律规定履行项目审批手续、筹集工程建设资金并按照合同约定的期限和方式支付合同价款。</w:t>
      </w:r>
    </w:p>
    <w:p w14:paraId="5E36A603">
      <w:pPr>
        <w:autoSpaceDE w:val="0"/>
        <w:autoSpaceDN w:val="0"/>
        <w:adjustRightInd w:val="0"/>
        <w:spacing w:line="374"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2.承包人承诺按照法律规定及合同约定组织完成工程施工，确保工程质量和安全，不进行转包及违法分包，并在缺陷责任期及保修期内承担相应的工程维修责任。</w:t>
      </w:r>
    </w:p>
    <w:p w14:paraId="677BFB85">
      <w:pPr>
        <w:autoSpaceDE w:val="0"/>
        <w:autoSpaceDN w:val="0"/>
        <w:adjustRightInd w:val="0"/>
        <w:spacing w:line="374"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3.发包人和承包人通过招投标形式签订合同的，双方理解并承诺不再就同一工程另行签订与合同实质性内容相背离的协议。</w:t>
      </w:r>
    </w:p>
    <w:p w14:paraId="07AB488F">
      <w:pPr>
        <w:spacing w:line="374" w:lineRule="exact"/>
        <w:rPr>
          <w:rFonts w:hint="eastAsia" w:ascii="宋体" w:hAnsi="宋体" w:cs="宋体"/>
          <w:bCs/>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八、词语含义</w:t>
      </w:r>
    </w:p>
    <w:p w14:paraId="1EF4639A">
      <w:pPr>
        <w:spacing w:line="374"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本协议书中词语含义与第二部分通用合同条款中赋予的含义相同。</w:t>
      </w:r>
    </w:p>
    <w:p w14:paraId="6531A4AE">
      <w:pPr>
        <w:spacing w:line="374" w:lineRule="exact"/>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九、签订时间</w:t>
      </w:r>
    </w:p>
    <w:p w14:paraId="43F46653">
      <w:pPr>
        <w:spacing w:line="374"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日签订。</w:t>
      </w:r>
    </w:p>
    <w:p w14:paraId="0B9B546A">
      <w:pPr>
        <w:spacing w:line="374"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十、签订地点</w:t>
      </w:r>
    </w:p>
    <w:p w14:paraId="259A65BB">
      <w:pPr>
        <w:spacing w:line="374"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本合同在</w:t>
      </w:r>
      <w:r>
        <w:rPr>
          <w:rFonts w:hint="eastAsia" w:ascii="宋体" w:hAnsi="宋体" w:cs="宋体"/>
          <w:bCs/>
          <w:color w:val="auto"/>
          <w:szCs w:val="21"/>
          <w:highlight w:val="none"/>
          <w:u w:val="single"/>
        </w:rPr>
        <w:t xml:space="preserve">    宁波市     </w:t>
      </w:r>
      <w:r>
        <w:rPr>
          <w:rFonts w:hint="eastAsia" w:ascii="宋体" w:hAnsi="宋体" w:cs="宋体"/>
          <w:bCs/>
          <w:color w:val="auto"/>
          <w:szCs w:val="21"/>
          <w:highlight w:val="none"/>
        </w:rPr>
        <w:t>签订。</w:t>
      </w:r>
    </w:p>
    <w:p w14:paraId="25D048C8">
      <w:pPr>
        <w:spacing w:line="374" w:lineRule="exact"/>
        <w:rPr>
          <w:rFonts w:hint="eastAsia" w:ascii="宋体" w:hAnsi="宋体" w:cs="宋体"/>
          <w:color w:val="auto"/>
          <w:szCs w:val="21"/>
          <w:highlight w:val="none"/>
        </w:rPr>
      </w:pPr>
      <w:r>
        <w:rPr>
          <w:rFonts w:hint="eastAsia" w:ascii="宋体" w:hAnsi="宋体" w:cs="宋体"/>
          <w:color w:val="auto"/>
          <w:szCs w:val="21"/>
          <w:highlight w:val="none"/>
        </w:rPr>
        <w:t xml:space="preserve">    十一、补充协议</w:t>
      </w:r>
    </w:p>
    <w:p w14:paraId="37185A66">
      <w:pPr>
        <w:spacing w:line="374" w:lineRule="exact"/>
        <w:ind w:firstLine="420" w:firstLineChars="200"/>
        <w:rPr>
          <w:rFonts w:hint="eastAsia" w:ascii="宋体" w:hAnsi="宋体" w:cs="宋体"/>
          <w:b/>
          <w:bCs/>
          <w:color w:val="auto"/>
          <w:szCs w:val="21"/>
          <w:highlight w:val="none"/>
        </w:rPr>
      </w:pPr>
      <w:r>
        <w:rPr>
          <w:rFonts w:hint="eastAsia" w:ascii="宋体" w:hAnsi="宋体" w:cs="宋体"/>
          <w:bCs/>
          <w:color w:val="auto"/>
          <w:szCs w:val="21"/>
          <w:highlight w:val="none"/>
        </w:rPr>
        <w:t>合同未尽事宜，合同当事人另行签订补充协议，补充协议是合同的组成部分。</w:t>
      </w:r>
    </w:p>
    <w:p w14:paraId="533DB1FE">
      <w:pPr>
        <w:spacing w:line="374" w:lineRule="exact"/>
        <w:rPr>
          <w:rFonts w:hint="eastAsia" w:ascii="宋体" w:hAnsi="宋体" w:cs="宋体"/>
          <w:color w:val="auto"/>
          <w:szCs w:val="21"/>
          <w:highlight w:val="none"/>
        </w:rPr>
      </w:pPr>
      <w:r>
        <w:rPr>
          <w:rFonts w:hint="eastAsia" w:ascii="宋体" w:hAnsi="宋体" w:cs="宋体"/>
          <w:color w:val="auto"/>
          <w:szCs w:val="21"/>
          <w:highlight w:val="none"/>
        </w:rPr>
        <w:t xml:space="preserve">    十二、合同生效</w:t>
      </w:r>
    </w:p>
    <w:p w14:paraId="7D706D37">
      <w:pPr>
        <w:spacing w:line="374"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本合同自</w:t>
      </w:r>
      <w:r>
        <w:rPr>
          <w:rFonts w:hint="eastAsia" w:ascii="宋体" w:hAnsi="宋体" w:cs="宋体"/>
          <w:bCs/>
          <w:color w:val="auto"/>
          <w:szCs w:val="21"/>
          <w:highlight w:val="none"/>
          <w:u w:val="single"/>
        </w:rPr>
        <w:t xml:space="preserve">   双方签字盖章后   </w:t>
      </w:r>
      <w:r>
        <w:rPr>
          <w:rFonts w:hint="eastAsia" w:ascii="宋体" w:hAnsi="宋体" w:cs="宋体"/>
          <w:bCs/>
          <w:color w:val="auto"/>
          <w:szCs w:val="21"/>
          <w:highlight w:val="none"/>
        </w:rPr>
        <w:t>生效。</w:t>
      </w:r>
    </w:p>
    <w:p w14:paraId="269DEB11">
      <w:pPr>
        <w:spacing w:line="374" w:lineRule="exact"/>
        <w:rPr>
          <w:rFonts w:hint="eastAsia" w:ascii="宋体" w:hAnsi="宋体" w:cs="宋体"/>
          <w:b/>
          <w:color w:val="auto"/>
          <w:szCs w:val="21"/>
          <w:highlight w:val="none"/>
        </w:rPr>
      </w:pPr>
      <w:r>
        <w:rPr>
          <w:rFonts w:hint="eastAsia" w:ascii="宋体" w:hAnsi="宋体" w:cs="宋体"/>
          <w:color w:val="auto"/>
          <w:szCs w:val="21"/>
          <w:highlight w:val="none"/>
        </w:rPr>
        <w:t xml:space="preserve">    十三、合同份数</w:t>
      </w:r>
    </w:p>
    <w:p w14:paraId="4DD79ED1">
      <w:pPr>
        <w:spacing w:line="374" w:lineRule="exact"/>
        <w:ind w:firstLine="420" w:firstLineChars="200"/>
        <w:jc w:val="left"/>
        <w:rPr>
          <w:rFonts w:ascii="仿宋" w:hAnsi="仿宋" w:eastAsia="仿宋"/>
          <w:color w:val="auto"/>
          <w:sz w:val="24"/>
          <w:szCs w:val="24"/>
          <w:highlight w:val="none"/>
        </w:rPr>
      </w:pPr>
      <w:r>
        <w:rPr>
          <w:rFonts w:hint="eastAsia" w:ascii="宋体" w:hAnsi="宋体" w:cs="宋体"/>
          <w:color w:val="auto"/>
          <w:szCs w:val="21"/>
          <w:highlight w:val="none"/>
        </w:rPr>
        <w:t>本合同一式</w:t>
      </w:r>
      <w:r>
        <w:rPr>
          <w:rFonts w:hint="eastAsia" w:ascii="宋体" w:hAnsi="宋体" w:cs="宋体"/>
          <w:color w:val="auto"/>
          <w:szCs w:val="21"/>
          <w:highlight w:val="none"/>
          <w:u w:val="single"/>
        </w:rPr>
        <w:t xml:space="preserve"> 捌 </w:t>
      </w:r>
      <w:r>
        <w:rPr>
          <w:rFonts w:hint="eastAsia" w:ascii="宋体" w:hAnsi="宋体" w:cs="宋体"/>
          <w:color w:val="auto"/>
          <w:szCs w:val="21"/>
          <w:highlight w:val="none"/>
        </w:rPr>
        <w:t>份，均具有同等法律效力，发包人执</w:t>
      </w:r>
      <w:r>
        <w:rPr>
          <w:rFonts w:hint="eastAsia" w:ascii="宋体" w:hAnsi="宋体" w:cs="宋体"/>
          <w:color w:val="auto"/>
          <w:szCs w:val="21"/>
          <w:highlight w:val="none"/>
          <w:u w:val="single"/>
        </w:rPr>
        <w:t xml:space="preserve"> 肆 </w:t>
      </w:r>
      <w:r>
        <w:rPr>
          <w:rFonts w:hint="eastAsia" w:ascii="宋体" w:hAnsi="宋体" w:cs="宋体"/>
          <w:color w:val="auto"/>
          <w:szCs w:val="21"/>
          <w:highlight w:val="none"/>
        </w:rPr>
        <w:t>份，承包人执</w:t>
      </w:r>
      <w:r>
        <w:rPr>
          <w:rFonts w:hint="eastAsia" w:ascii="宋体" w:hAnsi="宋体" w:cs="宋体"/>
          <w:color w:val="auto"/>
          <w:szCs w:val="21"/>
          <w:highlight w:val="none"/>
          <w:u w:val="single"/>
        </w:rPr>
        <w:t xml:space="preserve"> 肆  </w:t>
      </w:r>
      <w:r>
        <w:rPr>
          <w:rFonts w:hint="eastAsia" w:ascii="宋体" w:hAnsi="宋体" w:cs="宋体"/>
          <w:color w:val="auto"/>
          <w:szCs w:val="21"/>
          <w:highlight w:val="none"/>
        </w:rPr>
        <w:t>份。</w:t>
      </w:r>
    </w:p>
    <w:p w14:paraId="0185B6B4">
      <w:pPr>
        <w:widowControl/>
        <w:spacing w:line="360" w:lineRule="auto"/>
        <w:jc w:val="left"/>
        <w:rPr>
          <w:rFonts w:ascii="宋体" w:hAnsi="宋体"/>
          <w:b/>
          <w:color w:val="auto"/>
          <w:sz w:val="24"/>
          <w:highlight w:val="none"/>
        </w:rPr>
      </w:pPr>
    </w:p>
    <w:p w14:paraId="503B9B55">
      <w:pPr>
        <w:pStyle w:val="4"/>
        <w:tabs>
          <w:tab w:val="left" w:pos="636"/>
          <w:tab w:val="clear" w:pos="1740"/>
        </w:tabs>
        <w:spacing w:before="120"/>
        <w:rPr>
          <w:color w:val="auto"/>
          <w:highlight w:val="none"/>
        </w:rPr>
      </w:pPr>
      <w:bookmarkStart w:id="91" w:name="_Toc500941712"/>
      <w:r>
        <w:rPr>
          <w:color w:val="auto"/>
          <w:highlight w:val="none"/>
        </w:rPr>
        <w:t>第</w:t>
      </w:r>
      <w:r>
        <w:rPr>
          <w:rFonts w:hint="eastAsia"/>
          <w:color w:val="auto"/>
          <w:highlight w:val="none"/>
        </w:rPr>
        <w:t>二</w:t>
      </w:r>
      <w:r>
        <w:rPr>
          <w:color w:val="auto"/>
          <w:highlight w:val="none"/>
        </w:rPr>
        <w:t>部分</w:t>
      </w:r>
      <w:r>
        <w:rPr>
          <w:rFonts w:hint="eastAsia"/>
          <w:color w:val="auto"/>
          <w:highlight w:val="none"/>
        </w:rPr>
        <w:t xml:space="preserve"> 通用合同条款</w:t>
      </w:r>
      <w:bookmarkEnd w:id="88"/>
      <w:bookmarkEnd w:id="89"/>
      <w:bookmarkEnd w:id="90"/>
      <w:bookmarkEnd w:id="91"/>
    </w:p>
    <w:p w14:paraId="37E8984D">
      <w:pPr>
        <w:spacing w:line="360" w:lineRule="auto"/>
        <w:ind w:firstLine="480" w:firstLineChars="200"/>
        <w:jc w:val="left"/>
        <w:rPr>
          <w:rFonts w:ascii="宋体" w:hAnsi="宋体"/>
          <w:color w:val="auto"/>
          <w:sz w:val="24"/>
          <w:szCs w:val="24"/>
          <w:highlight w:val="none"/>
        </w:rPr>
      </w:pPr>
      <w:r>
        <w:rPr>
          <w:rFonts w:hint="eastAsia" w:ascii="仿宋" w:hAnsi="仿宋" w:eastAsia="仿宋"/>
          <w:color w:val="auto"/>
          <w:sz w:val="24"/>
          <w:szCs w:val="24"/>
          <w:highlight w:val="none"/>
        </w:rPr>
        <w:t>通用合同条款直接引用建市〔2017〕214号“住房城乡建设部、工商总局关于印发建设工程施工合同（示范文本）的通知”附件《建设工程施工合同（示范文本）（GF-2017-0201）第二部分“通用合同条款”内容。</w:t>
      </w:r>
      <w:bookmarkStart w:id="92" w:name="_Toc387415094"/>
      <w:bookmarkStart w:id="93" w:name="_Toc387417988"/>
      <w:bookmarkStart w:id="94" w:name="_Toc387418340"/>
    </w:p>
    <w:p w14:paraId="5DD2A93C">
      <w:pPr>
        <w:pStyle w:val="4"/>
        <w:tabs>
          <w:tab w:val="left" w:pos="636"/>
          <w:tab w:val="clear" w:pos="1740"/>
        </w:tabs>
        <w:spacing w:before="120"/>
        <w:rPr>
          <w:color w:val="auto"/>
          <w:highlight w:val="none"/>
        </w:rPr>
      </w:pPr>
      <w:bookmarkStart w:id="95" w:name="_Toc500941713"/>
      <w:r>
        <w:rPr>
          <w:color w:val="auto"/>
          <w:highlight w:val="none"/>
        </w:rPr>
        <w:t>第</w:t>
      </w:r>
      <w:r>
        <w:rPr>
          <w:rFonts w:hint="eastAsia"/>
          <w:color w:val="auto"/>
          <w:highlight w:val="none"/>
        </w:rPr>
        <w:t>三</w:t>
      </w:r>
      <w:r>
        <w:rPr>
          <w:color w:val="auto"/>
          <w:highlight w:val="none"/>
        </w:rPr>
        <w:t>部分</w:t>
      </w:r>
      <w:r>
        <w:rPr>
          <w:rFonts w:hint="eastAsia"/>
          <w:color w:val="auto"/>
          <w:highlight w:val="none"/>
        </w:rPr>
        <w:t xml:space="preserve"> 专用合同条款</w:t>
      </w:r>
      <w:bookmarkEnd w:id="92"/>
      <w:bookmarkEnd w:id="93"/>
      <w:bookmarkEnd w:id="94"/>
      <w:bookmarkEnd w:id="95"/>
    </w:p>
    <w:p w14:paraId="3F4DCE40">
      <w:pPr>
        <w:spacing w:line="360" w:lineRule="auto"/>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以下主要专用合同条款根据建市〔2017〕214号“住房城乡建设部、工商总局关于印发建设工程施工合同（示范文本）的通知”附件《建设工程施工合同（示范文本）（GF-2017-0201）第三部分“专用合同条款”的格式与内容确定，除招标人和中标人在合同谈判期间有补充约定外，本合同的专用合同条款按以下条款执行。</w:t>
      </w:r>
    </w:p>
    <w:p w14:paraId="32D109A2">
      <w:pPr>
        <w:pStyle w:val="469"/>
        <w:spacing w:line="40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1. 一般约定</w:t>
      </w:r>
    </w:p>
    <w:p w14:paraId="76FDBC30">
      <w:pPr>
        <w:pStyle w:val="469"/>
        <w:spacing w:line="40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1.1 词语定义</w:t>
      </w:r>
    </w:p>
    <w:p w14:paraId="5DE17EA6">
      <w:pPr>
        <w:pStyle w:val="469"/>
        <w:spacing w:line="400" w:lineRule="exact"/>
        <w:ind w:firstLine="413" w:firstLineChars="196"/>
        <w:rPr>
          <w:rFonts w:hint="eastAsia" w:ascii="宋体" w:hAnsi="宋体" w:eastAsia="宋体"/>
          <w:b w:val="0"/>
          <w:color w:val="auto"/>
          <w:sz w:val="21"/>
          <w:szCs w:val="21"/>
          <w:highlight w:val="none"/>
        </w:rPr>
      </w:pPr>
      <w:r>
        <w:rPr>
          <w:rFonts w:hint="eastAsia" w:ascii="宋体" w:hAnsi="宋体" w:eastAsia="宋体"/>
          <w:color w:val="auto"/>
          <w:sz w:val="21"/>
          <w:szCs w:val="21"/>
          <w:highlight w:val="none"/>
        </w:rPr>
        <w:t>1.1.2</w:t>
      </w:r>
      <w:r>
        <w:rPr>
          <w:rFonts w:hint="eastAsia" w:ascii="宋体" w:hAnsi="宋体" w:eastAsia="宋体"/>
          <w:b w:val="0"/>
          <w:color w:val="auto"/>
          <w:sz w:val="21"/>
          <w:szCs w:val="21"/>
          <w:highlight w:val="none"/>
        </w:rPr>
        <w:t xml:space="preserve"> 合同当事人及其他相关方</w:t>
      </w:r>
    </w:p>
    <w:p w14:paraId="27680EF7">
      <w:pPr>
        <w:pStyle w:val="469"/>
        <w:spacing w:line="400" w:lineRule="exact"/>
        <w:ind w:firstLine="413" w:firstLineChars="19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1.1.2.4</w:t>
      </w:r>
      <w:r>
        <w:rPr>
          <w:rFonts w:hint="eastAsia" w:ascii="宋体" w:hAnsi="宋体" w:eastAsia="宋体"/>
          <w:b w:val="0"/>
          <w:color w:val="auto"/>
          <w:sz w:val="21"/>
          <w:szCs w:val="21"/>
          <w:highlight w:val="none"/>
        </w:rPr>
        <w:t>监理人：</w:t>
      </w:r>
    </w:p>
    <w:p w14:paraId="14351B9E">
      <w:pPr>
        <w:spacing w:line="400" w:lineRule="exact"/>
        <w:ind w:firstLine="411" w:firstLineChars="196"/>
        <w:rPr>
          <w:rFonts w:hint="eastAsia" w:ascii="宋体" w:hAnsi="宋体"/>
          <w:color w:val="auto"/>
          <w:szCs w:val="21"/>
          <w:highlight w:val="none"/>
        </w:rPr>
      </w:pPr>
      <w:r>
        <w:rPr>
          <w:rFonts w:hint="eastAsia" w:ascii="宋体" w:hAnsi="宋体"/>
          <w:color w:val="auto"/>
          <w:highlight w:val="none"/>
        </w:rPr>
        <w:t xml:space="preserve">名    称： </w:t>
      </w:r>
      <w:r>
        <w:rPr>
          <w:rFonts w:hint="eastAsia" w:ascii="宋体" w:hAnsi="宋体"/>
          <w:color w:val="auto"/>
          <w:highlight w:val="none"/>
          <w:u w:val="single"/>
        </w:rPr>
        <w:t xml:space="preserve">                             </w:t>
      </w:r>
    </w:p>
    <w:p w14:paraId="1FC618A5">
      <w:pPr>
        <w:spacing w:line="400" w:lineRule="exact"/>
        <w:rPr>
          <w:rFonts w:hint="eastAsia" w:ascii="宋体" w:hAnsi="宋体"/>
          <w:color w:val="auto"/>
          <w:highlight w:val="none"/>
        </w:rPr>
      </w:pPr>
      <w:r>
        <w:rPr>
          <w:rFonts w:hint="eastAsia" w:ascii="宋体" w:hAnsi="宋体"/>
          <w:color w:val="auto"/>
          <w:highlight w:val="none"/>
        </w:rPr>
        <w:t xml:space="preserve">    资质类别和等级：</w:t>
      </w:r>
      <w:r>
        <w:rPr>
          <w:rFonts w:hint="eastAsia" w:ascii="宋体" w:hAnsi="宋体"/>
          <w:color w:val="auto"/>
          <w:highlight w:val="none"/>
          <w:u w:val="single"/>
        </w:rPr>
        <w:t xml:space="preserve">                        </w:t>
      </w:r>
    </w:p>
    <w:p w14:paraId="4A01C149">
      <w:pPr>
        <w:spacing w:line="400" w:lineRule="exact"/>
        <w:ind w:firstLine="411" w:firstLineChars="196"/>
        <w:rPr>
          <w:rFonts w:hint="eastAsia" w:ascii="宋体" w:hAnsi="宋体"/>
          <w:color w:val="auto"/>
          <w:highlight w:val="none"/>
        </w:rPr>
      </w:pPr>
      <w:r>
        <w:rPr>
          <w:rFonts w:hint="eastAsia" w:ascii="宋体" w:hAnsi="宋体"/>
          <w:color w:val="auto"/>
          <w:highlight w:val="none"/>
        </w:rPr>
        <w:t>联系电话：</w:t>
      </w:r>
      <w:r>
        <w:rPr>
          <w:rFonts w:hint="eastAsia" w:ascii="宋体" w:hAnsi="宋体"/>
          <w:color w:val="auto"/>
          <w:highlight w:val="none"/>
          <w:u w:val="single"/>
        </w:rPr>
        <w:t xml:space="preserve">                              </w:t>
      </w:r>
    </w:p>
    <w:p w14:paraId="68934BA1">
      <w:pPr>
        <w:spacing w:line="400" w:lineRule="exact"/>
        <w:ind w:firstLine="411" w:firstLineChars="196"/>
        <w:rPr>
          <w:rFonts w:hint="eastAsia" w:ascii="宋体" w:hAnsi="宋体"/>
          <w:color w:val="auto"/>
          <w:highlight w:val="none"/>
        </w:rPr>
      </w:pPr>
      <w:r>
        <w:rPr>
          <w:rFonts w:hint="eastAsia" w:ascii="宋体" w:hAnsi="宋体"/>
          <w:color w:val="auto"/>
          <w:highlight w:val="none"/>
        </w:rPr>
        <w:t>电子信箱：</w:t>
      </w:r>
      <w:r>
        <w:rPr>
          <w:rFonts w:hint="eastAsia" w:ascii="宋体" w:hAnsi="宋体"/>
          <w:color w:val="auto"/>
          <w:highlight w:val="none"/>
          <w:u w:val="single"/>
        </w:rPr>
        <w:t xml:space="preserve">                              </w:t>
      </w:r>
    </w:p>
    <w:p w14:paraId="30B2625E">
      <w:pPr>
        <w:spacing w:line="400" w:lineRule="exact"/>
        <w:ind w:firstLine="411" w:firstLineChars="196"/>
        <w:rPr>
          <w:rFonts w:hint="eastAsia" w:ascii="宋体" w:hAnsi="宋体"/>
          <w:b/>
          <w:color w:val="auto"/>
          <w:highlight w:val="none"/>
        </w:rPr>
      </w:pPr>
      <w:r>
        <w:rPr>
          <w:rFonts w:hint="eastAsia" w:ascii="宋体" w:hAnsi="宋体"/>
          <w:color w:val="auto"/>
          <w:highlight w:val="none"/>
        </w:rPr>
        <w:t>通信地址：</w:t>
      </w:r>
      <w:r>
        <w:rPr>
          <w:rFonts w:hint="eastAsia" w:ascii="宋体" w:hAnsi="宋体"/>
          <w:color w:val="auto"/>
          <w:highlight w:val="none"/>
          <w:u w:val="single"/>
        </w:rPr>
        <w:t xml:space="preserve">                              </w:t>
      </w:r>
    </w:p>
    <w:p w14:paraId="028C99EC">
      <w:pPr>
        <w:spacing w:line="400" w:lineRule="exact"/>
        <w:ind w:firstLine="413" w:firstLineChars="196"/>
        <w:rPr>
          <w:rFonts w:hint="eastAsia" w:ascii="宋体" w:hAnsi="宋体"/>
          <w:b/>
          <w:color w:val="auto"/>
          <w:highlight w:val="none"/>
        </w:rPr>
      </w:pPr>
      <w:r>
        <w:rPr>
          <w:rFonts w:hint="eastAsia" w:ascii="宋体" w:hAnsi="宋体"/>
          <w:b/>
          <w:color w:val="auto"/>
          <w:highlight w:val="none"/>
        </w:rPr>
        <w:t>1.1.2.5 设计人：</w:t>
      </w:r>
    </w:p>
    <w:p w14:paraId="1320B219">
      <w:pPr>
        <w:spacing w:line="400" w:lineRule="exact"/>
        <w:ind w:firstLine="411" w:firstLineChars="196"/>
        <w:rPr>
          <w:rFonts w:hint="eastAsia" w:ascii="宋体" w:hAnsi="宋体"/>
          <w:color w:val="auto"/>
          <w:highlight w:val="none"/>
        </w:rPr>
      </w:pPr>
      <w:r>
        <w:rPr>
          <w:rFonts w:hint="eastAsia" w:ascii="宋体" w:hAnsi="宋体"/>
          <w:color w:val="auto"/>
          <w:highlight w:val="none"/>
        </w:rPr>
        <w:t xml:space="preserve">名    称： </w:t>
      </w:r>
      <w:r>
        <w:rPr>
          <w:rFonts w:hint="eastAsia" w:ascii="宋体" w:hAnsi="宋体"/>
          <w:color w:val="auto"/>
          <w:highlight w:val="none"/>
          <w:u w:val="single"/>
        </w:rPr>
        <w:t xml:space="preserve">                             </w:t>
      </w:r>
    </w:p>
    <w:p w14:paraId="335E80AF">
      <w:pPr>
        <w:spacing w:line="400" w:lineRule="exact"/>
        <w:rPr>
          <w:rFonts w:hint="eastAsia" w:ascii="宋体" w:hAnsi="宋体"/>
          <w:color w:val="auto"/>
          <w:highlight w:val="none"/>
        </w:rPr>
      </w:pPr>
      <w:r>
        <w:rPr>
          <w:rFonts w:hint="eastAsia" w:ascii="宋体" w:hAnsi="宋体"/>
          <w:color w:val="auto"/>
          <w:highlight w:val="none"/>
        </w:rPr>
        <w:t xml:space="preserve">    资质类别和等级：</w:t>
      </w:r>
      <w:r>
        <w:rPr>
          <w:rFonts w:hint="eastAsia" w:ascii="宋体" w:hAnsi="宋体"/>
          <w:color w:val="auto"/>
          <w:highlight w:val="none"/>
          <w:u w:val="single"/>
        </w:rPr>
        <w:t xml:space="preserve">                        </w:t>
      </w:r>
    </w:p>
    <w:p w14:paraId="13D00E42">
      <w:pPr>
        <w:spacing w:line="400" w:lineRule="exact"/>
        <w:ind w:firstLine="411" w:firstLineChars="196"/>
        <w:rPr>
          <w:rFonts w:hint="eastAsia" w:ascii="宋体" w:hAnsi="宋体"/>
          <w:color w:val="auto"/>
          <w:highlight w:val="none"/>
        </w:rPr>
      </w:pPr>
      <w:r>
        <w:rPr>
          <w:rFonts w:hint="eastAsia" w:ascii="宋体" w:hAnsi="宋体"/>
          <w:color w:val="auto"/>
          <w:highlight w:val="none"/>
        </w:rPr>
        <w:t>联系电话：</w:t>
      </w:r>
      <w:r>
        <w:rPr>
          <w:rFonts w:hint="eastAsia" w:ascii="宋体" w:hAnsi="宋体"/>
          <w:color w:val="auto"/>
          <w:highlight w:val="none"/>
          <w:u w:val="single"/>
        </w:rPr>
        <w:t xml:space="preserve">                              </w:t>
      </w:r>
    </w:p>
    <w:p w14:paraId="0CC41F34">
      <w:pPr>
        <w:spacing w:line="400" w:lineRule="exact"/>
        <w:ind w:firstLine="411" w:firstLineChars="196"/>
        <w:rPr>
          <w:rFonts w:hint="eastAsia" w:ascii="宋体" w:hAnsi="宋体"/>
          <w:color w:val="auto"/>
          <w:highlight w:val="none"/>
        </w:rPr>
      </w:pPr>
      <w:r>
        <w:rPr>
          <w:rFonts w:hint="eastAsia" w:ascii="宋体" w:hAnsi="宋体"/>
          <w:color w:val="auto"/>
          <w:highlight w:val="none"/>
        </w:rPr>
        <w:t>电子信箱：</w:t>
      </w:r>
      <w:r>
        <w:rPr>
          <w:rFonts w:hint="eastAsia" w:ascii="宋体" w:hAnsi="宋体"/>
          <w:color w:val="auto"/>
          <w:highlight w:val="none"/>
          <w:u w:val="single"/>
        </w:rPr>
        <w:t xml:space="preserve">                              </w:t>
      </w:r>
    </w:p>
    <w:p w14:paraId="642E6602">
      <w:pPr>
        <w:spacing w:line="400" w:lineRule="exact"/>
        <w:ind w:firstLine="411" w:firstLineChars="196"/>
        <w:rPr>
          <w:rFonts w:hint="eastAsia" w:ascii="宋体" w:hAnsi="宋体"/>
          <w:b/>
          <w:color w:val="auto"/>
          <w:highlight w:val="none"/>
        </w:rPr>
      </w:pPr>
      <w:r>
        <w:rPr>
          <w:rFonts w:hint="eastAsia" w:ascii="宋体" w:hAnsi="宋体"/>
          <w:color w:val="auto"/>
          <w:highlight w:val="none"/>
        </w:rPr>
        <w:t>通信地址：</w:t>
      </w:r>
      <w:r>
        <w:rPr>
          <w:rFonts w:hint="eastAsia" w:ascii="宋体" w:hAnsi="宋体"/>
          <w:color w:val="auto"/>
          <w:highlight w:val="none"/>
          <w:u w:val="single"/>
        </w:rPr>
        <w:t xml:space="preserve">                              </w:t>
      </w:r>
    </w:p>
    <w:p w14:paraId="647E2464">
      <w:pPr>
        <w:pStyle w:val="483"/>
        <w:spacing w:before="120" w:line="400" w:lineRule="exact"/>
        <w:ind w:firstLine="401" w:firstLineChars="190"/>
        <w:rPr>
          <w:rFonts w:hint="eastAsia" w:hAnsi="宋体"/>
          <w:color w:val="auto"/>
          <w:sz w:val="21"/>
          <w:szCs w:val="21"/>
          <w:highlight w:val="none"/>
        </w:rPr>
      </w:pPr>
      <w:r>
        <w:rPr>
          <w:rFonts w:hint="eastAsia" w:hAnsi="宋体"/>
          <w:color w:val="auto"/>
          <w:sz w:val="21"/>
          <w:szCs w:val="21"/>
          <w:highlight w:val="none"/>
        </w:rPr>
        <w:t xml:space="preserve">1.3 法律 </w:t>
      </w:r>
    </w:p>
    <w:p w14:paraId="23807382">
      <w:pPr>
        <w:autoSpaceDE w:val="0"/>
        <w:autoSpaceDN w:val="0"/>
        <w:spacing w:line="400" w:lineRule="exact"/>
        <w:ind w:firstLine="420" w:firstLineChars="200"/>
        <w:rPr>
          <w:rFonts w:hint="eastAsia" w:ascii="宋体" w:hAnsi="宋体"/>
          <w:color w:val="auto"/>
          <w:szCs w:val="21"/>
          <w:highlight w:val="none"/>
        </w:rPr>
      </w:pPr>
      <w:r>
        <w:rPr>
          <w:rFonts w:hint="eastAsia" w:ascii="宋体" w:hAnsi="宋体"/>
          <w:color w:val="auto"/>
          <w:highlight w:val="none"/>
        </w:rPr>
        <w:t>适用于合同的其他规范性文件：浙江省、宁波市有关工程建设的法规、规章及规范性文件。</w:t>
      </w:r>
    </w:p>
    <w:p w14:paraId="2C9D176A">
      <w:pPr>
        <w:pStyle w:val="483"/>
        <w:spacing w:before="120" w:line="400" w:lineRule="exact"/>
        <w:ind w:firstLine="401" w:firstLineChars="190"/>
        <w:rPr>
          <w:rFonts w:hint="eastAsia" w:hAnsi="宋体"/>
          <w:color w:val="auto"/>
          <w:sz w:val="21"/>
          <w:szCs w:val="21"/>
          <w:highlight w:val="none"/>
        </w:rPr>
      </w:pPr>
      <w:r>
        <w:rPr>
          <w:rFonts w:hint="eastAsia" w:hAnsi="宋体"/>
          <w:color w:val="auto"/>
          <w:sz w:val="21"/>
          <w:szCs w:val="21"/>
          <w:highlight w:val="none"/>
        </w:rPr>
        <w:t>1.4 标准和规范</w:t>
      </w:r>
    </w:p>
    <w:p w14:paraId="346ED05C">
      <w:pPr>
        <w:spacing w:line="400" w:lineRule="exact"/>
        <w:ind w:firstLine="420" w:firstLineChars="200"/>
        <w:rPr>
          <w:rFonts w:hint="eastAsia" w:ascii="宋体" w:hAnsi="宋体"/>
          <w:color w:val="auto"/>
          <w:kern w:val="0"/>
          <w:szCs w:val="21"/>
          <w:highlight w:val="none"/>
        </w:rPr>
      </w:pPr>
      <w:r>
        <w:rPr>
          <w:rFonts w:hint="eastAsia" w:ascii="宋体" w:hAnsi="宋体"/>
          <w:color w:val="auto"/>
          <w:highlight w:val="none"/>
        </w:rPr>
        <w:t>1.4.1适用于工程的标准规范包括：浙江省、宁波市工程建设相关的施工及验收规范和标准。</w:t>
      </w:r>
    </w:p>
    <w:p w14:paraId="116A4317">
      <w:pPr>
        <w:pStyle w:val="483"/>
        <w:spacing w:before="120" w:line="400" w:lineRule="exact"/>
        <w:ind w:firstLine="401" w:firstLineChars="190"/>
        <w:rPr>
          <w:rFonts w:hint="eastAsia" w:hAnsi="宋体"/>
          <w:color w:val="auto"/>
          <w:sz w:val="21"/>
          <w:szCs w:val="21"/>
          <w:highlight w:val="none"/>
        </w:rPr>
      </w:pPr>
      <w:r>
        <w:rPr>
          <w:rFonts w:hint="eastAsia" w:hAnsi="宋体"/>
          <w:color w:val="auto"/>
          <w:sz w:val="21"/>
          <w:szCs w:val="21"/>
          <w:highlight w:val="none"/>
        </w:rPr>
        <w:t>1.5 合同文件的优先顺序</w:t>
      </w:r>
    </w:p>
    <w:p w14:paraId="51B40BE7">
      <w:pPr>
        <w:spacing w:line="400" w:lineRule="exact"/>
        <w:ind w:firstLine="420" w:firstLineChars="200"/>
        <w:rPr>
          <w:rFonts w:hint="eastAsia" w:ascii="宋体" w:hAnsi="宋体"/>
          <w:color w:val="auto"/>
          <w:szCs w:val="21"/>
          <w:highlight w:val="none"/>
        </w:rPr>
      </w:pPr>
      <w:r>
        <w:rPr>
          <w:rFonts w:hint="eastAsia" w:ascii="宋体" w:hAnsi="宋体"/>
          <w:color w:val="auto"/>
          <w:highlight w:val="none"/>
        </w:rPr>
        <w:t>本合同协议书、成交通知书、投标书及其附件、专用条款、通用条款、招标文件、标准规范及有关技术文件、已标价的工程量清单或预算书、图纸（招标预算资料）、工程的洽商、变更等书面协议或文件 、质量保修书等。</w:t>
      </w:r>
    </w:p>
    <w:p w14:paraId="08BBB543">
      <w:pPr>
        <w:spacing w:line="400" w:lineRule="exact"/>
        <w:ind w:firstLine="422" w:firstLineChars="200"/>
        <w:rPr>
          <w:rFonts w:hint="eastAsia" w:ascii="宋体" w:hAnsi="宋体"/>
          <w:b/>
          <w:color w:val="auto"/>
          <w:highlight w:val="none"/>
        </w:rPr>
      </w:pPr>
      <w:r>
        <w:rPr>
          <w:rFonts w:hint="eastAsia" w:ascii="宋体" w:hAnsi="宋体"/>
          <w:b/>
          <w:color w:val="auto"/>
          <w:highlight w:val="none"/>
        </w:rPr>
        <w:t>1.6 图纸和承包人文件</w:t>
      </w:r>
      <w:r>
        <w:rPr>
          <w:rFonts w:hint="eastAsia" w:ascii="宋体" w:hAnsi="宋体"/>
          <w:b/>
          <w:color w:val="auto"/>
          <w:highlight w:val="none"/>
        </w:rPr>
        <w:tab/>
      </w:r>
    </w:p>
    <w:p w14:paraId="7C0AC526">
      <w:pPr>
        <w:pStyle w:val="483"/>
        <w:spacing w:before="120" w:line="400" w:lineRule="exact"/>
        <w:ind w:firstLine="399" w:firstLineChars="190"/>
        <w:rPr>
          <w:rFonts w:hint="eastAsia" w:hAnsi="宋体"/>
          <w:b w:val="0"/>
          <w:color w:val="auto"/>
          <w:sz w:val="21"/>
          <w:szCs w:val="21"/>
          <w:highlight w:val="none"/>
        </w:rPr>
      </w:pPr>
      <w:r>
        <w:rPr>
          <w:rFonts w:hint="eastAsia" w:hAnsi="宋体"/>
          <w:b w:val="0"/>
          <w:color w:val="auto"/>
          <w:sz w:val="21"/>
          <w:szCs w:val="21"/>
          <w:highlight w:val="none"/>
        </w:rPr>
        <w:t>1.6.1图纸的提供</w:t>
      </w:r>
    </w:p>
    <w:p w14:paraId="04C08698">
      <w:pPr>
        <w:spacing w:line="400" w:lineRule="exact"/>
        <w:ind w:firstLine="420" w:firstLineChars="200"/>
        <w:rPr>
          <w:rFonts w:hint="eastAsia" w:ascii="宋体" w:hAnsi="宋体"/>
          <w:color w:val="auto"/>
          <w:szCs w:val="21"/>
          <w:highlight w:val="none"/>
        </w:rPr>
      </w:pPr>
      <w:r>
        <w:rPr>
          <w:rFonts w:hint="eastAsia" w:ascii="宋体" w:hAnsi="宋体"/>
          <w:color w:val="auto"/>
          <w:highlight w:val="none"/>
        </w:rPr>
        <w:t>发包人向承包人提供图纸的期限：</w:t>
      </w:r>
      <w:r>
        <w:rPr>
          <w:rFonts w:hint="eastAsia" w:ascii="宋体" w:hAnsi="宋体"/>
          <w:color w:val="auto"/>
          <w:highlight w:val="none"/>
          <w:u w:val="single"/>
        </w:rPr>
        <w:t>开工前七天</w:t>
      </w:r>
      <w:r>
        <w:rPr>
          <w:rFonts w:hint="eastAsia" w:ascii="宋体" w:hAnsi="宋体"/>
          <w:color w:val="auto"/>
          <w:highlight w:val="none"/>
        </w:rPr>
        <w:t>；</w:t>
      </w:r>
    </w:p>
    <w:p w14:paraId="4C197AD5">
      <w:pPr>
        <w:pStyle w:val="483"/>
        <w:spacing w:before="120" w:line="400" w:lineRule="exact"/>
        <w:ind w:firstLine="399" w:firstLineChars="190"/>
        <w:rPr>
          <w:rFonts w:hint="eastAsia" w:hAnsi="宋体"/>
          <w:b w:val="0"/>
          <w:color w:val="auto"/>
          <w:sz w:val="21"/>
          <w:szCs w:val="21"/>
          <w:highlight w:val="none"/>
        </w:rPr>
      </w:pPr>
      <w:r>
        <w:rPr>
          <w:rFonts w:hint="eastAsia" w:hAnsi="宋体"/>
          <w:b w:val="0"/>
          <w:color w:val="auto"/>
          <w:sz w:val="21"/>
          <w:szCs w:val="21"/>
          <w:highlight w:val="none"/>
        </w:rPr>
        <w:t>发包人向承包人提供图纸的数量：</w:t>
      </w:r>
      <w:r>
        <w:rPr>
          <w:rFonts w:hint="eastAsia" w:hAnsi="宋体"/>
          <w:b w:val="0"/>
          <w:color w:val="auto"/>
          <w:sz w:val="21"/>
          <w:szCs w:val="21"/>
          <w:highlight w:val="none"/>
          <w:u w:val="single"/>
        </w:rPr>
        <w:t>一式四套</w:t>
      </w:r>
      <w:r>
        <w:rPr>
          <w:rFonts w:hint="eastAsia" w:hAnsi="宋体"/>
          <w:b w:val="0"/>
          <w:color w:val="auto"/>
          <w:sz w:val="21"/>
          <w:szCs w:val="21"/>
          <w:highlight w:val="none"/>
        </w:rPr>
        <w:t>；</w:t>
      </w:r>
    </w:p>
    <w:p w14:paraId="393BBFF6">
      <w:pPr>
        <w:pStyle w:val="483"/>
        <w:spacing w:before="120" w:line="400" w:lineRule="exact"/>
        <w:ind w:firstLine="399" w:firstLineChars="190"/>
        <w:rPr>
          <w:rFonts w:hint="eastAsia" w:hAnsi="宋体"/>
          <w:b w:val="0"/>
          <w:color w:val="auto"/>
          <w:sz w:val="21"/>
          <w:szCs w:val="21"/>
          <w:highlight w:val="none"/>
        </w:rPr>
      </w:pPr>
      <w:r>
        <w:rPr>
          <w:rFonts w:hint="eastAsia" w:hAnsi="宋体"/>
          <w:b w:val="0"/>
          <w:color w:val="auto"/>
          <w:sz w:val="21"/>
          <w:szCs w:val="21"/>
          <w:highlight w:val="none"/>
        </w:rPr>
        <w:t>发包人向承包人提供图纸的内容：</w:t>
      </w:r>
      <w:r>
        <w:rPr>
          <w:rFonts w:hint="eastAsia" w:hAnsi="宋体"/>
          <w:b w:val="0"/>
          <w:color w:val="auto"/>
          <w:sz w:val="21"/>
          <w:szCs w:val="21"/>
          <w:highlight w:val="none"/>
          <w:u w:val="single"/>
        </w:rPr>
        <w:t>工程承包范围内的各专业工程</w:t>
      </w:r>
      <w:r>
        <w:rPr>
          <w:rFonts w:hint="eastAsia" w:hAnsi="宋体"/>
          <w:b w:val="0"/>
          <w:color w:val="auto"/>
          <w:sz w:val="21"/>
          <w:szCs w:val="21"/>
          <w:highlight w:val="none"/>
        </w:rPr>
        <w:t>。</w:t>
      </w:r>
    </w:p>
    <w:p w14:paraId="1CCF846D">
      <w:pPr>
        <w:spacing w:line="400" w:lineRule="exact"/>
        <w:ind w:firstLine="420" w:firstLineChars="200"/>
        <w:rPr>
          <w:rFonts w:hint="eastAsia" w:ascii="宋体" w:hAnsi="宋体"/>
          <w:color w:val="auto"/>
          <w:szCs w:val="21"/>
          <w:highlight w:val="none"/>
        </w:rPr>
      </w:pPr>
      <w:r>
        <w:rPr>
          <w:rFonts w:hint="eastAsia" w:ascii="宋体" w:hAnsi="宋体"/>
          <w:color w:val="auto"/>
          <w:highlight w:val="none"/>
        </w:rPr>
        <w:t>1.6.4 承包人文件</w:t>
      </w:r>
    </w:p>
    <w:p w14:paraId="0B900CD1">
      <w:pPr>
        <w:spacing w:line="400" w:lineRule="exact"/>
        <w:ind w:firstLine="415" w:firstLineChars="198"/>
        <w:rPr>
          <w:rFonts w:hint="eastAsia" w:ascii="宋体" w:hAnsi="宋体"/>
          <w:color w:val="auto"/>
          <w:highlight w:val="none"/>
        </w:rPr>
      </w:pPr>
      <w:r>
        <w:rPr>
          <w:rFonts w:hint="eastAsia" w:ascii="宋体" w:hAnsi="宋体"/>
          <w:color w:val="auto"/>
          <w:highlight w:val="none"/>
        </w:rPr>
        <w:t>需要由承包人提供的文件，包括：</w:t>
      </w:r>
      <w:r>
        <w:rPr>
          <w:rFonts w:hint="eastAsia" w:ascii="宋体" w:hAnsi="宋体"/>
          <w:color w:val="auto"/>
          <w:highlight w:val="none"/>
          <w:u w:val="single"/>
        </w:rPr>
        <w:t>施工组织设计、工程进度计划、专项施工方案、加工图、大样图、协调配合图等</w:t>
      </w:r>
      <w:r>
        <w:rPr>
          <w:rFonts w:hint="eastAsia" w:ascii="宋体" w:hAnsi="宋体"/>
          <w:color w:val="auto"/>
          <w:highlight w:val="none"/>
        </w:rPr>
        <w:t>；</w:t>
      </w:r>
    </w:p>
    <w:p w14:paraId="5B3BFCC6">
      <w:pPr>
        <w:spacing w:line="400" w:lineRule="exact"/>
        <w:ind w:firstLine="420" w:firstLineChars="200"/>
        <w:rPr>
          <w:rFonts w:hint="eastAsia" w:ascii="宋体" w:hAnsi="宋体"/>
          <w:color w:val="auto"/>
          <w:highlight w:val="none"/>
        </w:rPr>
      </w:pPr>
      <w:r>
        <w:rPr>
          <w:rFonts w:hint="eastAsia" w:ascii="宋体" w:hAnsi="宋体"/>
          <w:color w:val="auto"/>
          <w:highlight w:val="none"/>
        </w:rPr>
        <w:t>承包人提供的文件的期限为：</w:t>
      </w:r>
      <w:r>
        <w:rPr>
          <w:rFonts w:hint="eastAsia" w:ascii="宋体" w:hAnsi="宋体"/>
          <w:color w:val="auto"/>
          <w:highlight w:val="none"/>
          <w:u w:val="single"/>
        </w:rPr>
        <w:t>施工组织设计、工程进度计划在工程开工前7天，其他文件在相应专项工程或部位施工前7天</w:t>
      </w:r>
      <w:r>
        <w:rPr>
          <w:rFonts w:hint="eastAsia" w:ascii="宋体" w:hAnsi="宋体"/>
          <w:color w:val="auto"/>
          <w:highlight w:val="none"/>
        </w:rPr>
        <w:t>；</w:t>
      </w:r>
    </w:p>
    <w:p w14:paraId="4A9197B3">
      <w:pPr>
        <w:spacing w:line="400" w:lineRule="exact"/>
        <w:ind w:firstLine="420" w:firstLineChars="200"/>
        <w:rPr>
          <w:rFonts w:hint="eastAsia" w:ascii="宋体" w:hAnsi="宋体"/>
          <w:color w:val="auto"/>
          <w:highlight w:val="none"/>
        </w:rPr>
      </w:pPr>
      <w:r>
        <w:rPr>
          <w:rFonts w:hint="eastAsia" w:ascii="宋体" w:hAnsi="宋体"/>
          <w:color w:val="auto"/>
          <w:highlight w:val="none"/>
        </w:rPr>
        <w:t>承包人提供的文件的数量为：</w:t>
      </w:r>
      <w:r>
        <w:rPr>
          <w:rFonts w:hint="eastAsia" w:ascii="宋体" w:hAnsi="宋体"/>
          <w:color w:val="auto"/>
          <w:highlight w:val="none"/>
          <w:u w:val="single"/>
        </w:rPr>
        <w:t>一式四套</w:t>
      </w:r>
      <w:r>
        <w:rPr>
          <w:rFonts w:hint="eastAsia" w:ascii="宋体" w:hAnsi="宋体"/>
          <w:color w:val="auto"/>
          <w:highlight w:val="none"/>
        </w:rPr>
        <w:t>；</w:t>
      </w:r>
    </w:p>
    <w:p w14:paraId="7D263C02">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具体承包人提供的资料份数可按发包人要求调整。</w:t>
      </w:r>
    </w:p>
    <w:p w14:paraId="5D4D1B6C">
      <w:pPr>
        <w:spacing w:line="400" w:lineRule="exact"/>
        <w:ind w:firstLine="420" w:firstLineChars="200"/>
        <w:rPr>
          <w:rFonts w:hint="eastAsia" w:ascii="宋体" w:hAnsi="宋体"/>
          <w:color w:val="auto"/>
          <w:highlight w:val="none"/>
        </w:rPr>
      </w:pPr>
      <w:r>
        <w:rPr>
          <w:rFonts w:hint="eastAsia" w:ascii="宋体" w:hAnsi="宋体"/>
          <w:color w:val="auto"/>
          <w:highlight w:val="none"/>
        </w:rPr>
        <w:t>1.6.5 现场图纸准备</w:t>
      </w:r>
    </w:p>
    <w:p w14:paraId="1DD3FF63">
      <w:pPr>
        <w:spacing w:line="400" w:lineRule="exact"/>
        <w:ind w:firstLine="420"/>
        <w:jc w:val="left"/>
        <w:rPr>
          <w:rFonts w:hint="eastAsia" w:ascii="宋体" w:hAnsi="宋体"/>
          <w:color w:val="auto"/>
          <w:highlight w:val="none"/>
        </w:rPr>
      </w:pPr>
      <w:r>
        <w:rPr>
          <w:rFonts w:hint="eastAsia" w:ascii="宋体" w:hAnsi="宋体"/>
          <w:color w:val="auto"/>
          <w:highlight w:val="none"/>
        </w:rPr>
        <w:t>关于现场图纸准备的约定：</w:t>
      </w:r>
      <w:r>
        <w:rPr>
          <w:rFonts w:hint="eastAsia" w:ascii="宋体" w:hAnsi="宋体"/>
          <w:color w:val="auto"/>
          <w:highlight w:val="none"/>
          <w:u w:val="single"/>
        </w:rPr>
        <w:t>承包人在施工现场保存至少一套完整的图纸和承包人文件</w:t>
      </w:r>
      <w:r>
        <w:rPr>
          <w:rFonts w:hint="eastAsia" w:ascii="宋体" w:hAnsi="宋体"/>
          <w:color w:val="auto"/>
          <w:highlight w:val="none"/>
        </w:rPr>
        <w:t>。</w:t>
      </w:r>
    </w:p>
    <w:p w14:paraId="1B4FE4AA">
      <w:pPr>
        <w:spacing w:line="400" w:lineRule="exact"/>
        <w:ind w:firstLine="422" w:firstLineChars="200"/>
        <w:jc w:val="left"/>
        <w:rPr>
          <w:rFonts w:hint="eastAsia" w:ascii="宋体" w:hAnsi="宋体"/>
          <w:b/>
          <w:color w:val="auto"/>
          <w:highlight w:val="none"/>
        </w:rPr>
      </w:pPr>
      <w:r>
        <w:rPr>
          <w:rFonts w:hint="eastAsia" w:ascii="宋体" w:hAnsi="宋体"/>
          <w:b/>
          <w:color w:val="auto"/>
          <w:highlight w:val="none"/>
        </w:rPr>
        <w:t>1.7联络</w:t>
      </w:r>
    </w:p>
    <w:p w14:paraId="1595A0D9">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1.7.1发包人和承包人应当在</w:t>
      </w:r>
      <w:r>
        <w:rPr>
          <w:rFonts w:hint="eastAsia" w:ascii="宋体" w:hAnsi="宋体"/>
          <w:color w:val="auto"/>
          <w:highlight w:val="none"/>
          <w:u w:val="single"/>
        </w:rPr>
        <w:t>通用条款规定的时间</w:t>
      </w:r>
      <w:r>
        <w:rPr>
          <w:rFonts w:hint="eastAsia" w:ascii="宋体" w:hAnsi="宋体"/>
          <w:color w:val="auto"/>
          <w:highlight w:val="none"/>
        </w:rPr>
        <w:t>内将与合同有关的通知、批准、证明、证书、指示、指令、要求、请求、同意、意见、确定和决定等书面函件送达对方当事人。</w:t>
      </w:r>
    </w:p>
    <w:p w14:paraId="3479FD4C">
      <w:pPr>
        <w:spacing w:line="400" w:lineRule="exact"/>
        <w:ind w:firstLine="420" w:firstLineChars="200"/>
        <w:jc w:val="left"/>
        <w:rPr>
          <w:rFonts w:hint="eastAsia" w:ascii="宋体" w:hAnsi="宋体"/>
          <w:color w:val="auto"/>
          <w:highlight w:val="none"/>
          <w:u w:val="single"/>
        </w:rPr>
      </w:pPr>
      <w:r>
        <w:rPr>
          <w:rFonts w:hint="eastAsia" w:ascii="宋体" w:hAnsi="宋体"/>
          <w:color w:val="auto"/>
          <w:highlight w:val="none"/>
        </w:rPr>
        <w:t>1.7.2发包人接收文件的地点：</w:t>
      </w:r>
      <w:r>
        <w:rPr>
          <w:rFonts w:hint="eastAsia" w:ascii="宋体" w:hAnsi="宋体"/>
          <w:color w:val="auto"/>
          <w:highlight w:val="none"/>
          <w:u w:val="single"/>
        </w:rPr>
        <w:t>发包人驻项目办公所在地；</w:t>
      </w:r>
    </w:p>
    <w:p w14:paraId="5F8CB1D3">
      <w:pPr>
        <w:spacing w:line="400" w:lineRule="exact"/>
        <w:ind w:firstLine="315" w:firstLineChars="150"/>
        <w:jc w:val="left"/>
        <w:rPr>
          <w:rFonts w:hint="eastAsia" w:ascii="宋体" w:hAnsi="宋体"/>
          <w:color w:val="auto"/>
          <w:highlight w:val="none"/>
          <w:u w:val="single"/>
        </w:rPr>
      </w:pPr>
      <w:r>
        <w:rPr>
          <w:rFonts w:hint="eastAsia" w:ascii="宋体" w:hAnsi="宋体"/>
          <w:color w:val="auto"/>
          <w:highlight w:val="none"/>
        </w:rPr>
        <w:t xml:space="preserve"> 发包人指定的接收人为：</w:t>
      </w:r>
      <w:r>
        <w:rPr>
          <w:rFonts w:hint="eastAsia" w:ascii="宋体" w:hAnsi="宋体"/>
          <w:color w:val="auto"/>
          <w:highlight w:val="none"/>
          <w:u w:val="single"/>
        </w:rPr>
        <w:t xml:space="preserve">      </w:t>
      </w:r>
      <w:r>
        <w:rPr>
          <w:rFonts w:hint="eastAsia" w:ascii="宋体" w:hAnsi="宋体"/>
          <w:color w:val="auto"/>
          <w:highlight w:val="none"/>
        </w:rPr>
        <w:t>。</w:t>
      </w:r>
    </w:p>
    <w:p w14:paraId="48D139F6">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承包人接收文件的地点：</w:t>
      </w:r>
      <w:r>
        <w:rPr>
          <w:rFonts w:hint="eastAsia" w:ascii="宋体" w:hAnsi="宋体"/>
          <w:color w:val="auto"/>
          <w:highlight w:val="none"/>
          <w:u w:val="single"/>
        </w:rPr>
        <w:t>承包人驻项目办公所在地</w:t>
      </w:r>
      <w:r>
        <w:rPr>
          <w:rFonts w:hint="eastAsia" w:ascii="宋体" w:hAnsi="宋体"/>
          <w:color w:val="auto"/>
          <w:highlight w:val="none"/>
        </w:rPr>
        <w:t>；</w:t>
      </w:r>
    </w:p>
    <w:p w14:paraId="50B4C5C1">
      <w:pPr>
        <w:spacing w:line="400" w:lineRule="exact"/>
        <w:ind w:firstLine="420" w:firstLineChars="200"/>
        <w:jc w:val="left"/>
        <w:rPr>
          <w:rFonts w:hint="eastAsia" w:ascii="宋体" w:hAnsi="宋体"/>
          <w:color w:val="auto"/>
          <w:highlight w:val="none"/>
          <w:u w:val="single"/>
        </w:rPr>
      </w:pPr>
      <w:r>
        <w:rPr>
          <w:rFonts w:hint="eastAsia" w:ascii="宋体" w:hAnsi="宋体"/>
          <w:color w:val="auto"/>
          <w:highlight w:val="none"/>
        </w:rPr>
        <w:t>承包人指定的接收人为：</w:t>
      </w:r>
      <w:r>
        <w:rPr>
          <w:rFonts w:hint="eastAsia" w:ascii="宋体" w:hAnsi="宋体"/>
          <w:color w:val="auto"/>
          <w:highlight w:val="none"/>
          <w:u w:val="single"/>
        </w:rPr>
        <w:t xml:space="preserve">      </w:t>
      </w:r>
      <w:r>
        <w:rPr>
          <w:rFonts w:hint="eastAsia" w:ascii="宋体" w:hAnsi="宋体"/>
          <w:color w:val="auto"/>
          <w:highlight w:val="none"/>
        </w:rPr>
        <w:t>。</w:t>
      </w:r>
    </w:p>
    <w:p w14:paraId="6AFA80F6">
      <w:pPr>
        <w:spacing w:line="400" w:lineRule="exact"/>
        <w:ind w:firstLine="315" w:firstLineChars="150"/>
        <w:jc w:val="left"/>
        <w:rPr>
          <w:rFonts w:hint="eastAsia" w:ascii="宋体" w:hAnsi="宋体"/>
          <w:color w:val="auto"/>
          <w:highlight w:val="none"/>
          <w:u w:val="single"/>
        </w:rPr>
      </w:pPr>
      <w:r>
        <w:rPr>
          <w:rFonts w:hint="eastAsia" w:ascii="宋体" w:hAnsi="宋体"/>
          <w:color w:val="auto"/>
          <w:highlight w:val="none"/>
        </w:rPr>
        <w:t xml:space="preserve"> 监理人接收文件的地点：</w:t>
      </w:r>
      <w:r>
        <w:rPr>
          <w:rFonts w:hint="eastAsia" w:ascii="宋体" w:hAnsi="宋体"/>
          <w:color w:val="auto"/>
          <w:highlight w:val="none"/>
          <w:u w:val="single"/>
        </w:rPr>
        <w:t>监理人驻项目办公所在地</w:t>
      </w:r>
      <w:r>
        <w:rPr>
          <w:rFonts w:hint="eastAsia" w:ascii="宋体" w:hAnsi="宋体"/>
          <w:color w:val="auto"/>
          <w:highlight w:val="none"/>
        </w:rPr>
        <w:t>；</w:t>
      </w:r>
    </w:p>
    <w:p w14:paraId="57DA279D">
      <w:pPr>
        <w:spacing w:line="400" w:lineRule="exact"/>
        <w:ind w:firstLine="420" w:firstLineChars="200"/>
        <w:jc w:val="left"/>
        <w:rPr>
          <w:rFonts w:hint="eastAsia" w:ascii="宋体" w:hAnsi="宋体"/>
          <w:color w:val="auto"/>
          <w:highlight w:val="none"/>
          <w:u w:val="single"/>
        </w:rPr>
      </w:pPr>
      <w:r>
        <w:rPr>
          <w:rFonts w:hint="eastAsia" w:ascii="宋体" w:hAnsi="宋体"/>
          <w:color w:val="auto"/>
          <w:highlight w:val="none"/>
        </w:rPr>
        <w:t>监理人指定的接收人为：</w:t>
      </w:r>
      <w:r>
        <w:rPr>
          <w:rFonts w:hint="eastAsia" w:ascii="宋体" w:hAnsi="宋体"/>
          <w:color w:val="auto"/>
          <w:highlight w:val="none"/>
          <w:u w:val="single"/>
        </w:rPr>
        <w:t xml:space="preserve">       </w:t>
      </w:r>
      <w:r>
        <w:rPr>
          <w:rFonts w:hint="eastAsia" w:ascii="宋体" w:hAnsi="宋体"/>
          <w:color w:val="auto"/>
          <w:highlight w:val="none"/>
        </w:rPr>
        <w:t>。</w:t>
      </w:r>
    </w:p>
    <w:p w14:paraId="6B992053">
      <w:pPr>
        <w:spacing w:line="400" w:lineRule="exact"/>
        <w:ind w:firstLine="422" w:firstLineChars="200"/>
        <w:jc w:val="left"/>
        <w:rPr>
          <w:rFonts w:hint="eastAsia" w:ascii="宋体" w:hAnsi="宋体"/>
          <w:b/>
          <w:color w:val="auto"/>
          <w:highlight w:val="none"/>
        </w:rPr>
      </w:pPr>
      <w:r>
        <w:rPr>
          <w:rFonts w:hint="eastAsia" w:ascii="宋体" w:hAnsi="宋体"/>
          <w:b/>
          <w:color w:val="auto"/>
          <w:highlight w:val="none"/>
        </w:rPr>
        <w:t>1.10 交通运输</w:t>
      </w:r>
    </w:p>
    <w:p w14:paraId="72466E43">
      <w:pPr>
        <w:spacing w:line="400" w:lineRule="exact"/>
        <w:ind w:firstLine="420" w:firstLineChars="200"/>
        <w:rPr>
          <w:rFonts w:hint="eastAsia" w:ascii="宋体" w:hAnsi="宋体"/>
          <w:color w:val="auto"/>
          <w:highlight w:val="none"/>
        </w:rPr>
      </w:pPr>
      <w:r>
        <w:rPr>
          <w:rFonts w:hint="eastAsia" w:ascii="宋体" w:hAnsi="宋体"/>
          <w:color w:val="auto"/>
          <w:highlight w:val="none"/>
        </w:rPr>
        <w:t>1.10.1 出入现场的权利：执行通用条款。</w:t>
      </w:r>
    </w:p>
    <w:p w14:paraId="789CCCCF">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1.10.3 关于场外交通和场内交通边界的约定：</w:t>
      </w:r>
      <w:r>
        <w:rPr>
          <w:rFonts w:hint="eastAsia" w:ascii="宋体" w:hAnsi="宋体"/>
          <w:color w:val="auto"/>
          <w:highlight w:val="none"/>
          <w:u w:val="single"/>
        </w:rPr>
        <w:t>按本工程用地红线范围界定。</w:t>
      </w:r>
    </w:p>
    <w:p w14:paraId="33FE321A">
      <w:pPr>
        <w:spacing w:line="400" w:lineRule="exact"/>
        <w:ind w:firstLine="420" w:firstLineChars="200"/>
        <w:rPr>
          <w:rFonts w:hint="eastAsia" w:ascii="宋体" w:hAnsi="宋体"/>
          <w:color w:val="auto"/>
          <w:highlight w:val="none"/>
        </w:rPr>
      </w:pPr>
      <w:r>
        <w:rPr>
          <w:rFonts w:hint="eastAsia" w:ascii="宋体" w:hAnsi="宋体"/>
          <w:color w:val="auto"/>
          <w:highlight w:val="none"/>
        </w:rPr>
        <w:t>1.10.4 超大件和超重件的运输</w:t>
      </w:r>
    </w:p>
    <w:p w14:paraId="06518143">
      <w:pPr>
        <w:spacing w:line="400" w:lineRule="exact"/>
        <w:ind w:firstLine="420" w:firstLineChars="200"/>
        <w:rPr>
          <w:rFonts w:hint="eastAsia" w:ascii="宋体" w:hAnsi="宋体"/>
          <w:color w:val="auto"/>
          <w:highlight w:val="none"/>
        </w:rPr>
      </w:pPr>
      <w:r>
        <w:rPr>
          <w:rFonts w:hint="eastAsia" w:ascii="宋体" w:hAnsi="宋体"/>
          <w:color w:val="auto"/>
          <w:highlight w:val="none"/>
        </w:rPr>
        <w:t>运输超大件或超重件所需的道路和桥梁临时加固改造费用和其他有关费用由</w:t>
      </w:r>
      <w:r>
        <w:rPr>
          <w:rFonts w:hint="eastAsia" w:ascii="宋体" w:hAnsi="宋体"/>
          <w:b/>
          <w:color w:val="auto"/>
          <w:highlight w:val="none"/>
          <w:u w:val="single"/>
        </w:rPr>
        <w:t>B</w:t>
      </w:r>
      <w:r>
        <w:rPr>
          <w:rFonts w:hint="eastAsia" w:ascii="宋体" w:hAnsi="宋体"/>
          <w:color w:val="auto"/>
          <w:highlight w:val="none"/>
        </w:rPr>
        <w:t xml:space="preserve">（A、发包人；/B、承包人）承担。 </w:t>
      </w:r>
    </w:p>
    <w:p w14:paraId="03D29A29">
      <w:pPr>
        <w:pStyle w:val="483"/>
        <w:spacing w:before="120" w:line="400" w:lineRule="exact"/>
        <w:ind w:firstLine="401" w:firstLineChars="190"/>
        <w:rPr>
          <w:rFonts w:hint="eastAsia" w:hAnsi="宋体"/>
          <w:color w:val="auto"/>
          <w:sz w:val="21"/>
          <w:szCs w:val="21"/>
          <w:highlight w:val="none"/>
        </w:rPr>
      </w:pPr>
      <w:r>
        <w:rPr>
          <w:rFonts w:hint="eastAsia" w:hAnsi="宋体"/>
          <w:color w:val="auto"/>
          <w:sz w:val="21"/>
          <w:szCs w:val="21"/>
          <w:highlight w:val="none"/>
        </w:rPr>
        <w:t>1.11 知识产权</w:t>
      </w:r>
    </w:p>
    <w:p w14:paraId="3BFB16F4">
      <w:pPr>
        <w:spacing w:line="400" w:lineRule="exact"/>
        <w:ind w:firstLine="420" w:firstLineChars="200"/>
        <w:rPr>
          <w:rFonts w:hint="eastAsia" w:ascii="宋体" w:hAnsi="宋体"/>
          <w:color w:val="auto"/>
          <w:szCs w:val="21"/>
          <w:highlight w:val="none"/>
        </w:rPr>
      </w:pPr>
      <w:r>
        <w:rPr>
          <w:rFonts w:hint="eastAsia" w:ascii="宋体" w:hAnsi="宋体"/>
          <w:color w:val="auto"/>
          <w:highlight w:val="none"/>
        </w:rPr>
        <w:t>关于本合同的知识产权、使用及使用费用约定：执行通用条款。</w:t>
      </w:r>
    </w:p>
    <w:p w14:paraId="30670A4F">
      <w:pPr>
        <w:pStyle w:val="483"/>
        <w:spacing w:before="120" w:line="400" w:lineRule="exact"/>
        <w:ind w:firstLine="401" w:firstLineChars="190"/>
        <w:rPr>
          <w:rFonts w:hint="eastAsia" w:hAnsi="宋体"/>
          <w:color w:val="auto"/>
          <w:sz w:val="21"/>
          <w:szCs w:val="21"/>
          <w:highlight w:val="none"/>
        </w:rPr>
      </w:pPr>
      <w:r>
        <w:rPr>
          <w:rFonts w:hint="eastAsia" w:hAnsi="宋体"/>
          <w:color w:val="auto"/>
          <w:sz w:val="21"/>
          <w:szCs w:val="21"/>
          <w:highlight w:val="none"/>
        </w:rPr>
        <w:t>1.13工程量清单错误的修正</w:t>
      </w:r>
    </w:p>
    <w:p w14:paraId="005004BD">
      <w:pPr>
        <w:spacing w:line="400" w:lineRule="exact"/>
        <w:ind w:firstLine="415" w:firstLineChars="198"/>
        <w:rPr>
          <w:rFonts w:hint="eastAsia" w:ascii="宋体" w:hAnsi="宋体"/>
          <w:color w:val="auto"/>
          <w:szCs w:val="21"/>
          <w:highlight w:val="none"/>
        </w:rPr>
      </w:pPr>
      <w:r>
        <w:rPr>
          <w:rFonts w:hint="eastAsia" w:ascii="宋体" w:hAnsi="宋体"/>
          <w:color w:val="auto"/>
          <w:highlight w:val="none"/>
        </w:rPr>
        <w:t>允许对下列工程量清单的错误进行调整：</w:t>
      </w:r>
      <w:r>
        <w:rPr>
          <w:rFonts w:hint="eastAsia" w:ascii="宋体" w:hAnsi="宋体"/>
          <w:color w:val="auto"/>
          <w:highlight w:val="none"/>
          <w:u w:val="single"/>
        </w:rPr>
        <w:t>（1）工程量清单存在缺项、漏项；（2）任一招标工程量清单项目的工程量有偏差；（3）未按照国家现行计量规范强制性规定计量。</w:t>
      </w:r>
    </w:p>
    <w:p w14:paraId="404FAECE">
      <w:pPr>
        <w:pStyle w:val="469"/>
        <w:spacing w:line="40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 发包人</w:t>
      </w:r>
    </w:p>
    <w:p w14:paraId="5BA29C83">
      <w:pPr>
        <w:pStyle w:val="483"/>
        <w:spacing w:before="120" w:line="400" w:lineRule="exact"/>
        <w:ind w:firstLine="401" w:firstLineChars="190"/>
        <w:rPr>
          <w:rFonts w:hint="eastAsia" w:hAnsi="宋体"/>
          <w:color w:val="auto"/>
          <w:sz w:val="21"/>
          <w:szCs w:val="21"/>
          <w:highlight w:val="none"/>
        </w:rPr>
      </w:pPr>
      <w:r>
        <w:rPr>
          <w:rFonts w:hint="eastAsia" w:hAnsi="宋体"/>
          <w:color w:val="auto"/>
          <w:sz w:val="21"/>
          <w:szCs w:val="21"/>
          <w:highlight w:val="none"/>
        </w:rPr>
        <w:t>2.2 发包人代表</w:t>
      </w:r>
    </w:p>
    <w:p w14:paraId="0606F2C5">
      <w:pPr>
        <w:spacing w:line="400" w:lineRule="exact"/>
        <w:ind w:firstLine="420"/>
        <w:rPr>
          <w:rFonts w:hint="eastAsia" w:ascii="宋体" w:hAnsi="宋体"/>
          <w:color w:val="auto"/>
          <w:szCs w:val="21"/>
          <w:highlight w:val="none"/>
        </w:rPr>
      </w:pPr>
      <w:r>
        <w:rPr>
          <w:rFonts w:hint="eastAsia" w:ascii="宋体" w:hAnsi="宋体"/>
          <w:color w:val="auto"/>
          <w:highlight w:val="none"/>
        </w:rPr>
        <w:t>发包人对发包人代表的授权范围如下：</w:t>
      </w:r>
      <w:r>
        <w:rPr>
          <w:rFonts w:hint="eastAsia" w:ascii="宋体" w:hAnsi="宋体"/>
          <w:color w:val="auto"/>
          <w:highlight w:val="none"/>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所涉事项致工程价款变动的，须经发包人同意</w:t>
      </w:r>
      <w:r>
        <w:rPr>
          <w:rFonts w:hint="eastAsia" w:ascii="宋体" w:hAnsi="宋体"/>
          <w:color w:val="auto"/>
          <w:highlight w:val="none"/>
        </w:rPr>
        <w:t>。</w:t>
      </w:r>
    </w:p>
    <w:p w14:paraId="3EC7E4E6">
      <w:pPr>
        <w:pStyle w:val="483"/>
        <w:spacing w:line="400" w:lineRule="exact"/>
        <w:ind w:firstLine="401" w:firstLineChars="190"/>
        <w:rPr>
          <w:rFonts w:hint="eastAsia" w:hAnsi="宋体"/>
          <w:color w:val="auto"/>
          <w:sz w:val="21"/>
          <w:szCs w:val="21"/>
          <w:highlight w:val="none"/>
        </w:rPr>
      </w:pPr>
      <w:r>
        <w:rPr>
          <w:rFonts w:hint="eastAsia" w:hAnsi="宋体"/>
          <w:color w:val="auto"/>
          <w:sz w:val="21"/>
          <w:szCs w:val="21"/>
          <w:highlight w:val="none"/>
        </w:rPr>
        <w:t>2.5 资金来源证明及支付担保</w:t>
      </w:r>
    </w:p>
    <w:p w14:paraId="48A70346">
      <w:pPr>
        <w:spacing w:line="400" w:lineRule="exact"/>
        <w:ind w:firstLine="420" w:firstLineChars="200"/>
        <w:rPr>
          <w:rFonts w:hint="eastAsia" w:ascii="宋体" w:hAnsi="宋体"/>
          <w:color w:val="auto"/>
          <w:szCs w:val="21"/>
          <w:highlight w:val="none"/>
        </w:rPr>
      </w:pPr>
      <w:r>
        <w:rPr>
          <w:rFonts w:hint="eastAsia" w:ascii="宋体" w:hAnsi="宋体"/>
          <w:color w:val="auto"/>
          <w:highlight w:val="none"/>
        </w:rPr>
        <w:t>按《宁波市房屋建筑和市政基础设施工程担保管理办法（试行）》规定，发包人</w:t>
      </w:r>
      <w:r>
        <w:rPr>
          <w:rFonts w:hint="eastAsia" w:ascii="宋体" w:hAnsi="宋体"/>
          <w:b/>
          <w:color w:val="auto"/>
          <w:kern w:val="0"/>
          <w:highlight w:val="none"/>
          <w:u w:val="single"/>
        </w:rPr>
        <w:t xml:space="preserve"> B </w:t>
      </w:r>
      <w:r>
        <w:rPr>
          <w:rFonts w:hint="eastAsia" w:ascii="宋体" w:hAnsi="宋体"/>
          <w:color w:val="auto"/>
          <w:highlight w:val="none"/>
        </w:rPr>
        <w:t>（A、应当；/B、不需）向承包人提供合同款的支付担保。如发包人应当提供支付担保的，将向承包人提供符合本合同附件5《支付保函》格式的银行保函一份，担保金额与承包人的履约担保金额对等。</w:t>
      </w:r>
    </w:p>
    <w:p w14:paraId="0863EDAC">
      <w:pPr>
        <w:spacing w:line="400" w:lineRule="exact"/>
        <w:ind w:firstLine="420" w:firstLineChars="200"/>
        <w:rPr>
          <w:rFonts w:hint="eastAsia" w:ascii="宋体" w:hAnsi="宋体"/>
          <w:color w:val="auto"/>
          <w:kern w:val="0"/>
          <w:highlight w:val="none"/>
        </w:rPr>
      </w:pPr>
      <w:r>
        <w:rPr>
          <w:rFonts w:hint="eastAsia" w:ascii="宋体" w:hAnsi="宋体"/>
          <w:color w:val="auto"/>
          <w:highlight w:val="none"/>
        </w:rPr>
        <w:t>发包人与支付担保有关的任何利息或其它类似的费用或者收益由发包人承担；非承包人原因导致工期延长的，继续提供支付担保所增加的费用由发包人承担。</w:t>
      </w:r>
    </w:p>
    <w:p w14:paraId="1AB844FB">
      <w:pPr>
        <w:pStyle w:val="469"/>
        <w:spacing w:line="40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 承包人</w:t>
      </w:r>
    </w:p>
    <w:p w14:paraId="0BA8C753">
      <w:pPr>
        <w:pStyle w:val="483"/>
        <w:spacing w:before="120" w:line="400" w:lineRule="exact"/>
        <w:ind w:firstLine="401" w:firstLineChars="190"/>
        <w:rPr>
          <w:rFonts w:hint="eastAsia" w:hAnsi="宋体"/>
          <w:color w:val="auto"/>
          <w:sz w:val="21"/>
          <w:szCs w:val="21"/>
          <w:highlight w:val="none"/>
        </w:rPr>
      </w:pPr>
      <w:r>
        <w:rPr>
          <w:rFonts w:hint="eastAsia" w:hAnsi="宋体"/>
          <w:color w:val="auto"/>
          <w:sz w:val="21"/>
          <w:szCs w:val="21"/>
          <w:highlight w:val="none"/>
        </w:rPr>
        <w:t>3.1 承包人的一般义务</w:t>
      </w:r>
    </w:p>
    <w:p w14:paraId="5C187600">
      <w:pPr>
        <w:numPr>
          <w:ilvl w:val="0"/>
          <w:numId w:val="0"/>
        </w:numPr>
        <w:spacing w:line="400" w:lineRule="exact"/>
        <w:ind w:left="0" w:leftChars="0" w:firstLine="420" w:firstLineChars="200"/>
        <w:rPr>
          <w:rFonts w:hint="eastAsia" w:ascii="宋体" w:hAnsi="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SA"/>
        </w:rPr>
        <w:t>（9）</w:t>
      </w:r>
      <w:r>
        <w:rPr>
          <w:rFonts w:hint="eastAsia" w:ascii="宋体" w:hAnsi="宋体"/>
          <w:color w:val="auto"/>
          <w:highlight w:val="none"/>
        </w:rPr>
        <w:t>承包人应在具备竣工验收合格条件后2个月内按宁波市城建档案归档要求向发包人提交竣工资料，至少包括纸质及电子资料各4套，为此产生的费用由承包人承担。</w:t>
      </w:r>
    </w:p>
    <w:p w14:paraId="1CF4D33C">
      <w:pPr>
        <w:pStyle w:val="483"/>
        <w:spacing w:line="400" w:lineRule="exact"/>
        <w:ind w:firstLine="401" w:firstLineChars="190"/>
        <w:rPr>
          <w:rFonts w:hint="eastAsia" w:hAnsi="宋体"/>
          <w:color w:val="auto"/>
          <w:sz w:val="21"/>
          <w:szCs w:val="21"/>
          <w:highlight w:val="none"/>
        </w:rPr>
      </w:pPr>
      <w:r>
        <w:rPr>
          <w:rFonts w:hint="eastAsia" w:hAnsi="宋体"/>
          <w:color w:val="auto"/>
          <w:sz w:val="21"/>
          <w:szCs w:val="21"/>
          <w:highlight w:val="none"/>
        </w:rPr>
        <w:t>3.2 项目经理</w:t>
      </w:r>
    </w:p>
    <w:p w14:paraId="118729E2">
      <w:pPr>
        <w:numPr>
          <w:ilvl w:val="0"/>
          <w:numId w:val="0"/>
        </w:numPr>
        <w:spacing w:line="400" w:lineRule="exact"/>
        <w:ind w:left="0" w:leftChars="0" w:firstLine="420" w:firstLineChars="200"/>
        <w:rPr>
          <w:rFonts w:hint="eastAsia" w:ascii="宋体" w:hAnsi="宋体"/>
          <w:color w:val="auto"/>
          <w:highlight w:val="none"/>
        </w:rPr>
      </w:pPr>
      <w:r>
        <w:rPr>
          <w:rFonts w:hint="eastAsia" w:ascii="宋体" w:hAnsi="宋体"/>
          <w:color w:val="auto"/>
          <w:highlight w:val="none"/>
        </w:rPr>
        <w:t>3.2.1承包人委派的项目经理及其执业行为应遵守通用条款约定，违反约定的，按本专用条款约定，承担违约责任。</w:t>
      </w:r>
    </w:p>
    <w:p w14:paraId="130CC4F8">
      <w:pPr>
        <w:spacing w:line="400" w:lineRule="exact"/>
        <w:ind w:firstLine="420" w:firstLineChars="200"/>
        <w:rPr>
          <w:rFonts w:hint="eastAsia" w:ascii="宋体" w:hAnsi="宋体"/>
          <w:color w:val="auto"/>
          <w:szCs w:val="21"/>
          <w:highlight w:val="none"/>
        </w:rPr>
      </w:pPr>
      <w:r>
        <w:rPr>
          <w:rFonts w:hint="eastAsia" w:ascii="宋体" w:hAnsi="宋体"/>
          <w:color w:val="auto"/>
          <w:highlight w:val="none"/>
        </w:rPr>
        <w:t>（1）承包人项目经理必须与承包人投标时所承诺的人员一致，并在根据本合同约定的开工日期前到任。项目经理不得违反本市建设行政主管部门对项目经理的管理规定。未经发包人书面许可，承包人不得更换项目经理。承包人项目经理以及项目管理机构关键岗位人员的姓名、职称、身份证号、执业资格证书号、注册证书号、执业印章号、安全生产考核合格证书号等资料应当在合同协议书中载明。</w:t>
      </w:r>
    </w:p>
    <w:p w14:paraId="056A825A">
      <w:pPr>
        <w:spacing w:line="400" w:lineRule="exact"/>
        <w:ind w:firstLine="420" w:firstLineChars="200"/>
        <w:rPr>
          <w:rFonts w:hint="eastAsia" w:ascii="宋体" w:hAnsi="宋体"/>
          <w:color w:val="auto"/>
          <w:highlight w:val="none"/>
        </w:rPr>
      </w:pPr>
      <w:r>
        <w:rPr>
          <w:rFonts w:hint="eastAsia" w:ascii="宋体" w:hAnsi="宋体"/>
          <w:color w:val="auto"/>
          <w:highlight w:val="none"/>
        </w:rPr>
        <w:t>（2）承包人对项目经理的授权范围如下：在承包人授权范围内履行承包人的职权，对工程建设的质量、安全、工期以及工程造价控制负责，所有上报给发包人的文件均需项目经理签字。</w:t>
      </w:r>
    </w:p>
    <w:p w14:paraId="29660221">
      <w:pPr>
        <w:spacing w:line="400" w:lineRule="exact"/>
        <w:ind w:firstLine="420" w:firstLineChars="200"/>
        <w:rPr>
          <w:rFonts w:hint="eastAsia" w:ascii="宋体" w:hAnsi="宋体"/>
          <w:color w:val="auto"/>
          <w:highlight w:val="none"/>
        </w:rPr>
      </w:pPr>
      <w:r>
        <w:rPr>
          <w:rFonts w:hint="eastAsia" w:ascii="宋体" w:hAnsi="宋体"/>
          <w:color w:val="auto"/>
          <w:highlight w:val="none"/>
        </w:rPr>
        <w:t>（3）承包人未提交劳动合同，以及没有为项目经理缴纳社会保险证明的违约责任：发包人有权解除合同，由此造成的费用增加和工期延误损失均由承包人承担。</w:t>
      </w:r>
    </w:p>
    <w:p w14:paraId="6F46BFD2">
      <w:pPr>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（4）关于项目经理每月在施工现场的时间要求：每月在施工现场时间不得少于</w:t>
      </w:r>
      <w:r>
        <w:rPr>
          <w:rFonts w:hint="eastAsia" w:ascii="宋体" w:hAnsi="宋体"/>
          <w:color w:val="auto"/>
          <w:kern w:val="0"/>
          <w:highlight w:val="none"/>
          <w:u w:val="single"/>
        </w:rPr>
        <w:t xml:space="preserve">  B    </w:t>
      </w:r>
      <w:r>
        <w:rPr>
          <w:rFonts w:hint="eastAsia" w:ascii="宋体" w:hAnsi="宋体"/>
          <w:color w:val="auto"/>
          <w:kern w:val="0"/>
          <w:highlight w:val="none"/>
        </w:rPr>
        <w:t>（A、 15；/ B、25）天，每天工作时间不得少于</w:t>
      </w:r>
      <w:r>
        <w:rPr>
          <w:rFonts w:hint="eastAsia" w:ascii="宋体" w:hAnsi="宋体"/>
          <w:color w:val="auto"/>
          <w:kern w:val="0"/>
          <w:highlight w:val="none"/>
          <w:u w:val="single"/>
        </w:rPr>
        <w:t xml:space="preserve">  B   </w:t>
      </w:r>
      <w:r>
        <w:rPr>
          <w:rFonts w:hint="eastAsia" w:ascii="宋体" w:hAnsi="宋体"/>
          <w:color w:val="auto"/>
          <w:kern w:val="0"/>
          <w:highlight w:val="none"/>
        </w:rPr>
        <w:t>（A、 5 ；/  B、 8）小时，且重要工程例会及验收环节等必须由项目经理参加。</w:t>
      </w:r>
    </w:p>
    <w:p w14:paraId="397F5042">
      <w:pPr>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（5）项目经理未经批准，擅自离开施工现场的违约责任：处违约金</w:t>
      </w:r>
      <w:r>
        <w:rPr>
          <w:rFonts w:hint="eastAsia" w:ascii="宋体" w:hAnsi="宋体"/>
          <w:color w:val="auto"/>
          <w:kern w:val="0"/>
          <w:highlight w:val="none"/>
          <w:u w:val="single"/>
        </w:rPr>
        <w:t xml:space="preserve"> C  </w:t>
      </w:r>
      <w:r>
        <w:rPr>
          <w:rFonts w:hint="eastAsia" w:ascii="宋体" w:hAnsi="宋体"/>
          <w:color w:val="auto"/>
          <w:kern w:val="0"/>
          <w:highlight w:val="none"/>
        </w:rPr>
        <w:t>（A、500； /  B、1000； / C、2000）元/次，违约金从</w:t>
      </w:r>
      <w:r>
        <w:rPr>
          <w:rFonts w:hint="eastAsia" w:ascii="宋体" w:hAnsi="宋体"/>
          <w:color w:val="auto"/>
          <w:kern w:val="0"/>
          <w:highlight w:val="none"/>
          <w:lang w:eastAsia="zh-CN"/>
        </w:rPr>
        <w:t>报价函附录</w:t>
      </w:r>
      <w:r>
        <w:rPr>
          <w:rFonts w:hint="eastAsia" w:ascii="宋体" w:hAnsi="宋体"/>
          <w:color w:val="auto"/>
          <w:kern w:val="0"/>
          <w:highlight w:val="none"/>
        </w:rPr>
        <w:t>中承诺的“未履行项目经理及主要施工管理人员到场承诺违约金限额”中扣除，该项限额不足时，发包人有权向承包人追偿。</w:t>
      </w:r>
    </w:p>
    <w:p w14:paraId="736629E8">
      <w:pPr>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发包人对项目经理擅自离开施工现场的违约处理，应根据监理人对项目经理的考勤结果进行。</w:t>
      </w:r>
    </w:p>
    <w:p w14:paraId="66F8D5DE">
      <w:pPr>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3.2.3 承包人擅自更换项目经理的违约责任：处违约金</w:t>
      </w:r>
      <w:r>
        <w:rPr>
          <w:rFonts w:hint="eastAsia" w:ascii="宋体" w:hAnsi="宋体"/>
          <w:color w:val="auto"/>
          <w:kern w:val="0"/>
          <w:highlight w:val="none"/>
          <w:u w:val="single"/>
        </w:rPr>
        <w:t xml:space="preserve">   B   </w:t>
      </w:r>
      <w:r>
        <w:rPr>
          <w:rFonts w:hint="eastAsia" w:ascii="宋体" w:hAnsi="宋体"/>
          <w:color w:val="auto"/>
          <w:kern w:val="0"/>
          <w:highlight w:val="none"/>
        </w:rPr>
        <w:t>(A、20000； /  B、50000)元/次，违约金从</w:t>
      </w:r>
      <w:r>
        <w:rPr>
          <w:rFonts w:hint="eastAsia" w:ascii="宋体" w:hAnsi="宋体"/>
          <w:color w:val="auto"/>
          <w:kern w:val="0"/>
          <w:highlight w:val="none"/>
          <w:lang w:eastAsia="zh-CN"/>
        </w:rPr>
        <w:t>报价函附录</w:t>
      </w:r>
      <w:r>
        <w:rPr>
          <w:rFonts w:hint="eastAsia" w:ascii="宋体" w:hAnsi="宋体"/>
          <w:color w:val="auto"/>
          <w:kern w:val="0"/>
          <w:highlight w:val="none"/>
        </w:rPr>
        <w:t>中承诺的“未履行项目经理及主要施工管理人员到场承诺违约金限额”中扣除，该项限额不足时，发包人有权向承包人追偿，且有权拒绝接受其擅自更换的项目经理。</w:t>
      </w:r>
    </w:p>
    <w:p w14:paraId="56835769">
      <w:pPr>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3.2.4 承包人无正当理由拒绝更换项目经理的违约责任：</w:t>
      </w:r>
      <w:r>
        <w:rPr>
          <w:rFonts w:hint="eastAsia" w:ascii="宋体" w:hAnsi="宋体"/>
          <w:color w:val="auto"/>
          <w:kern w:val="0"/>
          <w:highlight w:val="none"/>
          <w:u w:val="single"/>
        </w:rPr>
        <w:t>发包人认为项目经理无法履行职责的，应提供相关证明材料，并签发《整改通知书》，承包人在收到《整改通知书》后仍无改善的，发包人有权要求承包人更换项目经理。承包人无正当理由拒绝更换的，发包人可以一次性扣除承包人</w:t>
      </w:r>
      <w:r>
        <w:rPr>
          <w:rFonts w:hint="eastAsia" w:ascii="宋体" w:hAnsi="宋体"/>
          <w:color w:val="auto"/>
          <w:kern w:val="0"/>
          <w:highlight w:val="none"/>
          <w:u w:val="single"/>
          <w:lang w:eastAsia="zh-CN"/>
        </w:rPr>
        <w:t>报价函附录</w:t>
      </w:r>
      <w:r>
        <w:rPr>
          <w:rFonts w:hint="eastAsia" w:ascii="宋体" w:hAnsi="宋体"/>
          <w:color w:val="auto"/>
          <w:kern w:val="0"/>
          <w:highlight w:val="none"/>
          <w:u w:val="single"/>
        </w:rPr>
        <w:t>中承诺的“未履行项目经理及主要施工管理人员到场承诺违约金限额”。情节严重的，发包人有权解除合同，由此造成的一切损失由承包人承担</w:t>
      </w:r>
      <w:r>
        <w:rPr>
          <w:rFonts w:hint="eastAsia" w:ascii="宋体" w:hAnsi="宋体"/>
          <w:color w:val="auto"/>
          <w:kern w:val="0"/>
          <w:highlight w:val="none"/>
        </w:rPr>
        <w:t>。</w:t>
      </w:r>
    </w:p>
    <w:p w14:paraId="27A2ED7D">
      <w:pPr>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3.2.5本项目对允许项目经理暂时撤离或者变更的情形</w:t>
      </w:r>
      <w:r>
        <w:rPr>
          <w:rFonts w:hint="eastAsia" w:ascii="宋体" w:hAnsi="宋体"/>
          <w:color w:val="auto"/>
          <w:kern w:val="0"/>
          <w:highlight w:val="none"/>
          <w:u w:val="single"/>
        </w:rPr>
        <w:t xml:space="preserve">A </w:t>
      </w:r>
      <w:r>
        <w:rPr>
          <w:rFonts w:hint="eastAsia" w:ascii="宋体" w:hAnsi="宋体"/>
          <w:color w:val="auto"/>
          <w:kern w:val="0"/>
          <w:highlight w:val="none"/>
        </w:rPr>
        <w:t>（A、有；B、无）另行约定。如有，另行约定如下：承包人领取成交通知书后，非承包人原因未开工达或者停工60天及以上的，经发包人同意，承包人可以暂时撤离或者变更项目经理。</w:t>
      </w:r>
    </w:p>
    <w:p w14:paraId="2ABD8F12">
      <w:pPr>
        <w:pStyle w:val="483"/>
        <w:spacing w:before="120" w:line="400" w:lineRule="exact"/>
        <w:ind w:firstLine="401" w:firstLineChars="190"/>
        <w:rPr>
          <w:rFonts w:hint="eastAsia" w:hAnsi="宋体"/>
          <w:color w:val="auto"/>
          <w:sz w:val="21"/>
          <w:szCs w:val="21"/>
          <w:highlight w:val="none"/>
        </w:rPr>
      </w:pPr>
      <w:r>
        <w:rPr>
          <w:rFonts w:hint="eastAsia" w:hAnsi="宋体"/>
          <w:color w:val="auto"/>
          <w:sz w:val="21"/>
          <w:szCs w:val="21"/>
          <w:highlight w:val="none"/>
        </w:rPr>
        <w:t>3.3 承包人人员</w:t>
      </w:r>
    </w:p>
    <w:p w14:paraId="0E98E0C9">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highlight w:val="none"/>
        </w:rPr>
        <w:t>3.3.1承包人提交项目管理机构及施工现场管理人员安排报告的期限：</w:t>
      </w:r>
      <w:r>
        <w:rPr>
          <w:rFonts w:hint="eastAsia" w:ascii="宋体" w:hAnsi="宋体"/>
          <w:color w:val="auto"/>
          <w:kern w:val="0"/>
          <w:highlight w:val="none"/>
          <w:u w:val="single"/>
        </w:rPr>
        <w:t>承包人应接到开工通知后7天内提交与</w:t>
      </w:r>
      <w:r>
        <w:rPr>
          <w:rFonts w:hint="eastAsia" w:ascii="宋体" w:hAnsi="宋体"/>
          <w:color w:val="auto"/>
          <w:highlight w:val="none"/>
          <w:u w:val="single"/>
        </w:rPr>
        <w:t>投标时所承诺的人员一致的</w:t>
      </w:r>
      <w:r>
        <w:rPr>
          <w:rFonts w:hint="eastAsia" w:ascii="宋体" w:hAnsi="宋体"/>
          <w:color w:val="auto"/>
          <w:kern w:val="0"/>
          <w:highlight w:val="none"/>
          <w:u w:val="single"/>
        </w:rPr>
        <w:t>项目管理机构及施工现场管理人员安排报告。</w:t>
      </w:r>
    </w:p>
    <w:p w14:paraId="79EF907A">
      <w:pPr>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3.3.3 承包人无正当理由拒绝撤换主要施工管理人员的违约责任：</w:t>
      </w:r>
      <w:r>
        <w:rPr>
          <w:rFonts w:hint="eastAsia" w:ascii="宋体" w:hAnsi="宋体"/>
          <w:color w:val="auto"/>
          <w:kern w:val="0"/>
          <w:highlight w:val="none"/>
          <w:u w:val="single"/>
        </w:rPr>
        <w:t>发包人认为主要施工管理人员（指技术负责人、安全员、施工员、质量员）无法履行职责的，应提供相关证明材料，并签发《整改通知书》。承包人在收到《整改通知书》后仍无改善的，发包人有权要求承包人更换管理人员。承包人无正当理由拒绝更换的，发包人可以一次性扣除承包人</w:t>
      </w:r>
      <w:r>
        <w:rPr>
          <w:rFonts w:hint="eastAsia" w:ascii="宋体" w:hAnsi="宋体"/>
          <w:color w:val="auto"/>
          <w:kern w:val="0"/>
          <w:highlight w:val="none"/>
          <w:u w:val="single"/>
          <w:lang w:eastAsia="zh-CN"/>
        </w:rPr>
        <w:t>报价函附录</w:t>
      </w:r>
      <w:r>
        <w:rPr>
          <w:rFonts w:hint="eastAsia" w:ascii="宋体" w:hAnsi="宋体"/>
          <w:color w:val="auto"/>
          <w:kern w:val="0"/>
          <w:highlight w:val="none"/>
          <w:u w:val="single"/>
        </w:rPr>
        <w:t>中承诺中的“未履行项目经理及主要施工管理人员到场承诺违约金限额”，该项限额不足时，发包人有权向承包人追偿。</w:t>
      </w:r>
    </w:p>
    <w:p w14:paraId="76D89D0B">
      <w:pPr>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3.3.4 承包人主要施工管理人员离开施工现场的批准要求：</w:t>
      </w:r>
      <w:r>
        <w:rPr>
          <w:rFonts w:hint="eastAsia" w:ascii="宋体" w:hAnsi="宋体"/>
          <w:color w:val="auto"/>
          <w:kern w:val="0"/>
          <w:highlight w:val="none"/>
          <w:u w:val="single"/>
        </w:rPr>
        <w:t>安全员、施工员每月在施工管理现场不得少于25天，其他主要施工管理人员每月在施工管理现场不得少于15天，有特殊情况少于上述时间的，批准要求按通用条款执行 。</w:t>
      </w:r>
    </w:p>
    <w:p w14:paraId="579B9CD1">
      <w:pPr>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3.3.5 承包人擅自更换主要施工管理人员的违约责任：</w:t>
      </w:r>
      <w:r>
        <w:rPr>
          <w:rFonts w:hint="eastAsia" w:ascii="宋体" w:hAnsi="宋体"/>
          <w:color w:val="auto"/>
          <w:kern w:val="0"/>
          <w:highlight w:val="none"/>
          <w:u w:val="single"/>
        </w:rPr>
        <w:t>处违约金5000元/人/次，违约金从</w:t>
      </w:r>
      <w:r>
        <w:rPr>
          <w:rFonts w:hint="eastAsia" w:ascii="宋体" w:hAnsi="宋体"/>
          <w:color w:val="auto"/>
          <w:kern w:val="0"/>
          <w:highlight w:val="none"/>
          <w:u w:val="single"/>
          <w:lang w:eastAsia="zh-CN"/>
        </w:rPr>
        <w:t>报价函附录</w:t>
      </w:r>
      <w:r>
        <w:rPr>
          <w:rFonts w:hint="eastAsia" w:ascii="宋体" w:hAnsi="宋体"/>
          <w:color w:val="auto"/>
          <w:kern w:val="0"/>
          <w:highlight w:val="none"/>
          <w:u w:val="single"/>
        </w:rPr>
        <w:t>中承诺中的“未履行项目经理及主要施工管理人员到场承诺违约金限额”中扣除，该项限额不足时，发包人有权向承包人追偿，且有权拒绝接受其擅自更换的主要施工管理人员。</w:t>
      </w:r>
    </w:p>
    <w:p w14:paraId="6860C25F">
      <w:pPr>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承包人主要施工管理人员擅自离开施工现场的违约责任：</w:t>
      </w:r>
      <w:r>
        <w:rPr>
          <w:rFonts w:hint="eastAsia" w:ascii="宋体" w:hAnsi="宋体"/>
          <w:color w:val="auto"/>
          <w:kern w:val="0"/>
          <w:highlight w:val="none"/>
          <w:u w:val="single"/>
        </w:rPr>
        <w:t>处违约金2000元/人/次，违约金从</w:t>
      </w:r>
      <w:r>
        <w:rPr>
          <w:rFonts w:hint="eastAsia" w:ascii="宋体" w:hAnsi="宋体"/>
          <w:color w:val="auto"/>
          <w:kern w:val="0"/>
          <w:highlight w:val="none"/>
          <w:u w:val="single"/>
          <w:lang w:eastAsia="zh-CN"/>
        </w:rPr>
        <w:t>报价函附录</w:t>
      </w:r>
      <w:r>
        <w:rPr>
          <w:rFonts w:hint="eastAsia" w:ascii="宋体" w:hAnsi="宋体"/>
          <w:color w:val="auto"/>
          <w:kern w:val="0"/>
          <w:highlight w:val="none"/>
          <w:u w:val="single"/>
        </w:rPr>
        <w:t>中承诺的“未履行项目经理及主要施工管理人员到场承诺违约金限额”中扣除，该项限额不足时，发包人有权向承包人追偿。</w:t>
      </w:r>
    </w:p>
    <w:p w14:paraId="708CFA1C">
      <w:pPr>
        <w:spacing w:line="400" w:lineRule="exact"/>
        <w:ind w:firstLine="443" w:firstLineChars="210"/>
        <w:rPr>
          <w:rFonts w:hint="eastAsia" w:ascii="宋体" w:hAnsi="宋体"/>
          <w:b/>
          <w:color w:val="auto"/>
          <w:kern w:val="0"/>
          <w:highlight w:val="none"/>
        </w:rPr>
      </w:pPr>
      <w:r>
        <w:rPr>
          <w:rFonts w:hint="eastAsia" w:ascii="宋体" w:hAnsi="宋体"/>
          <w:b/>
          <w:color w:val="auto"/>
          <w:kern w:val="0"/>
          <w:highlight w:val="none"/>
        </w:rPr>
        <w:t>3.5 分包</w:t>
      </w:r>
    </w:p>
    <w:p w14:paraId="29274E65">
      <w:pPr>
        <w:spacing w:line="400" w:lineRule="exact"/>
        <w:ind w:firstLine="441" w:firstLineChars="210"/>
        <w:rPr>
          <w:rFonts w:hint="eastAsia" w:ascii="宋体" w:hAnsi="宋体"/>
          <w:color w:val="auto"/>
          <w:kern w:val="0"/>
          <w:highlight w:val="none"/>
          <w:lang w:val="en-US" w:eastAsia="zh-CN"/>
        </w:rPr>
      </w:pPr>
      <w:r>
        <w:rPr>
          <w:rFonts w:hint="eastAsia" w:ascii="宋体" w:hAnsi="宋体"/>
          <w:color w:val="auto"/>
          <w:kern w:val="0"/>
          <w:highlight w:val="none"/>
          <w:lang w:val="en-US" w:eastAsia="zh-CN"/>
        </w:rPr>
        <w:t>不允许</w:t>
      </w:r>
    </w:p>
    <w:p w14:paraId="478D45F3">
      <w:pPr>
        <w:pStyle w:val="483"/>
        <w:spacing w:before="120" w:line="400" w:lineRule="exact"/>
        <w:ind w:firstLine="401" w:firstLineChars="190"/>
        <w:rPr>
          <w:rFonts w:hint="eastAsia" w:hAnsi="宋体"/>
          <w:color w:val="auto"/>
          <w:sz w:val="21"/>
          <w:szCs w:val="21"/>
          <w:highlight w:val="none"/>
        </w:rPr>
      </w:pPr>
      <w:r>
        <w:rPr>
          <w:rFonts w:hint="eastAsia" w:hAnsi="宋体"/>
          <w:color w:val="auto"/>
          <w:sz w:val="21"/>
          <w:szCs w:val="21"/>
          <w:highlight w:val="none"/>
        </w:rPr>
        <w:t>3.6 工程照管与成品、半成品保护</w:t>
      </w:r>
    </w:p>
    <w:p w14:paraId="6A9378E3">
      <w:pPr>
        <w:spacing w:line="400" w:lineRule="exact"/>
        <w:ind w:firstLine="441" w:firstLineChars="210"/>
        <w:rPr>
          <w:rFonts w:hint="eastAsia" w:ascii="宋体" w:hAnsi="宋体"/>
          <w:color w:val="auto"/>
          <w:kern w:val="0"/>
          <w:szCs w:val="21"/>
          <w:highlight w:val="none"/>
        </w:rPr>
      </w:pPr>
      <w:r>
        <w:rPr>
          <w:rFonts w:hint="eastAsia" w:ascii="宋体" w:hAnsi="宋体"/>
          <w:color w:val="auto"/>
          <w:kern w:val="0"/>
          <w:highlight w:val="none"/>
        </w:rPr>
        <w:t>工程照管与成品、半成品保护有关约定：</w:t>
      </w:r>
      <w:r>
        <w:rPr>
          <w:rFonts w:hint="eastAsia" w:ascii="宋体" w:hAnsi="宋体"/>
          <w:color w:val="auto"/>
          <w:kern w:val="0"/>
          <w:highlight w:val="none"/>
          <w:u w:val="single"/>
        </w:rPr>
        <w:t>执行通用条款</w:t>
      </w:r>
    </w:p>
    <w:p w14:paraId="104CFB67">
      <w:pPr>
        <w:pStyle w:val="483"/>
        <w:spacing w:before="120" w:line="400" w:lineRule="exact"/>
        <w:ind w:firstLine="401" w:firstLineChars="190"/>
        <w:rPr>
          <w:rFonts w:hint="eastAsia" w:hAnsi="宋体"/>
          <w:color w:val="auto"/>
          <w:sz w:val="21"/>
          <w:szCs w:val="21"/>
          <w:highlight w:val="none"/>
        </w:rPr>
      </w:pPr>
      <w:r>
        <w:rPr>
          <w:rFonts w:hint="eastAsia" w:hAnsi="宋体"/>
          <w:color w:val="auto"/>
          <w:sz w:val="21"/>
          <w:szCs w:val="21"/>
          <w:highlight w:val="none"/>
        </w:rPr>
        <w:t>3.7 履约担保</w:t>
      </w:r>
    </w:p>
    <w:p w14:paraId="506FD762">
      <w:pPr>
        <w:spacing w:line="400" w:lineRule="exact"/>
        <w:ind w:firstLine="441" w:firstLineChars="210"/>
        <w:rPr>
          <w:rFonts w:hint="eastAsia" w:ascii="宋体" w:hAnsi="宋体"/>
          <w:color w:val="auto"/>
          <w:kern w:val="0"/>
          <w:szCs w:val="21"/>
          <w:highlight w:val="none"/>
        </w:rPr>
      </w:pPr>
      <w:r>
        <w:rPr>
          <w:rFonts w:hint="eastAsia" w:ascii="宋体" w:hAnsi="宋体"/>
          <w:color w:val="auto"/>
          <w:kern w:val="0"/>
          <w:highlight w:val="none"/>
        </w:rPr>
        <w:t>（1）按《宁波市房屋建筑和市政基础设施工程担保管理办法（试行）》规定，承包人提供的履约担保形式为</w:t>
      </w:r>
      <w:r>
        <w:rPr>
          <w:rFonts w:hint="eastAsia" w:ascii="宋体" w:hAnsi="宋体"/>
          <w:color w:val="auto"/>
          <w:kern w:val="0"/>
          <w:highlight w:val="none"/>
          <w:u w:val="single"/>
        </w:rPr>
        <w:t xml:space="preserve">       </w:t>
      </w:r>
      <w:r>
        <w:rPr>
          <w:rFonts w:hint="eastAsia" w:ascii="宋体" w:hAnsi="宋体"/>
          <w:color w:val="auto"/>
          <w:kern w:val="0"/>
          <w:highlight w:val="none"/>
        </w:rPr>
        <w:t>（ A、履约保函；/B、履约保证金；/C、保险保单）。</w:t>
      </w:r>
    </w:p>
    <w:p w14:paraId="2F2D9838">
      <w:pPr>
        <w:spacing w:line="400" w:lineRule="exact"/>
        <w:ind w:firstLine="441" w:firstLineChars="210"/>
        <w:rPr>
          <w:rFonts w:hint="eastAsia" w:ascii="宋体" w:hAnsi="宋体"/>
          <w:color w:val="auto"/>
          <w:kern w:val="0"/>
          <w:highlight w:val="none"/>
        </w:rPr>
      </w:pPr>
      <w:r>
        <w:rPr>
          <w:rFonts w:hint="eastAsia" w:ascii="宋体" w:hAnsi="宋体"/>
          <w:color w:val="auto"/>
          <w:kern w:val="0"/>
          <w:highlight w:val="none"/>
        </w:rPr>
        <w:t>①如提供履约保函的，将向发包人提供符合本合同附件4《履约保函》格式的银行保函一份。</w:t>
      </w:r>
    </w:p>
    <w:p w14:paraId="0181850B">
      <w:pPr>
        <w:spacing w:line="400" w:lineRule="exact"/>
        <w:ind w:firstLine="441" w:firstLineChars="210"/>
        <w:rPr>
          <w:rFonts w:hint="eastAsia" w:ascii="宋体" w:hAnsi="宋体"/>
          <w:color w:val="auto"/>
          <w:kern w:val="0"/>
          <w:highlight w:val="none"/>
        </w:rPr>
      </w:pPr>
      <w:r>
        <w:rPr>
          <w:rFonts w:hint="eastAsia" w:ascii="宋体" w:hAnsi="宋体"/>
          <w:color w:val="auto"/>
          <w:kern w:val="0"/>
          <w:highlight w:val="none"/>
        </w:rPr>
        <w:t>② 如提供履约保证金的，承包人在签订合同前向发包人提交本市工程担保管理机构出具的履约保证金收讫证明。</w:t>
      </w:r>
    </w:p>
    <w:p w14:paraId="2BCF235C">
      <w:pPr>
        <w:spacing w:line="400" w:lineRule="exact"/>
        <w:ind w:firstLine="441" w:firstLineChars="210"/>
        <w:rPr>
          <w:rFonts w:hint="eastAsia" w:ascii="宋体" w:hAnsi="宋体"/>
          <w:color w:val="auto"/>
          <w:kern w:val="0"/>
          <w:highlight w:val="none"/>
        </w:rPr>
      </w:pPr>
      <w:r>
        <w:rPr>
          <w:rFonts w:hint="eastAsia" w:ascii="宋体" w:hAnsi="宋体"/>
          <w:color w:val="auto"/>
          <w:kern w:val="0"/>
          <w:highlight w:val="none"/>
        </w:rPr>
        <w:t>③如提供履约保险保单的，将向发包人提供保险公司出具的的保险保单一份。</w:t>
      </w:r>
    </w:p>
    <w:p w14:paraId="0585D612">
      <w:pPr>
        <w:spacing w:line="400" w:lineRule="exact"/>
        <w:ind w:firstLine="441" w:firstLineChars="210"/>
        <w:rPr>
          <w:rFonts w:hint="eastAsia" w:ascii="宋体" w:hAnsi="宋体"/>
          <w:color w:val="auto"/>
          <w:kern w:val="0"/>
          <w:highlight w:val="none"/>
        </w:rPr>
      </w:pPr>
      <w:r>
        <w:rPr>
          <w:rFonts w:hint="eastAsia" w:ascii="宋体" w:hAnsi="宋体"/>
          <w:color w:val="auto"/>
          <w:kern w:val="0"/>
          <w:highlight w:val="none"/>
        </w:rPr>
        <w:t>（2）履约担保期限自合同生效之日起至发包人签认并由监理人向承包人出具工程接收证书之日止。</w:t>
      </w:r>
    </w:p>
    <w:p w14:paraId="3E2DE71D">
      <w:pPr>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（3）本合同履约担保</w:t>
      </w:r>
      <w:r>
        <w:rPr>
          <w:rFonts w:hint="eastAsia" w:ascii="宋体" w:hAnsi="宋体"/>
          <w:color w:val="auto"/>
          <w:highlight w:val="none"/>
        </w:rPr>
        <w:t>额度为</w:t>
      </w:r>
      <w:r>
        <w:rPr>
          <w:rFonts w:hint="eastAsia" w:ascii="宋体" w:hAnsi="宋体"/>
          <w:color w:val="auto"/>
          <w:kern w:val="0"/>
          <w:highlight w:val="none"/>
        </w:rPr>
        <w:t>合同金额</w:t>
      </w:r>
      <w:r>
        <w:rPr>
          <w:rFonts w:hint="eastAsia" w:ascii="宋体" w:hAnsi="宋体"/>
          <w:color w:val="auto"/>
          <w:highlight w:val="none"/>
        </w:rPr>
        <w:t>的</w:t>
      </w:r>
      <w:r>
        <w:rPr>
          <w:rFonts w:hint="eastAsia" w:ascii="宋体" w:hAnsi="宋体"/>
          <w:color w:val="auto"/>
          <w:highlight w:val="none"/>
          <w:u w:val="single"/>
        </w:rPr>
        <w:t xml:space="preserve"> </w:t>
      </w:r>
      <w:r>
        <w:rPr>
          <w:rFonts w:hint="eastAsia" w:ascii="宋体" w:hAnsi="宋体"/>
          <w:b/>
          <w:color w:val="auto"/>
          <w:highlight w:val="none"/>
          <w:u w:val="single"/>
        </w:rPr>
        <w:t>1</w:t>
      </w:r>
      <w:r>
        <w:rPr>
          <w:rFonts w:hint="eastAsia" w:ascii="宋体" w:hAnsi="宋体"/>
          <w:color w:val="auto"/>
          <w:highlight w:val="none"/>
          <w:u w:val="single"/>
        </w:rPr>
        <w:t xml:space="preserve"> %</w:t>
      </w:r>
      <w:r>
        <w:rPr>
          <w:rFonts w:hint="eastAsia" w:ascii="宋体" w:hAnsi="宋体"/>
          <w:color w:val="auto"/>
          <w:highlight w:val="none"/>
        </w:rPr>
        <w:t>。</w:t>
      </w:r>
    </w:p>
    <w:p w14:paraId="4F436E7A">
      <w:pPr>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4）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71696957">
      <w:pPr>
        <w:pStyle w:val="469"/>
        <w:spacing w:line="40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 监理人</w:t>
      </w:r>
    </w:p>
    <w:p w14:paraId="0A06D14C">
      <w:pPr>
        <w:pStyle w:val="483"/>
        <w:spacing w:before="120" w:line="400" w:lineRule="exact"/>
        <w:ind w:firstLine="401" w:firstLineChars="190"/>
        <w:rPr>
          <w:rFonts w:hint="eastAsia" w:hAnsi="宋体"/>
          <w:color w:val="auto"/>
          <w:sz w:val="21"/>
          <w:szCs w:val="21"/>
          <w:highlight w:val="none"/>
        </w:rPr>
      </w:pPr>
      <w:r>
        <w:rPr>
          <w:rFonts w:hint="eastAsia" w:hAnsi="宋体"/>
          <w:color w:val="auto"/>
          <w:sz w:val="21"/>
          <w:szCs w:val="21"/>
          <w:highlight w:val="none"/>
        </w:rPr>
        <w:t>4.1监理人的一般规定</w:t>
      </w:r>
    </w:p>
    <w:p w14:paraId="70B3CF8B">
      <w:pPr>
        <w:spacing w:line="400" w:lineRule="exact"/>
        <w:ind w:firstLine="441" w:firstLineChars="210"/>
        <w:rPr>
          <w:rFonts w:hint="eastAsia" w:ascii="宋体" w:hAnsi="宋体"/>
          <w:color w:val="auto"/>
          <w:kern w:val="0"/>
          <w:szCs w:val="21"/>
          <w:highlight w:val="none"/>
        </w:rPr>
      </w:pPr>
      <w:r>
        <w:rPr>
          <w:rFonts w:hint="eastAsia" w:ascii="宋体" w:hAnsi="宋体"/>
          <w:color w:val="auto"/>
          <w:kern w:val="0"/>
          <w:highlight w:val="none"/>
        </w:rPr>
        <w:t>关于监理人的监理内容：</w:t>
      </w:r>
      <w:r>
        <w:rPr>
          <w:rFonts w:hint="eastAsia" w:ascii="宋体" w:hAnsi="宋体"/>
          <w:color w:val="auto"/>
          <w:kern w:val="0"/>
          <w:highlight w:val="none"/>
          <w:u w:val="single"/>
        </w:rPr>
        <w:t>工程建设监理合同授予监理人的权利</w:t>
      </w:r>
      <w:r>
        <w:rPr>
          <w:rFonts w:hint="eastAsia" w:ascii="宋体" w:hAnsi="宋体"/>
          <w:color w:val="auto"/>
          <w:kern w:val="0"/>
          <w:highlight w:val="none"/>
        </w:rPr>
        <w:t>。</w:t>
      </w:r>
    </w:p>
    <w:p w14:paraId="1C52C266">
      <w:pPr>
        <w:spacing w:line="400" w:lineRule="exact"/>
        <w:ind w:firstLine="441" w:firstLineChars="210"/>
        <w:rPr>
          <w:rFonts w:hint="eastAsia" w:ascii="宋体" w:hAnsi="宋体"/>
          <w:color w:val="auto"/>
          <w:kern w:val="0"/>
          <w:highlight w:val="none"/>
        </w:rPr>
      </w:pPr>
      <w:r>
        <w:rPr>
          <w:rFonts w:hint="eastAsia" w:ascii="宋体" w:hAnsi="宋体"/>
          <w:color w:val="auto"/>
          <w:kern w:val="0"/>
          <w:highlight w:val="none"/>
        </w:rPr>
        <w:t>关于监理人的监理权限：</w:t>
      </w:r>
      <w:r>
        <w:rPr>
          <w:rFonts w:hint="eastAsia" w:ascii="宋体" w:hAnsi="宋体"/>
          <w:color w:val="auto"/>
          <w:kern w:val="0"/>
          <w:highlight w:val="none"/>
          <w:u w:val="single"/>
        </w:rPr>
        <w:t>涉及费用、工期、图纸更改等工程变更指令和付款、暂停工程施工指令的下达权需取得发包人书面批准方可执行</w:t>
      </w:r>
      <w:r>
        <w:rPr>
          <w:rFonts w:hint="eastAsia" w:ascii="宋体" w:hAnsi="宋体"/>
          <w:color w:val="auto"/>
          <w:kern w:val="0"/>
          <w:highlight w:val="none"/>
        </w:rPr>
        <w:t xml:space="preserve">。 </w:t>
      </w:r>
    </w:p>
    <w:p w14:paraId="755F220D">
      <w:pPr>
        <w:spacing w:line="400" w:lineRule="exact"/>
        <w:ind w:firstLine="441" w:firstLineChars="210"/>
        <w:rPr>
          <w:rFonts w:hint="eastAsia" w:ascii="宋体" w:hAnsi="宋体"/>
          <w:color w:val="auto"/>
          <w:kern w:val="0"/>
          <w:highlight w:val="none"/>
        </w:rPr>
      </w:pPr>
      <w:r>
        <w:rPr>
          <w:rFonts w:hint="eastAsia" w:ascii="宋体" w:hAnsi="宋体"/>
          <w:color w:val="auto"/>
          <w:kern w:val="0"/>
          <w:highlight w:val="none"/>
        </w:rPr>
        <w:t>关于监理人在施工现场的办公场所、生活场所的提供和费用承担的约定：</w:t>
      </w:r>
      <w:r>
        <w:rPr>
          <w:rFonts w:hint="eastAsia" w:ascii="宋体" w:hAnsi="宋体"/>
          <w:color w:val="auto"/>
          <w:kern w:val="0"/>
          <w:highlight w:val="none"/>
          <w:u w:val="single"/>
        </w:rPr>
        <w:t>执行通用条款</w:t>
      </w:r>
      <w:r>
        <w:rPr>
          <w:rFonts w:hint="eastAsia" w:ascii="宋体" w:hAnsi="宋体"/>
          <w:color w:val="auto"/>
          <w:kern w:val="0"/>
          <w:highlight w:val="none"/>
        </w:rPr>
        <w:t>。</w:t>
      </w:r>
    </w:p>
    <w:p w14:paraId="78683677">
      <w:pPr>
        <w:pStyle w:val="483"/>
        <w:spacing w:before="120" w:line="400" w:lineRule="exact"/>
        <w:ind w:firstLine="401" w:firstLineChars="190"/>
        <w:rPr>
          <w:rFonts w:hint="eastAsia" w:hAnsi="宋体"/>
          <w:color w:val="auto"/>
          <w:sz w:val="21"/>
          <w:szCs w:val="21"/>
          <w:highlight w:val="none"/>
        </w:rPr>
      </w:pPr>
      <w:r>
        <w:rPr>
          <w:rFonts w:hint="eastAsia" w:hAnsi="宋体"/>
          <w:color w:val="auto"/>
          <w:sz w:val="21"/>
          <w:szCs w:val="21"/>
          <w:highlight w:val="none"/>
        </w:rPr>
        <w:t>4.4 商定或确定</w:t>
      </w:r>
    </w:p>
    <w:p w14:paraId="6F051191">
      <w:pPr>
        <w:spacing w:line="400" w:lineRule="exact"/>
        <w:ind w:firstLine="441" w:firstLineChars="210"/>
        <w:rPr>
          <w:rFonts w:hint="eastAsia" w:ascii="宋体" w:hAnsi="宋体"/>
          <w:color w:val="auto"/>
          <w:kern w:val="0"/>
          <w:szCs w:val="21"/>
          <w:highlight w:val="none"/>
        </w:rPr>
      </w:pPr>
      <w:r>
        <w:rPr>
          <w:rFonts w:hint="eastAsia" w:ascii="宋体" w:hAnsi="宋体"/>
          <w:color w:val="auto"/>
          <w:kern w:val="0"/>
          <w:highlight w:val="none"/>
        </w:rPr>
        <w:t>当合同当事人对需要商定或确定的事项不能达成一致时，总监理工程师应按照合同约定作出公正确定，应在合同当事人会商之日起</w:t>
      </w:r>
      <w:r>
        <w:rPr>
          <w:rFonts w:hint="eastAsia" w:ascii="宋体" w:hAnsi="宋体"/>
          <w:color w:val="auto"/>
          <w:kern w:val="0"/>
          <w:highlight w:val="none"/>
          <w:u w:val="single"/>
        </w:rPr>
        <w:t xml:space="preserve">  A  </w:t>
      </w:r>
      <w:r>
        <w:rPr>
          <w:rFonts w:hint="eastAsia" w:ascii="宋体" w:hAnsi="宋体"/>
          <w:color w:val="auto"/>
          <w:kern w:val="0"/>
          <w:highlight w:val="none"/>
        </w:rPr>
        <w:t>（A、7；/ B、14；/ C、21 ）天内提供书面确定意见。</w:t>
      </w:r>
    </w:p>
    <w:p w14:paraId="4772E61B">
      <w:pPr>
        <w:pStyle w:val="469"/>
        <w:spacing w:line="40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 工程质量</w:t>
      </w:r>
    </w:p>
    <w:p w14:paraId="370D4597">
      <w:pPr>
        <w:spacing w:line="400" w:lineRule="exact"/>
        <w:ind w:firstLine="441" w:firstLineChars="210"/>
        <w:rPr>
          <w:rFonts w:hint="eastAsia" w:ascii="宋体" w:hAnsi="宋体"/>
          <w:color w:val="auto"/>
          <w:kern w:val="0"/>
          <w:szCs w:val="21"/>
          <w:highlight w:val="none"/>
        </w:rPr>
      </w:pPr>
      <w:r>
        <w:rPr>
          <w:rFonts w:hint="eastAsia" w:ascii="宋体" w:hAnsi="宋体"/>
          <w:color w:val="auto"/>
          <w:kern w:val="0"/>
          <w:highlight w:val="none"/>
        </w:rPr>
        <w:t>5.1 质量要求</w:t>
      </w:r>
    </w:p>
    <w:p w14:paraId="1F226C84">
      <w:pPr>
        <w:spacing w:line="400" w:lineRule="exact"/>
        <w:ind w:firstLine="441" w:firstLineChars="210"/>
        <w:jc w:val="left"/>
        <w:rPr>
          <w:rFonts w:hint="eastAsia" w:ascii="宋体" w:hAnsi="宋体"/>
          <w:color w:val="auto"/>
          <w:kern w:val="0"/>
          <w:highlight w:val="none"/>
          <w:u w:val="single"/>
        </w:rPr>
      </w:pPr>
      <w:r>
        <w:rPr>
          <w:rFonts w:hint="eastAsia" w:ascii="宋体" w:hAnsi="宋体"/>
          <w:color w:val="auto"/>
          <w:kern w:val="0"/>
          <w:highlight w:val="none"/>
        </w:rPr>
        <w:t>5.1.1 特殊质量标准和要求:</w:t>
      </w:r>
      <w:r>
        <w:rPr>
          <w:rFonts w:hint="eastAsia" w:ascii="宋体" w:hAnsi="宋体"/>
          <w:color w:val="auto"/>
          <w:kern w:val="0"/>
          <w:highlight w:val="none"/>
          <w:u w:val="single"/>
        </w:rPr>
        <w:t xml:space="preserve"> 无 。</w:t>
      </w:r>
    </w:p>
    <w:p w14:paraId="5A46F409">
      <w:pPr>
        <w:spacing w:line="400" w:lineRule="exact"/>
        <w:ind w:firstLine="441" w:firstLineChars="210"/>
        <w:jc w:val="left"/>
        <w:rPr>
          <w:rFonts w:hint="eastAsia" w:ascii="宋体" w:hAnsi="宋体"/>
          <w:color w:val="auto"/>
          <w:highlight w:val="none"/>
        </w:rPr>
      </w:pPr>
      <w:r>
        <w:rPr>
          <w:rFonts w:hint="eastAsia" w:ascii="宋体" w:hAnsi="宋体"/>
          <w:color w:val="auto"/>
          <w:highlight w:val="none"/>
        </w:rPr>
        <w:t>关于工程奖项的约定：</w:t>
      </w:r>
      <w:r>
        <w:rPr>
          <w:rFonts w:hint="eastAsia" w:ascii="宋体" w:hAnsi="宋体"/>
          <w:color w:val="auto"/>
          <w:highlight w:val="none"/>
          <w:u w:val="single"/>
        </w:rPr>
        <w:t xml:space="preserve">  无 </w:t>
      </w:r>
      <w:r>
        <w:rPr>
          <w:rFonts w:hint="eastAsia" w:ascii="宋体" w:hAnsi="宋体"/>
          <w:color w:val="auto"/>
          <w:highlight w:val="none"/>
        </w:rPr>
        <w:t xml:space="preserve">。  </w:t>
      </w:r>
    </w:p>
    <w:p w14:paraId="7061A963">
      <w:pPr>
        <w:spacing w:line="400" w:lineRule="exact"/>
        <w:ind w:firstLine="441" w:firstLineChars="210"/>
        <w:rPr>
          <w:rFonts w:hint="eastAsia" w:ascii="宋体" w:hAnsi="宋体"/>
          <w:color w:val="auto"/>
          <w:kern w:val="0"/>
          <w:highlight w:val="none"/>
        </w:rPr>
      </w:pPr>
      <w:r>
        <w:rPr>
          <w:rFonts w:hint="eastAsia" w:ascii="宋体" w:hAnsi="宋体"/>
          <w:color w:val="auto"/>
          <w:kern w:val="0"/>
          <w:highlight w:val="none"/>
        </w:rPr>
        <w:t>5.2质量保证措施</w:t>
      </w:r>
    </w:p>
    <w:p w14:paraId="284AEFBE">
      <w:pPr>
        <w:spacing w:line="400" w:lineRule="exact"/>
        <w:ind w:firstLine="441" w:firstLineChars="210"/>
        <w:rPr>
          <w:rFonts w:hint="eastAsia" w:ascii="宋体" w:hAnsi="宋体"/>
          <w:color w:val="auto"/>
          <w:kern w:val="0"/>
          <w:highlight w:val="none"/>
        </w:rPr>
      </w:pPr>
      <w:r>
        <w:rPr>
          <w:rFonts w:hint="eastAsia" w:ascii="宋体" w:hAnsi="宋体"/>
          <w:color w:val="auto"/>
          <w:kern w:val="0"/>
          <w:highlight w:val="none"/>
        </w:rPr>
        <w:t>当全部合同工程完工后，承包人在准备竣工验收前，应将施工引起的垃圾、废料、障碍物及临时设施全部清理干净，并提前十天向发包人提交工程验收报告，以便发包人安排组织验收。在验收过程中，如发现有不合格工程，承包人应立即无条件进行整改或返工，直到验收合格为止。</w:t>
      </w:r>
    </w:p>
    <w:p w14:paraId="7E0BE728">
      <w:pPr>
        <w:spacing w:line="400" w:lineRule="exact"/>
        <w:ind w:firstLine="441" w:firstLineChars="210"/>
        <w:jc w:val="left"/>
        <w:rPr>
          <w:rFonts w:hint="eastAsia" w:ascii="宋体" w:hAnsi="宋体"/>
          <w:color w:val="auto"/>
          <w:highlight w:val="none"/>
        </w:rPr>
      </w:pPr>
      <w:r>
        <w:rPr>
          <w:rFonts w:hint="eastAsia" w:ascii="宋体" w:hAnsi="宋体"/>
          <w:color w:val="auto"/>
          <w:kern w:val="0"/>
          <w:highlight w:val="none"/>
        </w:rPr>
        <w:t>5.2.3在施工及验收过程中因承包人原因造成整改及返工所发生的费用全部由承包人承担。</w:t>
      </w:r>
    </w:p>
    <w:p w14:paraId="4D40D9C6">
      <w:pPr>
        <w:pStyle w:val="483"/>
        <w:spacing w:before="120" w:line="400" w:lineRule="exact"/>
        <w:ind w:firstLine="401" w:firstLineChars="190"/>
        <w:rPr>
          <w:rFonts w:hint="eastAsia" w:hAnsi="宋体"/>
          <w:color w:val="auto"/>
          <w:sz w:val="21"/>
          <w:szCs w:val="21"/>
          <w:highlight w:val="none"/>
        </w:rPr>
      </w:pPr>
      <w:r>
        <w:rPr>
          <w:rFonts w:hint="eastAsia" w:hAnsi="宋体"/>
          <w:color w:val="auto"/>
          <w:sz w:val="21"/>
          <w:szCs w:val="21"/>
          <w:highlight w:val="none"/>
        </w:rPr>
        <w:t>5.3 隐蔽工程检查</w:t>
      </w:r>
    </w:p>
    <w:p w14:paraId="66493B2C">
      <w:pPr>
        <w:spacing w:line="400" w:lineRule="exact"/>
        <w:ind w:firstLine="441" w:firstLineChars="210"/>
        <w:rPr>
          <w:rFonts w:hint="eastAsia" w:ascii="宋体" w:hAnsi="宋体"/>
          <w:color w:val="auto"/>
          <w:kern w:val="0"/>
          <w:szCs w:val="21"/>
          <w:highlight w:val="none"/>
        </w:rPr>
      </w:pPr>
      <w:r>
        <w:rPr>
          <w:rFonts w:hint="eastAsia" w:ascii="宋体" w:hAnsi="宋体"/>
          <w:color w:val="auto"/>
          <w:kern w:val="0"/>
          <w:highlight w:val="none"/>
        </w:rPr>
        <w:t>5.3.2承包人提前通知监理人隐蔽工程检查的期限的约定：承包人应在共同检查前</w:t>
      </w:r>
      <w:r>
        <w:rPr>
          <w:rFonts w:hint="eastAsia" w:ascii="宋体" w:hAnsi="宋体"/>
          <w:b/>
          <w:color w:val="auto"/>
          <w:kern w:val="0"/>
          <w:highlight w:val="none"/>
          <w:u w:val="single"/>
        </w:rPr>
        <w:t>B</w:t>
      </w:r>
      <w:r>
        <w:rPr>
          <w:rFonts w:hint="eastAsia" w:ascii="宋体" w:hAnsi="宋体"/>
          <w:color w:val="auto"/>
          <w:kern w:val="0"/>
          <w:highlight w:val="none"/>
          <w:u w:val="single"/>
        </w:rPr>
        <w:t>（</w:t>
      </w:r>
      <w:r>
        <w:rPr>
          <w:rFonts w:hint="eastAsia" w:ascii="宋体" w:hAnsi="宋体"/>
          <w:color w:val="auto"/>
          <w:kern w:val="0"/>
          <w:highlight w:val="none"/>
        </w:rPr>
        <w:t>A、24；/ B、48；/ C、72 ）小时书面通知监理人检查 。</w:t>
      </w:r>
    </w:p>
    <w:p w14:paraId="0AFD6261">
      <w:pPr>
        <w:spacing w:line="400" w:lineRule="exact"/>
        <w:ind w:firstLine="441" w:firstLineChars="210"/>
        <w:rPr>
          <w:rFonts w:hint="eastAsia" w:ascii="宋体" w:hAnsi="宋体"/>
          <w:color w:val="auto"/>
          <w:kern w:val="0"/>
          <w:highlight w:val="none"/>
        </w:rPr>
      </w:pPr>
      <w:r>
        <w:rPr>
          <w:rFonts w:hint="eastAsia" w:ascii="宋体" w:hAnsi="宋体"/>
          <w:color w:val="auto"/>
          <w:kern w:val="0"/>
          <w:highlight w:val="none"/>
        </w:rPr>
        <w:t>监理人不能按时进行检查时，应提前</w:t>
      </w:r>
      <w:r>
        <w:rPr>
          <w:rFonts w:hint="eastAsia" w:ascii="宋体" w:hAnsi="宋体"/>
          <w:b/>
          <w:color w:val="auto"/>
          <w:kern w:val="0"/>
          <w:highlight w:val="none"/>
          <w:u w:val="single"/>
        </w:rPr>
        <w:t>B</w:t>
      </w:r>
      <w:r>
        <w:rPr>
          <w:rFonts w:hint="eastAsia" w:ascii="宋体" w:hAnsi="宋体"/>
          <w:color w:val="auto"/>
          <w:kern w:val="0"/>
          <w:highlight w:val="none"/>
        </w:rPr>
        <w:t>（A、12；/ B、24；/ C、36 ）小时提交书面延期要求。延期最长不得超过：</w:t>
      </w:r>
      <w:r>
        <w:rPr>
          <w:rFonts w:hint="eastAsia" w:ascii="宋体" w:hAnsi="宋体"/>
          <w:b/>
          <w:color w:val="auto"/>
          <w:kern w:val="0"/>
          <w:highlight w:val="none"/>
          <w:u w:val="single"/>
        </w:rPr>
        <w:t xml:space="preserve"> B  </w:t>
      </w:r>
      <w:r>
        <w:rPr>
          <w:rFonts w:hint="eastAsia" w:ascii="宋体" w:hAnsi="宋体"/>
          <w:color w:val="auto"/>
          <w:kern w:val="0"/>
          <w:highlight w:val="none"/>
        </w:rPr>
        <w:t>（A、12；/ B、24；/ C、48）小时。</w:t>
      </w:r>
    </w:p>
    <w:p w14:paraId="2D4C9715">
      <w:pPr>
        <w:pStyle w:val="469"/>
        <w:spacing w:line="40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 安全文明施工与环境保护</w:t>
      </w:r>
    </w:p>
    <w:p w14:paraId="3E827CE6">
      <w:pPr>
        <w:pStyle w:val="483"/>
        <w:spacing w:before="120" w:line="400" w:lineRule="exact"/>
        <w:ind w:firstLine="401" w:firstLineChars="190"/>
        <w:rPr>
          <w:rFonts w:hint="eastAsia" w:hAnsi="宋体"/>
          <w:color w:val="auto"/>
          <w:sz w:val="21"/>
          <w:szCs w:val="21"/>
          <w:highlight w:val="none"/>
        </w:rPr>
      </w:pPr>
      <w:r>
        <w:rPr>
          <w:rFonts w:hint="eastAsia" w:hAnsi="宋体"/>
          <w:color w:val="auto"/>
          <w:sz w:val="21"/>
          <w:szCs w:val="21"/>
          <w:highlight w:val="none"/>
        </w:rPr>
        <w:t>6.1安全文明施工</w:t>
      </w:r>
    </w:p>
    <w:p w14:paraId="7E301EA0">
      <w:pPr>
        <w:spacing w:line="400" w:lineRule="exact"/>
        <w:ind w:firstLine="420" w:firstLineChars="200"/>
        <w:jc w:val="left"/>
        <w:rPr>
          <w:rFonts w:hint="eastAsia" w:ascii="宋体" w:hAnsi="宋体"/>
          <w:color w:val="auto"/>
          <w:kern w:val="0"/>
          <w:szCs w:val="21"/>
          <w:highlight w:val="none"/>
          <w:u w:val="single"/>
        </w:rPr>
      </w:pPr>
      <w:r>
        <w:rPr>
          <w:rFonts w:hint="eastAsia" w:ascii="宋体" w:hAnsi="宋体"/>
          <w:color w:val="auto"/>
          <w:kern w:val="0"/>
          <w:highlight w:val="none"/>
        </w:rPr>
        <w:t>6.1.1 项目安全生产的达标目标及相应事项的约定:</w:t>
      </w:r>
      <w:r>
        <w:rPr>
          <w:rFonts w:hint="eastAsia" w:ascii="宋体" w:hAnsi="宋体"/>
          <w:color w:val="auto"/>
          <w:kern w:val="0"/>
          <w:highlight w:val="none"/>
          <w:u w:val="single"/>
        </w:rPr>
        <w:t>合格。</w:t>
      </w:r>
    </w:p>
    <w:p w14:paraId="398EF101">
      <w:pPr>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6.1.4 关于治安保卫的特别约定：</w:t>
      </w:r>
      <w:r>
        <w:rPr>
          <w:rFonts w:hint="eastAsia" w:ascii="宋体" w:hAnsi="宋体"/>
          <w:color w:val="auto"/>
          <w:kern w:val="0"/>
          <w:highlight w:val="none"/>
          <w:u w:val="single"/>
        </w:rPr>
        <w:t>执行通用条款</w:t>
      </w:r>
      <w:r>
        <w:rPr>
          <w:rFonts w:hint="eastAsia" w:ascii="宋体" w:hAnsi="宋体"/>
          <w:color w:val="auto"/>
          <w:kern w:val="0"/>
          <w:highlight w:val="none"/>
        </w:rPr>
        <w:t>。</w:t>
      </w:r>
    </w:p>
    <w:p w14:paraId="1C6EC577">
      <w:pPr>
        <w:spacing w:line="400" w:lineRule="exact"/>
        <w:ind w:firstLine="441" w:firstLineChars="210"/>
        <w:rPr>
          <w:rFonts w:hint="eastAsia" w:ascii="宋体" w:hAnsi="宋体"/>
          <w:color w:val="auto"/>
          <w:kern w:val="0"/>
          <w:highlight w:val="none"/>
        </w:rPr>
      </w:pPr>
      <w:r>
        <w:rPr>
          <w:rFonts w:hint="eastAsia" w:ascii="宋体" w:hAnsi="宋体"/>
          <w:color w:val="auto"/>
          <w:kern w:val="0"/>
          <w:highlight w:val="none"/>
        </w:rPr>
        <w:t>6.1.5文明施工应按《宁波市建设工程文明施工管理规定》文件要求执行。</w:t>
      </w:r>
    </w:p>
    <w:p w14:paraId="3F21AA81">
      <w:pPr>
        <w:spacing w:line="400" w:lineRule="exact"/>
        <w:ind w:firstLine="441" w:firstLineChars="210"/>
        <w:jc w:val="left"/>
        <w:rPr>
          <w:rFonts w:hint="eastAsia" w:ascii="宋体" w:hAnsi="宋体"/>
          <w:color w:val="auto"/>
          <w:kern w:val="0"/>
          <w:highlight w:val="none"/>
          <w:u w:val="single"/>
        </w:rPr>
      </w:pPr>
      <w:r>
        <w:rPr>
          <w:rFonts w:hint="eastAsia" w:ascii="宋体" w:hAnsi="宋体"/>
          <w:color w:val="auto"/>
          <w:kern w:val="0"/>
          <w:highlight w:val="none"/>
        </w:rPr>
        <w:t xml:space="preserve">6.1.6 关于安全文明施工基本费支付比例和支付期限的约定： </w:t>
      </w:r>
      <w:r>
        <w:rPr>
          <w:rFonts w:hint="eastAsia" w:ascii="宋体" w:hAnsi="宋体"/>
          <w:color w:val="auto"/>
          <w:kern w:val="0"/>
          <w:highlight w:val="none"/>
          <w:u w:val="single"/>
        </w:rPr>
        <w:t>发包人在开工后28天内将80%的安全文明施工基本费拨付给施工单位，剩余费用按工程进度分期支付，竣工时全额结清。安全文明施工基本费中已包含围挡设置费用，不另行计算。</w:t>
      </w:r>
    </w:p>
    <w:p w14:paraId="78C1DFEC">
      <w:pPr>
        <w:spacing w:line="400" w:lineRule="exact"/>
        <w:ind w:firstLine="441" w:firstLineChars="210"/>
        <w:jc w:val="left"/>
        <w:rPr>
          <w:rFonts w:hint="eastAsia" w:ascii="宋体" w:hAnsi="宋体"/>
          <w:color w:val="auto"/>
          <w:kern w:val="0"/>
          <w:highlight w:val="none"/>
        </w:rPr>
      </w:pPr>
      <w:r>
        <w:rPr>
          <w:rFonts w:hint="eastAsia" w:ascii="宋体" w:hAnsi="宋体"/>
          <w:color w:val="auto"/>
          <w:kern w:val="0"/>
          <w:highlight w:val="none"/>
        </w:rPr>
        <w:t>承包人对安全文明施工基本费应专款专用，在财务账目中应单独列项备查，不得挪作他用。</w:t>
      </w:r>
    </w:p>
    <w:p w14:paraId="5942F34C">
      <w:pPr>
        <w:pStyle w:val="469"/>
        <w:spacing w:line="40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 工期和进度</w:t>
      </w:r>
    </w:p>
    <w:p w14:paraId="4BD2D372">
      <w:pPr>
        <w:pStyle w:val="483"/>
        <w:spacing w:before="120" w:line="400" w:lineRule="exact"/>
        <w:ind w:firstLine="401" w:firstLineChars="190"/>
        <w:rPr>
          <w:rFonts w:hint="eastAsia" w:hAnsi="宋体"/>
          <w:color w:val="auto"/>
          <w:sz w:val="21"/>
          <w:szCs w:val="21"/>
          <w:highlight w:val="none"/>
        </w:rPr>
      </w:pPr>
      <w:r>
        <w:rPr>
          <w:rFonts w:hint="eastAsia" w:hAnsi="宋体"/>
          <w:color w:val="auto"/>
          <w:sz w:val="21"/>
          <w:szCs w:val="21"/>
          <w:highlight w:val="none"/>
        </w:rPr>
        <w:t>7.1 施工组织设计</w:t>
      </w:r>
    </w:p>
    <w:p w14:paraId="6E0154D5">
      <w:pPr>
        <w:spacing w:line="400" w:lineRule="exact"/>
        <w:ind w:firstLine="441" w:firstLineChars="210"/>
        <w:jc w:val="left"/>
        <w:rPr>
          <w:rFonts w:hint="eastAsia" w:ascii="宋体" w:hAnsi="宋体"/>
          <w:color w:val="auto"/>
          <w:kern w:val="0"/>
          <w:szCs w:val="21"/>
          <w:highlight w:val="none"/>
        </w:rPr>
      </w:pPr>
      <w:r>
        <w:rPr>
          <w:rFonts w:hint="eastAsia" w:ascii="宋体" w:hAnsi="宋体"/>
          <w:color w:val="auto"/>
          <w:kern w:val="0"/>
          <w:highlight w:val="none"/>
        </w:rPr>
        <w:t>7.1.1 合同当事人约定的施工组织设计应包括的其他内容：</w:t>
      </w:r>
      <w:r>
        <w:rPr>
          <w:rFonts w:hint="eastAsia" w:ascii="宋体" w:hAnsi="宋体"/>
          <w:color w:val="auto"/>
          <w:kern w:val="0"/>
          <w:highlight w:val="none"/>
          <w:u w:val="single"/>
        </w:rPr>
        <w:t xml:space="preserve">各分部分项施工方案与技术措施、工程进度管理体系与措施、工程质量管理体系与措施、安全生产文明施工管理体系与措施、环境保护管理体系与措施等；项目风险预测与防范，事故应急预案；“通用合同条款”第（3）项“施工进度计划和保证措施”应按照关键线路网络图和主要工作横道图两种形式分别编绘，并应包括每月预计完成的工作量和形象进度 </w:t>
      </w:r>
      <w:r>
        <w:rPr>
          <w:rFonts w:hint="eastAsia" w:ascii="宋体" w:hAnsi="宋体"/>
          <w:color w:val="auto"/>
          <w:kern w:val="0"/>
          <w:highlight w:val="none"/>
        </w:rPr>
        <w:t>。</w:t>
      </w:r>
    </w:p>
    <w:p w14:paraId="3AA8770C">
      <w:pPr>
        <w:spacing w:line="400" w:lineRule="exact"/>
        <w:ind w:firstLine="441" w:firstLineChars="210"/>
        <w:jc w:val="left"/>
        <w:rPr>
          <w:rFonts w:hint="eastAsia" w:ascii="宋体" w:hAnsi="宋体"/>
          <w:color w:val="auto"/>
          <w:kern w:val="0"/>
          <w:highlight w:val="none"/>
        </w:rPr>
      </w:pPr>
      <w:r>
        <w:rPr>
          <w:rFonts w:hint="eastAsia" w:ascii="宋体" w:hAnsi="宋体"/>
          <w:color w:val="auto"/>
          <w:kern w:val="0"/>
          <w:highlight w:val="none"/>
        </w:rPr>
        <w:t>7.1.2 施工组织设计的提交和修改：</w:t>
      </w:r>
      <w:r>
        <w:rPr>
          <w:rFonts w:hint="eastAsia" w:ascii="宋体" w:hAnsi="宋体"/>
          <w:color w:val="auto"/>
          <w:kern w:val="0"/>
          <w:highlight w:val="none"/>
          <w:u w:val="single"/>
        </w:rPr>
        <w:t>按通用条款约定执行</w:t>
      </w:r>
      <w:r>
        <w:rPr>
          <w:rFonts w:hint="eastAsia" w:ascii="宋体" w:hAnsi="宋体"/>
          <w:color w:val="auto"/>
          <w:kern w:val="0"/>
          <w:highlight w:val="none"/>
        </w:rPr>
        <w:t>。</w:t>
      </w:r>
    </w:p>
    <w:p w14:paraId="2F0EC64B">
      <w:pPr>
        <w:pStyle w:val="483"/>
        <w:spacing w:before="120" w:line="400" w:lineRule="exact"/>
        <w:ind w:firstLine="401" w:firstLineChars="190"/>
        <w:rPr>
          <w:rFonts w:hint="eastAsia" w:hAnsi="宋体"/>
          <w:color w:val="auto"/>
          <w:sz w:val="21"/>
          <w:szCs w:val="21"/>
          <w:highlight w:val="none"/>
        </w:rPr>
      </w:pPr>
      <w:r>
        <w:rPr>
          <w:rFonts w:hint="eastAsia" w:hAnsi="宋体"/>
          <w:color w:val="auto"/>
          <w:sz w:val="21"/>
          <w:szCs w:val="21"/>
          <w:highlight w:val="none"/>
        </w:rPr>
        <w:t>7.2 施工进度计划</w:t>
      </w:r>
    </w:p>
    <w:p w14:paraId="0E294663">
      <w:pPr>
        <w:autoSpaceDE w:val="0"/>
        <w:autoSpaceDN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highlight w:val="none"/>
        </w:rPr>
        <w:t>施工进度计划的编制和修订：按通用条款约定执行。</w:t>
      </w:r>
    </w:p>
    <w:p w14:paraId="1C2570D7">
      <w:pPr>
        <w:pStyle w:val="483"/>
        <w:spacing w:before="120" w:line="400" w:lineRule="exact"/>
        <w:ind w:firstLine="401" w:firstLineChars="190"/>
        <w:rPr>
          <w:rFonts w:hint="eastAsia" w:hAnsi="宋体"/>
          <w:color w:val="auto"/>
          <w:sz w:val="21"/>
          <w:szCs w:val="21"/>
          <w:highlight w:val="none"/>
        </w:rPr>
      </w:pPr>
      <w:r>
        <w:rPr>
          <w:rFonts w:hint="eastAsia" w:hAnsi="宋体"/>
          <w:color w:val="auto"/>
          <w:sz w:val="21"/>
          <w:szCs w:val="21"/>
          <w:highlight w:val="none"/>
        </w:rPr>
        <w:t>7.3 开工</w:t>
      </w:r>
    </w:p>
    <w:p w14:paraId="16D44244">
      <w:pPr>
        <w:autoSpaceDE w:val="0"/>
        <w:autoSpaceDN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highlight w:val="none"/>
        </w:rPr>
        <w:t>7.3.1 开工准备</w:t>
      </w:r>
    </w:p>
    <w:p w14:paraId="6104DA09">
      <w:pPr>
        <w:autoSpaceDE w:val="0"/>
        <w:autoSpaceDN w:val="0"/>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关于承包人提交工程开工报审表的期限：</w:t>
      </w:r>
      <w:r>
        <w:rPr>
          <w:rFonts w:hint="eastAsia" w:ascii="宋体" w:hAnsi="宋体"/>
          <w:color w:val="auto"/>
          <w:kern w:val="0"/>
          <w:highlight w:val="none"/>
          <w:u w:val="single"/>
        </w:rPr>
        <w:t>按第7.1款[施工组织设计]约定的时间 。</w:t>
      </w:r>
    </w:p>
    <w:p w14:paraId="02CD03A0">
      <w:pPr>
        <w:autoSpaceDE w:val="0"/>
        <w:autoSpaceDN w:val="0"/>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关于发包人应完成的其他开工准备工作及期限：</w:t>
      </w:r>
      <w:r>
        <w:rPr>
          <w:rFonts w:hint="eastAsia" w:ascii="宋体" w:hAnsi="宋体"/>
          <w:color w:val="auto"/>
          <w:kern w:val="0"/>
          <w:highlight w:val="none"/>
          <w:u w:val="single"/>
        </w:rPr>
        <w:t>在第7.3.2项[开工通知]载明的开工日期前7天获得开工所需的各项行政审批和许可手续。</w:t>
      </w:r>
    </w:p>
    <w:p w14:paraId="181ED3E0">
      <w:pPr>
        <w:autoSpaceDE w:val="0"/>
        <w:autoSpaceDN w:val="0"/>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关于承包人应完成的其他开工准备工作及期限：</w:t>
      </w:r>
      <w:r>
        <w:rPr>
          <w:rFonts w:hint="eastAsia" w:ascii="宋体" w:hAnsi="宋体"/>
          <w:color w:val="auto"/>
          <w:kern w:val="0"/>
          <w:highlight w:val="none"/>
          <w:u w:val="single"/>
        </w:rPr>
        <w:t xml:space="preserve"> 在第7.3.2项[开工通知]载明的开工日期前7天签订材料、工程设备、周转材料等的采购合同，确定劳动力、材料、机械的进场安排。</w:t>
      </w:r>
    </w:p>
    <w:p w14:paraId="395E63B6">
      <w:pPr>
        <w:autoSpaceDE w:val="0"/>
        <w:autoSpaceDN w:val="0"/>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7.3.2 开工通知</w:t>
      </w:r>
    </w:p>
    <w:p w14:paraId="602AEC3D">
      <w:pPr>
        <w:autoSpaceDE w:val="0"/>
        <w:autoSpaceDN w:val="0"/>
        <w:spacing w:line="400" w:lineRule="exact"/>
        <w:ind w:firstLine="420" w:firstLineChars="200"/>
        <w:rPr>
          <w:rFonts w:hint="eastAsia" w:ascii="宋体" w:hAnsi="宋体"/>
          <w:color w:val="auto"/>
          <w:kern w:val="0"/>
          <w:highlight w:val="none"/>
          <w:u w:val="single"/>
        </w:rPr>
      </w:pPr>
      <w:r>
        <w:rPr>
          <w:rFonts w:hint="eastAsia" w:ascii="宋体" w:hAnsi="宋体"/>
          <w:color w:val="auto"/>
          <w:kern w:val="0"/>
          <w:highlight w:val="none"/>
          <w:u w:val="single"/>
        </w:rPr>
        <w:t>因发包人原因造成监理人未能在通用条款规定的期限内发出开工通知的，承包人有权提出价格调整要求，或者解除合同。</w:t>
      </w:r>
    </w:p>
    <w:p w14:paraId="58A1203E">
      <w:pPr>
        <w:pStyle w:val="483"/>
        <w:spacing w:before="120" w:line="400" w:lineRule="exact"/>
        <w:ind w:firstLine="401" w:firstLineChars="190"/>
        <w:rPr>
          <w:rFonts w:hint="eastAsia" w:hAnsi="宋体"/>
          <w:color w:val="auto"/>
          <w:sz w:val="21"/>
          <w:szCs w:val="21"/>
          <w:highlight w:val="none"/>
        </w:rPr>
      </w:pPr>
      <w:r>
        <w:rPr>
          <w:rFonts w:hint="eastAsia" w:hAnsi="宋体"/>
          <w:color w:val="auto"/>
          <w:sz w:val="21"/>
          <w:szCs w:val="21"/>
          <w:highlight w:val="none"/>
        </w:rPr>
        <w:t>7.4 测量放线</w:t>
      </w:r>
    </w:p>
    <w:p w14:paraId="52FA7E87">
      <w:pPr>
        <w:autoSpaceDE w:val="0"/>
        <w:autoSpaceDN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highlight w:val="none"/>
        </w:rPr>
        <w:t>7.4.1 发包人通过监理人向承包人提供测量基准点、基准线和水准点及其书面资料的期限：</w:t>
      </w:r>
      <w:r>
        <w:rPr>
          <w:rFonts w:hint="eastAsia" w:ascii="宋体" w:hAnsi="宋体"/>
          <w:color w:val="auto"/>
          <w:kern w:val="0"/>
          <w:highlight w:val="none"/>
          <w:u w:val="single"/>
        </w:rPr>
        <w:t>不得晚于在第7.3.2项[开工通知]载明的开工日期前7天。</w:t>
      </w:r>
    </w:p>
    <w:p w14:paraId="5C65EDA0">
      <w:pPr>
        <w:pStyle w:val="483"/>
        <w:spacing w:before="120" w:line="400" w:lineRule="exact"/>
        <w:ind w:firstLine="401" w:firstLineChars="190"/>
        <w:rPr>
          <w:rFonts w:hint="eastAsia" w:hAnsi="宋体"/>
          <w:color w:val="auto"/>
          <w:sz w:val="21"/>
          <w:szCs w:val="21"/>
          <w:highlight w:val="none"/>
        </w:rPr>
      </w:pPr>
      <w:r>
        <w:rPr>
          <w:rFonts w:hint="eastAsia" w:hAnsi="宋体"/>
          <w:color w:val="auto"/>
          <w:sz w:val="21"/>
          <w:szCs w:val="21"/>
          <w:highlight w:val="none"/>
        </w:rPr>
        <w:t>7.5 工期延误</w:t>
      </w:r>
    </w:p>
    <w:p w14:paraId="45C4AB8E">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highlight w:val="none"/>
        </w:rPr>
        <w:t>7.5.1因发包人原因导致工期延误</w:t>
      </w:r>
    </w:p>
    <w:p w14:paraId="18A3E6FC">
      <w:pPr>
        <w:pStyle w:val="483"/>
        <w:spacing w:before="120" w:line="400" w:lineRule="exact"/>
        <w:ind w:firstLine="399" w:firstLineChars="190"/>
        <w:rPr>
          <w:rFonts w:hint="eastAsia" w:hAnsi="宋体"/>
          <w:b w:val="0"/>
          <w:color w:val="auto"/>
          <w:kern w:val="0"/>
          <w:sz w:val="21"/>
          <w:szCs w:val="21"/>
          <w:highlight w:val="none"/>
        </w:rPr>
      </w:pPr>
      <w:r>
        <w:rPr>
          <w:rFonts w:hint="eastAsia" w:hAnsi="宋体"/>
          <w:b w:val="0"/>
          <w:color w:val="auto"/>
          <w:kern w:val="0"/>
          <w:sz w:val="21"/>
          <w:szCs w:val="21"/>
          <w:highlight w:val="none"/>
        </w:rPr>
        <w:t>（7）因发包人原因导致工期延误的其他情形：</w:t>
      </w:r>
      <w:r>
        <w:rPr>
          <w:rFonts w:hint="eastAsia" w:hAnsi="宋体"/>
          <w:b w:val="0"/>
          <w:color w:val="auto"/>
          <w:kern w:val="0"/>
          <w:sz w:val="21"/>
          <w:szCs w:val="21"/>
          <w:highlight w:val="none"/>
          <w:u w:val="single"/>
        </w:rPr>
        <w:t>无。</w:t>
      </w:r>
    </w:p>
    <w:p w14:paraId="4BD55AB9">
      <w:pPr>
        <w:autoSpaceDE w:val="0"/>
        <w:autoSpaceDN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highlight w:val="none"/>
        </w:rPr>
        <w:t>7.5.2 因承包人原因导致工期延误</w:t>
      </w:r>
    </w:p>
    <w:p w14:paraId="1E6F5C6B">
      <w:pPr>
        <w:autoSpaceDE w:val="0"/>
        <w:autoSpaceDN w:val="0"/>
        <w:spacing w:line="400" w:lineRule="exact"/>
        <w:ind w:firstLine="420" w:firstLineChars="200"/>
        <w:rPr>
          <w:rFonts w:hint="eastAsia" w:ascii="宋体" w:hAnsi="宋体"/>
          <w:color w:val="auto"/>
          <w:kern w:val="0"/>
          <w:highlight w:val="none"/>
          <w:u w:val="single"/>
        </w:rPr>
      </w:pPr>
      <w:r>
        <w:rPr>
          <w:rFonts w:hint="eastAsia" w:ascii="宋体" w:hAnsi="宋体"/>
          <w:color w:val="auto"/>
          <w:kern w:val="0"/>
          <w:highlight w:val="none"/>
        </w:rPr>
        <w:t>因承包人原因造成工期延误，逾期竣工违约金的计算方法根据“</w:t>
      </w:r>
      <w:r>
        <w:rPr>
          <w:rFonts w:hint="eastAsia" w:ascii="宋体" w:hAnsi="宋体"/>
          <w:color w:val="auto"/>
          <w:kern w:val="0"/>
          <w:highlight w:val="none"/>
          <w:lang w:eastAsia="zh-CN"/>
        </w:rPr>
        <w:t>报价函附录</w:t>
      </w:r>
      <w:r>
        <w:rPr>
          <w:rFonts w:hint="eastAsia" w:ascii="宋体" w:hAnsi="宋体"/>
          <w:color w:val="auto"/>
          <w:kern w:val="0"/>
          <w:highlight w:val="none"/>
        </w:rPr>
        <w:t>”承诺确定，为</w:t>
      </w:r>
      <w:r>
        <w:rPr>
          <w:rFonts w:hint="eastAsia" w:ascii="宋体" w:hAnsi="宋体"/>
          <w:color w:val="auto"/>
          <w:kern w:val="0"/>
          <w:highlight w:val="none"/>
          <w:u w:val="single"/>
          <w:lang w:val="en-US" w:eastAsia="zh-CN"/>
        </w:rPr>
        <w:t>3</w:t>
      </w:r>
      <w:r>
        <w:rPr>
          <w:rFonts w:hint="eastAsia" w:ascii="宋体" w:hAnsi="宋体"/>
          <w:color w:val="auto"/>
          <w:kern w:val="0"/>
          <w:highlight w:val="none"/>
          <w:u w:val="single"/>
        </w:rPr>
        <w:t>000元/天</w:t>
      </w:r>
      <w:r>
        <w:rPr>
          <w:rFonts w:hint="eastAsia" w:ascii="宋体" w:hAnsi="宋体"/>
          <w:color w:val="auto"/>
          <w:kern w:val="0"/>
          <w:highlight w:val="none"/>
        </w:rPr>
        <w:t>。</w:t>
      </w:r>
    </w:p>
    <w:p w14:paraId="071D2069">
      <w:pPr>
        <w:autoSpaceDE w:val="0"/>
        <w:autoSpaceDN w:val="0"/>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因承包人原因造成工期延误，逾期竣工违约金的上限根据“</w:t>
      </w:r>
      <w:r>
        <w:rPr>
          <w:rFonts w:hint="eastAsia" w:ascii="宋体" w:hAnsi="宋体"/>
          <w:color w:val="auto"/>
          <w:kern w:val="0"/>
          <w:highlight w:val="none"/>
          <w:lang w:eastAsia="zh-CN"/>
        </w:rPr>
        <w:t>报价函附录</w:t>
      </w:r>
      <w:r>
        <w:rPr>
          <w:rFonts w:hint="eastAsia" w:ascii="宋体" w:hAnsi="宋体"/>
          <w:color w:val="auto"/>
          <w:kern w:val="0"/>
          <w:highlight w:val="none"/>
        </w:rPr>
        <w:t>”承诺确定，为履约担保金额的</w:t>
      </w:r>
      <w:r>
        <w:rPr>
          <w:rFonts w:hint="eastAsia" w:ascii="宋体" w:hAnsi="宋体"/>
          <w:color w:val="auto"/>
          <w:kern w:val="0"/>
          <w:highlight w:val="none"/>
          <w:u w:val="single"/>
        </w:rPr>
        <w:t>30</w:t>
      </w:r>
      <w:r>
        <w:rPr>
          <w:rFonts w:hint="eastAsia" w:ascii="宋体" w:hAnsi="宋体"/>
          <w:color w:val="auto"/>
          <w:kern w:val="0"/>
          <w:highlight w:val="none"/>
        </w:rPr>
        <w:t>%。若此项违约金上限不足扣罚，则视为因承包人原因导致合同无法履行，发包人有权终止合同并要求索赔。</w:t>
      </w:r>
    </w:p>
    <w:p w14:paraId="3DDCB849">
      <w:pPr>
        <w:pStyle w:val="483"/>
        <w:spacing w:before="120" w:line="400" w:lineRule="exact"/>
        <w:ind w:firstLine="401" w:firstLineChars="190"/>
        <w:rPr>
          <w:rFonts w:hint="eastAsia" w:hAnsi="宋体"/>
          <w:color w:val="auto"/>
          <w:sz w:val="21"/>
          <w:szCs w:val="21"/>
          <w:highlight w:val="none"/>
        </w:rPr>
      </w:pPr>
      <w:r>
        <w:rPr>
          <w:rFonts w:hint="eastAsia" w:hAnsi="宋体"/>
          <w:color w:val="auto"/>
          <w:sz w:val="21"/>
          <w:szCs w:val="21"/>
          <w:highlight w:val="none"/>
        </w:rPr>
        <w:t>7.6 不利物质条件</w:t>
      </w:r>
    </w:p>
    <w:p w14:paraId="12E6B6C1">
      <w:pPr>
        <w:autoSpaceDE w:val="0"/>
        <w:autoSpaceDN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highlight w:val="none"/>
        </w:rPr>
        <w:t>不利物质条件的其他情形和有关约定：地勘资料未设计的地下管道、地雷、岩层等，但不包括气候条件。</w:t>
      </w:r>
    </w:p>
    <w:p w14:paraId="62770E47">
      <w:pPr>
        <w:pStyle w:val="483"/>
        <w:spacing w:before="120" w:line="400" w:lineRule="exact"/>
        <w:ind w:firstLine="401" w:firstLineChars="190"/>
        <w:rPr>
          <w:rFonts w:hint="eastAsia" w:hAnsi="宋体"/>
          <w:color w:val="auto"/>
          <w:sz w:val="21"/>
          <w:szCs w:val="21"/>
          <w:highlight w:val="none"/>
        </w:rPr>
      </w:pPr>
      <w:r>
        <w:rPr>
          <w:rFonts w:hint="eastAsia" w:hAnsi="宋体"/>
          <w:color w:val="auto"/>
          <w:sz w:val="21"/>
          <w:szCs w:val="21"/>
          <w:highlight w:val="none"/>
        </w:rPr>
        <w:t>7.7异常恶劣的气候条件</w:t>
      </w:r>
    </w:p>
    <w:p w14:paraId="0DB0C388">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highlight w:val="none"/>
        </w:rPr>
        <w:t>发包人和承包人同意以下情形视为异常恶劣的气候条件：</w:t>
      </w:r>
    </w:p>
    <w:p w14:paraId="1FE514F6">
      <w:pPr>
        <w:autoSpaceDE w:val="0"/>
        <w:autoSpaceDN w:val="0"/>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（1）12小时内降雨量达到50mm以上；</w:t>
      </w:r>
    </w:p>
    <w:p w14:paraId="77FF2FB2">
      <w:pPr>
        <w:autoSpaceDE w:val="0"/>
        <w:autoSpaceDN w:val="0"/>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（2）风速达到8级及以上的热带风暴（或台风）；</w:t>
      </w:r>
    </w:p>
    <w:p w14:paraId="01DF05D8">
      <w:pPr>
        <w:autoSpaceDE w:val="0"/>
        <w:autoSpaceDN w:val="0"/>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（3）日气温超过38度或低于零下10度；</w:t>
      </w:r>
    </w:p>
    <w:p w14:paraId="7A283F73">
      <w:pPr>
        <w:autoSpaceDE w:val="0"/>
        <w:autoSpaceDN w:val="0"/>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（4）造成工程损坏的冰雹和12小时内降雪量达到4mm及以上的大雪灾害。</w:t>
      </w:r>
    </w:p>
    <w:p w14:paraId="7BE284BF">
      <w:pPr>
        <w:autoSpaceDE w:val="0"/>
        <w:autoSpaceDN w:val="0"/>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（5）政府有关部门通知停工的其它恶劣气候条件。</w:t>
      </w:r>
    </w:p>
    <w:p w14:paraId="4BD7E332">
      <w:pPr>
        <w:pStyle w:val="483"/>
        <w:spacing w:before="120" w:line="400" w:lineRule="exact"/>
        <w:ind w:firstLine="401" w:firstLineChars="190"/>
        <w:rPr>
          <w:rFonts w:hint="eastAsia" w:hAnsi="宋体"/>
          <w:color w:val="auto"/>
          <w:sz w:val="21"/>
          <w:szCs w:val="21"/>
          <w:highlight w:val="none"/>
        </w:rPr>
      </w:pPr>
      <w:r>
        <w:rPr>
          <w:rFonts w:hint="eastAsia" w:hAnsi="宋体"/>
          <w:color w:val="auto"/>
          <w:sz w:val="21"/>
          <w:szCs w:val="21"/>
          <w:highlight w:val="none"/>
        </w:rPr>
        <w:t>7.9 提前竣工的奖励</w:t>
      </w:r>
    </w:p>
    <w:p w14:paraId="15E9E00E">
      <w:pPr>
        <w:autoSpaceDE w:val="0"/>
        <w:autoSpaceDN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highlight w:val="none"/>
        </w:rPr>
        <w:t>7.9.2 提前竣工的奖励：根据“</w:t>
      </w:r>
      <w:r>
        <w:rPr>
          <w:rFonts w:hint="eastAsia" w:ascii="宋体" w:hAnsi="宋体"/>
          <w:color w:val="auto"/>
          <w:kern w:val="0"/>
          <w:highlight w:val="none"/>
          <w:lang w:eastAsia="zh-CN"/>
        </w:rPr>
        <w:t>报价函附录</w:t>
      </w:r>
      <w:r>
        <w:rPr>
          <w:rFonts w:hint="eastAsia" w:ascii="宋体" w:hAnsi="宋体"/>
          <w:color w:val="auto"/>
          <w:kern w:val="0"/>
          <w:highlight w:val="none"/>
        </w:rPr>
        <w:t>”承诺，提前竣工奖励为</w:t>
      </w:r>
      <w:r>
        <w:rPr>
          <w:rFonts w:hint="eastAsia" w:ascii="宋体" w:hAnsi="宋体"/>
          <w:color w:val="auto"/>
          <w:kern w:val="0"/>
          <w:highlight w:val="none"/>
          <w:u w:val="single"/>
        </w:rPr>
        <w:t>0元/天</w:t>
      </w:r>
      <w:r>
        <w:rPr>
          <w:rFonts w:hint="eastAsia" w:ascii="宋体" w:hAnsi="宋体"/>
          <w:color w:val="auto"/>
          <w:kern w:val="0"/>
          <w:highlight w:val="none"/>
        </w:rPr>
        <w:t>。</w:t>
      </w:r>
    </w:p>
    <w:p w14:paraId="1A70F609">
      <w:pPr>
        <w:pStyle w:val="469"/>
        <w:spacing w:line="40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8.材料与设备</w:t>
      </w:r>
    </w:p>
    <w:p w14:paraId="42ED1393">
      <w:pPr>
        <w:pStyle w:val="469"/>
        <w:spacing w:line="400" w:lineRule="exact"/>
        <w:ind w:firstLine="422"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8.2承包人采购材料与工程设备</w:t>
      </w:r>
    </w:p>
    <w:p w14:paraId="643106CC">
      <w:pPr>
        <w:pStyle w:val="469"/>
        <w:spacing w:line="400" w:lineRule="exact"/>
        <w:ind w:firstLine="422"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8.2.1（1）承包人采购的材料设备须符合设计和相关标准、规范的要求；主要及重要材料的品牌及价格均应经发包人和其委托的工程师签证确认，特殊材料由发包人确认，价格如无信息价则经双方签证确认，重要材料、设备等，需经发包人确认品牌型号，颜色，规格，尺寸等，承包人方可使用。（2）承包人在定购材料和设备前将材料的样品、质量、品牌、型号、产地等计划内容报给发包人，发包人、监理人认为有必要派员参加选点、看样，其品牌、型号、性能须经发包人、监理人确认后，承包人方可采购。（3）承包人所采购的材料设备应与投标时注明的设备、材料、品牌、生产厂家、产地、规格、型号、性能等相符，进场的材料、设备如需变更，必须符合施工图纸要求及招标文件规定的档次、范围，并经过发包人和监理人同意。（4）承包人未按要求采购设备材料必须承担工程的返工损失和工期、质量的违约责任。（5）承包人应积极配合发包人对材料、设备的确认工作，若因确认工作缓慢影响到工期，承包人应承担相应损失。（6）承包人选用的材料设备品牌应参照招标文件中的参考品牌或采用经各参建方认可的不低于</w:t>
      </w:r>
      <w:bookmarkStart w:id="96" w:name="ed_2017Y11M23D10H12M26"/>
      <w:r>
        <w:rPr>
          <w:rFonts w:hint="eastAsia" w:ascii="宋体" w:hAnsi="宋体" w:eastAsia="宋体"/>
          <w:color w:val="auto"/>
          <w:sz w:val="21"/>
          <w:szCs w:val="21"/>
          <w:highlight w:val="none"/>
        </w:rPr>
        <w:t>参考品牌</w:t>
      </w:r>
      <w:bookmarkEnd w:id="96"/>
      <w:r>
        <w:rPr>
          <w:rFonts w:hint="eastAsia" w:ascii="宋体" w:hAnsi="宋体" w:eastAsia="宋体"/>
          <w:color w:val="auto"/>
          <w:sz w:val="21"/>
          <w:szCs w:val="21"/>
          <w:highlight w:val="none"/>
        </w:rPr>
        <w:t>档次的产品，价格不作调整。</w:t>
      </w:r>
    </w:p>
    <w:p w14:paraId="40DBAAF7">
      <w:pPr>
        <w:pStyle w:val="469"/>
        <w:spacing w:line="400" w:lineRule="exact"/>
        <w:ind w:firstLine="422"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8.4 材料与工程设备的保管与使用</w:t>
      </w:r>
    </w:p>
    <w:p w14:paraId="5B04F37C">
      <w:pPr>
        <w:autoSpaceDE w:val="0"/>
        <w:autoSpaceDN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highlight w:val="none"/>
        </w:rPr>
        <w:t>8.4.1保管费用承担：执行通用条款。</w:t>
      </w:r>
    </w:p>
    <w:p w14:paraId="017A17FD">
      <w:pPr>
        <w:widowControl/>
        <w:snapToGrid w:val="0"/>
        <w:spacing w:line="400" w:lineRule="exact"/>
        <w:ind w:right="26" w:firstLine="422" w:firstLineChars="200"/>
        <w:jc w:val="left"/>
        <w:rPr>
          <w:rFonts w:hint="eastAsia" w:ascii="宋体" w:hAnsi="宋体"/>
          <w:b/>
          <w:color w:val="auto"/>
          <w:highlight w:val="none"/>
        </w:rPr>
      </w:pPr>
      <w:r>
        <w:rPr>
          <w:rFonts w:hint="eastAsia" w:ascii="宋体" w:hAnsi="宋体"/>
          <w:b/>
          <w:color w:val="auto"/>
          <w:highlight w:val="none"/>
        </w:rPr>
        <w:t>8.8施工设备和临时设施</w:t>
      </w:r>
    </w:p>
    <w:p w14:paraId="16296445">
      <w:pPr>
        <w:autoSpaceDE w:val="0"/>
        <w:autoSpaceDN w:val="0"/>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8.8.1承包人提供的施工设备和临时设施</w:t>
      </w:r>
    </w:p>
    <w:p w14:paraId="6025336E">
      <w:pPr>
        <w:widowControl/>
        <w:snapToGrid w:val="0"/>
        <w:spacing w:line="400" w:lineRule="exact"/>
        <w:ind w:right="26" w:firstLine="420" w:firstLineChars="200"/>
        <w:jc w:val="left"/>
        <w:rPr>
          <w:rFonts w:hint="eastAsia" w:ascii="宋体" w:hAnsi="宋体"/>
          <w:color w:val="auto"/>
          <w:kern w:val="0"/>
          <w:highlight w:val="none"/>
        </w:rPr>
      </w:pPr>
      <w:r>
        <w:rPr>
          <w:rFonts w:hint="eastAsia" w:ascii="宋体" w:hAnsi="宋体"/>
          <w:color w:val="auto"/>
          <w:kern w:val="0"/>
          <w:highlight w:val="none"/>
        </w:rPr>
        <w:t>关于修建临时设施费用承担的约定：执行通用条款。</w:t>
      </w:r>
    </w:p>
    <w:p w14:paraId="611275FC">
      <w:pPr>
        <w:pStyle w:val="469"/>
        <w:spacing w:line="4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10.变更</w:t>
      </w:r>
    </w:p>
    <w:p w14:paraId="6E2C96E5">
      <w:pPr>
        <w:pStyle w:val="483"/>
        <w:spacing w:before="120" w:line="440" w:lineRule="exact"/>
        <w:ind w:firstLine="401" w:firstLineChars="190"/>
        <w:rPr>
          <w:rFonts w:hint="eastAsia" w:hAnsi="宋体"/>
          <w:color w:val="auto"/>
          <w:sz w:val="21"/>
          <w:szCs w:val="21"/>
          <w:highlight w:val="none"/>
        </w:rPr>
      </w:pPr>
      <w:r>
        <w:rPr>
          <w:rFonts w:hint="eastAsia" w:hAnsi="宋体"/>
          <w:color w:val="auto"/>
          <w:sz w:val="21"/>
          <w:szCs w:val="21"/>
          <w:highlight w:val="none"/>
        </w:rPr>
        <w:t>10.1变更的范围</w:t>
      </w:r>
    </w:p>
    <w:p w14:paraId="6BD771D0">
      <w:pPr>
        <w:spacing w:line="440" w:lineRule="exact"/>
        <w:ind w:firstLine="420" w:firstLineChars="200"/>
        <w:rPr>
          <w:rFonts w:hint="eastAsia" w:ascii="宋体" w:hAnsi="宋体"/>
          <w:color w:val="auto"/>
          <w:kern w:val="0"/>
          <w:szCs w:val="21"/>
          <w:highlight w:val="none"/>
        </w:rPr>
      </w:pPr>
      <w:r>
        <w:rPr>
          <w:rFonts w:hint="eastAsia" w:ascii="宋体" w:hAnsi="宋体"/>
          <w:color w:val="auto"/>
          <w:kern w:val="0"/>
          <w:highlight w:val="none"/>
        </w:rPr>
        <w:t>合同双方当事人约定：合同履行过程中发生以下情形时，应当按照本约定进行变更。</w:t>
      </w:r>
    </w:p>
    <w:p w14:paraId="2AFFFF26">
      <w:pPr>
        <w:autoSpaceDE w:val="0"/>
        <w:autoSpaceDN w:val="0"/>
        <w:spacing w:before="9" w:line="440" w:lineRule="exact"/>
        <w:ind w:right="-20" w:firstLine="420" w:firstLineChars="200"/>
        <w:rPr>
          <w:rFonts w:hint="eastAsia" w:ascii="宋体" w:hAnsi="宋体"/>
          <w:color w:val="auto"/>
          <w:kern w:val="0"/>
          <w:highlight w:val="none"/>
        </w:rPr>
      </w:pPr>
      <w:r>
        <w:rPr>
          <w:rFonts w:hint="eastAsia" w:ascii="宋体" w:hAnsi="宋体"/>
          <w:color w:val="auto"/>
          <w:kern w:val="0"/>
          <w:highlight w:val="none"/>
        </w:rPr>
        <w:t>1．</w:t>
      </w:r>
      <w:r>
        <w:rPr>
          <w:rFonts w:hint="eastAsia" w:ascii="宋体" w:hAnsi="宋体"/>
          <w:color w:val="auto"/>
          <w:spacing w:val="-2"/>
          <w:kern w:val="0"/>
          <w:highlight w:val="none"/>
        </w:rPr>
        <w:t>法</w:t>
      </w:r>
      <w:r>
        <w:rPr>
          <w:rFonts w:hint="eastAsia" w:ascii="宋体" w:hAnsi="宋体"/>
          <w:color w:val="auto"/>
          <w:kern w:val="0"/>
          <w:highlight w:val="none"/>
        </w:rPr>
        <w:t>律</w:t>
      </w:r>
      <w:r>
        <w:rPr>
          <w:rFonts w:hint="eastAsia" w:ascii="宋体" w:hAnsi="宋体"/>
          <w:color w:val="auto"/>
          <w:spacing w:val="-2"/>
          <w:kern w:val="0"/>
          <w:highlight w:val="none"/>
        </w:rPr>
        <w:t>法</w:t>
      </w:r>
      <w:r>
        <w:rPr>
          <w:rFonts w:hint="eastAsia" w:ascii="宋体" w:hAnsi="宋体"/>
          <w:color w:val="auto"/>
          <w:kern w:val="0"/>
          <w:highlight w:val="none"/>
        </w:rPr>
        <w:t>规</w:t>
      </w:r>
      <w:r>
        <w:rPr>
          <w:rFonts w:hint="eastAsia" w:ascii="宋体" w:hAnsi="宋体"/>
          <w:color w:val="auto"/>
          <w:spacing w:val="-2"/>
          <w:kern w:val="0"/>
          <w:highlight w:val="none"/>
        </w:rPr>
        <w:t>变</w:t>
      </w:r>
      <w:r>
        <w:rPr>
          <w:rFonts w:hint="eastAsia" w:ascii="宋体" w:hAnsi="宋体"/>
          <w:color w:val="auto"/>
          <w:kern w:val="0"/>
          <w:highlight w:val="none"/>
        </w:rPr>
        <w:t>化以及政府主管部门的政策性调整；</w:t>
      </w:r>
    </w:p>
    <w:p w14:paraId="43B124AF">
      <w:pPr>
        <w:autoSpaceDE w:val="0"/>
        <w:autoSpaceDN w:val="0"/>
        <w:spacing w:before="12" w:line="440" w:lineRule="exact"/>
        <w:ind w:right="-20" w:firstLine="420" w:firstLineChars="200"/>
        <w:rPr>
          <w:rFonts w:hint="eastAsia" w:ascii="宋体" w:hAnsi="宋体"/>
          <w:color w:val="auto"/>
          <w:kern w:val="0"/>
          <w:highlight w:val="none"/>
        </w:rPr>
      </w:pPr>
      <w:r>
        <w:rPr>
          <w:rFonts w:hint="eastAsia" w:ascii="宋体" w:hAnsi="宋体"/>
          <w:color w:val="auto"/>
          <w:kern w:val="0"/>
          <w:highlight w:val="none"/>
        </w:rPr>
        <w:t>2．</w:t>
      </w:r>
      <w:r>
        <w:rPr>
          <w:rFonts w:hint="eastAsia" w:ascii="宋体" w:hAnsi="宋体"/>
          <w:color w:val="auto"/>
          <w:spacing w:val="-2"/>
          <w:kern w:val="0"/>
          <w:highlight w:val="none"/>
        </w:rPr>
        <w:t>工</w:t>
      </w:r>
      <w:r>
        <w:rPr>
          <w:rFonts w:hint="eastAsia" w:ascii="宋体" w:hAnsi="宋体"/>
          <w:color w:val="auto"/>
          <w:kern w:val="0"/>
          <w:highlight w:val="none"/>
        </w:rPr>
        <w:t>程</w:t>
      </w:r>
      <w:r>
        <w:rPr>
          <w:rFonts w:hint="eastAsia" w:ascii="宋体" w:hAnsi="宋体"/>
          <w:color w:val="auto"/>
          <w:spacing w:val="-2"/>
          <w:kern w:val="0"/>
          <w:highlight w:val="none"/>
        </w:rPr>
        <w:t>变</w:t>
      </w:r>
      <w:r>
        <w:rPr>
          <w:rFonts w:hint="eastAsia" w:ascii="宋体" w:hAnsi="宋体"/>
          <w:color w:val="auto"/>
          <w:kern w:val="0"/>
          <w:highlight w:val="none"/>
        </w:rPr>
        <w:t>更；</w:t>
      </w:r>
    </w:p>
    <w:p w14:paraId="0AD47A80">
      <w:pPr>
        <w:autoSpaceDE w:val="0"/>
        <w:autoSpaceDN w:val="0"/>
        <w:spacing w:before="12" w:line="440" w:lineRule="exact"/>
        <w:ind w:right="-20" w:firstLine="420" w:firstLineChars="200"/>
        <w:rPr>
          <w:rFonts w:hint="eastAsia" w:ascii="宋体" w:hAnsi="宋体"/>
          <w:color w:val="auto"/>
          <w:kern w:val="0"/>
          <w:highlight w:val="none"/>
        </w:rPr>
      </w:pPr>
      <w:r>
        <w:rPr>
          <w:rFonts w:hint="eastAsia" w:ascii="宋体" w:hAnsi="宋体"/>
          <w:color w:val="auto"/>
          <w:kern w:val="0"/>
          <w:highlight w:val="none"/>
        </w:rPr>
        <w:t>3．项目特征描述不符；</w:t>
      </w:r>
    </w:p>
    <w:p w14:paraId="4EAD6789">
      <w:pPr>
        <w:autoSpaceDE w:val="0"/>
        <w:autoSpaceDN w:val="0"/>
        <w:spacing w:before="12" w:line="440" w:lineRule="exact"/>
        <w:ind w:right="-20" w:firstLine="420" w:firstLineChars="200"/>
        <w:rPr>
          <w:rFonts w:hint="eastAsia" w:ascii="宋体" w:hAnsi="宋体"/>
          <w:color w:val="auto"/>
          <w:kern w:val="0"/>
          <w:highlight w:val="none"/>
        </w:rPr>
      </w:pPr>
      <w:r>
        <w:rPr>
          <w:rFonts w:hint="eastAsia" w:ascii="宋体" w:hAnsi="宋体"/>
          <w:color w:val="auto"/>
          <w:kern w:val="0"/>
          <w:highlight w:val="none"/>
        </w:rPr>
        <w:t>4．工程量清单缺项；</w:t>
      </w:r>
    </w:p>
    <w:p w14:paraId="5683BA4F">
      <w:pPr>
        <w:autoSpaceDE w:val="0"/>
        <w:autoSpaceDN w:val="0"/>
        <w:spacing w:before="12" w:line="440" w:lineRule="exact"/>
        <w:ind w:right="-20" w:firstLine="420" w:firstLineChars="200"/>
        <w:rPr>
          <w:rFonts w:hint="eastAsia" w:ascii="宋体" w:hAnsi="宋体"/>
          <w:color w:val="auto"/>
          <w:kern w:val="0"/>
          <w:highlight w:val="none"/>
        </w:rPr>
      </w:pPr>
      <w:r>
        <w:rPr>
          <w:rFonts w:hint="eastAsia" w:ascii="宋体" w:hAnsi="宋体"/>
          <w:color w:val="auto"/>
          <w:kern w:val="0"/>
          <w:highlight w:val="none"/>
        </w:rPr>
        <w:t>5．工程量偏差；</w:t>
      </w:r>
    </w:p>
    <w:p w14:paraId="7BD98732">
      <w:pPr>
        <w:autoSpaceDE w:val="0"/>
        <w:autoSpaceDN w:val="0"/>
        <w:spacing w:before="12" w:line="440" w:lineRule="exact"/>
        <w:ind w:right="-20" w:firstLine="420" w:firstLineChars="200"/>
        <w:rPr>
          <w:rFonts w:hint="eastAsia" w:ascii="宋体" w:hAnsi="宋体"/>
          <w:color w:val="auto"/>
          <w:kern w:val="0"/>
          <w:highlight w:val="none"/>
        </w:rPr>
      </w:pPr>
      <w:r>
        <w:rPr>
          <w:rFonts w:hint="eastAsia" w:ascii="宋体" w:hAnsi="宋体"/>
          <w:color w:val="auto"/>
          <w:kern w:val="0"/>
          <w:highlight w:val="none"/>
        </w:rPr>
        <w:t>6．物价变化；</w:t>
      </w:r>
    </w:p>
    <w:p w14:paraId="2C5108CA">
      <w:pPr>
        <w:autoSpaceDE w:val="0"/>
        <w:autoSpaceDN w:val="0"/>
        <w:spacing w:before="12" w:line="440" w:lineRule="exact"/>
        <w:ind w:right="-20" w:firstLine="420" w:firstLineChars="200"/>
        <w:rPr>
          <w:rFonts w:hint="eastAsia" w:ascii="宋体" w:hAnsi="宋体"/>
          <w:color w:val="auto"/>
          <w:kern w:val="0"/>
          <w:highlight w:val="none"/>
        </w:rPr>
      </w:pPr>
      <w:r>
        <w:rPr>
          <w:rFonts w:hint="eastAsia" w:ascii="宋体" w:hAnsi="宋体"/>
          <w:color w:val="auto"/>
          <w:kern w:val="0"/>
          <w:highlight w:val="none"/>
        </w:rPr>
        <w:t>7．暂估价；</w:t>
      </w:r>
    </w:p>
    <w:p w14:paraId="5AB82CD4">
      <w:pPr>
        <w:autoSpaceDE w:val="0"/>
        <w:autoSpaceDN w:val="0"/>
        <w:spacing w:before="12" w:line="440" w:lineRule="exact"/>
        <w:ind w:right="-20" w:firstLine="420" w:firstLineChars="200"/>
        <w:rPr>
          <w:rFonts w:hint="eastAsia" w:ascii="宋体" w:hAnsi="宋体"/>
          <w:color w:val="auto"/>
          <w:kern w:val="0"/>
          <w:highlight w:val="none"/>
        </w:rPr>
      </w:pPr>
      <w:r>
        <w:rPr>
          <w:rFonts w:hint="eastAsia" w:ascii="宋体" w:hAnsi="宋体"/>
          <w:color w:val="auto"/>
          <w:kern w:val="0"/>
          <w:highlight w:val="none"/>
        </w:rPr>
        <w:t>8．计日工；</w:t>
      </w:r>
    </w:p>
    <w:p w14:paraId="62509020">
      <w:pPr>
        <w:autoSpaceDE w:val="0"/>
        <w:autoSpaceDN w:val="0"/>
        <w:spacing w:before="12" w:line="440" w:lineRule="exact"/>
        <w:ind w:right="-20" w:firstLine="420" w:firstLineChars="200"/>
        <w:rPr>
          <w:rFonts w:hint="eastAsia" w:ascii="宋体" w:hAnsi="宋体"/>
          <w:color w:val="auto"/>
          <w:kern w:val="0"/>
          <w:highlight w:val="none"/>
        </w:rPr>
      </w:pPr>
      <w:r>
        <w:rPr>
          <w:rFonts w:hint="eastAsia" w:ascii="宋体" w:hAnsi="宋体"/>
          <w:color w:val="auto"/>
          <w:kern w:val="0"/>
          <w:highlight w:val="none"/>
        </w:rPr>
        <w:t>9．现场签证；</w:t>
      </w:r>
    </w:p>
    <w:p w14:paraId="1135F63A">
      <w:pPr>
        <w:autoSpaceDE w:val="0"/>
        <w:autoSpaceDN w:val="0"/>
        <w:spacing w:before="12" w:line="440" w:lineRule="exact"/>
        <w:ind w:right="-20" w:firstLine="420" w:firstLineChars="200"/>
        <w:rPr>
          <w:rFonts w:hint="eastAsia" w:ascii="宋体" w:hAnsi="宋体"/>
          <w:color w:val="auto"/>
          <w:kern w:val="0"/>
          <w:highlight w:val="none"/>
        </w:rPr>
      </w:pPr>
      <w:r>
        <w:rPr>
          <w:rFonts w:hint="eastAsia" w:ascii="宋体" w:hAnsi="宋体"/>
          <w:color w:val="auto"/>
          <w:kern w:val="0"/>
          <w:highlight w:val="none"/>
        </w:rPr>
        <w:t>10．不可抗力；</w:t>
      </w:r>
    </w:p>
    <w:p w14:paraId="32B9AA92">
      <w:pPr>
        <w:autoSpaceDE w:val="0"/>
        <w:autoSpaceDN w:val="0"/>
        <w:spacing w:before="12" w:line="440" w:lineRule="exact"/>
        <w:ind w:right="-20" w:firstLine="420" w:firstLineChars="200"/>
        <w:rPr>
          <w:rFonts w:hint="eastAsia" w:ascii="宋体" w:hAnsi="宋体"/>
          <w:color w:val="auto"/>
          <w:kern w:val="0"/>
          <w:highlight w:val="none"/>
        </w:rPr>
      </w:pPr>
      <w:r>
        <w:rPr>
          <w:rFonts w:hint="eastAsia" w:ascii="宋体" w:hAnsi="宋体"/>
          <w:color w:val="auto"/>
          <w:kern w:val="0"/>
          <w:highlight w:val="none"/>
        </w:rPr>
        <w:t>11．提前竣工（赶工补偿）</w:t>
      </w:r>
    </w:p>
    <w:p w14:paraId="071AA5EA">
      <w:pPr>
        <w:autoSpaceDE w:val="0"/>
        <w:autoSpaceDN w:val="0"/>
        <w:spacing w:before="12" w:line="440" w:lineRule="exact"/>
        <w:ind w:right="-20" w:firstLine="420" w:firstLineChars="200"/>
        <w:rPr>
          <w:rFonts w:hint="eastAsia" w:ascii="宋体" w:hAnsi="宋体"/>
          <w:color w:val="auto"/>
          <w:kern w:val="0"/>
          <w:highlight w:val="none"/>
        </w:rPr>
      </w:pPr>
      <w:r>
        <w:rPr>
          <w:rFonts w:hint="eastAsia" w:ascii="宋体" w:hAnsi="宋体"/>
          <w:color w:val="auto"/>
          <w:kern w:val="0"/>
          <w:highlight w:val="none"/>
        </w:rPr>
        <w:t>12．误期赔偿；</w:t>
      </w:r>
    </w:p>
    <w:p w14:paraId="71871259">
      <w:pPr>
        <w:autoSpaceDE w:val="0"/>
        <w:autoSpaceDN w:val="0"/>
        <w:spacing w:before="12" w:line="440" w:lineRule="exact"/>
        <w:ind w:right="-20" w:firstLine="420" w:firstLineChars="200"/>
        <w:rPr>
          <w:rFonts w:hint="eastAsia" w:ascii="宋体" w:hAnsi="宋体"/>
          <w:color w:val="auto"/>
          <w:kern w:val="0"/>
          <w:highlight w:val="none"/>
        </w:rPr>
      </w:pPr>
      <w:r>
        <w:rPr>
          <w:rFonts w:hint="eastAsia" w:ascii="宋体" w:hAnsi="宋体"/>
          <w:color w:val="auto"/>
          <w:kern w:val="0"/>
          <w:highlight w:val="none"/>
        </w:rPr>
        <w:t>13．施工索赔；</w:t>
      </w:r>
    </w:p>
    <w:p w14:paraId="4E3F09C3">
      <w:pPr>
        <w:autoSpaceDE w:val="0"/>
        <w:autoSpaceDN w:val="0"/>
        <w:spacing w:before="12" w:line="440" w:lineRule="exact"/>
        <w:ind w:right="-20" w:firstLine="420" w:firstLineChars="200"/>
        <w:rPr>
          <w:rFonts w:hint="eastAsia" w:ascii="宋体" w:hAnsi="宋体"/>
          <w:color w:val="auto"/>
          <w:kern w:val="0"/>
          <w:highlight w:val="none"/>
        </w:rPr>
      </w:pPr>
      <w:r>
        <w:rPr>
          <w:rFonts w:hint="eastAsia" w:ascii="宋体" w:hAnsi="宋体"/>
          <w:color w:val="auto"/>
          <w:kern w:val="0"/>
          <w:highlight w:val="none"/>
        </w:rPr>
        <w:t>14．暂列金额；</w:t>
      </w:r>
    </w:p>
    <w:p w14:paraId="03B32D52">
      <w:pPr>
        <w:autoSpaceDE w:val="0"/>
        <w:autoSpaceDN w:val="0"/>
        <w:spacing w:before="9" w:line="440" w:lineRule="exact"/>
        <w:ind w:right="-23" w:firstLine="420" w:firstLineChars="200"/>
        <w:jc w:val="left"/>
        <w:rPr>
          <w:rFonts w:hint="eastAsia" w:ascii="宋体" w:hAnsi="宋体"/>
          <w:color w:val="auto"/>
          <w:kern w:val="0"/>
          <w:highlight w:val="none"/>
        </w:rPr>
      </w:pPr>
      <w:r>
        <w:rPr>
          <w:rFonts w:hint="eastAsia" w:ascii="宋体" w:hAnsi="宋体"/>
          <w:color w:val="auto"/>
          <w:kern w:val="0"/>
          <w:highlight w:val="none"/>
        </w:rPr>
        <w:t>15．</w:t>
      </w:r>
      <w:r>
        <w:rPr>
          <w:rFonts w:hint="eastAsia" w:ascii="宋体" w:hAnsi="宋体"/>
          <w:color w:val="auto"/>
          <w:spacing w:val="-2"/>
          <w:kern w:val="0"/>
          <w:highlight w:val="none"/>
        </w:rPr>
        <w:t>发</w:t>
      </w:r>
      <w:r>
        <w:rPr>
          <w:rFonts w:hint="eastAsia" w:ascii="宋体" w:hAnsi="宋体"/>
          <w:color w:val="auto"/>
          <w:kern w:val="0"/>
          <w:highlight w:val="none"/>
        </w:rPr>
        <w:t>承</w:t>
      </w:r>
      <w:r>
        <w:rPr>
          <w:rFonts w:hint="eastAsia" w:ascii="宋体" w:hAnsi="宋体"/>
          <w:color w:val="auto"/>
          <w:spacing w:val="-2"/>
          <w:kern w:val="0"/>
          <w:highlight w:val="none"/>
        </w:rPr>
        <w:t>包</w:t>
      </w:r>
      <w:r>
        <w:rPr>
          <w:rFonts w:hint="eastAsia" w:ascii="宋体" w:hAnsi="宋体"/>
          <w:color w:val="auto"/>
          <w:kern w:val="0"/>
          <w:highlight w:val="none"/>
        </w:rPr>
        <w:t>双</w:t>
      </w:r>
      <w:r>
        <w:rPr>
          <w:rFonts w:hint="eastAsia" w:ascii="宋体" w:hAnsi="宋体"/>
          <w:color w:val="auto"/>
          <w:spacing w:val="-2"/>
          <w:kern w:val="0"/>
          <w:highlight w:val="none"/>
        </w:rPr>
        <w:t>方</w:t>
      </w:r>
      <w:r>
        <w:rPr>
          <w:rFonts w:hint="eastAsia" w:ascii="宋体" w:hAnsi="宋体"/>
          <w:color w:val="auto"/>
          <w:kern w:val="0"/>
          <w:highlight w:val="none"/>
        </w:rPr>
        <w:t>约</w:t>
      </w:r>
      <w:r>
        <w:rPr>
          <w:rFonts w:hint="eastAsia" w:ascii="宋体" w:hAnsi="宋体"/>
          <w:color w:val="auto"/>
          <w:spacing w:val="-2"/>
          <w:kern w:val="0"/>
          <w:highlight w:val="none"/>
        </w:rPr>
        <w:t>定</w:t>
      </w:r>
      <w:r>
        <w:rPr>
          <w:rFonts w:hint="eastAsia" w:ascii="宋体" w:hAnsi="宋体"/>
          <w:color w:val="auto"/>
          <w:kern w:val="0"/>
          <w:highlight w:val="none"/>
        </w:rPr>
        <w:t>的</w:t>
      </w:r>
      <w:r>
        <w:rPr>
          <w:rFonts w:hint="eastAsia" w:ascii="宋体" w:hAnsi="宋体"/>
          <w:color w:val="auto"/>
          <w:spacing w:val="-2"/>
          <w:kern w:val="0"/>
          <w:highlight w:val="none"/>
        </w:rPr>
        <w:t>其</w:t>
      </w:r>
      <w:r>
        <w:rPr>
          <w:rFonts w:hint="eastAsia" w:ascii="宋体" w:hAnsi="宋体"/>
          <w:color w:val="auto"/>
          <w:kern w:val="0"/>
          <w:highlight w:val="none"/>
        </w:rPr>
        <w:t>他调</w:t>
      </w:r>
      <w:r>
        <w:rPr>
          <w:rFonts w:hint="eastAsia" w:ascii="宋体" w:hAnsi="宋体"/>
          <w:color w:val="auto"/>
          <w:spacing w:val="-2"/>
          <w:kern w:val="0"/>
          <w:highlight w:val="none"/>
        </w:rPr>
        <w:t>整</w:t>
      </w:r>
      <w:r>
        <w:rPr>
          <w:rFonts w:hint="eastAsia" w:ascii="宋体" w:hAnsi="宋体"/>
          <w:color w:val="auto"/>
          <w:kern w:val="0"/>
          <w:highlight w:val="none"/>
        </w:rPr>
        <w:t>事项</w:t>
      </w:r>
      <w:r>
        <w:rPr>
          <w:rFonts w:hint="eastAsia" w:ascii="宋体" w:hAnsi="宋体"/>
          <w:color w:val="auto"/>
          <w:kern w:val="0"/>
          <w:highlight w:val="none"/>
          <w:u w:val="single"/>
        </w:rPr>
        <w:t xml:space="preserve">   /   。</w:t>
      </w:r>
    </w:p>
    <w:p w14:paraId="470BF17B">
      <w:pPr>
        <w:pStyle w:val="483"/>
        <w:spacing w:before="120" w:line="440" w:lineRule="exact"/>
        <w:ind w:firstLine="310" w:firstLineChars="147"/>
        <w:rPr>
          <w:rFonts w:hint="eastAsia" w:hAnsi="宋体"/>
          <w:color w:val="auto"/>
          <w:sz w:val="21"/>
          <w:szCs w:val="21"/>
          <w:highlight w:val="none"/>
        </w:rPr>
      </w:pPr>
      <w:r>
        <w:rPr>
          <w:rFonts w:hint="eastAsia" w:hAnsi="宋体"/>
          <w:color w:val="auto"/>
          <w:sz w:val="21"/>
          <w:szCs w:val="21"/>
          <w:highlight w:val="none"/>
        </w:rPr>
        <w:t>10.4 变更估价</w:t>
      </w:r>
    </w:p>
    <w:p w14:paraId="238CAD41">
      <w:pPr>
        <w:spacing w:line="440" w:lineRule="exact"/>
        <w:ind w:firstLine="420" w:firstLineChars="200"/>
        <w:rPr>
          <w:rFonts w:hint="eastAsia" w:ascii="宋体" w:hAnsi="宋体"/>
          <w:color w:val="auto"/>
          <w:kern w:val="0"/>
          <w:szCs w:val="21"/>
          <w:highlight w:val="none"/>
        </w:rPr>
      </w:pPr>
      <w:r>
        <w:rPr>
          <w:rFonts w:hint="eastAsia" w:ascii="宋体" w:hAnsi="宋体"/>
          <w:color w:val="auto"/>
          <w:kern w:val="0"/>
          <w:highlight w:val="none"/>
        </w:rPr>
        <w:t>10.4.1 变更估价原则</w:t>
      </w:r>
    </w:p>
    <w:p w14:paraId="5BEE268D">
      <w:pPr>
        <w:spacing w:line="440" w:lineRule="exact"/>
        <w:ind w:firstLine="420" w:firstLineChars="200"/>
        <w:rPr>
          <w:rFonts w:hint="eastAsia" w:ascii="宋体" w:hAnsi="宋体"/>
          <w:color w:val="auto"/>
          <w:kern w:val="0"/>
          <w:highlight w:val="none"/>
        </w:rPr>
      </w:pPr>
      <w:r>
        <w:rPr>
          <w:rFonts w:hint="eastAsia" w:ascii="宋体" w:hAnsi="宋体"/>
          <w:color w:val="auto"/>
          <w:kern w:val="0"/>
          <w:highlight w:val="none"/>
        </w:rPr>
        <w:t>10.4.1.1 关于变更单价的约定：</w:t>
      </w:r>
    </w:p>
    <w:p w14:paraId="3B6B47DD">
      <w:pPr>
        <w:autoSpaceDE w:val="0"/>
        <w:autoSpaceDN w:val="0"/>
        <w:spacing w:before="9" w:line="440" w:lineRule="exact"/>
        <w:ind w:right="-20" w:firstLine="420" w:firstLineChars="200"/>
        <w:rPr>
          <w:rFonts w:hint="eastAsia" w:ascii="宋体" w:hAnsi="宋体"/>
          <w:color w:val="auto"/>
          <w:kern w:val="0"/>
          <w:highlight w:val="none"/>
        </w:rPr>
      </w:pPr>
      <w:r>
        <w:rPr>
          <w:rFonts w:hint="eastAsia" w:ascii="宋体" w:hAnsi="宋体"/>
          <w:color w:val="auto"/>
          <w:kern w:val="0"/>
          <w:highlight w:val="none"/>
        </w:rPr>
        <w:t>（1）已标价的工程量清单或预算书有相同项目的，按照相同项目单价认定 。</w:t>
      </w:r>
    </w:p>
    <w:p w14:paraId="5A211BB8">
      <w:pPr>
        <w:spacing w:line="440" w:lineRule="exact"/>
        <w:ind w:firstLine="420" w:firstLineChars="200"/>
        <w:rPr>
          <w:rFonts w:hint="eastAsia" w:ascii="宋体" w:hAnsi="宋体"/>
          <w:color w:val="auto"/>
          <w:kern w:val="0"/>
          <w:highlight w:val="none"/>
        </w:rPr>
      </w:pPr>
      <w:r>
        <w:rPr>
          <w:rFonts w:hint="eastAsia" w:ascii="宋体" w:hAnsi="宋体"/>
          <w:color w:val="auto"/>
          <w:kern w:val="0"/>
          <w:highlight w:val="none"/>
        </w:rPr>
        <w:t>（2）已标价的工程量清单或预算书中无相同项目，但有类似项目的，参照类似项目单价（若有二个及以上类似项目且单价不一致的，参照单价较低的类似项目单价）按以下原则计算确定：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19AB13A1">
      <w:pPr>
        <w:spacing w:line="440" w:lineRule="exact"/>
        <w:ind w:firstLine="420" w:firstLineChars="200"/>
        <w:rPr>
          <w:rFonts w:hint="eastAsia" w:ascii="宋体" w:hAnsi="宋体"/>
          <w:color w:val="auto"/>
          <w:kern w:val="0"/>
          <w:highlight w:val="none"/>
        </w:rPr>
      </w:pPr>
      <w:r>
        <w:rPr>
          <w:rFonts w:hint="eastAsia" w:ascii="宋体" w:hAnsi="宋体"/>
          <w:color w:val="auto"/>
          <w:kern w:val="0"/>
          <w:highlight w:val="none"/>
        </w:rPr>
        <w:t>（3）当实际工程量与招标工程量清单或预算书中列明的该项工程量出现偏差时，该部分单价可选</w:t>
      </w:r>
      <w:r>
        <w:rPr>
          <w:rFonts w:hint="eastAsia" w:ascii="宋体" w:hAnsi="宋体"/>
          <w:color w:val="auto"/>
          <w:kern w:val="0"/>
          <w:highlight w:val="none"/>
          <w:u w:val="single"/>
        </w:rPr>
        <w:t xml:space="preserve">A  </w:t>
      </w:r>
      <w:r>
        <w:rPr>
          <w:rFonts w:hint="eastAsia" w:ascii="宋体" w:hAnsi="宋体"/>
          <w:color w:val="auto"/>
          <w:kern w:val="0"/>
          <w:highlight w:val="none"/>
        </w:rPr>
        <w:t>（ A/ B）方式调整：</w:t>
      </w:r>
    </w:p>
    <w:p w14:paraId="79DC409C">
      <w:pPr>
        <w:spacing w:line="440" w:lineRule="exact"/>
        <w:ind w:firstLine="420" w:firstLineChars="200"/>
        <w:rPr>
          <w:rFonts w:hint="eastAsia" w:ascii="宋体" w:hAnsi="宋体"/>
          <w:color w:val="auto"/>
          <w:kern w:val="0"/>
          <w:highlight w:val="none"/>
        </w:rPr>
      </w:pPr>
      <w:r>
        <w:rPr>
          <w:rFonts w:hint="eastAsia" w:ascii="宋体" w:hAnsi="宋体"/>
          <w:color w:val="auto"/>
          <w:kern w:val="0"/>
          <w:highlight w:val="none"/>
        </w:rPr>
        <w:t>A.变更导致实际完成的变更工程量与已标价的工程量清单或预算书中列明的该项目工程量的变化幅度超过15%的，增加部分的工程量的综合单价（或工料单价）应予调整；当工程量减少15%以上时，减少后剩余部分的工程量的综合单价（或工料单价）应予调整。</w:t>
      </w:r>
    </w:p>
    <w:p w14:paraId="1C09E995">
      <w:pPr>
        <w:spacing w:line="440" w:lineRule="exact"/>
        <w:ind w:firstLine="420" w:firstLineChars="200"/>
        <w:rPr>
          <w:rFonts w:hint="eastAsia" w:ascii="宋体" w:hAnsi="宋体"/>
          <w:color w:val="auto"/>
          <w:kern w:val="0"/>
          <w:highlight w:val="none"/>
        </w:rPr>
      </w:pPr>
      <w:r>
        <w:rPr>
          <w:rFonts w:hint="eastAsia" w:ascii="宋体" w:hAnsi="宋体"/>
          <w:color w:val="auto"/>
          <w:kern w:val="0"/>
          <w:highlight w:val="none"/>
        </w:rPr>
        <w:t>B.合价金额占合同总价2%及以上的分部分项清单项目，其工程量增加或减少超过本项目工程量15%及以上时，或合价金额占合同总价不到2%的分部分项清单项目，但其工程量增加或减少超过本项目工程数量25%及以上时，其增加部分工程量或减少后剩余部分工程量的相应单价应予调整。</w:t>
      </w:r>
    </w:p>
    <w:p w14:paraId="68242B0D">
      <w:pPr>
        <w:spacing w:line="366" w:lineRule="exact"/>
        <w:ind w:firstLine="420" w:firstLineChars="200"/>
        <w:rPr>
          <w:rFonts w:hint="eastAsia" w:ascii="宋体" w:hAnsi="宋体"/>
          <w:bCs/>
          <w:color w:val="auto"/>
          <w:highlight w:val="none"/>
        </w:rPr>
      </w:pPr>
      <w:r>
        <w:rPr>
          <w:rFonts w:hint="eastAsia" w:ascii="宋体" w:hAnsi="宋体"/>
          <w:color w:val="auto"/>
          <w:kern w:val="0"/>
          <w:highlight w:val="none"/>
        </w:rPr>
        <w:t>（4）已标价的工程量清单或预算书中无相同项目及类似项目单价的，应由承包人根据变更工程资料、计量规则和计价办法、工程造价管理机构发布的信息价格和承包人报价浮动率提出变更工程项目的单价，并应报发包人确认后调整。浮动率=（中标价/招标控制价—1）*100%</w:t>
      </w:r>
      <w:r>
        <w:rPr>
          <w:rFonts w:hint="eastAsia" w:ascii="宋体" w:hAnsi="宋体"/>
          <w:color w:val="auto"/>
          <w:kern w:val="0"/>
          <w:sz w:val="22"/>
          <w:szCs w:val="22"/>
          <w:highlight w:val="none"/>
        </w:rPr>
        <w:t>（即浮动率为</w:t>
      </w:r>
      <w:r>
        <w:rPr>
          <w:rFonts w:hint="eastAsia" w:ascii="宋体" w:hAnsi="宋体"/>
          <w:color w:val="auto"/>
          <w:kern w:val="0"/>
          <w:sz w:val="22"/>
          <w:szCs w:val="22"/>
          <w:highlight w:val="none"/>
          <w:u w:val="single"/>
        </w:rPr>
        <w:t xml:space="preserve">    %</w:t>
      </w:r>
      <w:r>
        <w:rPr>
          <w:rFonts w:hint="eastAsia" w:ascii="宋体" w:hAnsi="宋体"/>
          <w:color w:val="auto"/>
          <w:kern w:val="0"/>
          <w:sz w:val="22"/>
          <w:szCs w:val="22"/>
          <w:highlight w:val="none"/>
        </w:rPr>
        <w:t>）</w:t>
      </w:r>
      <w:r>
        <w:rPr>
          <w:rFonts w:hint="eastAsia" w:ascii="宋体" w:hAnsi="宋体"/>
          <w:color w:val="auto"/>
          <w:kern w:val="0"/>
          <w:highlight w:val="none"/>
        </w:rPr>
        <w:t>，中标价及招标控制价均指剔除了暂估价、暂列金额以及不可竞争费后的价格。</w:t>
      </w:r>
    </w:p>
    <w:p w14:paraId="09B89775">
      <w:pPr>
        <w:spacing w:line="440" w:lineRule="exact"/>
        <w:ind w:firstLine="420" w:firstLineChars="200"/>
        <w:rPr>
          <w:rFonts w:hint="eastAsia" w:ascii="宋体" w:hAnsi="宋体"/>
          <w:color w:val="auto"/>
          <w:kern w:val="0"/>
          <w:highlight w:val="none"/>
        </w:rPr>
      </w:pPr>
      <w:r>
        <w:rPr>
          <w:rFonts w:hint="eastAsia" w:ascii="宋体" w:hAnsi="宋体"/>
          <w:color w:val="auto"/>
          <w:kern w:val="0"/>
          <w:highlight w:val="none"/>
        </w:rPr>
        <w:t>（5）已标价的工程量清单或预算书中无相同项目及类似项目单价的，且工程造价管理机构发布的信息价格缺价的，应由承包人根据变更工程资料、计量规则和计价办法和通过市场询查等取得有合法依据的市场价格提出变更工程项目的单价，并应报发包人确认后调整。</w:t>
      </w:r>
    </w:p>
    <w:p w14:paraId="6F3BE24C">
      <w:pPr>
        <w:spacing w:line="440" w:lineRule="exact"/>
        <w:ind w:firstLine="420" w:firstLineChars="200"/>
        <w:rPr>
          <w:rFonts w:hint="eastAsia" w:ascii="宋体" w:hAnsi="宋体"/>
          <w:color w:val="auto"/>
          <w:kern w:val="0"/>
          <w:highlight w:val="none"/>
        </w:rPr>
      </w:pPr>
      <w:r>
        <w:rPr>
          <w:rFonts w:hint="eastAsia" w:ascii="宋体" w:hAnsi="宋体"/>
          <w:color w:val="auto"/>
          <w:kern w:val="0"/>
          <w:highlight w:val="none"/>
        </w:rPr>
        <w:t>（6）施工中出现施工图纸或设计变更与工程量清单项目特征描述不符的，发承包双方应按新的项目特征确定相应工程量清单项目，按本条款（1）—（5）的规定重新确定相应工程量清单或预算书项目的综合单价，并调整合同价格。</w:t>
      </w:r>
    </w:p>
    <w:p w14:paraId="751FC893">
      <w:pPr>
        <w:spacing w:line="440" w:lineRule="exact"/>
        <w:ind w:firstLine="420" w:firstLineChars="200"/>
        <w:rPr>
          <w:rFonts w:hint="eastAsia" w:ascii="宋体" w:hAnsi="宋体"/>
          <w:color w:val="auto"/>
          <w:kern w:val="0"/>
          <w:highlight w:val="none"/>
        </w:rPr>
      </w:pPr>
      <w:r>
        <w:rPr>
          <w:rFonts w:hint="eastAsia" w:ascii="宋体" w:hAnsi="宋体"/>
          <w:color w:val="auto"/>
          <w:kern w:val="0"/>
          <w:highlight w:val="none"/>
        </w:rPr>
        <w:t>（7）重新组价计价依据及规则：</w:t>
      </w:r>
    </w:p>
    <w:p w14:paraId="76B92B2F">
      <w:pPr>
        <w:numPr>
          <w:ilvl w:val="0"/>
          <w:numId w:val="0"/>
        </w:numPr>
        <w:spacing w:line="360" w:lineRule="auto"/>
        <w:ind w:right="600" w:rightChars="0" w:firstLine="420" w:firstLineChars="200"/>
        <w:rPr>
          <w:rFonts w:hint="eastAsia" w:ascii="宋体" w:hAnsi="宋体"/>
          <w:color w:val="auto"/>
          <w:kern w:val="0"/>
          <w:highlight w:val="none"/>
          <w:lang w:val="en-US" w:eastAsia="zh-CN"/>
        </w:rPr>
      </w:pPr>
      <w:r>
        <w:rPr>
          <w:rFonts w:hint="eastAsia" w:ascii="宋体" w:hAnsi="宋体"/>
          <w:color w:val="auto"/>
          <w:kern w:val="0"/>
          <w:highlight w:val="none"/>
        </w:rPr>
        <w:t>①计价依据：施工图纸、图纸答疑和智能化设备参数清单等、《建设工程工程量清单计价规范》（GB50500-2013）及相应的工程量计算规范、《浙江省建设工程计价规则》（2018版）、浙江省房屋建筑与装饰工程预算定额》（2018版）、《浙江省通用安装工程预算定额》（2018版）、《浙江省市政工程预算定额》（2018版）、《浙江省建设工程施工费用定额》（2018版）、《浙江省施工机械台班费用定额》（2018版）、《宁波建设工程造价信息》（综合版）、《浙江造价信息》、省、市建设和造价管理机构颁发的有关文件和图集等。</w:t>
      </w:r>
    </w:p>
    <w:p w14:paraId="5C3077A7">
      <w:pPr>
        <w:spacing w:line="440" w:lineRule="exact"/>
        <w:ind w:firstLine="420" w:firstLineChars="200"/>
        <w:rPr>
          <w:rFonts w:hint="eastAsia" w:ascii="宋体" w:hAnsi="宋体"/>
          <w:color w:val="auto"/>
          <w:kern w:val="0"/>
          <w:highlight w:val="none"/>
        </w:rPr>
      </w:pPr>
      <w:r>
        <w:rPr>
          <w:rFonts w:hint="eastAsia" w:ascii="宋体" w:hAnsi="宋体"/>
          <w:color w:val="auto"/>
          <w:kern w:val="0"/>
          <w:highlight w:val="none"/>
        </w:rPr>
        <w:t>②人工、材料信息价：人工、材料价格按《宁波建设工程造价信息（综合版）》2024年6月刊计取，其中材料价格参考综合版市区栏，《宁波建设工程造价信息（综合版）》缺项的按照《浙江造价信息》2024年6月刊；无信息价材料采用除税市场价计入</w:t>
      </w:r>
      <w:r>
        <w:rPr>
          <w:rFonts w:hint="eastAsia" w:ascii="宋体" w:hAnsi="宋体"/>
          <w:color w:val="auto"/>
          <w:kern w:val="0"/>
          <w:highlight w:val="none"/>
          <w:lang w:eastAsia="zh-CN"/>
        </w:rPr>
        <w:t>。</w:t>
      </w:r>
    </w:p>
    <w:p w14:paraId="7865D76A">
      <w:pPr>
        <w:spacing w:line="440" w:lineRule="exact"/>
        <w:ind w:firstLine="420" w:firstLineChars="200"/>
        <w:rPr>
          <w:rFonts w:hint="eastAsia" w:ascii="宋体" w:hAnsi="宋体"/>
          <w:color w:val="auto"/>
          <w:kern w:val="0"/>
          <w:highlight w:val="none"/>
        </w:rPr>
      </w:pPr>
      <w:r>
        <w:rPr>
          <w:rFonts w:hint="eastAsia" w:ascii="宋体" w:hAnsi="宋体"/>
          <w:color w:val="auto"/>
          <w:kern w:val="0"/>
          <w:highlight w:val="none"/>
        </w:rPr>
        <w:t>③取费标准：</w:t>
      </w:r>
    </w:p>
    <w:p w14:paraId="6BD67BD6">
      <w:pPr>
        <w:spacing w:line="440" w:lineRule="exact"/>
        <w:ind w:firstLine="420" w:firstLineChars="200"/>
        <w:rPr>
          <w:rFonts w:hint="eastAsia" w:ascii="宋体" w:hAnsi="宋体"/>
          <w:color w:val="auto"/>
          <w:kern w:val="0"/>
          <w:highlight w:val="none"/>
        </w:rPr>
      </w:pPr>
      <w:r>
        <w:rPr>
          <w:rFonts w:hint="eastAsia" w:ascii="宋体" w:hAnsi="宋体"/>
          <w:color w:val="auto"/>
          <w:kern w:val="0"/>
          <w:highlight w:val="none"/>
        </w:rPr>
        <w:t>1）企业管理费：建筑装饰工程按房屋建筑及构筑物工程一般计税费率中值计取；安装工程按水、电、暖通、消防、智能、自控及通信安装工程一般计税费率中值计取；市政工程按 道路、排水、河道护岸、水处理构筑物及城市综合管廊、生活垃圾处理工程一般计税费率中值计取；</w:t>
      </w:r>
    </w:p>
    <w:p w14:paraId="7E2E52B7">
      <w:pPr>
        <w:spacing w:line="440" w:lineRule="exact"/>
        <w:ind w:firstLine="420" w:firstLineChars="200"/>
        <w:rPr>
          <w:rFonts w:hint="eastAsia" w:ascii="宋体" w:hAnsi="宋体"/>
          <w:color w:val="auto"/>
          <w:kern w:val="0"/>
          <w:highlight w:val="none"/>
        </w:rPr>
      </w:pPr>
      <w:r>
        <w:rPr>
          <w:rFonts w:hint="eastAsia" w:ascii="宋体" w:hAnsi="宋体"/>
          <w:color w:val="auto"/>
          <w:kern w:val="0"/>
          <w:highlight w:val="none"/>
        </w:rPr>
        <w:t>2）利润：建筑装饰工程按房屋建筑及构筑物工程一般计税费率中值计取；安装工程按水、电、暖通、消防、智能、自控及通信安装工程一般计税费率中值计取；市政工程按 道路、排水、河道护岸、水处理构筑物及城市综合管廊、生活垃圾处理工程一般计税费率中值计取；</w:t>
      </w:r>
    </w:p>
    <w:p w14:paraId="111B3F31">
      <w:pPr>
        <w:spacing w:line="440" w:lineRule="exact"/>
        <w:ind w:firstLine="420" w:firstLineChars="200"/>
        <w:rPr>
          <w:rFonts w:hint="eastAsia" w:ascii="宋体" w:hAnsi="宋体"/>
          <w:color w:val="auto"/>
          <w:kern w:val="0"/>
          <w:highlight w:val="none"/>
        </w:rPr>
      </w:pPr>
      <w:r>
        <w:rPr>
          <w:rFonts w:hint="eastAsia" w:ascii="宋体" w:hAnsi="宋体"/>
          <w:color w:val="auto"/>
          <w:kern w:val="0"/>
          <w:highlight w:val="none"/>
        </w:rPr>
        <w:t>3）施工组织措施费：建筑装饰工程按房屋建筑及构筑物工程一般计税费率中值计取；安装工程按水、电、暖通、消防、智能、自控及通信安装工程一般计税费率中值计取；市政工程按 道路、排水、河道护岸、水处理构筑物及城市综合管廊、生活垃圾处理工程一般计税费率中值计取；其中安全文明施工基本费按“市区工程”中值，并按甬建发【2022】34号文件规定乘系数1.15计取；不计提前竣工增加费、二次搬运费、标化工地增加费、优质工程增加费、行车行人干扰增加费和安全文明施工标准提升增加费；计取冬雨季施工增加费；</w:t>
      </w:r>
    </w:p>
    <w:p w14:paraId="513DD10C">
      <w:pPr>
        <w:spacing w:line="440" w:lineRule="exact"/>
        <w:ind w:firstLine="420" w:firstLineChars="200"/>
        <w:rPr>
          <w:rFonts w:hint="eastAsia" w:ascii="宋体" w:hAnsi="宋体"/>
          <w:color w:val="auto"/>
          <w:kern w:val="0"/>
          <w:highlight w:val="none"/>
        </w:rPr>
      </w:pPr>
      <w:r>
        <w:rPr>
          <w:rFonts w:hint="eastAsia" w:ascii="宋体" w:hAnsi="宋体"/>
          <w:color w:val="auto"/>
          <w:kern w:val="0"/>
          <w:highlight w:val="none"/>
        </w:rPr>
        <w:t>4）安全生产责任保险费按市建管〔2024〕12号文件规定的费率1.26计取；</w:t>
      </w:r>
    </w:p>
    <w:p w14:paraId="6241DFDE">
      <w:pPr>
        <w:spacing w:line="440" w:lineRule="exact"/>
        <w:ind w:firstLine="420" w:firstLineChars="200"/>
        <w:rPr>
          <w:rFonts w:hint="eastAsia" w:ascii="宋体" w:hAnsi="宋体"/>
          <w:color w:val="auto"/>
          <w:kern w:val="0"/>
          <w:highlight w:val="none"/>
        </w:rPr>
      </w:pPr>
      <w:r>
        <w:rPr>
          <w:rFonts w:hint="eastAsia" w:ascii="宋体" w:hAnsi="宋体"/>
          <w:color w:val="auto"/>
          <w:kern w:val="0"/>
          <w:highlight w:val="none"/>
        </w:rPr>
        <w:t>5）规费按《浙江省建设工程计价规则》（2018版）文件规定的一般计税的30%计取；</w:t>
      </w:r>
    </w:p>
    <w:p w14:paraId="6E80638B">
      <w:pPr>
        <w:spacing w:line="440" w:lineRule="exact"/>
        <w:ind w:firstLine="420" w:firstLineChars="200"/>
        <w:rPr>
          <w:rFonts w:hint="eastAsia" w:ascii="宋体" w:hAnsi="宋体" w:eastAsia="宋体"/>
          <w:color w:val="auto"/>
          <w:kern w:val="0"/>
          <w:highlight w:val="none"/>
          <w:lang w:val="en-US" w:eastAsia="zh-CN"/>
        </w:rPr>
      </w:pPr>
      <w:r>
        <w:rPr>
          <w:rFonts w:hint="eastAsia" w:ascii="宋体" w:hAnsi="宋体"/>
          <w:color w:val="auto"/>
          <w:kern w:val="0"/>
          <w:highlight w:val="none"/>
          <w:lang w:val="en-US" w:eastAsia="zh-CN"/>
        </w:rPr>
        <w:t>6</w:t>
      </w:r>
      <w:r>
        <w:rPr>
          <w:rFonts w:hint="eastAsia" w:ascii="宋体" w:hAnsi="宋体"/>
          <w:color w:val="auto"/>
          <w:kern w:val="0"/>
          <w:highlight w:val="none"/>
          <w:lang w:eastAsia="zh-CN"/>
        </w:rPr>
        <w:t>）</w:t>
      </w:r>
      <w:r>
        <w:rPr>
          <w:rFonts w:hint="eastAsia" w:ascii="宋体" w:hAnsi="宋体"/>
          <w:color w:val="auto"/>
          <w:kern w:val="0"/>
          <w:highlight w:val="none"/>
        </w:rPr>
        <w:t>税金按一般计税税前工程造价的9%计取（浙建建发【2019】92号文）</w:t>
      </w:r>
      <w:r>
        <w:rPr>
          <w:rFonts w:hint="eastAsia" w:ascii="宋体" w:hAnsi="宋体"/>
          <w:color w:val="auto"/>
          <w:kern w:val="0"/>
          <w:highlight w:val="none"/>
          <w:lang w:val="en-US" w:eastAsia="zh-CN"/>
        </w:rPr>
        <w:t>.</w:t>
      </w:r>
    </w:p>
    <w:p w14:paraId="655D148D">
      <w:pPr>
        <w:spacing w:line="440" w:lineRule="exact"/>
        <w:ind w:firstLine="420" w:firstLineChars="200"/>
        <w:rPr>
          <w:rFonts w:hint="eastAsia" w:ascii="宋体" w:hAnsi="宋体"/>
          <w:color w:val="auto"/>
          <w:kern w:val="0"/>
          <w:highlight w:val="none"/>
        </w:rPr>
      </w:pPr>
      <w:r>
        <w:rPr>
          <w:rFonts w:hint="eastAsia" w:ascii="宋体" w:hAnsi="宋体"/>
          <w:color w:val="auto"/>
          <w:kern w:val="0"/>
          <w:highlight w:val="none"/>
        </w:rPr>
        <w:t>10.4.1.2 关于变更措施项目费的约定：</w:t>
      </w:r>
    </w:p>
    <w:p w14:paraId="7CC3A9B7">
      <w:pPr>
        <w:spacing w:line="440" w:lineRule="exact"/>
        <w:ind w:firstLine="420" w:firstLineChars="200"/>
        <w:rPr>
          <w:rFonts w:hint="eastAsia" w:ascii="宋体" w:hAnsi="宋体"/>
          <w:color w:val="auto"/>
          <w:kern w:val="0"/>
          <w:highlight w:val="none"/>
          <w:u w:val="single"/>
        </w:rPr>
      </w:pPr>
      <w:r>
        <w:rPr>
          <w:rFonts w:hint="eastAsia" w:ascii="宋体" w:hAnsi="宋体"/>
          <w:color w:val="auto"/>
          <w:kern w:val="0"/>
          <w:highlight w:val="none"/>
          <w:u w:val="single"/>
        </w:rPr>
        <w:t>分部分项工程量清单非承包人原因的工程变更，造成施工组织设计或施工方案变更，以及分部分项工程量变化，引起措施项目数量、内容发生变化，应调整措施项目费。除另有约定外，其中采用综合单价计价的措施项目，根据发承包双方确认的工程量和根据第10.4.1.1 目约定原则计算的单价提出措施费；除另有约定外，采用以“项”计价的措施项目，根据有标价的工程量清单中的措施项目和金额或发承包双方确认调整后的措施项目和金额计算。</w:t>
      </w:r>
    </w:p>
    <w:p w14:paraId="56FAEB10">
      <w:pPr>
        <w:spacing w:line="440" w:lineRule="exact"/>
        <w:ind w:firstLine="420" w:firstLineChars="200"/>
        <w:rPr>
          <w:rFonts w:hint="eastAsia" w:ascii="宋体" w:hAnsi="宋体"/>
          <w:color w:val="auto"/>
          <w:kern w:val="0"/>
          <w:highlight w:val="none"/>
          <w:u w:val="single"/>
        </w:rPr>
      </w:pPr>
      <w:r>
        <w:rPr>
          <w:rFonts w:hint="eastAsia" w:ascii="宋体" w:hAnsi="宋体"/>
          <w:color w:val="auto"/>
          <w:kern w:val="0"/>
          <w:highlight w:val="none"/>
          <w:u w:val="single"/>
        </w:rPr>
        <w:t>（1）原措施费中已有的措施项目，按原措施费的组价方法调整。</w:t>
      </w:r>
    </w:p>
    <w:p w14:paraId="5CA87AE6">
      <w:pPr>
        <w:spacing w:line="440" w:lineRule="exact"/>
        <w:ind w:firstLine="420" w:firstLineChars="200"/>
        <w:rPr>
          <w:rFonts w:hint="eastAsia" w:ascii="宋体" w:hAnsi="宋体"/>
          <w:color w:val="auto"/>
          <w:kern w:val="0"/>
          <w:highlight w:val="none"/>
          <w:u w:val="single"/>
        </w:rPr>
      </w:pPr>
      <w:r>
        <w:rPr>
          <w:rFonts w:hint="eastAsia" w:ascii="宋体" w:hAnsi="宋体"/>
          <w:color w:val="auto"/>
          <w:kern w:val="0"/>
          <w:highlight w:val="none"/>
          <w:u w:val="single"/>
        </w:rPr>
        <w:t>（2）原措施费没有的措施项目，承包人根据实际措施项目内容、规定的工程取费类别、现行计价依据并按中标浮动率浮动后提出措施费。浮动率=（中标价/招标控制价-1）*100%</w:t>
      </w:r>
      <w:r>
        <w:rPr>
          <w:rFonts w:hint="eastAsia" w:ascii="宋体" w:hAnsi="宋体"/>
          <w:color w:val="auto"/>
          <w:kern w:val="0"/>
          <w:sz w:val="22"/>
          <w:szCs w:val="22"/>
          <w:highlight w:val="none"/>
          <w:u w:val="single"/>
        </w:rPr>
        <w:t>（即浮动率为    %）</w:t>
      </w:r>
      <w:r>
        <w:rPr>
          <w:rFonts w:hint="eastAsia" w:ascii="宋体" w:hAnsi="宋体"/>
          <w:color w:val="auto"/>
          <w:kern w:val="0"/>
          <w:highlight w:val="none"/>
          <w:u w:val="single"/>
        </w:rPr>
        <w:t>，中标价及招标控制价均指剔除了暂估价、暂列金额以及不可竞争费后的价格。</w:t>
      </w:r>
    </w:p>
    <w:p w14:paraId="6F741221">
      <w:pPr>
        <w:spacing w:line="440" w:lineRule="exact"/>
        <w:ind w:firstLine="420" w:firstLineChars="200"/>
        <w:rPr>
          <w:rFonts w:hint="eastAsia" w:ascii="宋体" w:hAnsi="宋体"/>
          <w:color w:val="auto"/>
          <w:kern w:val="0"/>
          <w:highlight w:val="none"/>
        </w:rPr>
      </w:pPr>
      <w:r>
        <w:rPr>
          <w:rFonts w:hint="eastAsia" w:ascii="宋体" w:hAnsi="宋体"/>
          <w:color w:val="auto"/>
          <w:kern w:val="0"/>
          <w:highlight w:val="none"/>
        </w:rPr>
        <w:t>10.4.1.3 关于其他项目费变更的约定：</w:t>
      </w:r>
    </w:p>
    <w:p w14:paraId="0E68F7C3">
      <w:pPr>
        <w:numPr>
          <w:ilvl w:val="0"/>
          <w:numId w:val="5"/>
        </w:numPr>
        <w:spacing w:line="440" w:lineRule="exact"/>
        <w:ind w:firstLine="420" w:firstLineChars="200"/>
        <w:rPr>
          <w:rFonts w:hint="eastAsia" w:ascii="宋体" w:hAnsi="宋体"/>
          <w:color w:val="auto"/>
          <w:kern w:val="0"/>
          <w:highlight w:val="none"/>
          <w:u w:val="single"/>
        </w:rPr>
      </w:pPr>
      <w:r>
        <w:rPr>
          <w:rFonts w:hint="eastAsia" w:ascii="宋体" w:hAnsi="宋体"/>
          <w:color w:val="auto"/>
          <w:kern w:val="0"/>
          <w:highlight w:val="none"/>
          <w:u w:val="single"/>
        </w:rPr>
        <w:t>承包应发包人要求完成合同以外的项目、工作，或者发生应由发包人承担责任的事件，承包人应按合同约定的时间、程序向发包人提出费用或责任事件确认的书面资料，办理现场签证。现场签证作为期中结算、竣工结算的依据。发包人在现场签证时涉及工程量、价、费等内容的，按合同约定的时间，由具备工程计价资格的人员核对，并详细、明确签署相应意见，否则视为认同承包人提出的内容及金额。</w:t>
      </w:r>
    </w:p>
    <w:p w14:paraId="2551EF88">
      <w:pPr>
        <w:spacing w:line="440" w:lineRule="exact"/>
        <w:ind w:firstLine="420" w:firstLineChars="200"/>
        <w:rPr>
          <w:rFonts w:hint="eastAsia" w:ascii="宋体" w:hAnsi="宋体"/>
          <w:color w:val="auto"/>
          <w:kern w:val="0"/>
          <w:highlight w:val="none"/>
          <w:u w:val="single"/>
        </w:rPr>
      </w:pPr>
      <w:r>
        <w:rPr>
          <w:rFonts w:hint="eastAsia" w:ascii="宋体" w:hAnsi="宋体"/>
          <w:color w:val="auto"/>
          <w:kern w:val="0"/>
          <w:highlight w:val="none"/>
          <w:u w:val="single"/>
        </w:rPr>
        <w:t>（2）计日工按发包人实际签证确认的事项所发生的数量计算。</w:t>
      </w:r>
    </w:p>
    <w:p w14:paraId="15959045">
      <w:pPr>
        <w:spacing w:line="440" w:lineRule="exact"/>
        <w:ind w:firstLine="420" w:firstLineChars="200"/>
        <w:rPr>
          <w:rFonts w:hint="eastAsia" w:ascii="宋体" w:hAnsi="宋体"/>
          <w:color w:val="auto"/>
          <w:kern w:val="0"/>
          <w:highlight w:val="none"/>
        </w:rPr>
      </w:pPr>
      <w:r>
        <w:rPr>
          <w:rFonts w:hint="eastAsia" w:ascii="宋体" w:hAnsi="宋体"/>
          <w:color w:val="auto"/>
          <w:kern w:val="0"/>
          <w:highlight w:val="none"/>
          <w:u w:val="single"/>
        </w:rPr>
        <w:t>（</w:t>
      </w:r>
      <w:r>
        <w:rPr>
          <w:rFonts w:ascii="宋体" w:hAnsi="宋体"/>
          <w:color w:val="auto"/>
          <w:kern w:val="0"/>
          <w:highlight w:val="none"/>
          <w:u w:val="single"/>
        </w:rPr>
        <w:t>3</w:t>
      </w:r>
      <w:r>
        <w:rPr>
          <w:rFonts w:hint="eastAsia" w:ascii="宋体" w:hAnsi="宋体"/>
          <w:color w:val="auto"/>
          <w:kern w:val="0"/>
          <w:highlight w:val="none"/>
          <w:u w:val="single"/>
        </w:rPr>
        <w:t>）暂列金额在减去工程价款调整与索赔、现场签证等金额后，如有余额，归还发包人。</w:t>
      </w:r>
    </w:p>
    <w:p w14:paraId="6C69959E">
      <w:pPr>
        <w:pStyle w:val="483"/>
        <w:spacing w:before="120" w:line="440" w:lineRule="exact"/>
        <w:ind w:firstLine="401" w:firstLineChars="190"/>
        <w:rPr>
          <w:rFonts w:hint="eastAsia" w:hAnsi="宋体"/>
          <w:color w:val="auto"/>
          <w:sz w:val="21"/>
          <w:szCs w:val="21"/>
          <w:highlight w:val="none"/>
        </w:rPr>
      </w:pPr>
      <w:r>
        <w:rPr>
          <w:rFonts w:hint="eastAsia" w:hAnsi="宋体"/>
          <w:color w:val="auto"/>
          <w:sz w:val="21"/>
          <w:szCs w:val="21"/>
          <w:highlight w:val="none"/>
        </w:rPr>
        <w:t>10.5承包人的合理化建议</w:t>
      </w:r>
    </w:p>
    <w:p w14:paraId="0DC7CC6D">
      <w:pPr>
        <w:spacing w:line="440" w:lineRule="exact"/>
        <w:ind w:firstLine="420" w:firstLineChars="200"/>
        <w:rPr>
          <w:rFonts w:hint="eastAsia" w:ascii="宋体" w:hAnsi="宋体"/>
          <w:color w:val="auto"/>
          <w:kern w:val="0"/>
          <w:szCs w:val="21"/>
          <w:highlight w:val="none"/>
        </w:rPr>
      </w:pPr>
      <w:r>
        <w:rPr>
          <w:rFonts w:hint="eastAsia" w:ascii="宋体" w:hAnsi="宋体"/>
          <w:color w:val="auto"/>
          <w:kern w:val="0"/>
          <w:highlight w:val="none"/>
        </w:rPr>
        <w:t>监理人审查承包人合理化建议的期限：</w:t>
      </w:r>
      <w:r>
        <w:rPr>
          <w:rFonts w:hint="eastAsia" w:ascii="宋体" w:hAnsi="宋体"/>
          <w:color w:val="auto"/>
          <w:kern w:val="0"/>
          <w:highlight w:val="none"/>
          <w:u w:val="single"/>
        </w:rPr>
        <w:t>执行通用条款。</w:t>
      </w:r>
    </w:p>
    <w:p w14:paraId="452617E3">
      <w:pPr>
        <w:spacing w:line="440" w:lineRule="exact"/>
        <w:ind w:firstLine="420" w:firstLineChars="200"/>
        <w:rPr>
          <w:rFonts w:hint="eastAsia" w:ascii="宋体" w:hAnsi="宋体"/>
          <w:color w:val="auto"/>
          <w:kern w:val="0"/>
          <w:highlight w:val="none"/>
        </w:rPr>
      </w:pPr>
      <w:r>
        <w:rPr>
          <w:rFonts w:hint="eastAsia" w:ascii="宋体" w:hAnsi="宋体"/>
          <w:color w:val="auto"/>
          <w:kern w:val="0"/>
          <w:highlight w:val="none"/>
        </w:rPr>
        <w:t>发包人审批承包人合理化建议的期限：</w:t>
      </w:r>
      <w:r>
        <w:rPr>
          <w:rFonts w:hint="eastAsia" w:ascii="宋体" w:hAnsi="宋体"/>
          <w:color w:val="auto"/>
          <w:kern w:val="0"/>
          <w:highlight w:val="none"/>
          <w:u w:val="single"/>
        </w:rPr>
        <w:t>执行通用条款。</w:t>
      </w:r>
    </w:p>
    <w:p w14:paraId="47A28BC5">
      <w:pPr>
        <w:spacing w:line="440" w:lineRule="exact"/>
        <w:ind w:firstLine="420" w:firstLineChars="200"/>
        <w:rPr>
          <w:rFonts w:hint="eastAsia" w:ascii="宋体" w:hAnsi="宋体"/>
          <w:color w:val="auto"/>
          <w:kern w:val="0"/>
          <w:highlight w:val="none"/>
        </w:rPr>
      </w:pPr>
      <w:r>
        <w:rPr>
          <w:rFonts w:hint="eastAsia" w:ascii="宋体" w:hAnsi="宋体"/>
          <w:color w:val="auto"/>
          <w:kern w:val="0"/>
          <w:highlight w:val="none"/>
        </w:rPr>
        <w:t>承包人提出的合理化建议降低了合同价格或者提高了工程经济效益的奖励的方法和金额为：奖励由承包人的合理化建议带给发包人利益的</w:t>
      </w:r>
      <w:r>
        <w:rPr>
          <w:rFonts w:hint="eastAsia" w:ascii="宋体" w:hAnsi="宋体"/>
          <w:color w:val="auto"/>
          <w:kern w:val="0"/>
          <w:highlight w:val="none"/>
          <w:u w:val="single"/>
        </w:rPr>
        <w:t xml:space="preserve"> A </w:t>
      </w:r>
      <w:r>
        <w:rPr>
          <w:rFonts w:hint="eastAsia" w:ascii="宋体" w:hAnsi="宋体"/>
          <w:color w:val="auto"/>
          <w:kern w:val="0"/>
          <w:highlight w:val="none"/>
        </w:rPr>
        <w:t>（ A、20/ B、30 / C、40 ）%。</w:t>
      </w:r>
    </w:p>
    <w:p w14:paraId="5C0A3478">
      <w:pPr>
        <w:pStyle w:val="483"/>
        <w:spacing w:before="120" w:line="440" w:lineRule="exact"/>
        <w:ind w:firstLine="401" w:firstLineChars="190"/>
        <w:rPr>
          <w:rFonts w:hint="eastAsia" w:hAnsi="宋体"/>
          <w:color w:val="auto"/>
          <w:sz w:val="21"/>
          <w:szCs w:val="21"/>
          <w:highlight w:val="none"/>
        </w:rPr>
      </w:pPr>
      <w:r>
        <w:rPr>
          <w:rFonts w:hint="eastAsia" w:hAnsi="宋体"/>
          <w:color w:val="auto"/>
          <w:sz w:val="21"/>
          <w:szCs w:val="21"/>
          <w:highlight w:val="none"/>
        </w:rPr>
        <w:t>10.7  暂估价</w:t>
      </w:r>
    </w:p>
    <w:p w14:paraId="438FA9C5">
      <w:pPr>
        <w:spacing w:line="440" w:lineRule="exact"/>
        <w:ind w:firstLine="420" w:firstLineChars="200"/>
        <w:rPr>
          <w:rFonts w:hint="eastAsia" w:ascii="宋体" w:hAnsi="宋体"/>
          <w:color w:val="auto"/>
          <w:kern w:val="0"/>
          <w:szCs w:val="21"/>
          <w:highlight w:val="none"/>
        </w:rPr>
      </w:pPr>
      <w:r>
        <w:rPr>
          <w:rFonts w:hint="eastAsia" w:ascii="宋体" w:hAnsi="宋体"/>
          <w:color w:val="auto"/>
          <w:kern w:val="0"/>
          <w:highlight w:val="none"/>
        </w:rPr>
        <w:t>10.7.1 对于依法必须招标的暂估价项目，由承包人招标，对该暂估价项目的确认和批准按照以下约定执行：</w:t>
      </w:r>
    </w:p>
    <w:p w14:paraId="07089EA2">
      <w:pPr>
        <w:spacing w:line="440" w:lineRule="exact"/>
        <w:ind w:firstLine="420" w:firstLineChars="200"/>
        <w:rPr>
          <w:rFonts w:hint="eastAsia" w:ascii="宋体" w:hAnsi="宋体"/>
          <w:color w:val="auto"/>
          <w:kern w:val="0"/>
          <w:highlight w:val="none"/>
        </w:rPr>
      </w:pPr>
      <w:r>
        <w:rPr>
          <w:rFonts w:hint="eastAsia" w:ascii="宋体" w:hAnsi="宋体"/>
          <w:color w:val="auto"/>
          <w:kern w:val="0"/>
          <w:highlight w:val="none"/>
        </w:rPr>
        <w:t>（1）承包人应当根据施工进度计划，在招标工作启动前 14 天将招标方案通过监理人报送发包人审查，发包人应当在收到承包人报送的招标方案后 7 天内批准或提出修改意见。承包人应当按照经过发包人批准的招标方案开展招标工作；</w:t>
      </w:r>
    </w:p>
    <w:p w14:paraId="2609614A">
      <w:pPr>
        <w:spacing w:line="440" w:lineRule="exact"/>
        <w:ind w:firstLine="420" w:firstLineChars="200"/>
        <w:rPr>
          <w:rFonts w:hint="eastAsia" w:ascii="宋体" w:hAnsi="宋体"/>
          <w:color w:val="auto"/>
          <w:kern w:val="0"/>
          <w:highlight w:val="none"/>
        </w:rPr>
      </w:pPr>
      <w:r>
        <w:rPr>
          <w:rFonts w:hint="eastAsia" w:ascii="宋体" w:hAnsi="宋体"/>
          <w:color w:val="auto"/>
          <w:kern w:val="0"/>
          <w:highlight w:val="none"/>
        </w:rPr>
        <w:t>（2）承包人应当根据施工进度计划，提前14 天将招标文件通过监理人报送发包人审批，发包人应当在收到承包人报送的相关文件后 7 天内完成审批或提出修改意见；发包人有权确定招标控制价并按照法律规定参加评标；</w:t>
      </w:r>
    </w:p>
    <w:p w14:paraId="20166AD2">
      <w:pPr>
        <w:spacing w:line="440" w:lineRule="exact"/>
        <w:ind w:firstLine="420" w:firstLineChars="200"/>
        <w:rPr>
          <w:rFonts w:hint="eastAsia" w:ascii="宋体" w:hAnsi="宋体"/>
          <w:color w:val="auto"/>
          <w:kern w:val="0"/>
          <w:highlight w:val="none"/>
        </w:rPr>
      </w:pPr>
      <w:r>
        <w:rPr>
          <w:rFonts w:hint="eastAsia" w:ascii="宋体" w:hAnsi="宋体"/>
          <w:color w:val="auto"/>
          <w:kern w:val="0"/>
          <w:highlight w:val="none"/>
        </w:rPr>
        <w:t>（3）承包人与供应商、分包人在签订暂估价合同前，应当提前 7 天将确定的中标候选供应商或中标候选分包人的资料报送发包人，发包人应在收到资料后 3 天内与承包人共同确定中标人；承包人应当在签订合同后 7 天内，将暂估价合同副本报送发包人留存。</w:t>
      </w:r>
    </w:p>
    <w:p w14:paraId="7543E010">
      <w:pPr>
        <w:spacing w:line="440" w:lineRule="exact"/>
        <w:ind w:firstLine="420" w:firstLineChars="200"/>
        <w:rPr>
          <w:rFonts w:hint="eastAsia" w:ascii="宋体" w:hAnsi="宋体"/>
          <w:color w:val="auto"/>
          <w:kern w:val="0"/>
          <w:highlight w:val="none"/>
        </w:rPr>
      </w:pPr>
      <w:r>
        <w:rPr>
          <w:rFonts w:hint="eastAsia" w:ascii="宋体" w:hAnsi="宋体"/>
          <w:color w:val="auto"/>
          <w:kern w:val="0"/>
          <w:highlight w:val="none"/>
        </w:rPr>
        <w:t>10.7.2 不属于依法必须招标的暂估价项目</w:t>
      </w:r>
    </w:p>
    <w:p w14:paraId="17F9268D">
      <w:pPr>
        <w:spacing w:line="440" w:lineRule="exact"/>
        <w:ind w:firstLine="420" w:firstLineChars="200"/>
        <w:rPr>
          <w:rFonts w:hint="eastAsia" w:ascii="宋体" w:hAnsi="宋体"/>
          <w:color w:val="auto"/>
          <w:kern w:val="0"/>
          <w:highlight w:val="none"/>
        </w:rPr>
      </w:pPr>
      <w:r>
        <w:rPr>
          <w:rFonts w:hint="eastAsia" w:ascii="宋体" w:hAnsi="宋体"/>
          <w:color w:val="auto"/>
          <w:kern w:val="0"/>
          <w:highlight w:val="none"/>
        </w:rPr>
        <w:t>对于不属于依法必须招标的暂估价项目，按本项约定确认和批准：</w:t>
      </w:r>
    </w:p>
    <w:p w14:paraId="32122090">
      <w:pPr>
        <w:spacing w:line="440" w:lineRule="exact"/>
        <w:ind w:firstLine="420" w:firstLineChars="200"/>
        <w:rPr>
          <w:rFonts w:hint="eastAsia" w:ascii="宋体" w:hAnsi="宋体"/>
          <w:color w:val="auto"/>
          <w:kern w:val="0"/>
          <w:highlight w:val="none"/>
        </w:rPr>
      </w:pPr>
      <w:r>
        <w:rPr>
          <w:rFonts w:hint="eastAsia" w:ascii="宋体" w:hAnsi="宋体"/>
          <w:color w:val="auto"/>
          <w:kern w:val="0"/>
          <w:highlight w:val="none"/>
        </w:rPr>
        <w:t>（1）承包人应根据施工进度计划，在签订暂估价项目的采购合同、分包合同前 28 天向监理人提出书面申请。监理人应当在收到申请后 3 天内报送发包人，发包人应当在收到申请后 14 天内给予批准或提出修改意见，发包人逾期未予批准或提出修改意见的，视为该书面申请已获得同意；</w:t>
      </w:r>
    </w:p>
    <w:p w14:paraId="4321995F">
      <w:pPr>
        <w:spacing w:line="440" w:lineRule="exact"/>
        <w:ind w:firstLine="420" w:firstLineChars="200"/>
        <w:rPr>
          <w:rFonts w:hint="eastAsia" w:ascii="宋体" w:hAnsi="宋体"/>
          <w:color w:val="auto"/>
          <w:kern w:val="0"/>
          <w:highlight w:val="none"/>
        </w:rPr>
      </w:pPr>
      <w:r>
        <w:rPr>
          <w:rFonts w:hint="eastAsia" w:ascii="宋体" w:hAnsi="宋体"/>
          <w:color w:val="auto"/>
          <w:kern w:val="0"/>
          <w:highlight w:val="none"/>
        </w:rPr>
        <w:t>（2）发包人认为承包人确定的供应商、分包人无法满足工程质量或合同要求的，发包人可以要求承包人重新确定暂估价项目的供应商、分包人；</w:t>
      </w:r>
    </w:p>
    <w:p w14:paraId="48256D15">
      <w:pPr>
        <w:spacing w:line="440" w:lineRule="exact"/>
        <w:ind w:firstLine="420" w:firstLineChars="200"/>
        <w:rPr>
          <w:rFonts w:hint="eastAsia" w:ascii="宋体" w:hAnsi="宋体"/>
          <w:color w:val="auto"/>
          <w:kern w:val="0"/>
          <w:highlight w:val="none"/>
        </w:rPr>
      </w:pPr>
      <w:r>
        <w:rPr>
          <w:rFonts w:hint="eastAsia" w:ascii="宋体" w:hAnsi="宋体"/>
          <w:color w:val="auto"/>
          <w:kern w:val="0"/>
          <w:highlight w:val="none"/>
        </w:rPr>
        <w:t>（3）承包人应当在签订暂估价合同后 7 天内，将暂估价合同副本报送发包人留存。材料价由发、承包双方共同询价定价，不下浮。</w:t>
      </w:r>
    </w:p>
    <w:p w14:paraId="0657B054">
      <w:pPr>
        <w:pStyle w:val="483"/>
        <w:spacing w:before="120" w:line="440" w:lineRule="exact"/>
        <w:ind w:firstLine="401" w:firstLineChars="190"/>
        <w:rPr>
          <w:rFonts w:hint="eastAsia" w:hAnsi="宋体"/>
          <w:color w:val="auto"/>
          <w:sz w:val="21"/>
          <w:szCs w:val="21"/>
          <w:highlight w:val="none"/>
        </w:rPr>
      </w:pPr>
      <w:r>
        <w:rPr>
          <w:rFonts w:hint="eastAsia" w:hAnsi="宋体"/>
          <w:color w:val="auto"/>
          <w:sz w:val="21"/>
          <w:szCs w:val="21"/>
          <w:highlight w:val="none"/>
        </w:rPr>
        <w:t>10.8 暂列金额</w:t>
      </w:r>
    </w:p>
    <w:p w14:paraId="60735ABE">
      <w:pPr>
        <w:spacing w:line="440" w:lineRule="exact"/>
        <w:ind w:firstLine="420" w:firstLineChars="200"/>
        <w:rPr>
          <w:rFonts w:hint="eastAsia" w:ascii="宋体" w:hAnsi="宋体"/>
          <w:color w:val="auto"/>
          <w:kern w:val="0"/>
          <w:sz w:val="21"/>
          <w:szCs w:val="21"/>
          <w:highlight w:val="none"/>
        </w:rPr>
      </w:pPr>
      <w:r>
        <w:rPr>
          <w:rFonts w:hint="eastAsia" w:ascii="宋体" w:hAnsi="宋体"/>
          <w:color w:val="auto"/>
          <w:kern w:val="0"/>
          <w:sz w:val="21"/>
          <w:szCs w:val="21"/>
          <w:highlight w:val="none"/>
        </w:rPr>
        <w:t>合同当事人关于暂列金额使用的约定：由发包人通过监理人发出使用指令。</w:t>
      </w:r>
    </w:p>
    <w:p w14:paraId="34D74F5C">
      <w:pPr>
        <w:pStyle w:val="469"/>
        <w:spacing w:line="4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11. 价格调整</w:t>
      </w:r>
    </w:p>
    <w:p w14:paraId="2086727B">
      <w:pPr>
        <w:pStyle w:val="483"/>
        <w:spacing w:before="120" w:line="440" w:lineRule="exact"/>
        <w:ind w:firstLine="401" w:firstLineChars="190"/>
        <w:rPr>
          <w:rFonts w:hint="eastAsia" w:hAnsi="宋体"/>
          <w:color w:val="auto"/>
          <w:sz w:val="21"/>
          <w:szCs w:val="21"/>
          <w:highlight w:val="none"/>
        </w:rPr>
      </w:pPr>
      <w:r>
        <w:rPr>
          <w:rFonts w:hint="eastAsia" w:hAnsi="宋体"/>
          <w:color w:val="auto"/>
          <w:sz w:val="21"/>
          <w:szCs w:val="21"/>
          <w:highlight w:val="none"/>
        </w:rPr>
        <w:t>11.1 市场价格波动引起的调整</w:t>
      </w:r>
    </w:p>
    <w:p w14:paraId="32CE1BB2">
      <w:pPr>
        <w:spacing w:line="440" w:lineRule="exact"/>
        <w:ind w:firstLine="420" w:firstLineChars="200"/>
        <w:rPr>
          <w:rFonts w:hint="default" w:ascii="宋体" w:hAnsi="宋体"/>
          <w:color w:val="auto"/>
          <w:kern w:val="0"/>
          <w:sz w:val="21"/>
          <w:szCs w:val="21"/>
          <w:highlight w:val="none"/>
          <w:lang w:val="en-US" w:eastAsia="zh-CN"/>
        </w:rPr>
      </w:pPr>
      <w:r>
        <w:rPr>
          <w:rFonts w:hint="eastAsia" w:ascii="宋体" w:hAnsi="宋体"/>
          <w:color w:val="auto"/>
          <w:kern w:val="0"/>
          <w:sz w:val="21"/>
          <w:szCs w:val="21"/>
          <w:highlight w:val="none"/>
          <w:lang w:val="en-US" w:eastAsia="zh-CN"/>
        </w:rPr>
        <w:t>不调整</w:t>
      </w:r>
    </w:p>
    <w:p w14:paraId="6E4931D0">
      <w:pPr>
        <w:pStyle w:val="483"/>
        <w:spacing w:before="120" w:line="440" w:lineRule="exact"/>
        <w:ind w:firstLine="401" w:firstLineChars="190"/>
        <w:rPr>
          <w:rFonts w:hint="eastAsia" w:hAnsi="宋体"/>
          <w:color w:val="auto"/>
          <w:sz w:val="21"/>
          <w:szCs w:val="21"/>
          <w:highlight w:val="none"/>
        </w:rPr>
      </w:pPr>
      <w:r>
        <w:rPr>
          <w:rFonts w:hint="eastAsia" w:hAnsi="宋体"/>
          <w:color w:val="auto"/>
          <w:sz w:val="21"/>
          <w:szCs w:val="21"/>
          <w:highlight w:val="none"/>
        </w:rPr>
        <w:t>11.2 法律变化引起的调整</w:t>
      </w:r>
    </w:p>
    <w:p w14:paraId="416534FA">
      <w:pPr>
        <w:spacing w:line="440" w:lineRule="exact"/>
        <w:ind w:firstLine="420" w:firstLineChars="200"/>
        <w:rPr>
          <w:rFonts w:hint="eastAsia" w:ascii="宋体" w:hAnsi="宋体"/>
          <w:color w:val="auto"/>
          <w:szCs w:val="21"/>
          <w:highlight w:val="none"/>
        </w:rPr>
      </w:pPr>
      <w:r>
        <w:rPr>
          <w:rFonts w:hint="eastAsia" w:ascii="宋体" w:hAnsi="宋体"/>
          <w:color w:val="auto"/>
          <w:highlight w:val="none"/>
        </w:rPr>
        <w:t>合同当事人关于本条的补充约定：</w:t>
      </w:r>
    </w:p>
    <w:p w14:paraId="768C23F3">
      <w:pPr>
        <w:spacing w:line="440" w:lineRule="exact"/>
        <w:ind w:firstLine="420" w:firstLineChars="200"/>
        <w:rPr>
          <w:rFonts w:hint="eastAsia" w:ascii="宋体" w:hAnsi="宋体"/>
          <w:color w:val="auto"/>
          <w:highlight w:val="none"/>
          <w:u w:val="single"/>
        </w:rPr>
      </w:pPr>
      <w:r>
        <w:rPr>
          <w:rFonts w:hint="eastAsia" w:ascii="宋体" w:hAnsi="宋体"/>
          <w:color w:val="auto"/>
          <w:highlight w:val="none"/>
          <w:u w:val="single"/>
        </w:rPr>
        <w:t>（1）本条所称的法律包括法律、法规、规章及规范性文件。</w:t>
      </w:r>
    </w:p>
    <w:p w14:paraId="3FAB1FBC">
      <w:pPr>
        <w:spacing w:line="440" w:lineRule="exact"/>
        <w:ind w:firstLine="420" w:firstLineChars="200"/>
        <w:rPr>
          <w:rFonts w:hint="eastAsia" w:ascii="宋体" w:hAnsi="宋体"/>
          <w:color w:val="auto"/>
          <w:highlight w:val="none"/>
          <w:u w:val="single"/>
        </w:rPr>
      </w:pPr>
      <w:r>
        <w:rPr>
          <w:rFonts w:hint="eastAsia" w:ascii="宋体" w:hAnsi="宋体"/>
          <w:color w:val="auto"/>
          <w:highlight w:val="none"/>
          <w:u w:val="single"/>
        </w:rPr>
        <w:t>（2）国有投资项目应按本省建设行政主管部门或其授权工程造价管理机构发布的规定调整合同价款。</w:t>
      </w:r>
    </w:p>
    <w:p w14:paraId="6BA3D476">
      <w:pPr>
        <w:pStyle w:val="469"/>
        <w:spacing w:line="4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12. 合同价格、计量与支付</w:t>
      </w:r>
    </w:p>
    <w:p w14:paraId="5AAC01B8">
      <w:pPr>
        <w:pStyle w:val="483"/>
        <w:spacing w:before="120" w:line="440" w:lineRule="exact"/>
        <w:ind w:firstLine="401" w:firstLineChars="190"/>
        <w:rPr>
          <w:rFonts w:hint="eastAsia" w:hAnsi="宋体"/>
          <w:color w:val="auto"/>
          <w:sz w:val="21"/>
          <w:szCs w:val="21"/>
          <w:highlight w:val="none"/>
        </w:rPr>
      </w:pPr>
      <w:r>
        <w:rPr>
          <w:rFonts w:hint="eastAsia" w:hAnsi="宋体"/>
          <w:color w:val="auto"/>
          <w:sz w:val="21"/>
          <w:szCs w:val="21"/>
          <w:highlight w:val="none"/>
        </w:rPr>
        <w:t>12.1 合同价格形式</w:t>
      </w:r>
    </w:p>
    <w:p w14:paraId="11E72823">
      <w:pPr>
        <w:spacing w:line="440" w:lineRule="exact"/>
        <w:ind w:firstLine="420" w:firstLineChars="200"/>
        <w:rPr>
          <w:rFonts w:hint="eastAsia" w:ascii="宋体" w:hAnsi="宋体"/>
          <w:color w:val="auto"/>
          <w:kern w:val="0"/>
          <w:szCs w:val="21"/>
          <w:highlight w:val="none"/>
        </w:rPr>
      </w:pPr>
      <w:r>
        <w:rPr>
          <w:rFonts w:hint="eastAsia" w:ascii="宋体" w:hAnsi="宋体"/>
          <w:color w:val="auto"/>
          <w:kern w:val="0"/>
          <w:highlight w:val="none"/>
        </w:rPr>
        <w:t>本合同采用合同当事人签订的合同协议书中约定的价格形式，即：</w:t>
      </w:r>
      <w:r>
        <w:rPr>
          <w:rFonts w:hint="eastAsia" w:ascii="宋体" w:hAnsi="宋体"/>
          <w:b/>
          <w:color w:val="auto"/>
          <w:kern w:val="0"/>
          <w:highlight w:val="none"/>
          <w:u w:val="single"/>
        </w:rPr>
        <w:t>A</w:t>
      </w:r>
      <w:r>
        <w:rPr>
          <w:rFonts w:hint="eastAsia" w:ascii="宋体" w:hAnsi="宋体"/>
          <w:color w:val="auto"/>
          <w:kern w:val="0"/>
          <w:highlight w:val="none"/>
        </w:rPr>
        <w:t>（A、单价合同；/ B、总价合同 ）。其中：</w:t>
      </w:r>
    </w:p>
    <w:p w14:paraId="573C02F3">
      <w:pPr>
        <w:spacing w:line="440" w:lineRule="exact"/>
        <w:ind w:firstLine="420" w:firstLineChars="200"/>
        <w:rPr>
          <w:rFonts w:hint="eastAsia" w:ascii="宋体" w:hAnsi="宋体"/>
          <w:color w:val="auto"/>
          <w:kern w:val="0"/>
          <w:sz w:val="21"/>
          <w:szCs w:val="21"/>
          <w:highlight w:val="none"/>
        </w:rPr>
      </w:pPr>
      <w:r>
        <w:rPr>
          <w:rFonts w:hint="eastAsia" w:ascii="宋体" w:hAnsi="宋体"/>
          <w:color w:val="auto"/>
          <w:kern w:val="0"/>
          <w:highlight w:val="none"/>
        </w:rPr>
        <w:t>1、综合单价包含</w:t>
      </w:r>
      <w:r>
        <w:rPr>
          <w:rFonts w:hint="eastAsia" w:ascii="宋体" w:hAnsi="宋体"/>
          <w:color w:val="auto"/>
          <w:kern w:val="0"/>
          <w:sz w:val="21"/>
          <w:szCs w:val="21"/>
          <w:highlight w:val="none"/>
        </w:rPr>
        <w:t xml:space="preserve">的风险范围以外合同价格的调整方法：按照合理的成本与利润构成的原则，由合同当事人按照第4.4款[商定或确定]确定变更工作的单价。                         </w:t>
      </w:r>
    </w:p>
    <w:p w14:paraId="634BD799">
      <w:pPr>
        <w:pStyle w:val="27"/>
        <w:spacing w:line="440" w:lineRule="exact"/>
        <w:ind w:firstLine="420" w:firstLineChars="200"/>
        <w:rPr>
          <w:rFonts w:hint="eastAsia" w:hAnsi="宋体"/>
          <w:color w:val="auto"/>
          <w:sz w:val="21"/>
          <w:szCs w:val="21"/>
          <w:highlight w:val="none"/>
        </w:rPr>
      </w:pPr>
      <w:r>
        <w:rPr>
          <w:rFonts w:hint="eastAsia" w:hAnsi="宋体"/>
          <w:color w:val="auto"/>
          <w:sz w:val="21"/>
          <w:szCs w:val="21"/>
          <w:highlight w:val="none"/>
        </w:rPr>
        <w:t>2、总价包含的风险范围：根据第11.1 款约定的价格调整办法，主要建筑材料（设备）价格及施工机械台班市场价格、人工价格的上涨幅度未超过</w:t>
      </w:r>
      <w:r>
        <w:rPr>
          <w:rFonts w:hint="eastAsia" w:hAnsi="宋体"/>
          <w:color w:val="auto"/>
          <w:sz w:val="21"/>
          <w:szCs w:val="21"/>
          <w:highlight w:val="none"/>
          <w:u w:val="single"/>
        </w:rPr>
        <w:t>C</w:t>
      </w:r>
      <w:r>
        <w:rPr>
          <w:rFonts w:hint="eastAsia" w:hAnsi="宋体"/>
          <w:color w:val="auto"/>
          <w:sz w:val="21"/>
          <w:szCs w:val="21"/>
          <w:highlight w:val="none"/>
        </w:rPr>
        <w:t>（A、0；/B、3；/C、5）%或下跌幅度未超过</w:t>
      </w:r>
      <w:r>
        <w:rPr>
          <w:rFonts w:hint="eastAsia" w:hAnsi="宋体"/>
          <w:color w:val="auto"/>
          <w:sz w:val="21"/>
          <w:szCs w:val="21"/>
          <w:highlight w:val="none"/>
          <w:u w:val="single"/>
        </w:rPr>
        <w:t>C</w:t>
      </w:r>
      <w:r>
        <w:rPr>
          <w:rFonts w:hint="eastAsia" w:hAnsi="宋体"/>
          <w:color w:val="auto"/>
          <w:sz w:val="21"/>
          <w:szCs w:val="21"/>
          <w:highlight w:val="none"/>
        </w:rPr>
        <w:t>（A、0；/B、3；/C、5）%。</w:t>
      </w:r>
    </w:p>
    <w:p w14:paraId="12C21388">
      <w:pPr>
        <w:spacing w:line="440" w:lineRule="exact"/>
        <w:ind w:firstLine="420" w:firstLineChars="200"/>
        <w:rPr>
          <w:rFonts w:hint="eastAsia" w:ascii="宋体" w:hAnsi="宋体"/>
          <w:color w:val="auto"/>
          <w:kern w:val="0"/>
          <w:sz w:val="21"/>
          <w:szCs w:val="21"/>
          <w:highlight w:val="none"/>
        </w:rPr>
      </w:pPr>
      <w:r>
        <w:rPr>
          <w:rFonts w:hint="eastAsia" w:ascii="宋体" w:hAnsi="宋体"/>
          <w:color w:val="auto"/>
          <w:kern w:val="0"/>
          <w:sz w:val="21"/>
          <w:szCs w:val="21"/>
          <w:highlight w:val="none"/>
        </w:rPr>
        <w:t>风险范围以外合同价格的调整方法：根据第11.1 款约定的价格调整办法调整。</w:t>
      </w:r>
    </w:p>
    <w:p w14:paraId="62AB2744">
      <w:pPr>
        <w:pStyle w:val="483"/>
        <w:spacing w:before="120" w:line="440" w:lineRule="exact"/>
        <w:ind w:firstLine="401" w:firstLineChars="190"/>
        <w:rPr>
          <w:rFonts w:hint="eastAsia" w:hAnsi="宋体"/>
          <w:color w:val="auto"/>
          <w:sz w:val="21"/>
          <w:szCs w:val="21"/>
          <w:highlight w:val="none"/>
        </w:rPr>
      </w:pPr>
      <w:r>
        <w:rPr>
          <w:rFonts w:hint="eastAsia" w:hAnsi="宋体"/>
          <w:color w:val="auto"/>
          <w:sz w:val="21"/>
          <w:szCs w:val="21"/>
          <w:highlight w:val="none"/>
        </w:rPr>
        <w:t>12.2 预付款</w:t>
      </w:r>
    </w:p>
    <w:p w14:paraId="6582F52A">
      <w:pPr>
        <w:pStyle w:val="27"/>
        <w:spacing w:line="440" w:lineRule="exact"/>
        <w:ind w:firstLine="420" w:firstLineChars="200"/>
        <w:rPr>
          <w:rFonts w:hint="eastAsia" w:hAnsi="宋体"/>
          <w:color w:val="auto"/>
          <w:sz w:val="21"/>
          <w:szCs w:val="21"/>
          <w:highlight w:val="none"/>
        </w:rPr>
      </w:pPr>
      <w:r>
        <w:rPr>
          <w:rFonts w:hint="eastAsia" w:hAnsi="宋体"/>
          <w:color w:val="auto"/>
          <w:sz w:val="21"/>
          <w:szCs w:val="21"/>
          <w:highlight w:val="none"/>
        </w:rPr>
        <w:t>12.2.1 预付款的支付</w:t>
      </w:r>
    </w:p>
    <w:p w14:paraId="7B361A7B">
      <w:pPr>
        <w:spacing w:line="440" w:lineRule="exact"/>
        <w:ind w:firstLine="420" w:firstLineChars="200"/>
        <w:rPr>
          <w:rFonts w:hint="eastAsia" w:ascii="宋体" w:hAnsi="宋体"/>
          <w:color w:val="auto"/>
          <w:kern w:val="0"/>
          <w:highlight w:val="none"/>
        </w:rPr>
      </w:pPr>
      <w:r>
        <w:rPr>
          <w:rFonts w:hint="eastAsia" w:ascii="宋体" w:hAnsi="宋体"/>
          <w:color w:val="auto"/>
          <w:kern w:val="0"/>
          <w:highlight w:val="none"/>
        </w:rPr>
        <w:t>（1）预付款支付比例约定：合同价款的</w:t>
      </w:r>
      <w:r>
        <w:rPr>
          <w:rFonts w:hint="eastAsia" w:ascii="宋体" w:hAnsi="宋体"/>
          <w:color w:val="auto"/>
          <w:kern w:val="0"/>
          <w:highlight w:val="none"/>
          <w:u w:val="single"/>
        </w:rPr>
        <w:t xml:space="preserve">  C </w:t>
      </w:r>
      <w:r>
        <w:rPr>
          <w:rFonts w:hint="eastAsia" w:ascii="宋体" w:hAnsi="宋体"/>
          <w:color w:val="auto"/>
          <w:kern w:val="0"/>
          <w:highlight w:val="none"/>
        </w:rPr>
        <w:t>（A、20；/  B、30；/ C、40 ）% ，其他按通用条款执行。</w:t>
      </w:r>
    </w:p>
    <w:p w14:paraId="56E1E398">
      <w:pPr>
        <w:spacing w:line="440" w:lineRule="exact"/>
        <w:ind w:firstLine="420" w:firstLineChars="200"/>
        <w:rPr>
          <w:rFonts w:hint="eastAsia" w:ascii="宋体" w:hAnsi="宋体"/>
          <w:color w:val="auto"/>
          <w:kern w:val="0"/>
          <w:sz w:val="21"/>
          <w:szCs w:val="21"/>
          <w:highlight w:val="none"/>
        </w:rPr>
      </w:pPr>
      <w:r>
        <w:rPr>
          <w:rFonts w:hint="eastAsia" w:ascii="宋体" w:hAnsi="宋体"/>
          <w:color w:val="auto"/>
          <w:kern w:val="0"/>
          <w:highlight w:val="none"/>
        </w:rPr>
        <w:t>（2）预付款支付比例的计算基数应剔除单独支付的安全文明施工基本费</w:t>
      </w:r>
      <w:r>
        <w:rPr>
          <w:rFonts w:hint="eastAsia" w:ascii="宋体" w:hAnsi="宋体"/>
          <w:color w:val="auto"/>
          <w:highlight w:val="none"/>
        </w:rPr>
        <w:t>、暂列金额</w:t>
      </w:r>
      <w:r>
        <w:rPr>
          <w:rFonts w:hint="eastAsia" w:ascii="宋体" w:hAnsi="宋体"/>
          <w:color w:val="auto"/>
          <w:kern w:val="0"/>
          <w:highlight w:val="none"/>
        </w:rPr>
        <w:t>、暂定的专业工程</w:t>
      </w:r>
      <w:r>
        <w:rPr>
          <w:rFonts w:hint="eastAsia" w:ascii="宋体" w:hAnsi="宋体"/>
          <w:color w:val="auto"/>
          <w:kern w:val="0"/>
          <w:sz w:val="21"/>
          <w:szCs w:val="21"/>
          <w:highlight w:val="none"/>
        </w:rPr>
        <w:t>造价以及甲供材料费用。工期两年及以上项目可按本年度投资计划确定预付款支付比例的计算基数。</w:t>
      </w:r>
    </w:p>
    <w:p w14:paraId="498E1EEE">
      <w:pPr>
        <w:spacing w:line="440" w:lineRule="exact"/>
        <w:ind w:firstLine="420" w:firstLineChars="200"/>
        <w:rPr>
          <w:rFonts w:hint="eastAsia" w:ascii="宋体" w:hAnsi="宋体"/>
          <w:color w:val="auto"/>
          <w:kern w:val="0"/>
          <w:sz w:val="21"/>
          <w:szCs w:val="21"/>
          <w:highlight w:val="none"/>
          <w:u w:val="single"/>
        </w:rPr>
      </w:pPr>
      <w:r>
        <w:rPr>
          <w:rFonts w:hint="eastAsia" w:ascii="宋体" w:hAnsi="宋体"/>
          <w:color w:val="auto"/>
          <w:kern w:val="0"/>
          <w:sz w:val="21"/>
          <w:szCs w:val="21"/>
          <w:highlight w:val="none"/>
        </w:rPr>
        <w:t>（3）扣回工程款的时间表、比例：</w:t>
      </w:r>
      <w:r>
        <w:rPr>
          <w:rFonts w:hint="eastAsia" w:ascii="宋体" w:hAnsi="宋体"/>
          <w:color w:val="auto"/>
          <w:kern w:val="0"/>
          <w:sz w:val="21"/>
          <w:szCs w:val="21"/>
          <w:highlight w:val="none"/>
          <w:u w:val="single"/>
        </w:rPr>
        <w:t>不扣回。</w:t>
      </w:r>
    </w:p>
    <w:p w14:paraId="3AE76AA0">
      <w:pPr>
        <w:pStyle w:val="27"/>
        <w:spacing w:line="440" w:lineRule="exact"/>
        <w:ind w:firstLine="420" w:firstLineChars="200"/>
        <w:rPr>
          <w:rFonts w:hint="eastAsia" w:hAnsi="宋体"/>
          <w:color w:val="auto"/>
          <w:sz w:val="21"/>
          <w:szCs w:val="21"/>
          <w:highlight w:val="none"/>
        </w:rPr>
      </w:pPr>
      <w:r>
        <w:rPr>
          <w:rFonts w:hint="eastAsia" w:hAnsi="宋体"/>
          <w:color w:val="auto"/>
          <w:sz w:val="21"/>
          <w:szCs w:val="21"/>
          <w:highlight w:val="none"/>
        </w:rPr>
        <w:t>12.2.2 预付款担保</w:t>
      </w:r>
    </w:p>
    <w:p w14:paraId="4A4ADBFA">
      <w:pPr>
        <w:pStyle w:val="27"/>
        <w:spacing w:line="440" w:lineRule="exact"/>
        <w:ind w:firstLine="420" w:firstLineChars="200"/>
        <w:rPr>
          <w:rFonts w:hint="eastAsia" w:hAnsi="宋体"/>
          <w:color w:val="auto"/>
          <w:sz w:val="21"/>
          <w:szCs w:val="21"/>
          <w:highlight w:val="none"/>
        </w:rPr>
      </w:pPr>
      <w:r>
        <w:rPr>
          <w:rFonts w:hint="eastAsia" w:hAnsi="宋体"/>
          <w:color w:val="auto"/>
          <w:sz w:val="21"/>
          <w:szCs w:val="21"/>
          <w:highlight w:val="none"/>
        </w:rPr>
        <w:t>（1）当承包人的建筑市场信用等级为C级及以下时，应当向发包人提供符合本合同附件9《预付款保函》格式的银行保函一份。担保期限自发包人支付预付款之日至预付款扣回之日止。若承包人不提供预付款担保，则发包人不支付预付款。</w:t>
      </w:r>
    </w:p>
    <w:p w14:paraId="74159A58">
      <w:pPr>
        <w:pStyle w:val="27"/>
        <w:spacing w:line="440" w:lineRule="exact"/>
        <w:ind w:firstLine="420" w:firstLineChars="200"/>
        <w:rPr>
          <w:rFonts w:hint="eastAsia" w:hAnsi="宋体"/>
          <w:color w:val="auto"/>
          <w:sz w:val="21"/>
          <w:szCs w:val="21"/>
          <w:highlight w:val="none"/>
        </w:rPr>
      </w:pPr>
      <w:r>
        <w:rPr>
          <w:rFonts w:hint="eastAsia" w:hAnsi="宋体"/>
          <w:color w:val="auto"/>
          <w:sz w:val="21"/>
          <w:szCs w:val="21"/>
          <w:highlight w:val="none"/>
        </w:rPr>
        <w:t>（2）承包人的信用等级以本合同约定的发包人应当支付预付款的时间所在季度的本市建筑市场信用等级确定。</w:t>
      </w:r>
    </w:p>
    <w:p w14:paraId="64F64A4D">
      <w:pPr>
        <w:pStyle w:val="27"/>
        <w:spacing w:line="440" w:lineRule="exact"/>
        <w:ind w:firstLine="420" w:firstLineChars="200"/>
        <w:rPr>
          <w:rFonts w:hint="eastAsia" w:hAnsi="宋体"/>
          <w:color w:val="auto"/>
          <w:sz w:val="21"/>
          <w:szCs w:val="21"/>
          <w:highlight w:val="none"/>
        </w:rPr>
      </w:pPr>
      <w:r>
        <w:rPr>
          <w:rFonts w:hint="eastAsia" w:hAnsi="宋体"/>
          <w:color w:val="auto"/>
          <w:sz w:val="21"/>
          <w:szCs w:val="21"/>
          <w:highlight w:val="none"/>
        </w:rPr>
        <w:t>（3）承包人与预付款担保有关的任何利息或其它类似的费用或者收益由承包人承担。</w:t>
      </w:r>
    </w:p>
    <w:p w14:paraId="560E1BD9">
      <w:pPr>
        <w:pStyle w:val="483"/>
        <w:spacing w:before="120" w:line="440" w:lineRule="exact"/>
        <w:ind w:firstLine="401" w:firstLineChars="190"/>
        <w:rPr>
          <w:rFonts w:hint="eastAsia" w:hAnsi="宋体"/>
          <w:color w:val="auto"/>
          <w:sz w:val="21"/>
          <w:szCs w:val="21"/>
          <w:highlight w:val="none"/>
        </w:rPr>
      </w:pPr>
      <w:r>
        <w:rPr>
          <w:rFonts w:hint="eastAsia" w:hAnsi="宋体"/>
          <w:color w:val="auto"/>
          <w:sz w:val="21"/>
          <w:szCs w:val="21"/>
          <w:highlight w:val="none"/>
        </w:rPr>
        <w:t>12.3 计量</w:t>
      </w:r>
    </w:p>
    <w:p w14:paraId="117D5B62">
      <w:pPr>
        <w:pStyle w:val="27"/>
        <w:spacing w:line="440" w:lineRule="exact"/>
        <w:ind w:firstLine="420" w:firstLineChars="200"/>
        <w:rPr>
          <w:rFonts w:hint="eastAsia" w:hAnsi="宋体"/>
          <w:color w:val="auto"/>
          <w:sz w:val="21"/>
          <w:szCs w:val="21"/>
          <w:highlight w:val="none"/>
        </w:rPr>
      </w:pPr>
      <w:r>
        <w:rPr>
          <w:rFonts w:hint="eastAsia" w:hAnsi="宋体"/>
          <w:color w:val="auto"/>
          <w:sz w:val="21"/>
          <w:szCs w:val="21"/>
          <w:highlight w:val="none"/>
        </w:rPr>
        <w:t>关于工程量计算原则约定：</w:t>
      </w:r>
      <w:r>
        <w:rPr>
          <w:rFonts w:hint="eastAsia" w:hAnsi="宋体"/>
          <w:color w:val="auto"/>
          <w:sz w:val="21"/>
          <w:szCs w:val="21"/>
          <w:highlight w:val="none"/>
          <w:u w:val="single"/>
        </w:rPr>
        <w:t>按现行的工程量计算规则执行。</w:t>
      </w:r>
    </w:p>
    <w:p w14:paraId="73CBA2D3">
      <w:pPr>
        <w:pStyle w:val="27"/>
        <w:spacing w:line="440" w:lineRule="exact"/>
        <w:ind w:firstLine="420" w:firstLineChars="200"/>
        <w:rPr>
          <w:rFonts w:hint="eastAsia" w:hAnsi="宋体"/>
          <w:color w:val="auto"/>
          <w:sz w:val="21"/>
          <w:szCs w:val="21"/>
          <w:highlight w:val="none"/>
        </w:rPr>
      </w:pPr>
      <w:r>
        <w:rPr>
          <w:rFonts w:hint="eastAsia" w:hAnsi="宋体"/>
          <w:color w:val="auto"/>
          <w:sz w:val="21"/>
          <w:szCs w:val="21"/>
          <w:highlight w:val="none"/>
        </w:rPr>
        <w:t>关于计量周期及本合同计量方式和程序的约定：</w:t>
      </w:r>
      <w:r>
        <w:rPr>
          <w:rFonts w:hint="eastAsia" w:hAnsi="宋体"/>
          <w:color w:val="auto"/>
          <w:sz w:val="21"/>
          <w:szCs w:val="21"/>
          <w:highlight w:val="none"/>
          <w:u w:val="single"/>
        </w:rPr>
        <w:t>工程量按月计量，其余执行通用条款。</w:t>
      </w:r>
    </w:p>
    <w:p w14:paraId="13D15FBF">
      <w:pPr>
        <w:pStyle w:val="483"/>
        <w:spacing w:before="120" w:line="440" w:lineRule="exact"/>
        <w:ind w:firstLine="401" w:firstLineChars="190"/>
        <w:rPr>
          <w:rFonts w:hint="eastAsia" w:hAnsi="宋体"/>
          <w:color w:val="auto"/>
          <w:sz w:val="21"/>
          <w:szCs w:val="21"/>
          <w:highlight w:val="none"/>
        </w:rPr>
      </w:pPr>
      <w:r>
        <w:rPr>
          <w:rFonts w:hint="eastAsia" w:hAnsi="宋体"/>
          <w:color w:val="auto"/>
          <w:sz w:val="21"/>
          <w:szCs w:val="21"/>
          <w:highlight w:val="none"/>
        </w:rPr>
        <w:t>12.4 工程进度款支付</w:t>
      </w:r>
    </w:p>
    <w:p w14:paraId="6C294925">
      <w:pPr>
        <w:spacing w:line="440" w:lineRule="exact"/>
        <w:ind w:firstLine="525" w:firstLineChars="250"/>
        <w:rPr>
          <w:rFonts w:hint="eastAsia" w:ascii="宋体" w:hAnsi="宋体"/>
          <w:color w:val="auto"/>
          <w:sz w:val="21"/>
          <w:szCs w:val="21"/>
          <w:highlight w:val="none"/>
        </w:rPr>
      </w:pPr>
      <w:r>
        <w:rPr>
          <w:rFonts w:hint="eastAsia" w:ascii="宋体" w:hAnsi="宋体"/>
          <w:color w:val="auto"/>
          <w:sz w:val="21"/>
          <w:szCs w:val="21"/>
          <w:highlight w:val="none"/>
        </w:rPr>
        <w:t>（1）本工程在开工并收到履约担保7个工作日内，</w:t>
      </w:r>
      <w:r>
        <w:rPr>
          <w:rFonts w:hint="eastAsia" w:ascii="宋体" w:hAnsi="宋体"/>
          <w:color w:val="auto"/>
          <w:sz w:val="21"/>
          <w:szCs w:val="21"/>
          <w:highlight w:val="none"/>
          <w:lang w:val="en-US" w:eastAsia="zh-CN"/>
        </w:rPr>
        <w:t>发包人</w:t>
      </w:r>
      <w:r>
        <w:rPr>
          <w:rFonts w:hint="eastAsia" w:ascii="宋体" w:hAnsi="宋体"/>
          <w:color w:val="auto"/>
          <w:sz w:val="21"/>
          <w:szCs w:val="21"/>
          <w:highlight w:val="none"/>
        </w:rPr>
        <w:t>支付工程预付款，预付款为合同总价（剔除单独支付的安全文明施工基本费、暂列金额、暂定的专业工程造价以及甲供材料费用）的40%。</w:t>
      </w:r>
    </w:p>
    <w:p w14:paraId="4363C6BE">
      <w:pPr>
        <w:spacing w:line="440" w:lineRule="exact"/>
        <w:ind w:firstLine="420"/>
        <w:rPr>
          <w:rFonts w:hint="eastAsia" w:ascii="宋体" w:hAnsi="宋体"/>
          <w:color w:val="auto"/>
          <w:sz w:val="21"/>
          <w:szCs w:val="21"/>
          <w:highlight w:val="none"/>
        </w:rPr>
      </w:pPr>
      <w:r>
        <w:rPr>
          <w:rFonts w:hint="eastAsia" w:ascii="宋体" w:hAnsi="宋体"/>
          <w:color w:val="auto"/>
          <w:sz w:val="21"/>
          <w:szCs w:val="21"/>
          <w:highlight w:val="none"/>
        </w:rPr>
        <w:t>（2）待工程验收合格，并提交完整的竣工资料、竣工图（含电子光盘CAD竣工图）和结算资料后，支付至工程合同价款与实际完成工程量价款两者较小的</w:t>
      </w:r>
      <w:r>
        <w:rPr>
          <w:rFonts w:hint="eastAsia" w:ascii="宋体" w:hAnsi="宋体"/>
          <w:color w:val="auto"/>
          <w:sz w:val="21"/>
          <w:szCs w:val="21"/>
          <w:highlight w:val="none"/>
          <w:lang w:val="en-US" w:eastAsia="zh-CN"/>
        </w:rPr>
        <w:t>85</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待</w:t>
      </w:r>
      <w:r>
        <w:rPr>
          <w:rFonts w:hint="eastAsia" w:ascii="宋体" w:hAnsi="宋体"/>
          <w:color w:val="auto"/>
          <w:sz w:val="21"/>
          <w:szCs w:val="21"/>
          <w:highlight w:val="none"/>
        </w:rPr>
        <w:t>审核完成</w:t>
      </w:r>
      <w:r>
        <w:rPr>
          <w:rFonts w:hint="eastAsia" w:ascii="宋体" w:hAnsi="宋体"/>
          <w:color w:val="auto"/>
          <w:sz w:val="21"/>
          <w:szCs w:val="21"/>
          <w:highlight w:val="none"/>
          <w:lang w:val="en-US" w:eastAsia="zh-CN"/>
        </w:rPr>
        <w:t>并</w:t>
      </w:r>
      <w:r>
        <w:rPr>
          <w:rFonts w:hint="eastAsia" w:ascii="宋体" w:hAnsi="宋体"/>
          <w:color w:val="auto"/>
          <w:sz w:val="21"/>
          <w:szCs w:val="21"/>
          <w:highlight w:val="none"/>
        </w:rPr>
        <w:t>在承包人提供全额发票（增值税专用发票）后支付至审定合同价款的100%。</w:t>
      </w:r>
    </w:p>
    <w:p w14:paraId="1ED005B3">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特别说明：对在施工过程中因合理变更需要增加的费用，原则上要在工程竣工结算审核完成后才能支付；若单张变更联系单（仅指某一单项事由变更）调整金额在50万元及以上确需在进度款中支付部分费用的，应对变更部分的费用编制预算，并签订补充合同，该部分费用支付比例按项目管理单位（或监理单位）和发包人审核造价的50%比例支付。</w:t>
      </w:r>
    </w:p>
    <w:p w14:paraId="1C6BF94E">
      <w:pPr>
        <w:pStyle w:val="469"/>
        <w:spacing w:line="4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13. 验收和工程试车</w:t>
      </w:r>
    </w:p>
    <w:p w14:paraId="5C9393A4">
      <w:pPr>
        <w:pStyle w:val="483"/>
        <w:spacing w:before="120" w:line="440" w:lineRule="exact"/>
        <w:ind w:firstLine="401" w:firstLineChars="190"/>
        <w:rPr>
          <w:rFonts w:hint="eastAsia" w:hAnsi="宋体"/>
          <w:color w:val="auto"/>
          <w:sz w:val="21"/>
          <w:szCs w:val="21"/>
          <w:highlight w:val="none"/>
        </w:rPr>
      </w:pPr>
      <w:r>
        <w:rPr>
          <w:rFonts w:hint="eastAsia" w:hAnsi="宋体"/>
          <w:color w:val="auto"/>
          <w:sz w:val="21"/>
          <w:szCs w:val="21"/>
          <w:highlight w:val="none"/>
        </w:rPr>
        <w:t>13.1 分部分项工程验收</w:t>
      </w:r>
    </w:p>
    <w:p w14:paraId="6789CCDB">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13.1.2 监理人不能按时进行验收时，应提前</w:t>
      </w:r>
      <w:r>
        <w:rPr>
          <w:rFonts w:hint="eastAsia" w:ascii="宋体" w:hAnsi="宋体"/>
          <w:b/>
          <w:color w:val="auto"/>
          <w:sz w:val="21"/>
          <w:szCs w:val="21"/>
          <w:highlight w:val="none"/>
          <w:u w:val="single"/>
        </w:rPr>
        <w:t xml:space="preserve"> A </w:t>
      </w:r>
      <w:r>
        <w:rPr>
          <w:rFonts w:hint="eastAsia" w:ascii="宋体" w:hAnsi="宋体"/>
          <w:color w:val="auto"/>
          <w:kern w:val="0"/>
          <w:sz w:val="21"/>
          <w:szCs w:val="21"/>
          <w:highlight w:val="none"/>
        </w:rPr>
        <w:t>（A、12；/  B、24；/ C、36 ）</w:t>
      </w:r>
      <w:r>
        <w:rPr>
          <w:rFonts w:hint="eastAsia" w:ascii="宋体" w:hAnsi="宋体"/>
          <w:color w:val="auto"/>
          <w:sz w:val="21"/>
          <w:szCs w:val="21"/>
          <w:highlight w:val="none"/>
        </w:rPr>
        <w:t>小时提交书面延期要求，但延期不能超过48小时。</w:t>
      </w:r>
    </w:p>
    <w:p w14:paraId="50FB6ACA">
      <w:pPr>
        <w:pStyle w:val="483"/>
        <w:spacing w:before="120" w:line="440" w:lineRule="exact"/>
        <w:ind w:firstLine="401" w:firstLineChars="190"/>
        <w:rPr>
          <w:rFonts w:hint="eastAsia" w:hAnsi="宋体"/>
          <w:color w:val="auto"/>
          <w:sz w:val="21"/>
          <w:szCs w:val="21"/>
          <w:highlight w:val="none"/>
        </w:rPr>
      </w:pPr>
      <w:r>
        <w:rPr>
          <w:rFonts w:hint="eastAsia" w:hAnsi="宋体"/>
          <w:color w:val="auto"/>
          <w:sz w:val="21"/>
          <w:szCs w:val="21"/>
          <w:highlight w:val="none"/>
        </w:rPr>
        <w:t>13.2 竣工验收</w:t>
      </w:r>
    </w:p>
    <w:p w14:paraId="7145539D">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13.2.2 竣工验收程序</w:t>
      </w:r>
    </w:p>
    <w:p w14:paraId="7BB02EE3">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关于竣工验收程序的约定：</w:t>
      </w:r>
      <w:r>
        <w:rPr>
          <w:rFonts w:hint="eastAsia" w:ascii="宋体" w:hAnsi="宋体"/>
          <w:color w:val="auto"/>
          <w:kern w:val="0"/>
          <w:sz w:val="21"/>
          <w:szCs w:val="21"/>
          <w:highlight w:val="none"/>
          <w:u w:val="single"/>
        </w:rPr>
        <w:t>执行通用条款</w:t>
      </w:r>
      <w:r>
        <w:rPr>
          <w:rFonts w:hint="eastAsia" w:ascii="宋体" w:hAnsi="宋体"/>
          <w:color w:val="auto"/>
          <w:sz w:val="21"/>
          <w:szCs w:val="21"/>
          <w:highlight w:val="none"/>
          <w:u w:val="single"/>
        </w:rPr>
        <w:t>。</w:t>
      </w:r>
    </w:p>
    <w:p w14:paraId="020AB09B">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发包人不按照本项约定组织竣工验收、颁发工程接收证书的违约金的计算方法：</w:t>
      </w:r>
      <w:r>
        <w:rPr>
          <w:rFonts w:hint="eastAsia" w:ascii="宋体" w:hAnsi="宋体"/>
          <w:color w:val="auto"/>
          <w:kern w:val="0"/>
          <w:sz w:val="21"/>
          <w:szCs w:val="21"/>
          <w:highlight w:val="none"/>
          <w:u w:val="single"/>
        </w:rPr>
        <w:t>执行通用条款</w:t>
      </w:r>
      <w:r>
        <w:rPr>
          <w:rFonts w:hint="eastAsia" w:ascii="宋体" w:hAnsi="宋体"/>
          <w:color w:val="auto"/>
          <w:kern w:val="0"/>
          <w:sz w:val="21"/>
          <w:szCs w:val="21"/>
          <w:highlight w:val="none"/>
        </w:rPr>
        <w:t>。</w:t>
      </w:r>
    </w:p>
    <w:p w14:paraId="03BF4551">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13.2.5 移交、接收全部与部分工程</w:t>
      </w:r>
    </w:p>
    <w:p w14:paraId="18CAC57D">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承包人向发包人移交工程的期限：在颁发工程接收证书后</w:t>
      </w:r>
      <w:r>
        <w:rPr>
          <w:rFonts w:hint="eastAsia" w:ascii="宋体" w:hAnsi="宋体"/>
          <w:b/>
          <w:color w:val="auto"/>
          <w:kern w:val="0"/>
          <w:sz w:val="21"/>
          <w:szCs w:val="21"/>
          <w:highlight w:val="none"/>
          <w:u w:val="single"/>
        </w:rPr>
        <w:t>B</w:t>
      </w:r>
      <w:r>
        <w:rPr>
          <w:rFonts w:hint="eastAsia" w:ascii="宋体" w:hAnsi="宋体"/>
          <w:color w:val="auto"/>
          <w:kern w:val="0"/>
          <w:sz w:val="21"/>
          <w:szCs w:val="21"/>
          <w:highlight w:val="none"/>
        </w:rPr>
        <w:t>（A、3；/ B、7；/ C、14）</w:t>
      </w:r>
      <w:r>
        <w:rPr>
          <w:rFonts w:hint="eastAsia" w:ascii="宋体" w:hAnsi="宋体"/>
          <w:color w:val="auto"/>
          <w:sz w:val="21"/>
          <w:szCs w:val="21"/>
          <w:highlight w:val="none"/>
        </w:rPr>
        <w:t>天内完成工程的移交。</w:t>
      </w:r>
    </w:p>
    <w:p w14:paraId="56056770">
      <w:pPr>
        <w:spacing w:line="440" w:lineRule="exact"/>
        <w:ind w:firstLine="420" w:firstLineChars="200"/>
        <w:rPr>
          <w:rFonts w:hint="eastAsia" w:ascii="宋体" w:hAnsi="宋体"/>
          <w:color w:val="auto"/>
          <w:sz w:val="21"/>
          <w:szCs w:val="21"/>
          <w:highlight w:val="none"/>
        </w:rPr>
      </w:pPr>
      <w:r>
        <w:rPr>
          <w:rFonts w:hint="eastAsia" w:ascii="宋体" w:hAnsi="宋体"/>
          <w:color w:val="auto"/>
          <w:kern w:val="0"/>
          <w:sz w:val="21"/>
          <w:szCs w:val="21"/>
          <w:highlight w:val="none"/>
        </w:rPr>
        <w:t>发包人无正当理由未按本合同约定接收全部或部分工程的，除承担自应接收工程</w:t>
      </w:r>
      <w:r>
        <w:rPr>
          <w:rFonts w:hint="eastAsia" w:ascii="宋体" w:hAnsi="宋体"/>
          <w:color w:val="auto"/>
          <w:sz w:val="21"/>
          <w:szCs w:val="21"/>
          <w:highlight w:val="none"/>
        </w:rPr>
        <w:t>之日起的工程照管、成本保护、保管等与工程有关的各项费用外，应当按本专用条款约定的</w:t>
      </w:r>
      <w:r>
        <w:rPr>
          <w:rFonts w:hint="eastAsia" w:ascii="宋体" w:hAnsi="宋体"/>
          <w:color w:val="auto"/>
          <w:kern w:val="0"/>
          <w:sz w:val="21"/>
          <w:szCs w:val="21"/>
          <w:highlight w:val="none"/>
        </w:rPr>
        <w:t>提前竣工奖励的5倍标准</w:t>
      </w:r>
      <w:r>
        <w:rPr>
          <w:rFonts w:hint="eastAsia" w:ascii="宋体" w:hAnsi="宋体"/>
          <w:color w:val="auto"/>
          <w:sz w:val="21"/>
          <w:szCs w:val="21"/>
          <w:highlight w:val="none"/>
        </w:rPr>
        <w:t>向承包人支付逾期接收工程的违约金。</w:t>
      </w:r>
    </w:p>
    <w:p w14:paraId="69B22B79">
      <w:pPr>
        <w:spacing w:line="440" w:lineRule="exact"/>
        <w:ind w:firstLine="420" w:firstLineChars="200"/>
        <w:rPr>
          <w:rFonts w:hint="eastAsia" w:ascii="宋体" w:hAnsi="宋体"/>
          <w:color w:val="auto"/>
          <w:sz w:val="21"/>
          <w:szCs w:val="21"/>
          <w:highlight w:val="none"/>
        </w:rPr>
      </w:pPr>
      <w:r>
        <w:rPr>
          <w:rFonts w:hint="eastAsia" w:ascii="宋体" w:hAnsi="宋体"/>
          <w:color w:val="auto"/>
          <w:kern w:val="0"/>
          <w:sz w:val="21"/>
          <w:szCs w:val="21"/>
          <w:highlight w:val="none"/>
        </w:rPr>
        <w:t>承包人无正当理由未按时移交工程的，除承担自应接收工程之日起的工程照管、成本保护、保管等与工程有关的各项费用外，应当按本合同约定的工期延误赔偿标准的5倍向发</w:t>
      </w:r>
      <w:r>
        <w:rPr>
          <w:rFonts w:hint="eastAsia" w:ascii="宋体" w:hAnsi="宋体"/>
          <w:color w:val="auto"/>
          <w:sz w:val="21"/>
          <w:szCs w:val="21"/>
          <w:highlight w:val="none"/>
        </w:rPr>
        <w:t>包人支付逾期移交工程的违约金。</w:t>
      </w:r>
    </w:p>
    <w:p w14:paraId="0C14FECA">
      <w:pPr>
        <w:pStyle w:val="483"/>
        <w:spacing w:before="120" w:line="440" w:lineRule="exact"/>
        <w:ind w:firstLine="401" w:firstLineChars="190"/>
        <w:rPr>
          <w:rFonts w:hint="eastAsia" w:hAnsi="宋体"/>
          <w:color w:val="auto"/>
          <w:sz w:val="21"/>
          <w:szCs w:val="21"/>
          <w:highlight w:val="none"/>
        </w:rPr>
      </w:pPr>
      <w:r>
        <w:rPr>
          <w:rFonts w:hint="eastAsia" w:hAnsi="宋体"/>
          <w:color w:val="auto"/>
          <w:sz w:val="21"/>
          <w:szCs w:val="21"/>
          <w:highlight w:val="none"/>
        </w:rPr>
        <w:t>13.3 工程试车</w:t>
      </w:r>
    </w:p>
    <w:p w14:paraId="06B578F3">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13.3.1 关于试车程序及费用的约定：</w:t>
      </w:r>
      <w:r>
        <w:rPr>
          <w:rFonts w:hint="eastAsia" w:ascii="宋体" w:hAnsi="宋体"/>
          <w:color w:val="auto"/>
          <w:sz w:val="21"/>
          <w:szCs w:val="21"/>
          <w:highlight w:val="none"/>
          <w:u w:val="single"/>
        </w:rPr>
        <w:t>执行通用条款。</w:t>
      </w:r>
    </w:p>
    <w:p w14:paraId="16DFB4B4">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13.3.3关于投料试车相关事项的约定：</w:t>
      </w:r>
      <w:r>
        <w:rPr>
          <w:rFonts w:hint="eastAsia" w:ascii="宋体" w:hAnsi="宋体"/>
          <w:color w:val="auto"/>
          <w:sz w:val="21"/>
          <w:szCs w:val="21"/>
          <w:highlight w:val="none"/>
          <w:u w:val="single"/>
        </w:rPr>
        <w:t>执行通用条款。</w:t>
      </w:r>
    </w:p>
    <w:p w14:paraId="42CA9139">
      <w:pPr>
        <w:pStyle w:val="483"/>
        <w:spacing w:before="120" w:line="440" w:lineRule="exact"/>
        <w:ind w:firstLine="401" w:firstLineChars="190"/>
        <w:rPr>
          <w:rFonts w:hint="eastAsia" w:hAnsi="宋体"/>
          <w:color w:val="auto"/>
          <w:sz w:val="21"/>
          <w:szCs w:val="21"/>
          <w:highlight w:val="none"/>
        </w:rPr>
      </w:pPr>
      <w:r>
        <w:rPr>
          <w:rFonts w:hint="eastAsia" w:hAnsi="宋体"/>
          <w:color w:val="auto"/>
          <w:sz w:val="21"/>
          <w:szCs w:val="21"/>
          <w:highlight w:val="none"/>
        </w:rPr>
        <w:t>13.6 竣工退场</w:t>
      </w:r>
    </w:p>
    <w:p w14:paraId="2F2CA119">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13.6.1 竣工退场</w:t>
      </w:r>
    </w:p>
    <w:p w14:paraId="16F33AE0">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承包人应当在发包人颁发工程接收证书后</w:t>
      </w:r>
      <w:r>
        <w:rPr>
          <w:rFonts w:hint="eastAsia" w:ascii="宋体" w:hAnsi="宋体"/>
          <w:b/>
          <w:color w:val="auto"/>
          <w:sz w:val="21"/>
          <w:szCs w:val="21"/>
          <w:highlight w:val="none"/>
          <w:u w:val="single"/>
        </w:rPr>
        <w:t>A</w:t>
      </w:r>
      <w:r>
        <w:rPr>
          <w:rFonts w:hint="eastAsia" w:ascii="宋体" w:hAnsi="宋体"/>
          <w:color w:val="auto"/>
          <w:sz w:val="21"/>
          <w:szCs w:val="21"/>
          <w:highlight w:val="none"/>
          <w:u w:val="single"/>
        </w:rPr>
        <w:t xml:space="preserve"> </w:t>
      </w:r>
      <w:r>
        <w:rPr>
          <w:rFonts w:hint="eastAsia" w:ascii="宋体" w:hAnsi="宋体"/>
          <w:color w:val="auto"/>
          <w:kern w:val="0"/>
          <w:sz w:val="21"/>
          <w:szCs w:val="21"/>
          <w:highlight w:val="none"/>
        </w:rPr>
        <w:t>（A、7；/ B、14；/ C、21 ）天</w:t>
      </w:r>
      <w:r>
        <w:rPr>
          <w:rFonts w:hint="eastAsia" w:ascii="宋体" w:hAnsi="宋体"/>
          <w:color w:val="auto"/>
          <w:sz w:val="21"/>
          <w:szCs w:val="21"/>
          <w:highlight w:val="none"/>
        </w:rPr>
        <w:t>内完成竣工退场，逾期未完成的，按通用条款执行。</w:t>
      </w:r>
    </w:p>
    <w:p w14:paraId="384DFAD5">
      <w:pPr>
        <w:pStyle w:val="469"/>
        <w:spacing w:line="4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 竣工结算</w:t>
      </w:r>
    </w:p>
    <w:p w14:paraId="50850F5D">
      <w:pPr>
        <w:pStyle w:val="483"/>
        <w:spacing w:before="120" w:line="440" w:lineRule="exact"/>
        <w:ind w:firstLine="401" w:firstLineChars="190"/>
        <w:rPr>
          <w:rFonts w:hint="eastAsia" w:hAnsi="宋体"/>
          <w:color w:val="auto"/>
          <w:sz w:val="21"/>
          <w:szCs w:val="21"/>
          <w:highlight w:val="none"/>
        </w:rPr>
      </w:pPr>
      <w:r>
        <w:rPr>
          <w:rFonts w:hint="eastAsia" w:hAnsi="宋体"/>
          <w:color w:val="auto"/>
          <w:sz w:val="21"/>
          <w:szCs w:val="21"/>
          <w:highlight w:val="none"/>
        </w:rPr>
        <w:t>14.1 竣工结算申请</w:t>
      </w:r>
    </w:p>
    <w:p w14:paraId="50B36C55">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承包人应当在工程竣工验收合格后</w:t>
      </w:r>
      <w:r>
        <w:rPr>
          <w:rFonts w:hint="eastAsia" w:ascii="宋体" w:hAnsi="宋体"/>
          <w:color w:val="auto"/>
          <w:sz w:val="21"/>
          <w:szCs w:val="21"/>
          <w:highlight w:val="none"/>
          <w:u w:val="single"/>
        </w:rPr>
        <w:t xml:space="preserve"> </w:t>
      </w:r>
      <w:r>
        <w:rPr>
          <w:rFonts w:hint="eastAsia" w:ascii="宋体" w:hAnsi="宋体"/>
          <w:b/>
          <w:color w:val="auto"/>
          <w:sz w:val="21"/>
          <w:szCs w:val="21"/>
          <w:highlight w:val="none"/>
          <w:u w:val="single"/>
        </w:rPr>
        <w:t>A</w:t>
      </w:r>
      <w:r>
        <w:rPr>
          <w:rFonts w:hint="eastAsia" w:ascii="宋体" w:hAnsi="宋体"/>
          <w:color w:val="auto"/>
          <w:sz w:val="21"/>
          <w:szCs w:val="21"/>
          <w:highlight w:val="none"/>
          <w:u w:val="single"/>
        </w:rPr>
        <w:t xml:space="preserve"> </w:t>
      </w:r>
      <w:r>
        <w:rPr>
          <w:rFonts w:hint="eastAsia" w:ascii="宋体" w:hAnsi="宋体"/>
          <w:color w:val="auto"/>
          <w:kern w:val="0"/>
          <w:sz w:val="21"/>
          <w:szCs w:val="21"/>
          <w:highlight w:val="none"/>
        </w:rPr>
        <w:t>（A、14；/ B、21；/ C、28 ）天</w:t>
      </w:r>
      <w:r>
        <w:rPr>
          <w:rFonts w:hint="eastAsia" w:ascii="宋体" w:hAnsi="宋体"/>
          <w:color w:val="auto"/>
          <w:sz w:val="21"/>
          <w:szCs w:val="21"/>
          <w:highlight w:val="none"/>
        </w:rPr>
        <w:t>内向发包人或其委托的工程造价咨询人提交竣工结算申请单及其完整的结算资料3份。</w:t>
      </w:r>
    </w:p>
    <w:p w14:paraId="06DC0BE9">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发包人或其委托的工程造价咨询人对竣工结算申请单有异议或者结算资料不符合要求的，有权要求承包进行修正和提供补充资料，但应当出具书面的意见。承包人应当按照发包人或其委托的工程造价咨询人出具的书面意见提交修正后的竣工结算申请单或结算资料，竣工结算申请的时间从提交修正后的竣工结算申请单或结算资料起计算。</w:t>
      </w:r>
    </w:p>
    <w:p w14:paraId="3A00B3B7">
      <w:pPr>
        <w:autoSpaceDE w:val="0"/>
        <w:autoSpaceDN w:val="0"/>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竣工结算申请单应包括的内容：按通用条款执行。</w:t>
      </w:r>
    </w:p>
    <w:p w14:paraId="17280752">
      <w:pPr>
        <w:pStyle w:val="483"/>
        <w:spacing w:before="120" w:line="440" w:lineRule="exact"/>
        <w:ind w:firstLine="401" w:firstLineChars="190"/>
        <w:rPr>
          <w:rFonts w:hint="eastAsia" w:hAnsi="宋体"/>
          <w:color w:val="auto"/>
          <w:sz w:val="21"/>
          <w:szCs w:val="21"/>
          <w:highlight w:val="none"/>
        </w:rPr>
      </w:pPr>
      <w:r>
        <w:rPr>
          <w:rFonts w:hint="eastAsia" w:hAnsi="宋体"/>
          <w:color w:val="auto"/>
          <w:sz w:val="21"/>
          <w:szCs w:val="21"/>
          <w:highlight w:val="none"/>
        </w:rPr>
        <w:t>14.2 竣工结算审核</w:t>
      </w:r>
    </w:p>
    <w:p w14:paraId="14204EBA">
      <w:pPr>
        <w:pStyle w:val="27"/>
        <w:spacing w:line="440" w:lineRule="exact"/>
        <w:ind w:firstLine="420" w:firstLineChars="200"/>
        <w:rPr>
          <w:rFonts w:hint="eastAsia" w:hAnsi="宋体"/>
          <w:color w:val="auto"/>
          <w:sz w:val="21"/>
          <w:szCs w:val="21"/>
          <w:highlight w:val="none"/>
        </w:rPr>
      </w:pPr>
      <w:r>
        <w:rPr>
          <w:rFonts w:hint="eastAsia" w:hAnsi="宋体"/>
          <w:color w:val="auto"/>
          <w:sz w:val="21"/>
          <w:szCs w:val="21"/>
          <w:highlight w:val="none"/>
        </w:rPr>
        <w:t>14.2.1 竣工结算审核</w:t>
      </w:r>
    </w:p>
    <w:p w14:paraId="67DB1A7A">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 xml:space="preserve">（1）发包人或其委托的工程造价咨询人应在收到符合要求的竣工结算申请单及其结算资料后 </w:t>
      </w:r>
      <w:r>
        <w:rPr>
          <w:rFonts w:hint="eastAsia" w:ascii="宋体" w:hAnsi="宋体"/>
          <w:color w:val="auto"/>
          <w:sz w:val="21"/>
          <w:szCs w:val="21"/>
          <w:highlight w:val="none"/>
          <w:u w:val="single"/>
        </w:rPr>
        <w:t>/</w:t>
      </w:r>
      <w:r>
        <w:rPr>
          <w:rFonts w:hint="eastAsia" w:ascii="宋体" w:hAnsi="宋体"/>
          <w:color w:val="auto"/>
          <w:kern w:val="0"/>
          <w:sz w:val="21"/>
          <w:szCs w:val="21"/>
          <w:highlight w:val="none"/>
        </w:rPr>
        <w:t>（A、14；/ B、28；/ C、56 ）</w:t>
      </w:r>
      <w:r>
        <w:rPr>
          <w:rFonts w:hint="eastAsia" w:ascii="宋体" w:hAnsi="宋体"/>
          <w:color w:val="auto"/>
          <w:sz w:val="21"/>
          <w:szCs w:val="21"/>
          <w:highlight w:val="none"/>
        </w:rPr>
        <w:t>天内完成审批，并由监理人向承包人签发经发包人签认的竣工付款证书。</w:t>
      </w:r>
    </w:p>
    <w:p w14:paraId="3EBA4ADB">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发包人在收到承包人提交的竣工结算申请单后</w:t>
      </w:r>
      <w:r>
        <w:rPr>
          <w:rFonts w:hint="eastAsia" w:ascii="宋体" w:hAnsi="宋体"/>
          <w:color w:val="auto"/>
          <w:sz w:val="21"/>
          <w:szCs w:val="21"/>
          <w:highlight w:val="none"/>
          <w:u w:val="single"/>
        </w:rPr>
        <w:t>/</w:t>
      </w:r>
      <w:r>
        <w:rPr>
          <w:rFonts w:hint="eastAsia" w:ascii="宋体" w:hAnsi="宋体"/>
          <w:color w:val="auto"/>
          <w:kern w:val="0"/>
          <w:sz w:val="21"/>
          <w:szCs w:val="21"/>
          <w:highlight w:val="none"/>
        </w:rPr>
        <w:t>（A、28；/ B、56；/ C、112）</w:t>
      </w:r>
      <w:r>
        <w:rPr>
          <w:rFonts w:hint="eastAsia" w:ascii="宋体" w:hAnsi="宋体"/>
          <w:color w:val="auto"/>
          <w:sz w:val="21"/>
          <w:szCs w:val="21"/>
          <w:highlight w:val="none"/>
        </w:rPr>
        <w:t>天未提出异议或者未出具结算报告的，视为发包人认可承包人提交的竣工结算申请单，逾期，视为已签发竣工付款证书。</w:t>
      </w:r>
    </w:p>
    <w:p w14:paraId="0015C9C7">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（2）发包人应在签发竣工付款证书后</w:t>
      </w:r>
      <w:r>
        <w:rPr>
          <w:rFonts w:hint="eastAsia" w:ascii="宋体" w:hAnsi="宋体"/>
          <w:color w:val="auto"/>
          <w:sz w:val="21"/>
          <w:szCs w:val="21"/>
          <w:highlight w:val="none"/>
          <w:u w:val="single"/>
        </w:rPr>
        <w:t>/</w:t>
      </w:r>
      <w:r>
        <w:rPr>
          <w:rFonts w:hint="eastAsia" w:ascii="宋体" w:hAnsi="宋体"/>
          <w:color w:val="auto"/>
          <w:kern w:val="0"/>
          <w:sz w:val="21"/>
          <w:szCs w:val="21"/>
          <w:highlight w:val="none"/>
        </w:rPr>
        <w:t>（A、7；/ B、14；/ C、21）</w:t>
      </w:r>
      <w:r>
        <w:rPr>
          <w:rFonts w:hint="eastAsia" w:ascii="宋体" w:hAnsi="宋体"/>
          <w:color w:val="auto"/>
          <w:sz w:val="21"/>
          <w:szCs w:val="21"/>
          <w:highlight w:val="none"/>
        </w:rPr>
        <w:t>天内，完成对承包人的竣工付款。发包人逾期支付的违约责任按通用条款执行。</w:t>
      </w:r>
    </w:p>
    <w:p w14:paraId="1F6764AF">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承包人对发包人签发的竣工付款证书有异议的内容，应在收到竣工付款证书后7天内提出，按照第20条[争议解决]约定处理。无异议部分，发包人应签发临时竣工付款证书，并按第（2）项约定完成付款；承包人逾期未提出异议的，视为认可发包人的审核结果。</w:t>
      </w:r>
    </w:p>
    <w:p w14:paraId="5888B08A">
      <w:pPr>
        <w:pStyle w:val="27"/>
        <w:spacing w:line="440" w:lineRule="exact"/>
        <w:ind w:firstLine="420" w:firstLineChars="200"/>
        <w:rPr>
          <w:rFonts w:hint="eastAsia" w:hAnsi="宋体"/>
          <w:color w:val="auto"/>
          <w:sz w:val="21"/>
          <w:szCs w:val="21"/>
          <w:highlight w:val="none"/>
        </w:rPr>
      </w:pPr>
      <w:r>
        <w:rPr>
          <w:rFonts w:hint="eastAsia" w:hAnsi="宋体"/>
          <w:color w:val="auto"/>
          <w:sz w:val="21"/>
          <w:szCs w:val="21"/>
          <w:highlight w:val="none"/>
        </w:rPr>
        <w:t>14.2.2 审计（本项适用按规定需要进行固定资产投资审计的项目）</w:t>
      </w:r>
    </w:p>
    <w:p w14:paraId="2A4E3C72">
      <w:pPr>
        <w:pStyle w:val="27"/>
        <w:spacing w:line="440" w:lineRule="exact"/>
        <w:ind w:firstLine="420" w:firstLineChars="200"/>
        <w:rPr>
          <w:rFonts w:hint="eastAsia" w:hAnsi="宋体"/>
          <w:color w:val="auto"/>
          <w:sz w:val="21"/>
          <w:szCs w:val="21"/>
          <w:highlight w:val="none"/>
        </w:rPr>
      </w:pPr>
      <w:r>
        <w:rPr>
          <w:rFonts w:hint="eastAsia" w:hAnsi="宋体"/>
          <w:color w:val="auto"/>
          <w:sz w:val="21"/>
          <w:szCs w:val="21"/>
          <w:highlight w:val="none"/>
        </w:rPr>
        <w:t>（1）发包人应在完成竣工结算审批后</w:t>
      </w:r>
      <w:r>
        <w:rPr>
          <w:rFonts w:hint="eastAsia" w:hAnsi="宋体"/>
          <w:color w:val="auto"/>
          <w:sz w:val="21"/>
          <w:szCs w:val="21"/>
          <w:highlight w:val="none"/>
          <w:u w:val="single"/>
        </w:rPr>
        <w:t>C</w:t>
      </w:r>
      <w:r>
        <w:rPr>
          <w:rFonts w:hint="eastAsia" w:hAnsi="宋体"/>
          <w:color w:val="auto"/>
          <w:sz w:val="21"/>
          <w:szCs w:val="21"/>
          <w:highlight w:val="none"/>
        </w:rPr>
        <w:t>（A、7；/ B、14；/ C、21 ）天内向审计部门提交符合审计要求的资料。</w:t>
      </w:r>
    </w:p>
    <w:p w14:paraId="42A9435F">
      <w:pPr>
        <w:pStyle w:val="27"/>
        <w:spacing w:line="440" w:lineRule="exact"/>
        <w:ind w:firstLine="420" w:firstLineChars="200"/>
        <w:rPr>
          <w:rFonts w:hint="eastAsia" w:hAnsi="宋体"/>
          <w:color w:val="auto"/>
          <w:sz w:val="21"/>
          <w:szCs w:val="21"/>
          <w:highlight w:val="none"/>
        </w:rPr>
      </w:pPr>
      <w:r>
        <w:rPr>
          <w:rFonts w:hint="eastAsia" w:hAnsi="宋体"/>
          <w:color w:val="auto"/>
          <w:sz w:val="21"/>
          <w:szCs w:val="21"/>
          <w:highlight w:val="none"/>
        </w:rPr>
        <w:t>（2）承包人有义务积极配合审计工作，确保审计工作的顺利开展。</w:t>
      </w:r>
    </w:p>
    <w:p w14:paraId="47B62C94">
      <w:pPr>
        <w:pStyle w:val="27"/>
        <w:spacing w:line="440" w:lineRule="exact"/>
        <w:ind w:firstLine="420" w:firstLineChars="200"/>
        <w:rPr>
          <w:rFonts w:hint="eastAsia" w:hAnsi="宋体"/>
          <w:color w:val="auto"/>
          <w:sz w:val="21"/>
          <w:szCs w:val="21"/>
          <w:highlight w:val="none"/>
        </w:rPr>
      </w:pPr>
      <w:r>
        <w:rPr>
          <w:rFonts w:hint="eastAsia" w:hAnsi="宋体"/>
          <w:color w:val="auto"/>
          <w:sz w:val="21"/>
          <w:szCs w:val="21"/>
          <w:highlight w:val="none"/>
        </w:rPr>
        <w:t>14.2.3 预付合同尾款</w:t>
      </w:r>
    </w:p>
    <w:p w14:paraId="706D381F">
      <w:pPr>
        <w:pStyle w:val="27"/>
        <w:spacing w:line="440" w:lineRule="exact"/>
        <w:ind w:firstLine="420" w:firstLineChars="200"/>
        <w:rPr>
          <w:rFonts w:hint="eastAsia" w:hAnsi="宋体"/>
          <w:color w:val="auto"/>
          <w:sz w:val="21"/>
          <w:szCs w:val="21"/>
          <w:highlight w:val="none"/>
        </w:rPr>
      </w:pPr>
      <w:r>
        <w:rPr>
          <w:rFonts w:hint="eastAsia" w:hAnsi="宋体"/>
          <w:color w:val="auto"/>
          <w:sz w:val="21"/>
          <w:szCs w:val="21"/>
          <w:highlight w:val="none"/>
        </w:rPr>
        <w:t>（1）在发包人向审计部门提交审计资料后</w:t>
      </w:r>
      <w:r>
        <w:rPr>
          <w:rFonts w:hint="eastAsia" w:hAnsi="宋体"/>
          <w:color w:val="auto"/>
          <w:sz w:val="21"/>
          <w:szCs w:val="21"/>
          <w:highlight w:val="none"/>
          <w:u w:val="single"/>
        </w:rPr>
        <w:t xml:space="preserve"> / </w:t>
      </w:r>
      <w:r>
        <w:rPr>
          <w:rFonts w:hint="eastAsia" w:hAnsi="宋体"/>
          <w:color w:val="auto"/>
          <w:sz w:val="21"/>
          <w:szCs w:val="21"/>
          <w:highlight w:val="none"/>
        </w:rPr>
        <w:t xml:space="preserve">（A、2 ；/  B、4；/ C、6；/D、其他 )个月内未完成审计工作的，经承包人申请，发包人 </w:t>
      </w:r>
      <w:r>
        <w:rPr>
          <w:rFonts w:hint="eastAsia" w:hAnsi="宋体"/>
          <w:color w:val="auto"/>
          <w:sz w:val="21"/>
          <w:szCs w:val="21"/>
          <w:highlight w:val="none"/>
          <w:u w:val="single"/>
        </w:rPr>
        <w:t>/</w:t>
      </w:r>
      <w:r>
        <w:rPr>
          <w:rFonts w:hint="eastAsia" w:hAnsi="宋体"/>
          <w:color w:val="auto"/>
          <w:sz w:val="21"/>
          <w:szCs w:val="21"/>
          <w:highlight w:val="none"/>
        </w:rPr>
        <w:t>（ A、同意；/ B、不同意 ）向承包人先预付经工程竣工结算确认的合同尾款。</w:t>
      </w:r>
    </w:p>
    <w:p w14:paraId="710AC545">
      <w:pPr>
        <w:pStyle w:val="27"/>
        <w:spacing w:line="440" w:lineRule="exact"/>
        <w:ind w:firstLine="420" w:firstLineChars="200"/>
        <w:rPr>
          <w:rFonts w:hint="eastAsia" w:hAnsi="宋体"/>
          <w:color w:val="auto"/>
          <w:sz w:val="21"/>
          <w:szCs w:val="21"/>
          <w:highlight w:val="none"/>
        </w:rPr>
      </w:pPr>
      <w:r>
        <w:rPr>
          <w:rFonts w:hint="eastAsia" w:hAnsi="宋体"/>
          <w:color w:val="auto"/>
          <w:sz w:val="21"/>
          <w:szCs w:val="21"/>
          <w:highlight w:val="none"/>
        </w:rPr>
        <w:t>（2）合同尾款预付担保</w:t>
      </w:r>
    </w:p>
    <w:p w14:paraId="4D0B2112">
      <w:pPr>
        <w:pStyle w:val="27"/>
        <w:spacing w:line="440" w:lineRule="exact"/>
        <w:ind w:firstLine="420" w:firstLineChars="200"/>
        <w:rPr>
          <w:rFonts w:hint="eastAsia" w:hAnsi="宋体"/>
          <w:color w:val="auto"/>
          <w:sz w:val="21"/>
          <w:szCs w:val="21"/>
          <w:highlight w:val="none"/>
        </w:rPr>
      </w:pPr>
      <w:r>
        <w:rPr>
          <w:rFonts w:hint="eastAsia" w:hAnsi="宋体"/>
          <w:color w:val="auto"/>
          <w:sz w:val="21"/>
          <w:szCs w:val="21"/>
          <w:highlight w:val="none"/>
        </w:rPr>
        <w:t>① 发包人同意向承包人预付部分或全部合同尾款的，承包人应在提交申请书的同时向发包人提交符合本合同附件12《合同尾款预付保函》格式的银行保函一份。合同尾款预付担保金额与预付的合同尾款金额对等。</w:t>
      </w:r>
    </w:p>
    <w:p w14:paraId="6AE578A0">
      <w:pPr>
        <w:spacing w:line="440" w:lineRule="exact"/>
        <w:ind w:firstLine="443" w:firstLineChars="210"/>
        <w:rPr>
          <w:rFonts w:hint="eastAsia" w:ascii="宋体" w:hAnsi="宋体"/>
          <w:b/>
          <w:color w:val="auto"/>
          <w:sz w:val="21"/>
          <w:szCs w:val="21"/>
          <w:highlight w:val="none"/>
        </w:rPr>
      </w:pPr>
      <w:r>
        <w:rPr>
          <w:rFonts w:hint="eastAsia" w:ascii="宋体" w:hAnsi="宋体"/>
          <w:b/>
          <w:color w:val="auto"/>
          <w:sz w:val="21"/>
          <w:szCs w:val="21"/>
          <w:highlight w:val="none"/>
        </w:rPr>
        <w:t>② 合同尾款预付担保期限自发包人签发合同尾款预付款证书之日起至发包人和承包人经审计确认的工程尾款结清止。</w:t>
      </w:r>
    </w:p>
    <w:p w14:paraId="0522FA93">
      <w:pPr>
        <w:pStyle w:val="27"/>
        <w:spacing w:line="440" w:lineRule="exact"/>
        <w:ind w:firstLine="420" w:firstLineChars="200"/>
        <w:rPr>
          <w:rFonts w:hint="eastAsia" w:hAnsi="宋体"/>
          <w:color w:val="auto"/>
          <w:sz w:val="21"/>
          <w:szCs w:val="21"/>
          <w:highlight w:val="none"/>
        </w:rPr>
      </w:pPr>
      <w:r>
        <w:rPr>
          <w:rFonts w:hint="eastAsia" w:hAnsi="宋体"/>
          <w:color w:val="auto"/>
          <w:sz w:val="21"/>
          <w:szCs w:val="21"/>
          <w:highlight w:val="none"/>
        </w:rPr>
        <w:t>③ 承包人与合同尾款预付担保有关的任何利息或其它类似的费用或者收益由承包人承担。</w:t>
      </w:r>
    </w:p>
    <w:p w14:paraId="70814C7D">
      <w:pPr>
        <w:pStyle w:val="27"/>
        <w:spacing w:line="440" w:lineRule="exact"/>
        <w:ind w:firstLine="420" w:firstLineChars="200"/>
        <w:rPr>
          <w:rFonts w:hint="eastAsia" w:hAnsi="宋体"/>
          <w:color w:val="auto"/>
          <w:sz w:val="21"/>
          <w:szCs w:val="21"/>
          <w:highlight w:val="none"/>
        </w:rPr>
      </w:pPr>
      <w:r>
        <w:rPr>
          <w:rFonts w:hint="eastAsia" w:hAnsi="宋体"/>
          <w:color w:val="auto"/>
          <w:sz w:val="21"/>
          <w:szCs w:val="21"/>
          <w:highlight w:val="none"/>
        </w:rPr>
        <w:t>（3）发包人应在签发合同尾款预付款证书后</w:t>
      </w:r>
      <w:r>
        <w:rPr>
          <w:rFonts w:hint="eastAsia" w:hAnsi="宋体"/>
          <w:color w:val="auto"/>
          <w:sz w:val="21"/>
          <w:szCs w:val="21"/>
          <w:highlight w:val="none"/>
          <w:u w:val="single"/>
        </w:rPr>
        <w:t xml:space="preserve"> / </w:t>
      </w:r>
      <w:r>
        <w:rPr>
          <w:rFonts w:hint="eastAsia" w:hAnsi="宋体"/>
          <w:color w:val="auto"/>
          <w:sz w:val="21"/>
          <w:szCs w:val="21"/>
          <w:highlight w:val="none"/>
        </w:rPr>
        <w:t>（A、7；/ B、14；/ C、21 ）天内，向承包人预付合同尾款。</w:t>
      </w:r>
    </w:p>
    <w:p w14:paraId="15967ED6">
      <w:pPr>
        <w:pStyle w:val="27"/>
        <w:spacing w:line="440" w:lineRule="exact"/>
        <w:ind w:firstLine="420" w:firstLineChars="200"/>
        <w:rPr>
          <w:rFonts w:hint="eastAsia" w:hAnsi="宋体"/>
          <w:color w:val="auto"/>
          <w:sz w:val="21"/>
          <w:szCs w:val="21"/>
          <w:highlight w:val="none"/>
        </w:rPr>
      </w:pPr>
      <w:r>
        <w:rPr>
          <w:rFonts w:hint="eastAsia" w:hAnsi="宋体"/>
          <w:color w:val="auto"/>
          <w:sz w:val="21"/>
          <w:szCs w:val="21"/>
          <w:highlight w:val="none"/>
        </w:rPr>
        <w:t>（4）经审计确认承包人需要退还部分或全部合同尾款预付款项的，施工承包商须按审计报告要求的时间内将应退款项退还给发包人，否则发包人有权向第三方担保人提出索赔。</w:t>
      </w:r>
    </w:p>
    <w:p w14:paraId="6AA4FF18">
      <w:pPr>
        <w:pStyle w:val="27"/>
        <w:spacing w:line="440" w:lineRule="exact"/>
        <w:ind w:firstLine="420" w:firstLineChars="200"/>
        <w:rPr>
          <w:rFonts w:hint="eastAsia" w:hAnsi="宋体"/>
          <w:color w:val="auto"/>
          <w:sz w:val="21"/>
          <w:szCs w:val="21"/>
          <w:highlight w:val="none"/>
        </w:rPr>
      </w:pPr>
      <w:r>
        <w:rPr>
          <w:rFonts w:hint="eastAsia" w:hAnsi="宋体"/>
          <w:color w:val="auto"/>
          <w:sz w:val="21"/>
          <w:szCs w:val="21"/>
          <w:highlight w:val="none"/>
        </w:rPr>
        <w:t>（5）承包人提交质量保证金的，合同尾款应扣除本合同约定的质量保证金额度。</w:t>
      </w:r>
    </w:p>
    <w:p w14:paraId="0AB462E0">
      <w:pPr>
        <w:pStyle w:val="483"/>
        <w:spacing w:before="120" w:line="440" w:lineRule="exact"/>
        <w:ind w:firstLine="401" w:firstLineChars="190"/>
        <w:rPr>
          <w:rFonts w:hint="eastAsia" w:hAnsi="宋体"/>
          <w:color w:val="auto"/>
          <w:sz w:val="21"/>
          <w:szCs w:val="21"/>
          <w:highlight w:val="none"/>
        </w:rPr>
      </w:pPr>
      <w:r>
        <w:rPr>
          <w:rFonts w:hint="eastAsia" w:hAnsi="宋体"/>
          <w:color w:val="auto"/>
          <w:sz w:val="21"/>
          <w:szCs w:val="21"/>
          <w:highlight w:val="none"/>
        </w:rPr>
        <w:t>14.4 最终结清</w:t>
      </w:r>
    </w:p>
    <w:p w14:paraId="54E313B8">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14.4.1 最终结清申请单</w:t>
      </w:r>
    </w:p>
    <w:p w14:paraId="2DF6896F">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（1）承包人应在缺陷责任期终止证书颁发后7天内提交3份最终结清申请单，并提供相关证明材料。最终结清申请单应列明质量保证金、应扣除的质量保证金、缺陷责任期内发生的增减费用。</w:t>
      </w:r>
    </w:p>
    <w:p w14:paraId="77B8677F">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（2）发包人对最终结清申请单内容有异议的，有权要求承包人进行修正和提供补充资料，但应当出具书面意见。承包人应当按照发包人的书面意见提交修正后的最终结清申请单。</w:t>
      </w:r>
    </w:p>
    <w:p w14:paraId="7D5805C4">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14.4.2 最终结清证书和支付</w:t>
      </w:r>
    </w:p>
    <w:p w14:paraId="2C18B120">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（1）发包人应在收到承包人提交的最终结清申请单后</w:t>
      </w:r>
      <w:r>
        <w:rPr>
          <w:rFonts w:hint="eastAsia" w:ascii="宋体" w:hAnsi="宋体"/>
          <w:color w:val="auto"/>
          <w:sz w:val="21"/>
          <w:szCs w:val="21"/>
          <w:highlight w:val="none"/>
          <w:u w:val="single"/>
        </w:rPr>
        <w:t xml:space="preserve"> /</w:t>
      </w:r>
      <w:r>
        <w:rPr>
          <w:rFonts w:hint="eastAsia" w:ascii="宋体" w:hAnsi="宋体"/>
          <w:b/>
          <w:color w:val="auto"/>
          <w:sz w:val="21"/>
          <w:szCs w:val="21"/>
          <w:highlight w:val="none"/>
          <w:u w:val="single"/>
        </w:rPr>
        <w:t xml:space="preserve"> </w:t>
      </w:r>
      <w:r>
        <w:rPr>
          <w:rFonts w:hint="eastAsia" w:ascii="宋体" w:hAnsi="宋体"/>
          <w:color w:val="auto"/>
          <w:kern w:val="0"/>
          <w:sz w:val="21"/>
          <w:szCs w:val="21"/>
          <w:highlight w:val="none"/>
        </w:rPr>
        <w:t>（A、7；/ B、14；/ C、21 ）</w:t>
      </w:r>
      <w:r>
        <w:rPr>
          <w:rFonts w:hint="eastAsia" w:ascii="宋体" w:hAnsi="宋体"/>
          <w:color w:val="auto"/>
          <w:sz w:val="21"/>
          <w:szCs w:val="21"/>
          <w:highlight w:val="none"/>
        </w:rPr>
        <w:t>天内完成审批并向承包人颁发最终结清证书。发包人逾期未完成审批，又未提出修改意见的，视为发包人同意承包人提交的最终结清申请单并已颁发最终结清证书 。</w:t>
      </w:r>
    </w:p>
    <w:p w14:paraId="71B7AAEE">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（2）发包人应在颁发最终结清证书后</w:t>
      </w:r>
      <w:r>
        <w:rPr>
          <w:rFonts w:hint="eastAsia" w:ascii="宋体" w:hAnsi="宋体"/>
          <w:b/>
          <w:color w:val="auto"/>
          <w:sz w:val="21"/>
          <w:szCs w:val="21"/>
          <w:highlight w:val="none"/>
          <w:u w:val="single"/>
        </w:rPr>
        <w:t xml:space="preserve"> </w:t>
      </w:r>
      <w:r>
        <w:rPr>
          <w:rFonts w:hint="eastAsia" w:ascii="宋体" w:hAnsi="宋体"/>
          <w:color w:val="auto"/>
          <w:sz w:val="21"/>
          <w:szCs w:val="21"/>
          <w:highlight w:val="none"/>
          <w:u w:val="single"/>
        </w:rPr>
        <w:t>/</w:t>
      </w:r>
      <w:r>
        <w:rPr>
          <w:rFonts w:hint="eastAsia" w:ascii="宋体" w:hAnsi="宋体"/>
          <w:color w:val="auto"/>
          <w:kern w:val="0"/>
          <w:sz w:val="21"/>
          <w:szCs w:val="21"/>
          <w:highlight w:val="none"/>
        </w:rPr>
        <w:t>（A、3；/ B、7；/ C、14 ）天</w:t>
      </w:r>
      <w:r>
        <w:rPr>
          <w:rFonts w:hint="eastAsia" w:ascii="宋体" w:hAnsi="宋体"/>
          <w:color w:val="auto"/>
          <w:sz w:val="21"/>
          <w:szCs w:val="21"/>
          <w:highlight w:val="none"/>
        </w:rPr>
        <w:t>内完成支付。发包人逾期支付的违约责任按通用条款执行。</w:t>
      </w:r>
    </w:p>
    <w:p w14:paraId="456A1B7D">
      <w:pPr>
        <w:pStyle w:val="469"/>
        <w:spacing w:line="4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15. 缺陷责任期与保修</w:t>
      </w:r>
    </w:p>
    <w:p w14:paraId="20F9A362">
      <w:pPr>
        <w:pStyle w:val="483"/>
        <w:spacing w:before="120" w:line="440" w:lineRule="exact"/>
        <w:ind w:firstLine="401" w:firstLineChars="190"/>
        <w:rPr>
          <w:rFonts w:hint="eastAsia" w:hAnsi="宋体"/>
          <w:color w:val="auto"/>
          <w:sz w:val="21"/>
          <w:szCs w:val="21"/>
          <w:highlight w:val="none"/>
        </w:rPr>
      </w:pPr>
      <w:r>
        <w:rPr>
          <w:rFonts w:hint="eastAsia" w:hAnsi="宋体"/>
          <w:color w:val="auto"/>
          <w:sz w:val="21"/>
          <w:szCs w:val="21"/>
          <w:highlight w:val="none"/>
        </w:rPr>
        <w:t>15.2缺陷责任期</w:t>
      </w:r>
    </w:p>
    <w:p w14:paraId="7CBD8342">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15.2.1 本合同缺陷责任期为</w:t>
      </w:r>
      <w:r>
        <w:rPr>
          <w:rFonts w:hint="eastAsia" w:ascii="宋体" w:hAnsi="宋体"/>
          <w:color w:val="auto"/>
          <w:sz w:val="21"/>
          <w:szCs w:val="21"/>
          <w:highlight w:val="none"/>
          <w:u w:val="single"/>
        </w:rPr>
        <w:t xml:space="preserve">  </w:t>
      </w:r>
      <w:r>
        <w:rPr>
          <w:rFonts w:hint="eastAsia" w:ascii="宋体" w:hAnsi="宋体"/>
          <w:b/>
          <w:color w:val="auto"/>
          <w:sz w:val="21"/>
          <w:szCs w:val="21"/>
          <w:highlight w:val="none"/>
          <w:u w:val="single"/>
        </w:rPr>
        <w:t>C</w:t>
      </w:r>
      <w:r>
        <w:rPr>
          <w:rFonts w:hint="eastAsia" w:ascii="宋体" w:hAnsi="宋体"/>
          <w:color w:val="auto"/>
          <w:sz w:val="21"/>
          <w:szCs w:val="21"/>
          <w:highlight w:val="none"/>
          <w:u w:val="single"/>
        </w:rPr>
        <w:t xml:space="preserve"> </w:t>
      </w:r>
      <w:r>
        <w:rPr>
          <w:rFonts w:hint="eastAsia" w:ascii="宋体" w:hAnsi="宋体"/>
          <w:color w:val="auto"/>
          <w:kern w:val="0"/>
          <w:sz w:val="21"/>
          <w:szCs w:val="21"/>
          <w:highlight w:val="none"/>
        </w:rPr>
        <w:t>（A、6；/ B、12；/ C、24 ）</w:t>
      </w:r>
      <w:r>
        <w:rPr>
          <w:rFonts w:hint="eastAsia" w:ascii="宋体" w:hAnsi="宋体"/>
          <w:color w:val="auto"/>
          <w:sz w:val="21"/>
          <w:szCs w:val="21"/>
          <w:highlight w:val="none"/>
        </w:rPr>
        <w:t>个月。</w:t>
      </w:r>
    </w:p>
    <w:p w14:paraId="2065BE72">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工程竣工验收合格后，因施工承包人原因导致的缺陷使工程或或某项主要设备不能按原定目的使用的，发包人有权在原缺陷责任期届满前要求施工承包人延长缺陷责任期，延长的缺陷责任期为</w:t>
      </w:r>
      <w:r>
        <w:rPr>
          <w:rFonts w:hint="eastAsia" w:ascii="宋体" w:hAnsi="宋体"/>
          <w:b/>
          <w:color w:val="auto"/>
          <w:sz w:val="21"/>
          <w:szCs w:val="21"/>
          <w:highlight w:val="none"/>
          <w:u w:val="single"/>
        </w:rPr>
        <w:t>C</w:t>
      </w:r>
      <w:r>
        <w:rPr>
          <w:rFonts w:hint="eastAsia" w:ascii="宋体" w:hAnsi="宋体"/>
          <w:color w:val="auto"/>
          <w:kern w:val="0"/>
          <w:sz w:val="21"/>
          <w:szCs w:val="21"/>
          <w:highlight w:val="none"/>
        </w:rPr>
        <w:t>（A、6；/ B、12；/ C、24 ）</w:t>
      </w:r>
      <w:r>
        <w:rPr>
          <w:rFonts w:hint="eastAsia" w:ascii="宋体" w:hAnsi="宋体"/>
          <w:color w:val="auto"/>
          <w:sz w:val="21"/>
          <w:szCs w:val="21"/>
          <w:highlight w:val="none"/>
        </w:rPr>
        <w:t>个月。</w:t>
      </w:r>
    </w:p>
    <w:p w14:paraId="56912F0A">
      <w:pPr>
        <w:pStyle w:val="483"/>
        <w:spacing w:before="120" w:line="440" w:lineRule="exact"/>
        <w:ind w:firstLine="401" w:firstLineChars="190"/>
        <w:rPr>
          <w:rFonts w:hint="eastAsia" w:hAnsi="宋体"/>
          <w:color w:val="auto"/>
          <w:sz w:val="21"/>
          <w:szCs w:val="21"/>
          <w:highlight w:val="none"/>
        </w:rPr>
      </w:pPr>
      <w:r>
        <w:rPr>
          <w:rFonts w:hint="eastAsia" w:hAnsi="宋体"/>
          <w:color w:val="auto"/>
          <w:sz w:val="21"/>
          <w:szCs w:val="21"/>
          <w:highlight w:val="none"/>
        </w:rPr>
        <w:t xml:space="preserve">15.3 质量保证担保 </w:t>
      </w:r>
    </w:p>
    <w:p w14:paraId="4706283C">
      <w:pPr>
        <w:spacing w:line="440" w:lineRule="exact"/>
        <w:ind w:firstLine="420" w:firstLineChars="2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本项目无质量保证担保</w:t>
      </w:r>
    </w:p>
    <w:p w14:paraId="6140DC12">
      <w:pPr>
        <w:pStyle w:val="483"/>
        <w:spacing w:before="120" w:line="440" w:lineRule="exact"/>
        <w:ind w:firstLine="401" w:firstLineChars="190"/>
        <w:rPr>
          <w:rFonts w:hint="eastAsia" w:hAnsi="宋体"/>
          <w:color w:val="auto"/>
          <w:sz w:val="21"/>
          <w:szCs w:val="21"/>
          <w:highlight w:val="none"/>
        </w:rPr>
      </w:pPr>
      <w:r>
        <w:rPr>
          <w:rFonts w:hint="eastAsia" w:hAnsi="宋体"/>
          <w:color w:val="auto"/>
          <w:sz w:val="21"/>
          <w:szCs w:val="21"/>
          <w:highlight w:val="none"/>
        </w:rPr>
        <w:t>15.4保修</w:t>
      </w:r>
    </w:p>
    <w:p w14:paraId="6A420709">
      <w:pPr>
        <w:spacing w:line="440" w:lineRule="exact"/>
        <w:ind w:firstLine="420" w:firstLineChars="200"/>
        <w:rPr>
          <w:rFonts w:hint="eastAsia" w:ascii="宋体" w:hAnsi="宋体"/>
          <w:color w:val="auto"/>
          <w:kern w:val="0"/>
          <w:sz w:val="21"/>
          <w:szCs w:val="21"/>
          <w:highlight w:val="none"/>
        </w:rPr>
      </w:pPr>
      <w:r>
        <w:rPr>
          <w:rFonts w:hint="eastAsia" w:ascii="宋体" w:hAnsi="宋体"/>
          <w:color w:val="auto"/>
          <w:kern w:val="0"/>
          <w:sz w:val="21"/>
          <w:szCs w:val="21"/>
          <w:highlight w:val="none"/>
        </w:rPr>
        <w:t>15.4.1 保修责任</w:t>
      </w:r>
    </w:p>
    <w:p w14:paraId="68F6BB61">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工程保修期为：详见《工程质量保修书》。</w:t>
      </w:r>
    </w:p>
    <w:p w14:paraId="74ABF910">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15.4.3 修复通知</w:t>
      </w:r>
    </w:p>
    <w:p w14:paraId="56EE3C36">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合同当事人约定：</w:t>
      </w:r>
      <w:r>
        <w:rPr>
          <w:rFonts w:hint="eastAsia" w:ascii="宋体" w:hAnsi="宋体"/>
          <w:color w:val="auto"/>
          <w:sz w:val="21"/>
          <w:szCs w:val="21"/>
          <w:highlight w:val="none"/>
          <w:u w:val="single"/>
        </w:rPr>
        <w:t>承包人收到保修通知并到达工程现场的合理时间为48小时内（含48小时）。若承包人未按照约定的时间和方式履行保修责任的，发包人有权自行委托第三方修复，由此产生的费用由承包人承担，并有权直接从质量保证金中进行扣除。</w:t>
      </w:r>
    </w:p>
    <w:p w14:paraId="5C49EDD6">
      <w:pPr>
        <w:pStyle w:val="469"/>
        <w:spacing w:line="4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16. 违约</w:t>
      </w:r>
    </w:p>
    <w:p w14:paraId="2F72B845">
      <w:pPr>
        <w:pStyle w:val="483"/>
        <w:spacing w:before="120" w:line="440" w:lineRule="exact"/>
        <w:ind w:firstLine="401" w:firstLineChars="190"/>
        <w:rPr>
          <w:rFonts w:hint="eastAsia" w:hAnsi="宋体"/>
          <w:color w:val="auto"/>
          <w:sz w:val="21"/>
          <w:szCs w:val="21"/>
          <w:highlight w:val="none"/>
        </w:rPr>
      </w:pPr>
      <w:r>
        <w:rPr>
          <w:rFonts w:hint="eastAsia" w:hAnsi="宋体"/>
          <w:color w:val="auto"/>
          <w:sz w:val="21"/>
          <w:szCs w:val="21"/>
          <w:highlight w:val="none"/>
        </w:rPr>
        <w:t>16.1 发包人违约</w:t>
      </w:r>
    </w:p>
    <w:p w14:paraId="0E1AC4C0">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16.1.1发包人违约的情形按通用条款确定。</w:t>
      </w:r>
    </w:p>
    <w:p w14:paraId="03344924">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16.1.2 发包人违约的责任</w:t>
      </w:r>
    </w:p>
    <w:p w14:paraId="3F52FF76">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合同履行过程中发包人未按主合同约定向承包人支付工程款的，由工程担保人在支付担保金额内赔偿承包人相应损失，承包人可同时追偿发包人的违约责任；项目无支付担保的，发包人应向承包人另行支付违约金。</w:t>
      </w:r>
    </w:p>
    <w:p w14:paraId="337C6563">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违约金以未按合同约定支付部分的合同价款为基数计算（以中国人民银行发布的同期同类贷款基准利率为准），同时承包人可要求发包人支付合同价款；逾期支付超过56天的，承包人可要求发包人支付两倍违约金（以中国人民银行发布的同期同类贷款基准利率为准），同时承包人可要求发包人支付合同价款。除此之外，承包人有权向发包人追偿由于发包人违约行为给承包人造成的重大经济损失。</w:t>
      </w:r>
    </w:p>
    <w:p w14:paraId="425E2780">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16.1.3  关于发包人违约解除合同的约定：执行通用条款。</w:t>
      </w:r>
    </w:p>
    <w:p w14:paraId="284AA3C1">
      <w:pPr>
        <w:pStyle w:val="483"/>
        <w:spacing w:before="120" w:line="440" w:lineRule="exact"/>
        <w:ind w:firstLine="401" w:firstLineChars="190"/>
        <w:rPr>
          <w:rFonts w:hint="eastAsia" w:hAnsi="宋体"/>
          <w:color w:val="auto"/>
          <w:sz w:val="21"/>
          <w:szCs w:val="21"/>
          <w:highlight w:val="none"/>
        </w:rPr>
      </w:pPr>
      <w:r>
        <w:rPr>
          <w:rFonts w:hint="eastAsia" w:hAnsi="宋体"/>
          <w:color w:val="auto"/>
          <w:sz w:val="21"/>
          <w:szCs w:val="21"/>
          <w:highlight w:val="none"/>
        </w:rPr>
        <w:t>16.2 承包人违约</w:t>
      </w:r>
    </w:p>
    <w:p w14:paraId="73403DE7">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16.2.1 承包人违约的情形按通用条款确定。</w:t>
      </w:r>
    </w:p>
    <w:p w14:paraId="3AD80792">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16.2.2承包人违约的责任</w:t>
      </w:r>
    </w:p>
    <w:p w14:paraId="451F2D9B">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承包人应承担其违约行为及纠正其违约行为而增加的费用和（或）延误的工期。延误工期的，根据实际延误的时间，按</w:t>
      </w:r>
      <w:r>
        <w:rPr>
          <w:rFonts w:hint="eastAsia" w:ascii="宋体" w:hAnsi="宋体"/>
          <w:color w:val="auto"/>
          <w:kern w:val="0"/>
          <w:sz w:val="21"/>
          <w:szCs w:val="21"/>
          <w:highlight w:val="none"/>
        </w:rPr>
        <w:t>本合同约定的工期延误赔偿标准向发</w:t>
      </w:r>
      <w:r>
        <w:rPr>
          <w:rFonts w:hint="eastAsia" w:ascii="宋体" w:hAnsi="宋体"/>
          <w:color w:val="auto"/>
          <w:sz w:val="21"/>
          <w:szCs w:val="21"/>
          <w:highlight w:val="none"/>
        </w:rPr>
        <w:t>包人支付违约金；延误超过56天的，按</w:t>
      </w:r>
      <w:r>
        <w:rPr>
          <w:rFonts w:hint="eastAsia" w:ascii="宋体" w:hAnsi="宋体"/>
          <w:color w:val="auto"/>
          <w:kern w:val="0"/>
          <w:sz w:val="21"/>
          <w:szCs w:val="21"/>
          <w:highlight w:val="none"/>
        </w:rPr>
        <w:t>本合同约定的工期延误赔偿标准两倍支付违约金；逾期竣工违约金的限额不足时，发包人有权向承包人追偿。</w:t>
      </w:r>
    </w:p>
    <w:p w14:paraId="554803D0">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16.2.3 关于因承包人违约解除合同的约定：执行通用条款。</w:t>
      </w:r>
    </w:p>
    <w:p w14:paraId="6E2A0312">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发包人继续使用承包人在施工现场的材料、设备、临时工程、承包人文件和由承包人或以其名义编制的其他文件的费用承担方式约定：产生的费用未超过承包人应承担的违约赔偿限额的，由承包人承担；产生的费用超出承包人应承担的违约赔偿限额部分，由发包人承担。</w:t>
      </w:r>
    </w:p>
    <w:p w14:paraId="0ECEBF00">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发包人解除合同，且确认不再继续使用承包人在施工现场的材料、设备、临时工程的，则承包人须在收到发包人离场通知之日起 10 日内撤出施工现场的所有材料、设备、临时工程及人员，并向发包人移交施工资料。承包人未按约定撤出施工现场的，发包人有权将材料、设备、临时工程清理出施工现场，由此产生的费用、造成的损失由承包人承担，且发包人有权拒绝支付承包人已完工程的工程款。</w:t>
      </w:r>
    </w:p>
    <w:p w14:paraId="27191C47">
      <w:pPr>
        <w:pStyle w:val="469"/>
        <w:spacing w:line="4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17. 不可抗力 </w:t>
      </w:r>
    </w:p>
    <w:p w14:paraId="21FDE8AE">
      <w:pPr>
        <w:pStyle w:val="483"/>
        <w:spacing w:before="120" w:line="440" w:lineRule="exact"/>
        <w:ind w:firstLine="401" w:firstLineChars="190"/>
        <w:rPr>
          <w:rFonts w:hint="eastAsia" w:hAnsi="宋体"/>
          <w:color w:val="auto"/>
          <w:sz w:val="21"/>
          <w:szCs w:val="21"/>
          <w:highlight w:val="none"/>
        </w:rPr>
      </w:pPr>
      <w:r>
        <w:rPr>
          <w:rFonts w:hint="eastAsia" w:hAnsi="宋体"/>
          <w:color w:val="auto"/>
          <w:sz w:val="21"/>
          <w:szCs w:val="21"/>
          <w:highlight w:val="none"/>
        </w:rPr>
        <w:t>17.1 不可抗力的确认</w:t>
      </w:r>
    </w:p>
    <w:p w14:paraId="367C1534">
      <w:pPr>
        <w:spacing w:line="440" w:lineRule="exact"/>
        <w:ind w:firstLine="420" w:firstLineChars="200"/>
        <w:rPr>
          <w:rFonts w:hint="eastAsia" w:ascii="宋体" w:hAnsi="宋体"/>
          <w:color w:val="auto"/>
          <w:kern w:val="0"/>
          <w:sz w:val="21"/>
          <w:szCs w:val="21"/>
          <w:highlight w:val="none"/>
        </w:rPr>
      </w:pPr>
      <w:r>
        <w:rPr>
          <w:rFonts w:hint="eastAsia" w:ascii="宋体" w:hAnsi="宋体"/>
          <w:color w:val="auto"/>
          <w:kern w:val="0"/>
          <w:sz w:val="21"/>
          <w:szCs w:val="21"/>
          <w:highlight w:val="none"/>
        </w:rPr>
        <w:t>除通用合同条款约定的不可抗力事件之外，视为不可抗力的其他情形： 火灾、洪水、罢工、政府征用、政府禁止令等。</w:t>
      </w:r>
    </w:p>
    <w:p w14:paraId="679B764A">
      <w:pPr>
        <w:pStyle w:val="483"/>
        <w:spacing w:before="120" w:line="440" w:lineRule="exact"/>
        <w:ind w:firstLine="401" w:firstLineChars="190"/>
        <w:rPr>
          <w:rFonts w:hint="eastAsia" w:hAnsi="宋体"/>
          <w:color w:val="auto"/>
          <w:sz w:val="21"/>
          <w:szCs w:val="21"/>
          <w:highlight w:val="none"/>
        </w:rPr>
      </w:pPr>
      <w:r>
        <w:rPr>
          <w:rFonts w:hint="eastAsia" w:hAnsi="宋体"/>
          <w:color w:val="auto"/>
          <w:sz w:val="21"/>
          <w:szCs w:val="21"/>
          <w:highlight w:val="none"/>
        </w:rPr>
        <w:t>17.4 因不可抗力解除合同</w:t>
      </w:r>
    </w:p>
    <w:p w14:paraId="355CFBBD">
      <w:pPr>
        <w:spacing w:line="440" w:lineRule="exact"/>
        <w:ind w:firstLine="420" w:firstLineChars="200"/>
        <w:rPr>
          <w:rFonts w:hint="eastAsia" w:ascii="宋体" w:hAnsi="宋体"/>
          <w:color w:val="auto"/>
          <w:kern w:val="0"/>
          <w:sz w:val="21"/>
          <w:szCs w:val="21"/>
          <w:highlight w:val="none"/>
        </w:rPr>
      </w:pPr>
      <w:r>
        <w:rPr>
          <w:rFonts w:hint="eastAsia" w:ascii="宋体" w:hAnsi="宋体"/>
          <w:color w:val="auto"/>
          <w:kern w:val="0"/>
          <w:sz w:val="21"/>
          <w:szCs w:val="21"/>
          <w:highlight w:val="none"/>
        </w:rPr>
        <w:t>合同解除后，发包人应在商定或确定发包人应支付款项后28天内完成款项的支付。</w:t>
      </w:r>
    </w:p>
    <w:p w14:paraId="757EE451">
      <w:pPr>
        <w:pStyle w:val="469"/>
        <w:spacing w:line="4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18. 保险</w:t>
      </w:r>
    </w:p>
    <w:p w14:paraId="28FA7BC5">
      <w:pPr>
        <w:pStyle w:val="483"/>
        <w:spacing w:before="120" w:line="440" w:lineRule="exact"/>
        <w:ind w:firstLine="401" w:firstLineChars="190"/>
        <w:rPr>
          <w:rFonts w:hint="eastAsia" w:hAnsi="宋体"/>
          <w:color w:val="auto"/>
          <w:sz w:val="21"/>
          <w:szCs w:val="21"/>
          <w:highlight w:val="none"/>
        </w:rPr>
      </w:pPr>
      <w:r>
        <w:rPr>
          <w:rFonts w:hint="eastAsia" w:hAnsi="宋体"/>
          <w:color w:val="auto"/>
          <w:sz w:val="21"/>
          <w:szCs w:val="21"/>
          <w:highlight w:val="none"/>
        </w:rPr>
        <w:t>18.1 工程保险</w:t>
      </w:r>
    </w:p>
    <w:p w14:paraId="6CAF9FC7">
      <w:pPr>
        <w:spacing w:line="440" w:lineRule="exact"/>
        <w:ind w:firstLine="420" w:firstLineChars="200"/>
        <w:jc w:val="left"/>
        <w:rPr>
          <w:rFonts w:hint="eastAsia" w:ascii="宋体" w:hAnsi="宋体"/>
          <w:color w:val="auto"/>
          <w:kern w:val="0"/>
          <w:sz w:val="21"/>
          <w:szCs w:val="21"/>
          <w:highlight w:val="none"/>
        </w:rPr>
      </w:pPr>
      <w:r>
        <w:rPr>
          <w:rFonts w:hint="eastAsia" w:ascii="宋体" w:hAnsi="宋体"/>
          <w:color w:val="auto"/>
          <w:kern w:val="0"/>
          <w:sz w:val="21"/>
          <w:szCs w:val="21"/>
          <w:highlight w:val="none"/>
        </w:rPr>
        <w:t>关于工程保险的特别约定：</w:t>
      </w:r>
      <w:r>
        <w:rPr>
          <w:rFonts w:hint="eastAsia" w:ascii="宋体" w:hAnsi="宋体"/>
          <w:color w:val="auto"/>
          <w:kern w:val="0"/>
          <w:sz w:val="21"/>
          <w:szCs w:val="21"/>
          <w:highlight w:val="none"/>
          <w:u w:val="single"/>
        </w:rPr>
        <w:t xml:space="preserve">     /     </w:t>
      </w:r>
      <w:r>
        <w:rPr>
          <w:rFonts w:hint="eastAsia" w:ascii="宋体" w:hAnsi="宋体"/>
          <w:color w:val="auto"/>
          <w:kern w:val="0"/>
          <w:sz w:val="21"/>
          <w:szCs w:val="21"/>
          <w:highlight w:val="none"/>
        </w:rPr>
        <w:t>。</w:t>
      </w:r>
    </w:p>
    <w:p w14:paraId="76BB4F49">
      <w:pPr>
        <w:pStyle w:val="483"/>
        <w:spacing w:before="120" w:line="440" w:lineRule="exact"/>
        <w:ind w:firstLine="401" w:firstLineChars="190"/>
        <w:rPr>
          <w:rFonts w:hint="eastAsia" w:hAnsi="宋体"/>
          <w:color w:val="auto"/>
          <w:sz w:val="21"/>
          <w:szCs w:val="21"/>
          <w:highlight w:val="none"/>
        </w:rPr>
      </w:pPr>
      <w:r>
        <w:rPr>
          <w:rFonts w:hint="eastAsia" w:hAnsi="宋体"/>
          <w:color w:val="auto"/>
          <w:sz w:val="21"/>
          <w:szCs w:val="21"/>
          <w:highlight w:val="none"/>
        </w:rPr>
        <w:t>18.3 其他保险</w:t>
      </w:r>
    </w:p>
    <w:p w14:paraId="6F6BAF77">
      <w:pPr>
        <w:spacing w:line="440" w:lineRule="exact"/>
        <w:ind w:firstLine="420" w:firstLineChars="200"/>
        <w:rPr>
          <w:rFonts w:hint="eastAsia" w:ascii="宋体" w:hAnsi="宋体"/>
          <w:color w:val="auto"/>
          <w:kern w:val="0"/>
          <w:sz w:val="21"/>
          <w:szCs w:val="21"/>
          <w:highlight w:val="none"/>
        </w:rPr>
      </w:pPr>
      <w:r>
        <w:rPr>
          <w:rFonts w:hint="eastAsia" w:ascii="宋体" w:hAnsi="宋体"/>
          <w:color w:val="auto"/>
          <w:kern w:val="0"/>
          <w:sz w:val="21"/>
          <w:szCs w:val="21"/>
          <w:highlight w:val="none"/>
        </w:rPr>
        <w:t>关于其他保险的约定：除第三者责任险外，保险费用由被保险人承担。</w:t>
      </w:r>
    </w:p>
    <w:p w14:paraId="46017A74">
      <w:pPr>
        <w:spacing w:line="440" w:lineRule="exact"/>
        <w:ind w:firstLine="420" w:firstLineChars="200"/>
        <w:rPr>
          <w:rFonts w:hint="eastAsia" w:ascii="宋体" w:hAnsi="宋体"/>
          <w:color w:val="auto"/>
          <w:kern w:val="0"/>
          <w:sz w:val="21"/>
          <w:szCs w:val="21"/>
          <w:highlight w:val="none"/>
        </w:rPr>
      </w:pPr>
      <w:r>
        <w:rPr>
          <w:rFonts w:hint="eastAsia" w:ascii="宋体" w:hAnsi="宋体"/>
          <w:color w:val="auto"/>
          <w:kern w:val="0"/>
          <w:sz w:val="21"/>
          <w:szCs w:val="21"/>
          <w:highlight w:val="none"/>
        </w:rPr>
        <w:t>承包人</w:t>
      </w:r>
      <w:r>
        <w:rPr>
          <w:rFonts w:hint="eastAsia" w:ascii="宋体" w:hAnsi="宋体"/>
          <w:b/>
          <w:color w:val="auto"/>
          <w:kern w:val="0"/>
          <w:sz w:val="21"/>
          <w:szCs w:val="21"/>
          <w:highlight w:val="none"/>
          <w:u w:val="single"/>
        </w:rPr>
        <w:t xml:space="preserve"> A </w:t>
      </w:r>
      <w:r>
        <w:rPr>
          <w:rFonts w:hint="eastAsia" w:ascii="宋体" w:hAnsi="宋体"/>
          <w:color w:val="auto"/>
          <w:kern w:val="0"/>
          <w:sz w:val="21"/>
          <w:szCs w:val="21"/>
          <w:highlight w:val="none"/>
        </w:rPr>
        <w:t xml:space="preserve"> （A、应当；/ B、不需）为其施工设备等办理财产保险。</w:t>
      </w:r>
    </w:p>
    <w:p w14:paraId="7462FE87">
      <w:pPr>
        <w:pStyle w:val="483"/>
        <w:spacing w:before="120" w:line="440" w:lineRule="exact"/>
        <w:ind w:firstLine="401" w:firstLineChars="190"/>
        <w:rPr>
          <w:rFonts w:hint="eastAsia" w:hAnsi="宋体"/>
          <w:color w:val="auto"/>
          <w:sz w:val="21"/>
          <w:szCs w:val="21"/>
          <w:highlight w:val="none"/>
        </w:rPr>
      </w:pPr>
      <w:r>
        <w:rPr>
          <w:rFonts w:hint="eastAsia" w:hAnsi="宋体"/>
          <w:color w:val="auto"/>
          <w:sz w:val="21"/>
          <w:szCs w:val="21"/>
          <w:highlight w:val="none"/>
        </w:rPr>
        <w:t>18.7 通知义务</w:t>
      </w:r>
    </w:p>
    <w:p w14:paraId="09A0F533">
      <w:pPr>
        <w:spacing w:line="440" w:lineRule="exact"/>
        <w:ind w:firstLine="420" w:firstLineChars="200"/>
        <w:rPr>
          <w:rFonts w:hint="eastAsia" w:ascii="宋体" w:hAnsi="宋体"/>
          <w:color w:val="auto"/>
          <w:kern w:val="0"/>
          <w:sz w:val="21"/>
          <w:szCs w:val="21"/>
          <w:highlight w:val="none"/>
        </w:rPr>
      </w:pPr>
      <w:r>
        <w:rPr>
          <w:rFonts w:hint="eastAsia" w:ascii="宋体" w:hAnsi="宋体"/>
          <w:color w:val="auto"/>
          <w:kern w:val="0"/>
          <w:sz w:val="21"/>
          <w:szCs w:val="21"/>
          <w:highlight w:val="none"/>
        </w:rPr>
        <w:t>关于变更保险合同时的通知义务的约定：执行通用条款。</w:t>
      </w:r>
    </w:p>
    <w:p w14:paraId="26C4228D">
      <w:pPr>
        <w:pStyle w:val="469"/>
        <w:spacing w:line="4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20. 争议解决</w:t>
      </w:r>
    </w:p>
    <w:p w14:paraId="2F1D3DBC">
      <w:pPr>
        <w:pStyle w:val="483"/>
        <w:spacing w:before="120" w:line="440" w:lineRule="exact"/>
        <w:ind w:firstLine="401" w:firstLineChars="190"/>
        <w:rPr>
          <w:rFonts w:hint="eastAsia" w:hAnsi="宋体"/>
          <w:color w:val="auto"/>
          <w:sz w:val="21"/>
          <w:szCs w:val="21"/>
          <w:highlight w:val="none"/>
        </w:rPr>
      </w:pPr>
      <w:r>
        <w:rPr>
          <w:rFonts w:hint="eastAsia" w:hAnsi="宋体"/>
          <w:color w:val="auto"/>
          <w:sz w:val="21"/>
          <w:szCs w:val="21"/>
          <w:highlight w:val="none"/>
        </w:rPr>
        <w:t>20.3 争议评审</w:t>
      </w:r>
    </w:p>
    <w:p w14:paraId="00F62E7A">
      <w:pPr>
        <w:spacing w:line="440" w:lineRule="exact"/>
        <w:ind w:firstLine="420" w:firstLineChars="200"/>
        <w:rPr>
          <w:rFonts w:hint="eastAsia" w:ascii="宋体" w:hAnsi="宋体"/>
          <w:color w:val="auto"/>
          <w:kern w:val="0"/>
          <w:sz w:val="21"/>
          <w:szCs w:val="21"/>
          <w:highlight w:val="none"/>
        </w:rPr>
      </w:pPr>
      <w:r>
        <w:rPr>
          <w:rFonts w:hint="eastAsia" w:ascii="宋体" w:hAnsi="宋体"/>
          <w:color w:val="auto"/>
          <w:kern w:val="0"/>
          <w:sz w:val="21"/>
          <w:szCs w:val="21"/>
          <w:highlight w:val="none"/>
        </w:rPr>
        <w:t>合同当事人</w:t>
      </w:r>
      <w:r>
        <w:rPr>
          <w:rFonts w:hint="eastAsia" w:ascii="宋体" w:hAnsi="宋体"/>
          <w:color w:val="auto"/>
          <w:kern w:val="0"/>
          <w:sz w:val="21"/>
          <w:szCs w:val="21"/>
          <w:highlight w:val="none"/>
          <w:u w:val="single"/>
        </w:rPr>
        <w:t>B</w:t>
      </w:r>
      <w:r>
        <w:rPr>
          <w:rFonts w:hint="eastAsia" w:ascii="宋体" w:hAnsi="宋体"/>
          <w:color w:val="auto"/>
          <w:kern w:val="0"/>
          <w:sz w:val="21"/>
          <w:szCs w:val="21"/>
          <w:highlight w:val="none"/>
        </w:rPr>
        <w:t xml:space="preserve">（A、同意；/ B、不同意 ）将工程争议提交争议评审小组决定。  </w:t>
      </w:r>
    </w:p>
    <w:p w14:paraId="0EB70766">
      <w:pPr>
        <w:spacing w:line="440" w:lineRule="exact"/>
        <w:ind w:firstLine="420" w:firstLineChars="200"/>
        <w:rPr>
          <w:rFonts w:hint="eastAsia" w:ascii="宋体" w:hAnsi="宋体"/>
          <w:color w:val="auto"/>
          <w:kern w:val="0"/>
          <w:sz w:val="21"/>
          <w:szCs w:val="21"/>
          <w:highlight w:val="none"/>
        </w:rPr>
      </w:pPr>
      <w:r>
        <w:rPr>
          <w:rFonts w:hint="eastAsia" w:ascii="宋体" w:hAnsi="宋体"/>
          <w:color w:val="auto"/>
          <w:kern w:val="0"/>
          <w:sz w:val="21"/>
          <w:szCs w:val="21"/>
          <w:highlight w:val="none"/>
        </w:rPr>
        <w:t>20.3.1 争议评审小组的确定</w:t>
      </w:r>
    </w:p>
    <w:p w14:paraId="1FAE7A0F">
      <w:pPr>
        <w:spacing w:line="440" w:lineRule="exact"/>
        <w:ind w:firstLine="420" w:firstLineChars="200"/>
        <w:rPr>
          <w:rFonts w:hint="eastAsia" w:ascii="宋体" w:hAnsi="宋体"/>
          <w:color w:val="auto"/>
          <w:kern w:val="0"/>
          <w:sz w:val="21"/>
          <w:szCs w:val="21"/>
          <w:highlight w:val="none"/>
        </w:rPr>
      </w:pPr>
      <w:r>
        <w:rPr>
          <w:rFonts w:hint="eastAsia" w:ascii="宋体" w:hAnsi="宋体"/>
          <w:color w:val="auto"/>
          <w:kern w:val="0"/>
          <w:sz w:val="21"/>
          <w:szCs w:val="21"/>
          <w:highlight w:val="none"/>
        </w:rPr>
        <w:t>争议评审小组成员的确定：发包人和承包人共同选择3名争议评审员组成争议评审小组。</w:t>
      </w:r>
    </w:p>
    <w:p w14:paraId="670B7885">
      <w:pPr>
        <w:spacing w:line="440" w:lineRule="exact"/>
        <w:ind w:firstLine="420" w:firstLineChars="200"/>
        <w:rPr>
          <w:rFonts w:hint="eastAsia" w:ascii="宋体" w:hAnsi="宋体"/>
          <w:color w:val="auto"/>
          <w:kern w:val="0"/>
          <w:sz w:val="21"/>
          <w:szCs w:val="21"/>
          <w:highlight w:val="none"/>
        </w:rPr>
      </w:pPr>
      <w:r>
        <w:rPr>
          <w:rFonts w:hint="eastAsia" w:ascii="宋体" w:hAnsi="宋体"/>
          <w:color w:val="auto"/>
          <w:kern w:val="0"/>
          <w:sz w:val="21"/>
          <w:szCs w:val="21"/>
          <w:highlight w:val="none"/>
        </w:rPr>
        <w:t>选定争议评审员的期限：自合同签订后28天内，或者争议发生后14天内，选定争议评审员。</w:t>
      </w:r>
    </w:p>
    <w:p w14:paraId="72DF3116">
      <w:pPr>
        <w:spacing w:line="440" w:lineRule="exact"/>
        <w:ind w:firstLine="420" w:firstLineChars="200"/>
        <w:rPr>
          <w:rFonts w:hint="eastAsia" w:ascii="宋体" w:hAnsi="宋体"/>
          <w:color w:val="auto"/>
          <w:kern w:val="0"/>
          <w:sz w:val="21"/>
          <w:szCs w:val="21"/>
          <w:highlight w:val="none"/>
        </w:rPr>
      </w:pPr>
      <w:r>
        <w:rPr>
          <w:rFonts w:hint="eastAsia" w:ascii="宋体" w:hAnsi="宋体"/>
          <w:color w:val="auto"/>
          <w:kern w:val="0"/>
          <w:sz w:val="21"/>
          <w:szCs w:val="21"/>
          <w:highlight w:val="none"/>
        </w:rPr>
        <w:t>争议评审小组成员的报酬承担方式：发包人和承包人各承担一半。</w:t>
      </w:r>
    </w:p>
    <w:p w14:paraId="35915DA7">
      <w:pPr>
        <w:spacing w:line="440" w:lineRule="exact"/>
        <w:ind w:firstLine="420" w:firstLineChars="200"/>
        <w:jc w:val="left"/>
        <w:rPr>
          <w:rFonts w:hint="eastAsia" w:ascii="宋体" w:hAnsi="宋体"/>
          <w:color w:val="auto"/>
          <w:kern w:val="0"/>
          <w:sz w:val="21"/>
          <w:szCs w:val="21"/>
          <w:highlight w:val="none"/>
        </w:rPr>
      </w:pPr>
      <w:r>
        <w:rPr>
          <w:rFonts w:hint="eastAsia" w:ascii="宋体" w:hAnsi="宋体"/>
          <w:color w:val="auto"/>
          <w:kern w:val="0"/>
          <w:sz w:val="21"/>
          <w:szCs w:val="21"/>
          <w:highlight w:val="none"/>
        </w:rPr>
        <w:t>其他事项的约定：</w:t>
      </w:r>
      <w:r>
        <w:rPr>
          <w:rFonts w:hint="eastAsia" w:ascii="宋体" w:hAnsi="宋体"/>
          <w:color w:val="auto"/>
          <w:kern w:val="0"/>
          <w:sz w:val="21"/>
          <w:szCs w:val="21"/>
          <w:highlight w:val="none"/>
          <w:u w:val="single"/>
        </w:rPr>
        <w:t xml:space="preserve">    /   </w:t>
      </w:r>
      <w:r>
        <w:rPr>
          <w:rFonts w:hint="eastAsia" w:ascii="宋体" w:hAnsi="宋体"/>
          <w:color w:val="auto"/>
          <w:kern w:val="0"/>
          <w:sz w:val="21"/>
          <w:szCs w:val="21"/>
          <w:highlight w:val="none"/>
        </w:rPr>
        <w:t>。</w:t>
      </w:r>
    </w:p>
    <w:p w14:paraId="38521986">
      <w:pPr>
        <w:spacing w:line="440" w:lineRule="exact"/>
        <w:ind w:firstLine="420" w:firstLineChars="200"/>
        <w:jc w:val="left"/>
        <w:rPr>
          <w:rFonts w:hint="eastAsia" w:ascii="宋体" w:hAnsi="宋体"/>
          <w:color w:val="auto"/>
          <w:kern w:val="0"/>
          <w:sz w:val="21"/>
          <w:szCs w:val="21"/>
          <w:highlight w:val="none"/>
        </w:rPr>
      </w:pPr>
      <w:r>
        <w:rPr>
          <w:rFonts w:hint="eastAsia" w:ascii="宋体" w:hAnsi="宋体"/>
          <w:color w:val="auto"/>
          <w:kern w:val="0"/>
          <w:sz w:val="21"/>
          <w:szCs w:val="21"/>
          <w:highlight w:val="none"/>
        </w:rPr>
        <w:t>20.3.2 争议评审小组的决定</w:t>
      </w:r>
    </w:p>
    <w:p w14:paraId="6317158B">
      <w:pPr>
        <w:spacing w:line="440" w:lineRule="exact"/>
        <w:ind w:firstLine="420" w:firstLineChars="200"/>
        <w:jc w:val="left"/>
        <w:rPr>
          <w:rFonts w:hint="eastAsia" w:ascii="宋体" w:hAnsi="宋体"/>
          <w:color w:val="auto"/>
          <w:kern w:val="0"/>
          <w:sz w:val="21"/>
          <w:szCs w:val="21"/>
          <w:highlight w:val="none"/>
          <w:u w:val="single"/>
        </w:rPr>
      </w:pPr>
      <w:r>
        <w:rPr>
          <w:rFonts w:hint="eastAsia" w:ascii="宋体" w:hAnsi="宋体"/>
          <w:color w:val="auto"/>
          <w:kern w:val="0"/>
          <w:sz w:val="21"/>
          <w:szCs w:val="21"/>
          <w:highlight w:val="none"/>
        </w:rPr>
        <w:t>合同当事人关于本项的约定：</w:t>
      </w:r>
      <w:r>
        <w:rPr>
          <w:rFonts w:hint="eastAsia" w:ascii="宋体" w:hAnsi="宋体"/>
          <w:color w:val="auto"/>
          <w:kern w:val="0"/>
          <w:sz w:val="21"/>
          <w:szCs w:val="21"/>
          <w:highlight w:val="none"/>
          <w:u w:val="single"/>
        </w:rPr>
        <w:t xml:space="preserve">   /  。</w:t>
      </w:r>
    </w:p>
    <w:p w14:paraId="1A023128">
      <w:pPr>
        <w:pStyle w:val="483"/>
        <w:spacing w:before="120" w:line="440" w:lineRule="exact"/>
        <w:ind w:firstLine="401" w:firstLineChars="190"/>
        <w:rPr>
          <w:rFonts w:hint="eastAsia" w:hAnsi="宋体"/>
          <w:color w:val="auto"/>
          <w:sz w:val="21"/>
          <w:szCs w:val="21"/>
          <w:highlight w:val="none"/>
        </w:rPr>
      </w:pPr>
      <w:r>
        <w:rPr>
          <w:rFonts w:hint="eastAsia" w:hAnsi="宋体"/>
          <w:color w:val="auto"/>
          <w:sz w:val="21"/>
          <w:szCs w:val="21"/>
          <w:highlight w:val="none"/>
        </w:rPr>
        <w:t>20.4仲裁或诉讼</w:t>
      </w:r>
    </w:p>
    <w:p w14:paraId="5C62DE25">
      <w:pPr>
        <w:spacing w:line="440" w:lineRule="exact"/>
        <w:ind w:firstLine="420" w:firstLineChars="200"/>
        <w:rPr>
          <w:rFonts w:hint="eastAsia" w:ascii="宋体" w:hAnsi="宋体"/>
          <w:color w:val="auto"/>
          <w:kern w:val="0"/>
          <w:sz w:val="21"/>
          <w:szCs w:val="21"/>
          <w:highlight w:val="none"/>
        </w:rPr>
      </w:pPr>
      <w:r>
        <w:rPr>
          <w:rFonts w:hint="eastAsia" w:ascii="宋体" w:hAnsi="宋体"/>
          <w:color w:val="auto"/>
          <w:kern w:val="0"/>
          <w:sz w:val="21"/>
          <w:szCs w:val="21"/>
          <w:highlight w:val="none"/>
        </w:rPr>
        <w:t>因合同及合同有关事项发生的争议，按下列第</w:t>
      </w:r>
      <w:r>
        <w:rPr>
          <w:rFonts w:hint="eastAsia" w:ascii="宋体" w:hAnsi="宋体"/>
          <w:b/>
          <w:color w:val="auto"/>
          <w:kern w:val="0"/>
          <w:sz w:val="21"/>
          <w:szCs w:val="21"/>
          <w:highlight w:val="none"/>
          <w:u w:val="single"/>
        </w:rPr>
        <w:t xml:space="preserve">2 </w:t>
      </w:r>
      <w:r>
        <w:rPr>
          <w:rFonts w:hint="eastAsia" w:ascii="宋体" w:hAnsi="宋体"/>
          <w:color w:val="auto"/>
          <w:kern w:val="0"/>
          <w:sz w:val="21"/>
          <w:szCs w:val="21"/>
          <w:highlight w:val="none"/>
        </w:rPr>
        <w:t>种方式解决：</w:t>
      </w:r>
    </w:p>
    <w:p w14:paraId="51153F4B">
      <w:pPr>
        <w:spacing w:line="440" w:lineRule="exact"/>
        <w:ind w:firstLine="420" w:firstLineChars="200"/>
        <w:rPr>
          <w:rFonts w:hint="eastAsia" w:ascii="宋体" w:hAnsi="宋体"/>
          <w:color w:val="auto"/>
          <w:kern w:val="0"/>
          <w:sz w:val="21"/>
          <w:szCs w:val="21"/>
          <w:highlight w:val="none"/>
        </w:rPr>
      </w:pPr>
      <w:r>
        <w:rPr>
          <w:rFonts w:hint="eastAsia" w:ascii="宋体" w:hAnsi="宋体"/>
          <w:color w:val="auto"/>
          <w:kern w:val="0"/>
          <w:sz w:val="21"/>
          <w:szCs w:val="21"/>
          <w:highlight w:val="none"/>
        </w:rPr>
        <w:t>（1）向</w:t>
      </w:r>
      <w:r>
        <w:rPr>
          <w:rFonts w:hint="eastAsia" w:ascii="宋体" w:hAnsi="宋体"/>
          <w:b/>
          <w:color w:val="auto"/>
          <w:kern w:val="0"/>
          <w:sz w:val="21"/>
          <w:szCs w:val="21"/>
          <w:highlight w:val="none"/>
          <w:u w:val="single"/>
        </w:rPr>
        <w:t>宁波</w:t>
      </w:r>
      <w:r>
        <w:rPr>
          <w:rFonts w:hint="eastAsia" w:ascii="宋体" w:hAnsi="宋体"/>
          <w:color w:val="auto"/>
          <w:kern w:val="0"/>
          <w:sz w:val="21"/>
          <w:szCs w:val="21"/>
          <w:highlight w:val="none"/>
        </w:rPr>
        <w:t>仲裁委员会申请仲裁；</w:t>
      </w:r>
    </w:p>
    <w:p w14:paraId="5E20E7E2">
      <w:pPr>
        <w:spacing w:line="440" w:lineRule="exact"/>
        <w:ind w:firstLine="420" w:firstLineChars="200"/>
        <w:rPr>
          <w:rFonts w:hint="eastAsia" w:ascii="宋体" w:hAnsi="宋体"/>
          <w:color w:val="auto"/>
          <w:kern w:val="0"/>
          <w:highlight w:val="none"/>
        </w:rPr>
      </w:pPr>
      <w:r>
        <w:rPr>
          <w:rFonts w:hint="eastAsia" w:ascii="宋体" w:hAnsi="宋体"/>
          <w:color w:val="auto"/>
          <w:kern w:val="0"/>
          <w:sz w:val="21"/>
          <w:szCs w:val="21"/>
          <w:highlight w:val="none"/>
        </w:rPr>
        <w:t>（2）向</w:t>
      </w:r>
      <w:r>
        <w:rPr>
          <w:rFonts w:hint="eastAsia" w:ascii="宋体" w:hAnsi="宋体"/>
          <w:b/>
          <w:color w:val="auto"/>
          <w:kern w:val="0"/>
          <w:sz w:val="21"/>
          <w:szCs w:val="21"/>
          <w:highlight w:val="none"/>
          <w:u w:val="single"/>
        </w:rPr>
        <w:t xml:space="preserve">项目所在地 </w:t>
      </w:r>
      <w:r>
        <w:rPr>
          <w:rFonts w:hint="eastAsia" w:ascii="宋体" w:hAnsi="宋体"/>
          <w:color w:val="auto"/>
          <w:kern w:val="0"/>
          <w:sz w:val="21"/>
          <w:szCs w:val="21"/>
          <w:highlight w:val="none"/>
        </w:rPr>
        <w:t>人民法</w:t>
      </w:r>
      <w:r>
        <w:rPr>
          <w:rFonts w:hint="eastAsia" w:ascii="宋体" w:hAnsi="宋体"/>
          <w:color w:val="auto"/>
          <w:kern w:val="0"/>
          <w:highlight w:val="none"/>
        </w:rPr>
        <w:t>院起诉。</w:t>
      </w:r>
    </w:p>
    <w:p w14:paraId="6A064DA2">
      <w:pPr>
        <w:pStyle w:val="469"/>
        <w:spacing w:line="4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21. 补充条款：</w:t>
      </w:r>
    </w:p>
    <w:p w14:paraId="57D0EE96">
      <w:pPr>
        <w:spacing w:line="440" w:lineRule="exact"/>
        <w:ind w:firstLine="420" w:firstLineChars="200"/>
        <w:rPr>
          <w:rFonts w:hint="eastAsia" w:ascii="宋体" w:hAnsi="宋体"/>
          <w:color w:val="auto"/>
          <w:kern w:val="0"/>
          <w:highlight w:val="none"/>
          <w:lang w:val="en-US" w:eastAsia="zh-CN"/>
        </w:rPr>
      </w:pPr>
      <w:r>
        <w:rPr>
          <w:rFonts w:hint="eastAsia" w:ascii="宋体" w:hAnsi="宋体"/>
          <w:color w:val="auto"/>
          <w:kern w:val="0"/>
          <w:highlight w:val="none"/>
          <w:lang w:val="en-US" w:eastAsia="zh-CN"/>
        </w:rPr>
        <w:t>21.1承包人应充分了解工地情况、当地的市政、市容、环保、交通、治安、绿化、卫生、工程所在地等方面的关系处理及施工过程中材料和设备的存储堆放、二次搬运、保管、水平运输、垂直运输、临时设施租用、垃圾清运、夜间施工、赶工措施、与其他单位之间的协调配合、工程变更造成的窝工等任何其它足以影响合同价格和工期的情况，考虑处理所发生的费用由承包人在合同价款中已综合考虑，结算不单独计取。</w:t>
      </w:r>
    </w:p>
    <w:p w14:paraId="4DD43F3D">
      <w:pPr>
        <w:spacing w:line="440" w:lineRule="exact"/>
        <w:ind w:firstLine="420" w:firstLineChars="200"/>
        <w:rPr>
          <w:rFonts w:hint="eastAsia" w:ascii="宋体" w:hAnsi="宋体"/>
          <w:color w:val="auto"/>
          <w:kern w:val="0"/>
          <w:highlight w:val="none"/>
          <w:lang w:val="en-US" w:eastAsia="zh-CN"/>
        </w:rPr>
      </w:pPr>
      <w:r>
        <w:rPr>
          <w:rFonts w:hint="eastAsia" w:ascii="宋体" w:hAnsi="宋体"/>
          <w:color w:val="auto"/>
          <w:kern w:val="0"/>
          <w:highlight w:val="none"/>
          <w:lang w:val="en-US" w:eastAsia="zh-CN"/>
        </w:rPr>
        <w:t>21.2承包人在施工过程中无论遇到何种困难（经发包人同意除外)均不得以任何理由（如发包人未签证费用）擅自停工或变相停工，否则由此造成的一切经济损失及工期均由承包人承担，同时发包人有权追究承包人违约责任。</w:t>
      </w:r>
    </w:p>
    <w:p w14:paraId="4699B3F9">
      <w:pPr>
        <w:spacing w:line="440" w:lineRule="exact"/>
        <w:ind w:firstLine="420" w:firstLineChars="200"/>
        <w:rPr>
          <w:rFonts w:hint="eastAsia" w:ascii="宋体" w:hAnsi="宋体"/>
          <w:color w:val="auto"/>
          <w:kern w:val="0"/>
          <w:highlight w:val="none"/>
          <w:lang w:val="en-US" w:eastAsia="zh-CN"/>
        </w:rPr>
      </w:pPr>
      <w:r>
        <w:rPr>
          <w:rFonts w:hint="eastAsia" w:ascii="宋体" w:hAnsi="宋体"/>
          <w:color w:val="auto"/>
          <w:kern w:val="0"/>
          <w:highlight w:val="none"/>
          <w:lang w:val="en-US" w:eastAsia="zh-CN"/>
        </w:rPr>
        <w:t>21.3 承包人必须及时支付民工工资，如因民工工资纠纷对发包人造成负面影响的，由此造成的一切经济损失均由承包人承担。</w:t>
      </w:r>
    </w:p>
    <w:p w14:paraId="016503C6">
      <w:pPr>
        <w:spacing w:line="440" w:lineRule="exact"/>
        <w:ind w:firstLine="420" w:firstLineChars="200"/>
        <w:rPr>
          <w:rFonts w:hint="eastAsia" w:ascii="宋体" w:hAnsi="宋体"/>
          <w:color w:val="auto"/>
          <w:kern w:val="0"/>
          <w:highlight w:val="none"/>
          <w:lang w:val="en-US" w:eastAsia="zh-CN"/>
        </w:rPr>
      </w:pPr>
      <w:r>
        <w:rPr>
          <w:rFonts w:hint="eastAsia" w:ascii="宋体" w:hAnsi="宋体"/>
          <w:color w:val="auto"/>
          <w:kern w:val="0"/>
          <w:highlight w:val="none"/>
          <w:lang w:val="en-US" w:eastAsia="zh-CN"/>
        </w:rPr>
        <w:t>21.4承包人需积极配合发包人做好上级领导的检查工作。</w:t>
      </w:r>
    </w:p>
    <w:p w14:paraId="26D06298">
      <w:pPr>
        <w:spacing w:line="440" w:lineRule="exact"/>
        <w:ind w:firstLine="420" w:firstLineChars="200"/>
        <w:rPr>
          <w:rFonts w:hint="default" w:ascii="宋体" w:hAnsi="宋体"/>
          <w:color w:val="auto"/>
          <w:kern w:val="0"/>
          <w:highlight w:val="none"/>
          <w:lang w:val="en-US" w:eastAsia="zh-CN"/>
        </w:rPr>
      </w:pPr>
      <w:r>
        <w:rPr>
          <w:rFonts w:hint="eastAsia" w:ascii="宋体" w:hAnsi="宋体"/>
          <w:color w:val="auto"/>
          <w:kern w:val="0"/>
          <w:highlight w:val="none"/>
          <w:lang w:val="en-US" w:eastAsia="zh-CN"/>
        </w:rPr>
        <w:t>21.5</w:t>
      </w:r>
      <w:r>
        <w:rPr>
          <w:rFonts w:hint="default" w:ascii="宋体" w:hAnsi="宋体"/>
          <w:color w:val="auto"/>
          <w:kern w:val="0"/>
          <w:highlight w:val="none"/>
          <w:lang w:val="en-US" w:eastAsia="zh-CN"/>
        </w:rPr>
        <w:t>在承包人管理下，若屋面漏水、外墙渗水，不论是何原因，承包人必须负责修缮及相关索赔，不得以任何理由拖延不处理，拖延处理引致的投诉，发包人保留追偿的权利；</w:t>
      </w:r>
    </w:p>
    <w:p w14:paraId="166D4F59">
      <w:pPr>
        <w:spacing w:line="440" w:lineRule="exact"/>
        <w:ind w:firstLine="420" w:firstLineChars="200"/>
        <w:rPr>
          <w:rFonts w:hint="default" w:ascii="宋体" w:hAnsi="宋体"/>
          <w:color w:val="auto"/>
          <w:kern w:val="0"/>
          <w:highlight w:val="none"/>
          <w:lang w:val="en-US" w:eastAsia="zh-CN"/>
        </w:rPr>
      </w:pPr>
      <w:r>
        <w:rPr>
          <w:rFonts w:hint="default" w:ascii="宋体" w:hAnsi="宋体"/>
          <w:color w:val="auto"/>
          <w:kern w:val="0"/>
          <w:highlight w:val="none"/>
          <w:lang w:val="en-US" w:eastAsia="zh-CN"/>
        </w:rPr>
        <w:t>21.</w:t>
      </w:r>
      <w:r>
        <w:rPr>
          <w:rFonts w:hint="eastAsia" w:ascii="宋体" w:hAnsi="宋体"/>
          <w:color w:val="auto"/>
          <w:kern w:val="0"/>
          <w:highlight w:val="none"/>
          <w:lang w:val="en-US" w:eastAsia="zh-CN"/>
        </w:rPr>
        <w:t>6</w:t>
      </w:r>
      <w:r>
        <w:rPr>
          <w:rFonts w:hint="default" w:ascii="宋体" w:hAnsi="宋体"/>
          <w:color w:val="auto"/>
          <w:kern w:val="0"/>
          <w:highlight w:val="none"/>
          <w:lang w:val="en-US" w:eastAsia="zh-CN"/>
        </w:rPr>
        <w:t>要求承包人严格执行发包人的相关管理制度及流程。</w:t>
      </w:r>
    </w:p>
    <w:p w14:paraId="31282C82">
      <w:pPr>
        <w:spacing w:line="440" w:lineRule="exact"/>
        <w:ind w:firstLine="420" w:firstLineChars="200"/>
        <w:rPr>
          <w:rFonts w:hint="default" w:ascii="宋体" w:hAnsi="宋体"/>
          <w:color w:val="auto"/>
          <w:kern w:val="0"/>
          <w:highlight w:val="none"/>
          <w:lang w:val="en-US" w:eastAsia="zh-CN"/>
        </w:rPr>
      </w:pPr>
      <w:r>
        <w:rPr>
          <w:rFonts w:hint="default" w:ascii="宋体" w:hAnsi="宋体"/>
          <w:color w:val="auto"/>
          <w:kern w:val="0"/>
          <w:highlight w:val="none"/>
          <w:lang w:val="en-US" w:eastAsia="zh-CN"/>
        </w:rPr>
        <w:t>21.</w:t>
      </w:r>
      <w:r>
        <w:rPr>
          <w:rFonts w:hint="eastAsia" w:ascii="宋体" w:hAnsi="宋体"/>
          <w:color w:val="auto"/>
          <w:kern w:val="0"/>
          <w:highlight w:val="none"/>
          <w:lang w:val="en-US" w:eastAsia="zh-CN"/>
        </w:rPr>
        <w:t>7</w:t>
      </w:r>
      <w:r>
        <w:rPr>
          <w:rFonts w:hint="default" w:ascii="宋体" w:hAnsi="宋体"/>
          <w:color w:val="auto"/>
          <w:kern w:val="0"/>
          <w:highlight w:val="none"/>
          <w:lang w:val="en-US" w:eastAsia="zh-CN"/>
        </w:rPr>
        <w:t>承包人需根据现场实地情况，自行解决民工宿舍场地问题，相关费用由承包人自行承担，与发包人无涉。</w:t>
      </w:r>
    </w:p>
    <w:p w14:paraId="1EA3F487">
      <w:pPr>
        <w:spacing w:line="440" w:lineRule="exact"/>
        <w:ind w:firstLine="420" w:firstLineChars="200"/>
        <w:rPr>
          <w:rFonts w:hint="default" w:ascii="宋体" w:hAnsi="宋体"/>
          <w:color w:val="auto"/>
          <w:kern w:val="0"/>
          <w:highlight w:val="none"/>
          <w:lang w:val="en-US" w:eastAsia="zh-CN"/>
        </w:rPr>
      </w:pPr>
      <w:r>
        <w:rPr>
          <w:rFonts w:hint="default" w:ascii="宋体" w:hAnsi="宋体"/>
          <w:color w:val="auto"/>
          <w:kern w:val="0"/>
          <w:highlight w:val="none"/>
          <w:lang w:val="en-US" w:eastAsia="zh-CN"/>
        </w:rPr>
        <w:t>21.</w:t>
      </w:r>
      <w:r>
        <w:rPr>
          <w:rFonts w:hint="eastAsia" w:ascii="宋体" w:hAnsi="宋体"/>
          <w:color w:val="auto"/>
          <w:kern w:val="0"/>
          <w:highlight w:val="none"/>
          <w:lang w:val="en-US" w:eastAsia="zh-CN"/>
        </w:rPr>
        <w:t>8</w:t>
      </w:r>
      <w:r>
        <w:rPr>
          <w:rFonts w:hint="default" w:ascii="宋体" w:hAnsi="宋体"/>
          <w:color w:val="auto"/>
          <w:kern w:val="0"/>
          <w:highlight w:val="none"/>
          <w:lang w:val="en-US" w:eastAsia="zh-CN"/>
        </w:rPr>
        <w:t>施工期间，承包人应按甲方要求对临时道口道路进行日常维护，道路入口处设立门岗并派遣专人进行管理、保洁等所有工作，因维护不当等引起的路面沉降等质量问题产生的一切责任及后果由承包人负责，与发包人无涉。</w:t>
      </w:r>
    </w:p>
    <w:p w14:paraId="7DC25151">
      <w:pPr>
        <w:spacing w:line="440" w:lineRule="exact"/>
        <w:ind w:firstLine="420" w:firstLineChars="200"/>
        <w:rPr>
          <w:rFonts w:hint="default" w:ascii="宋体" w:hAnsi="宋体"/>
          <w:color w:val="auto"/>
          <w:kern w:val="0"/>
          <w:highlight w:val="none"/>
          <w:lang w:val="en-US" w:eastAsia="zh-CN"/>
        </w:rPr>
      </w:pPr>
      <w:r>
        <w:rPr>
          <w:rFonts w:hint="default" w:ascii="宋体" w:hAnsi="宋体"/>
          <w:color w:val="auto"/>
          <w:kern w:val="0"/>
          <w:highlight w:val="none"/>
          <w:lang w:val="en-US" w:eastAsia="zh-CN"/>
        </w:rPr>
        <w:t>21.</w:t>
      </w:r>
      <w:r>
        <w:rPr>
          <w:rFonts w:hint="eastAsia" w:ascii="宋体" w:hAnsi="宋体"/>
          <w:color w:val="auto"/>
          <w:kern w:val="0"/>
          <w:highlight w:val="none"/>
          <w:lang w:val="en-US" w:eastAsia="zh-CN"/>
        </w:rPr>
        <w:t>9</w:t>
      </w:r>
      <w:r>
        <w:rPr>
          <w:rFonts w:hint="default" w:ascii="宋体" w:hAnsi="宋体"/>
          <w:color w:val="auto"/>
          <w:kern w:val="0"/>
          <w:highlight w:val="none"/>
          <w:lang w:val="en-US" w:eastAsia="zh-CN"/>
        </w:rPr>
        <w:t>施工期间，承包人应负责配合处理智慧城管和市民投诉相关事宜。</w:t>
      </w:r>
    </w:p>
    <w:p w14:paraId="56737A5D">
      <w:pPr>
        <w:spacing w:line="440" w:lineRule="exact"/>
        <w:ind w:firstLine="420" w:firstLineChars="200"/>
        <w:rPr>
          <w:rFonts w:hint="default" w:ascii="宋体" w:hAnsi="宋体"/>
          <w:color w:val="auto"/>
          <w:kern w:val="0"/>
          <w:highlight w:val="none"/>
          <w:lang w:val="en-US" w:eastAsia="zh-CN"/>
        </w:rPr>
      </w:pPr>
      <w:r>
        <w:rPr>
          <w:rFonts w:hint="default" w:ascii="宋体" w:hAnsi="宋体"/>
          <w:color w:val="auto"/>
          <w:kern w:val="0"/>
          <w:highlight w:val="none"/>
          <w:lang w:val="en-US" w:eastAsia="zh-CN"/>
        </w:rPr>
        <w:t>21.1</w:t>
      </w:r>
      <w:r>
        <w:rPr>
          <w:rFonts w:hint="eastAsia" w:ascii="宋体" w:hAnsi="宋体"/>
          <w:color w:val="auto"/>
          <w:kern w:val="0"/>
          <w:highlight w:val="none"/>
          <w:lang w:val="en-US" w:eastAsia="zh-CN"/>
        </w:rPr>
        <w:t>0</w:t>
      </w:r>
      <w:r>
        <w:rPr>
          <w:rFonts w:hint="default" w:ascii="宋体" w:hAnsi="宋体"/>
          <w:color w:val="auto"/>
          <w:kern w:val="0"/>
          <w:highlight w:val="none"/>
          <w:lang w:val="en-US" w:eastAsia="zh-CN"/>
        </w:rPr>
        <w:t>承包人必须制定并实施一切必要的安全保护措施，保证工程安全施工，施工中发生的一切安全事故的处理及费用由承包人负责。如对发包人的原有设施或成品造成损坏，须及时免费进行修理或修复，否则发包人有权扣留安全文明施工费及由此而产生的一切费用。</w:t>
      </w:r>
    </w:p>
    <w:p w14:paraId="012E9FD9">
      <w:pPr>
        <w:spacing w:line="440" w:lineRule="exact"/>
        <w:ind w:firstLine="420" w:firstLineChars="200"/>
        <w:rPr>
          <w:rFonts w:hint="default" w:ascii="宋体" w:hAnsi="宋体"/>
          <w:color w:val="auto"/>
          <w:kern w:val="0"/>
          <w:highlight w:val="none"/>
          <w:lang w:val="en-US" w:eastAsia="zh-CN"/>
        </w:rPr>
      </w:pPr>
      <w:r>
        <w:rPr>
          <w:rFonts w:hint="default" w:ascii="宋体" w:hAnsi="宋体"/>
          <w:color w:val="auto"/>
          <w:kern w:val="0"/>
          <w:highlight w:val="none"/>
          <w:lang w:val="en-US" w:eastAsia="zh-CN"/>
        </w:rPr>
        <w:t>21.1</w:t>
      </w:r>
      <w:r>
        <w:rPr>
          <w:rFonts w:hint="eastAsia" w:ascii="宋体" w:hAnsi="宋体"/>
          <w:color w:val="auto"/>
          <w:kern w:val="0"/>
          <w:highlight w:val="none"/>
          <w:lang w:val="en-US" w:eastAsia="zh-CN"/>
        </w:rPr>
        <w:t>1</w:t>
      </w:r>
      <w:r>
        <w:rPr>
          <w:rFonts w:hint="default" w:ascii="宋体" w:hAnsi="宋体"/>
          <w:color w:val="auto"/>
          <w:kern w:val="0"/>
          <w:highlight w:val="none"/>
          <w:lang w:val="en-US" w:eastAsia="zh-CN"/>
        </w:rPr>
        <w:t>承包人的工期延长超过了发包人的计划时，监理人、发包人可发出通知对承包人书面警告，若承包人仍不采取措施赶上的，发包人可终止对承包人的雇佣，并可将本工程中的一部份工作交由其它承包人或特殊分包人完成，在不解除本合同规定的承包人责任和义务的同时，承包人应承担此项费用。</w:t>
      </w:r>
    </w:p>
    <w:p w14:paraId="4057785D">
      <w:pPr>
        <w:spacing w:line="440" w:lineRule="exact"/>
        <w:ind w:firstLine="420" w:firstLineChars="200"/>
        <w:rPr>
          <w:rFonts w:hint="default" w:ascii="宋体" w:hAnsi="宋体"/>
          <w:color w:val="auto"/>
          <w:kern w:val="0"/>
          <w:highlight w:val="none"/>
          <w:lang w:val="en-US" w:eastAsia="zh-CN"/>
        </w:rPr>
      </w:pPr>
      <w:r>
        <w:rPr>
          <w:rFonts w:hint="default" w:ascii="宋体" w:hAnsi="宋体"/>
          <w:color w:val="auto"/>
          <w:kern w:val="0"/>
          <w:highlight w:val="none"/>
          <w:lang w:val="en-US" w:eastAsia="zh-CN"/>
        </w:rPr>
        <w:t>21.1</w:t>
      </w:r>
      <w:r>
        <w:rPr>
          <w:rFonts w:hint="eastAsia" w:ascii="宋体" w:hAnsi="宋体"/>
          <w:color w:val="auto"/>
          <w:kern w:val="0"/>
          <w:highlight w:val="none"/>
          <w:lang w:val="en-US" w:eastAsia="zh-CN"/>
        </w:rPr>
        <w:t>2</w:t>
      </w:r>
      <w:r>
        <w:rPr>
          <w:rFonts w:hint="default" w:ascii="宋体" w:hAnsi="宋体"/>
          <w:color w:val="auto"/>
          <w:kern w:val="0"/>
          <w:highlight w:val="none"/>
          <w:lang w:val="en-US" w:eastAsia="zh-CN"/>
        </w:rPr>
        <w:t xml:space="preserve"> 承包人编制的专项施工方案，若需专家论证，相关费用由承包人自行承担。</w:t>
      </w:r>
    </w:p>
    <w:p w14:paraId="0EF652F4">
      <w:pPr>
        <w:spacing w:line="440" w:lineRule="exact"/>
        <w:ind w:firstLine="420" w:firstLineChars="200"/>
        <w:rPr>
          <w:rFonts w:hint="default" w:ascii="宋体" w:hAnsi="宋体"/>
          <w:color w:val="auto"/>
          <w:kern w:val="0"/>
          <w:highlight w:val="none"/>
          <w:lang w:val="en-US" w:eastAsia="zh-CN"/>
        </w:rPr>
      </w:pPr>
      <w:r>
        <w:rPr>
          <w:rFonts w:hint="default" w:ascii="宋体" w:hAnsi="宋体"/>
          <w:color w:val="auto"/>
          <w:kern w:val="0"/>
          <w:highlight w:val="none"/>
          <w:lang w:val="en-US" w:eastAsia="zh-CN"/>
        </w:rPr>
        <w:t>21.1</w:t>
      </w:r>
      <w:r>
        <w:rPr>
          <w:rFonts w:hint="eastAsia" w:ascii="宋体" w:hAnsi="宋体"/>
          <w:color w:val="auto"/>
          <w:kern w:val="0"/>
          <w:highlight w:val="none"/>
          <w:lang w:val="en-US" w:eastAsia="zh-CN"/>
        </w:rPr>
        <w:t>3</w:t>
      </w:r>
      <w:r>
        <w:rPr>
          <w:rFonts w:hint="default" w:ascii="宋体" w:hAnsi="宋体"/>
          <w:color w:val="auto"/>
          <w:kern w:val="0"/>
          <w:highlight w:val="none"/>
          <w:lang w:val="en-US" w:eastAsia="zh-CN"/>
        </w:rPr>
        <w:t>承包人应对施工原因引起的质量缺陷而导致的损失负全部责任。</w:t>
      </w:r>
    </w:p>
    <w:p w14:paraId="741E26C3">
      <w:pPr>
        <w:spacing w:line="440" w:lineRule="exact"/>
        <w:ind w:firstLine="420" w:firstLineChars="200"/>
        <w:rPr>
          <w:rFonts w:hint="default" w:ascii="宋体" w:hAnsi="宋体"/>
          <w:color w:val="auto"/>
          <w:kern w:val="0"/>
          <w:highlight w:val="none"/>
          <w:lang w:val="en-US" w:eastAsia="zh-CN"/>
        </w:rPr>
      </w:pPr>
      <w:r>
        <w:rPr>
          <w:rFonts w:hint="default" w:ascii="宋体" w:hAnsi="宋体"/>
          <w:color w:val="auto"/>
          <w:kern w:val="0"/>
          <w:highlight w:val="none"/>
          <w:lang w:val="en-US" w:eastAsia="zh-CN"/>
        </w:rPr>
        <w:t>21.1</w:t>
      </w:r>
      <w:r>
        <w:rPr>
          <w:rFonts w:hint="eastAsia" w:ascii="宋体" w:hAnsi="宋体"/>
          <w:color w:val="auto"/>
          <w:kern w:val="0"/>
          <w:highlight w:val="none"/>
          <w:lang w:val="en-US" w:eastAsia="zh-CN"/>
        </w:rPr>
        <w:t>4</w:t>
      </w:r>
      <w:r>
        <w:rPr>
          <w:rFonts w:hint="default" w:ascii="宋体" w:hAnsi="宋体"/>
          <w:color w:val="auto"/>
          <w:kern w:val="0"/>
          <w:highlight w:val="none"/>
          <w:lang w:val="en-US" w:eastAsia="zh-CN"/>
        </w:rPr>
        <w:t xml:space="preserve"> 在工程施工前，承包人应将所用材料根据材料品牌选定表所确定的品牌报业主书面同意，且对样品进行封样、留存。当材料品牌选定表所确定的材料品牌、型号、规格、产地出现供货商价格垄断或市场无货等特殊情况时，发包人有权选择增加不低于原有材料品牌、型号、规格、产地及材质的材料，且相应价格按投标价不变，承包人须无条件接受。</w:t>
      </w:r>
    </w:p>
    <w:p w14:paraId="7A2664F1">
      <w:pPr>
        <w:spacing w:line="440" w:lineRule="exact"/>
        <w:ind w:firstLine="420" w:firstLineChars="200"/>
        <w:rPr>
          <w:rFonts w:hint="default" w:ascii="宋体" w:hAnsi="宋体"/>
          <w:color w:val="auto"/>
          <w:kern w:val="0"/>
          <w:highlight w:val="none"/>
          <w:lang w:val="en-US" w:eastAsia="zh-CN"/>
        </w:rPr>
      </w:pPr>
      <w:r>
        <w:rPr>
          <w:rFonts w:hint="default" w:ascii="宋体" w:hAnsi="宋体"/>
          <w:color w:val="auto"/>
          <w:kern w:val="0"/>
          <w:highlight w:val="none"/>
          <w:lang w:val="en-US" w:eastAsia="zh-CN"/>
        </w:rPr>
        <w:t>21.</w:t>
      </w:r>
      <w:r>
        <w:rPr>
          <w:rFonts w:hint="eastAsia" w:ascii="宋体" w:hAnsi="宋体"/>
          <w:color w:val="auto"/>
          <w:kern w:val="0"/>
          <w:highlight w:val="none"/>
          <w:lang w:val="en-US" w:eastAsia="zh-CN"/>
        </w:rPr>
        <w:t>15</w:t>
      </w:r>
      <w:r>
        <w:rPr>
          <w:rFonts w:hint="default" w:ascii="宋体" w:hAnsi="宋体"/>
          <w:color w:val="auto"/>
          <w:kern w:val="0"/>
          <w:highlight w:val="none"/>
          <w:lang w:val="en-US" w:eastAsia="zh-CN"/>
        </w:rPr>
        <w:t>中标人在实施本</w:t>
      </w:r>
      <w:r>
        <w:rPr>
          <w:rFonts w:hint="eastAsia" w:ascii="宋体" w:hAnsi="宋体"/>
          <w:color w:val="auto"/>
          <w:kern w:val="0"/>
          <w:highlight w:val="none"/>
          <w:lang w:val="en-US" w:eastAsia="zh-CN"/>
        </w:rPr>
        <w:t>采购</w:t>
      </w:r>
      <w:r>
        <w:rPr>
          <w:rFonts w:hint="default" w:ascii="宋体" w:hAnsi="宋体"/>
          <w:color w:val="auto"/>
          <w:kern w:val="0"/>
          <w:highlight w:val="none"/>
          <w:lang w:val="en-US" w:eastAsia="zh-CN"/>
        </w:rPr>
        <w:t>工程时，须对已完成的工程或设施、线缆等所有工程内容进行妥善保护和保管，如有损坏或灭失（含被盗），应及时进行修复、赔偿，并承担由此而引起的相应修复经费或其他经费，此费用已包含在签约合同价中。</w:t>
      </w:r>
    </w:p>
    <w:p w14:paraId="6C66D376">
      <w:pPr>
        <w:spacing w:line="440" w:lineRule="exact"/>
        <w:ind w:firstLine="420" w:firstLineChars="200"/>
        <w:rPr>
          <w:rFonts w:hint="default" w:ascii="宋体" w:hAnsi="宋体"/>
          <w:color w:val="auto"/>
          <w:kern w:val="0"/>
          <w:highlight w:val="none"/>
          <w:lang w:val="en-US" w:eastAsia="zh-CN"/>
        </w:rPr>
      </w:pPr>
      <w:r>
        <w:rPr>
          <w:rFonts w:hint="default" w:ascii="宋体" w:hAnsi="宋体"/>
          <w:color w:val="auto"/>
          <w:kern w:val="0"/>
          <w:highlight w:val="none"/>
          <w:lang w:val="en-US" w:eastAsia="zh-CN"/>
        </w:rPr>
        <w:t>21.</w:t>
      </w:r>
      <w:r>
        <w:rPr>
          <w:rFonts w:hint="eastAsia" w:ascii="宋体" w:hAnsi="宋体"/>
          <w:color w:val="auto"/>
          <w:kern w:val="0"/>
          <w:highlight w:val="none"/>
          <w:lang w:val="en-US" w:eastAsia="zh-CN"/>
        </w:rPr>
        <w:t>16</w:t>
      </w:r>
      <w:r>
        <w:rPr>
          <w:rFonts w:hint="default" w:ascii="宋体" w:hAnsi="宋体"/>
          <w:color w:val="auto"/>
          <w:kern w:val="0"/>
          <w:highlight w:val="none"/>
          <w:lang w:val="en-US" w:eastAsia="zh-CN"/>
        </w:rPr>
        <w:t>凡涉及拆除、外运的项目由投标人自行考虑堆场(堆场政策处理等费用由投标人自理)及外运距离，在报价中综合考虑，结算时不另行增减。工程运输车辆应认真执行当地相应规定和市政行业管理的要求，由此而产生的费用投标人应考虑到各个项目清单的综合单价内。</w:t>
      </w:r>
    </w:p>
    <w:p w14:paraId="538C9E62">
      <w:pPr>
        <w:spacing w:line="440" w:lineRule="exact"/>
        <w:ind w:firstLine="420" w:firstLineChars="200"/>
        <w:rPr>
          <w:rFonts w:hint="default" w:ascii="宋体" w:hAnsi="宋体"/>
          <w:color w:val="auto"/>
          <w:kern w:val="0"/>
          <w:highlight w:val="none"/>
          <w:lang w:val="en-US" w:eastAsia="zh-CN"/>
        </w:rPr>
      </w:pPr>
      <w:r>
        <w:rPr>
          <w:rFonts w:hint="default" w:ascii="宋体" w:hAnsi="宋体"/>
          <w:color w:val="auto"/>
          <w:kern w:val="0"/>
          <w:highlight w:val="none"/>
          <w:lang w:val="en-US" w:eastAsia="zh-CN"/>
        </w:rPr>
        <w:t>21.</w:t>
      </w:r>
      <w:r>
        <w:rPr>
          <w:rFonts w:hint="eastAsia" w:ascii="宋体" w:hAnsi="宋体"/>
          <w:color w:val="auto"/>
          <w:kern w:val="0"/>
          <w:highlight w:val="none"/>
          <w:lang w:val="en-US" w:eastAsia="zh-CN"/>
        </w:rPr>
        <w:t>17</w:t>
      </w:r>
      <w:r>
        <w:rPr>
          <w:rFonts w:hint="default" w:ascii="宋体" w:hAnsi="宋体"/>
          <w:color w:val="auto"/>
          <w:kern w:val="0"/>
          <w:highlight w:val="none"/>
          <w:lang w:val="en-US" w:eastAsia="zh-CN"/>
        </w:rPr>
        <w:t>协助发包人办理开工等批准手续</w:t>
      </w:r>
    </w:p>
    <w:p w14:paraId="0B748483">
      <w:pPr>
        <w:spacing w:line="440" w:lineRule="exact"/>
        <w:ind w:firstLine="420" w:firstLineChars="200"/>
        <w:rPr>
          <w:rFonts w:hint="default" w:ascii="宋体" w:hAnsi="宋体"/>
          <w:color w:val="auto"/>
          <w:kern w:val="0"/>
          <w:highlight w:val="none"/>
          <w:lang w:val="en-US" w:eastAsia="zh-CN"/>
        </w:rPr>
      </w:pPr>
      <w:r>
        <w:rPr>
          <w:rFonts w:hint="default" w:ascii="宋体" w:hAnsi="宋体"/>
          <w:color w:val="auto"/>
          <w:kern w:val="0"/>
          <w:highlight w:val="none"/>
          <w:lang w:val="en-US" w:eastAsia="zh-CN"/>
        </w:rPr>
        <w:t>承包人应在工程开工7日前，通知发包人向有关部门办理须由发包人办理的开工批准或施工许可证、工程质量监督手续及其他许可、证件、批件等。发包人需要时，承包人有义务提供协助。发包人委托承包人代办并被承包人接受时，双方可另行签订协议，作为本合同</w:t>
      </w:r>
    </w:p>
    <w:p w14:paraId="519F0C33">
      <w:pPr>
        <w:spacing w:line="440" w:lineRule="exact"/>
        <w:ind w:firstLine="420" w:firstLineChars="200"/>
        <w:rPr>
          <w:rFonts w:hint="default" w:ascii="宋体" w:hAnsi="宋体"/>
          <w:color w:val="auto"/>
          <w:kern w:val="0"/>
          <w:highlight w:val="none"/>
          <w:lang w:val="en-US" w:eastAsia="zh-CN"/>
        </w:rPr>
      </w:pPr>
      <w:r>
        <w:rPr>
          <w:rFonts w:hint="default" w:ascii="宋体" w:hAnsi="宋体"/>
          <w:color w:val="auto"/>
          <w:kern w:val="0"/>
          <w:highlight w:val="none"/>
          <w:lang w:val="en-US" w:eastAsia="zh-CN"/>
        </w:rPr>
        <w:t>21.</w:t>
      </w:r>
      <w:r>
        <w:rPr>
          <w:rFonts w:hint="eastAsia" w:ascii="宋体" w:hAnsi="宋体"/>
          <w:color w:val="auto"/>
          <w:kern w:val="0"/>
          <w:highlight w:val="none"/>
          <w:lang w:val="en-US" w:eastAsia="zh-CN"/>
        </w:rPr>
        <w:t>18</w:t>
      </w:r>
      <w:r>
        <w:rPr>
          <w:rFonts w:hint="default" w:ascii="宋体" w:hAnsi="宋体"/>
          <w:color w:val="auto"/>
          <w:kern w:val="0"/>
          <w:highlight w:val="none"/>
          <w:lang w:val="en-US" w:eastAsia="zh-CN"/>
        </w:rPr>
        <w:t>工程的保护与维护</w:t>
      </w:r>
    </w:p>
    <w:p w14:paraId="41CF8CB2">
      <w:pPr>
        <w:spacing w:line="440" w:lineRule="exact"/>
        <w:ind w:firstLine="420" w:firstLineChars="200"/>
        <w:rPr>
          <w:rFonts w:hint="default" w:ascii="宋体" w:hAnsi="宋体"/>
          <w:color w:val="auto"/>
          <w:kern w:val="0"/>
          <w:highlight w:val="none"/>
          <w:lang w:val="en-US" w:eastAsia="zh-CN"/>
        </w:rPr>
      </w:pPr>
      <w:r>
        <w:rPr>
          <w:rFonts w:hint="default" w:ascii="宋体" w:hAnsi="宋体"/>
          <w:color w:val="auto"/>
          <w:kern w:val="0"/>
          <w:highlight w:val="none"/>
          <w:lang w:val="en-US" w:eastAsia="zh-CN"/>
        </w:rPr>
        <w:t>承包人应从开工之日起至发包人接收工程或单项工程之日止，负责工程或单项工程的照管、保护、维护和保安责任，保证工程或单项工程除不可抗力外，不受到任何损失、损害。</w:t>
      </w:r>
    </w:p>
    <w:p w14:paraId="04D8718F">
      <w:pPr>
        <w:spacing w:line="440" w:lineRule="exact"/>
        <w:ind w:firstLine="420" w:firstLineChars="200"/>
        <w:rPr>
          <w:rFonts w:hint="default" w:ascii="宋体" w:hAnsi="宋体"/>
          <w:color w:val="auto"/>
          <w:kern w:val="0"/>
          <w:highlight w:val="none"/>
          <w:lang w:val="en-US" w:eastAsia="zh-CN"/>
        </w:rPr>
      </w:pPr>
      <w:r>
        <w:rPr>
          <w:rFonts w:hint="default" w:ascii="宋体" w:hAnsi="宋体"/>
          <w:color w:val="auto"/>
          <w:kern w:val="0"/>
          <w:highlight w:val="none"/>
          <w:lang w:val="en-US" w:eastAsia="zh-CN"/>
        </w:rPr>
        <w:t>21.</w:t>
      </w:r>
      <w:r>
        <w:rPr>
          <w:rFonts w:hint="eastAsia" w:ascii="宋体" w:hAnsi="宋体"/>
          <w:color w:val="auto"/>
          <w:kern w:val="0"/>
          <w:highlight w:val="none"/>
          <w:lang w:val="en-US" w:eastAsia="zh-CN"/>
        </w:rPr>
        <w:t>19</w:t>
      </w:r>
      <w:r>
        <w:rPr>
          <w:rFonts w:hint="default" w:ascii="宋体" w:hAnsi="宋体"/>
          <w:color w:val="auto"/>
          <w:kern w:val="0"/>
          <w:highlight w:val="none"/>
          <w:lang w:val="en-US" w:eastAsia="zh-CN"/>
        </w:rPr>
        <w:t>清理现场</w:t>
      </w:r>
    </w:p>
    <w:p w14:paraId="507B2875">
      <w:pPr>
        <w:spacing w:line="440" w:lineRule="exact"/>
        <w:ind w:firstLine="420" w:firstLineChars="200"/>
        <w:rPr>
          <w:rFonts w:hint="eastAsia" w:ascii="宋体" w:hAnsi="宋体" w:eastAsia="宋体" w:cs="Times New Roman"/>
          <w:color w:val="auto"/>
          <w:kern w:val="0"/>
          <w:highlight w:val="none"/>
          <w:lang w:val="en-US" w:eastAsia="zh-CN"/>
        </w:rPr>
      </w:pPr>
      <w:r>
        <w:rPr>
          <w:rFonts w:hint="default" w:ascii="宋体" w:hAnsi="宋体" w:eastAsia="宋体" w:cs="Times New Roman"/>
          <w:color w:val="auto"/>
          <w:kern w:val="0"/>
          <w:highlight w:val="none"/>
          <w:lang w:val="en-US" w:eastAsia="zh-CN"/>
        </w:rPr>
        <w:t>承包人负责在施工过程中及完工后对现场进行清理、分类堆放，将残余物、废弃物、垃圾等运往发包人、或当地有关部门指定的地点。清理现场的费用包含在此合同中。承包人应将不再使用的机具、设备、设施和临时工程等撤离现场，或运到发包人指定的场地</w:t>
      </w:r>
      <w:r>
        <w:rPr>
          <w:rFonts w:hint="eastAsia" w:ascii="宋体" w:hAnsi="宋体" w:eastAsia="宋体" w:cs="Times New Roman"/>
          <w:color w:val="auto"/>
          <w:kern w:val="0"/>
          <w:highlight w:val="none"/>
          <w:lang w:val="en-US" w:eastAsia="zh-CN"/>
        </w:rPr>
        <w:t>。</w:t>
      </w:r>
    </w:p>
    <w:p w14:paraId="75A250A1">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 xml:space="preserve"> </w:t>
      </w:r>
    </w:p>
    <w:p w14:paraId="4CFCCF71">
      <w:pPr>
        <w:widowControl/>
        <w:jc w:val="left"/>
        <w:rPr>
          <w:rFonts w:hint="eastAsia" w:ascii="宋体" w:hAnsi="宋体"/>
          <w:color w:val="auto"/>
          <w:highlight w:val="none"/>
        </w:rPr>
      </w:pPr>
      <w:r>
        <w:rPr>
          <w:rFonts w:hint="eastAsia" w:ascii="宋体" w:hAnsi="宋体"/>
          <w:color w:val="auto"/>
          <w:highlight w:val="none"/>
        </w:rPr>
        <w:br w:type="page"/>
      </w:r>
      <w:bookmarkStart w:id="97" w:name="_Hlk39742241"/>
      <w:bookmarkEnd w:id="97"/>
    </w:p>
    <w:p w14:paraId="33F86B5A">
      <w:pPr>
        <w:pStyle w:val="5"/>
        <w:spacing w:before="120" w:after="120"/>
        <w:rPr>
          <w:rFonts w:hint="eastAsia" w:ascii="宋体" w:hAnsi="宋体"/>
          <w:color w:val="auto"/>
          <w:sz w:val="24"/>
          <w:szCs w:val="24"/>
          <w:highlight w:val="none"/>
        </w:rPr>
      </w:pPr>
      <w:r>
        <w:rPr>
          <w:rFonts w:hint="eastAsia" w:ascii="宋体" w:hAnsi="宋体"/>
          <w:color w:val="auto"/>
          <w:sz w:val="24"/>
          <w:szCs w:val="24"/>
          <w:highlight w:val="none"/>
        </w:rPr>
        <w:t>附件1</w:t>
      </w:r>
    </w:p>
    <w:p w14:paraId="10C65D74">
      <w:pPr>
        <w:spacing w:before="120" w:beforeLines="50" w:after="120" w:afterLines="50" w:line="44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工程质量保修书</w:t>
      </w:r>
    </w:p>
    <w:p w14:paraId="463337DE">
      <w:pPr>
        <w:spacing w:before="480" w:beforeLines="200" w:line="312" w:lineRule="auto"/>
        <w:rPr>
          <w:rFonts w:hint="eastAsia" w:ascii="宋体" w:hAnsi="宋体"/>
          <w:color w:val="auto"/>
          <w:szCs w:val="21"/>
          <w:highlight w:val="none"/>
        </w:rPr>
      </w:pPr>
      <w:r>
        <w:rPr>
          <w:rFonts w:hint="eastAsia" w:ascii="宋体" w:hAnsi="宋体"/>
          <w:color w:val="auto"/>
          <w:highlight w:val="none"/>
        </w:rPr>
        <w:t>发包人（全称）：</w:t>
      </w:r>
      <w:r>
        <w:rPr>
          <w:rFonts w:hint="eastAsia" w:ascii="宋体" w:hAnsi="宋体"/>
          <w:color w:val="auto"/>
          <w:highlight w:val="none"/>
          <w:u w:val="single"/>
        </w:rPr>
        <w:t xml:space="preserve">            </w:t>
      </w:r>
      <w:r>
        <w:rPr>
          <w:rFonts w:hint="eastAsia" w:ascii="宋体" w:hAnsi="宋体"/>
          <w:color w:val="auto"/>
          <w:highlight w:val="none"/>
          <w:u w:val="single"/>
          <w:lang w:eastAsia="zh-CN"/>
        </w:rPr>
        <w:t>宁波老年大学管理中心</w:t>
      </w:r>
      <w:r>
        <w:rPr>
          <w:rFonts w:hint="eastAsia" w:ascii="宋体" w:hAnsi="宋体"/>
          <w:color w:val="auto"/>
          <w:highlight w:val="none"/>
          <w:u w:val="single"/>
        </w:rPr>
        <w:t xml:space="preserve">            </w:t>
      </w:r>
    </w:p>
    <w:p w14:paraId="5DED035F">
      <w:pPr>
        <w:spacing w:line="312" w:lineRule="auto"/>
        <w:rPr>
          <w:rFonts w:hint="eastAsia" w:ascii="宋体" w:hAnsi="宋体"/>
          <w:color w:val="auto"/>
          <w:highlight w:val="none"/>
        </w:rPr>
      </w:pPr>
      <w:r>
        <w:rPr>
          <w:rFonts w:hint="eastAsia" w:ascii="宋体" w:hAnsi="宋体"/>
          <w:color w:val="auto"/>
          <w:highlight w:val="none"/>
        </w:rPr>
        <w:t>承包人（全称）：</w:t>
      </w:r>
      <w:r>
        <w:rPr>
          <w:rFonts w:hint="eastAsia" w:ascii="宋体" w:hAnsi="宋体"/>
          <w:color w:val="auto"/>
          <w:highlight w:val="none"/>
          <w:u w:val="single"/>
        </w:rPr>
        <w:t xml:space="preserve">           （中标单位）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4BB08B1B">
      <w:pPr>
        <w:spacing w:line="312" w:lineRule="auto"/>
        <w:ind w:firstLine="420" w:firstLineChars="200"/>
        <w:rPr>
          <w:rFonts w:hint="eastAsia" w:ascii="宋体" w:hAnsi="宋体"/>
          <w:color w:val="auto"/>
          <w:highlight w:val="none"/>
        </w:rPr>
      </w:pPr>
      <w:r>
        <w:rPr>
          <w:rFonts w:hint="eastAsia" w:ascii="宋体" w:hAnsi="宋体"/>
          <w:color w:val="auto"/>
          <w:highlight w:val="none"/>
        </w:rPr>
        <w:t>为保证</w:t>
      </w:r>
      <w:r>
        <w:rPr>
          <w:rFonts w:hint="eastAsia" w:ascii="宋体" w:hAnsi="宋体"/>
          <w:color w:val="auto"/>
          <w:highlight w:val="none"/>
          <w:u w:val="single"/>
        </w:rPr>
        <w:t xml:space="preserve">                             </w:t>
      </w:r>
      <w:r>
        <w:rPr>
          <w:rFonts w:hint="eastAsia" w:ascii="宋体" w:hAnsi="宋体"/>
          <w:color w:val="auto"/>
          <w:highlight w:val="none"/>
        </w:rPr>
        <w:t>（工程名称）在合理使用期限内正常使用，发包人和承包人协商一致签订工程质量保修书。承包人在质量保修期内按照有关管理规定及双方约定承担工程质量保修责任。</w:t>
      </w:r>
    </w:p>
    <w:p w14:paraId="171F2FA5">
      <w:pPr>
        <w:spacing w:line="312" w:lineRule="auto"/>
        <w:ind w:firstLine="422" w:firstLineChars="200"/>
        <w:rPr>
          <w:rFonts w:hint="eastAsia" w:ascii="宋体" w:hAnsi="宋体"/>
          <w:b/>
          <w:color w:val="auto"/>
          <w:highlight w:val="none"/>
        </w:rPr>
      </w:pPr>
      <w:r>
        <w:rPr>
          <w:rFonts w:hint="eastAsia" w:ascii="宋体" w:hAnsi="宋体"/>
          <w:b/>
          <w:color w:val="auto"/>
          <w:highlight w:val="none"/>
        </w:rPr>
        <w:t>一、工程质量保修范围和内容</w:t>
      </w:r>
    </w:p>
    <w:p w14:paraId="711932C3">
      <w:pPr>
        <w:spacing w:line="312" w:lineRule="auto"/>
        <w:ind w:firstLine="420" w:firstLineChars="200"/>
        <w:jc w:val="left"/>
        <w:rPr>
          <w:rFonts w:hint="eastAsia" w:ascii="宋体" w:hAnsi="宋体"/>
          <w:color w:val="auto"/>
          <w:highlight w:val="none"/>
        </w:rPr>
      </w:pPr>
      <w:r>
        <w:rPr>
          <w:rFonts w:hint="eastAsia" w:ascii="宋体" w:hAnsi="宋体"/>
          <w:color w:val="auto"/>
          <w:highlight w:val="none"/>
        </w:rPr>
        <w:t>质量保修范围：全部工程施工内容。</w:t>
      </w:r>
    </w:p>
    <w:p w14:paraId="34E5FED2">
      <w:pPr>
        <w:spacing w:line="312" w:lineRule="auto"/>
        <w:ind w:firstLine="422" w:firstLineChars="200"/>
        <w:rPr>
          <w:rFonts w:hint="eastAsia" w:ascii="宋体" w:hAnsi="宋体"/>
          <w:b/>
          <w:color w:val="auto"/>
          <w:highlight w:val="none"/>
        </w:rPr>
      </w:pPr>
      <w:r>
        <w:rPr>
          <w:rFonts w:hint="eastAsia" w:ascii="宋体" w:hAnsi="宋体"/>
          <w:b/>
          <w:color w:val="auto"/>
          <w:highlight w:val="none"/>
        </w:rPr>
        <w:t>二、质量保修期</w:t>
      </w:r>
    </w:p>
    <w:p w14:paraId="666E60EB">
      <w:pPr>
        <w:spacing w:line="312" w:lineRule="auto"/>
        <w:ind w:firstLine="420" w:firstLineChars="200"/>
        <w:rPr>
          <w:rFonts w:hint="eastAsia" w:ascii="宋体" w:hAnsi="宋体"/>
          <w:color w:val="auto"/>
          <w:highlight w:val="none"/>
        </w:rPr>
      </w:pPr>
      <w:r>
        <w:rPr>
          <w:rFonts w:hint="eastAsia" w:ascii="宋体" w:hAnsi="宋体"/>
          <w:color w:val="auto"/>
          <w:highlight w:val="none"/>
        </w:rPr>
        <w:t>质量保修期从发包人批准的竣工验收通过之日起计算。</w:t>
      </w:r>
    </w:p>
    <w:p w14:paraId="70EFEF4D">
      <w:pPr>
        <w:spacing w:line="312" w:lineRule="auto"/>
        <w:ind w:firstLine="420" w:firstLineChars="200"/>
        <w:rPr>
          <w:rFonts w:hint="eastAsia" w:ascii="宋体" w:hAnsi="宋体"/>
          <w:color w:val="auto"/>
          <w:highlight w:val="none"/>
        </w:rPr>
      </w:pPr>
      <w:r>
        <w:rPr>
          <w:rFonts w:hint="eastAsia" w:ascii="宋体" w:hAnsi="宋体"/>
          <w:color w:val="auto"/>
          <w:highlight w:val="none"/>
        </w:rPr>
        <w:t>双方根据国家有关规定，结合具体工程约定质量保修期如下：</w:t>
      </w:r>
    </w:p>
    <w:p w14:paraId="65C7AA8B">
      <w:pPr>
        <w:spacing w:line="312" w:lineRule="auto"/>
        <w:ind w:firstLine="420" w:firstLineChars="200"/>
        <w:rPr>
          <w:rFonts w:hint="eastAsia" w:ascii="宋体" w:hAnsi="宋体"/>
          <w:color w:val="auto"/>
          <w:highlight w:val="none"/>
        </w:rPr>
      </w:pPr>
      <w:r>
        <w:rPr>
          <w:rFonts w:hint="eastAsia" w:ascii="宋体" w:hAnsi="宋体"/>
          <w:color w:val="auto"/>
          <w:highlight w:val="none"/>
        </w:rPr>
        <w:t>1．地基基础工程和主体结构工程为设计文件规定的工程合理使用年限；</w:t>
      </w:r>
    </w:p>
    <w:p w14:paraId="05ADE646">
      <w:pPr>
        <w:spacing w:line="312" w:lineRule="auto"/>
        <w:ind w:firstLine="420" w:firstLineChars="200"/>
        <w:rPr>
          <w:rFonts w:hint="eastAsia" w:ascii="宋体" w:hAnsi="宋体"/>
          <w:color w:val="auto"/>
          <w:highlight w:val="none"/>
        </w:rPr>
      </w:pPr>
      <w:r>
        <w:rPr>
          <w:rFonts w:hint="eastAsia" w:ascii="宋体" w:hAnsi="宋体"/>
          <w:color w:val="auto"/>
          <w:highlight w:val="none"/>
        </w:rPr>
        <w:t>2．屋面防水工程、有防水要求的房间和外墙面的防渗为</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5</w:t>
      </w:r>
      <w:r>
        <w:rPr>
          <w:rFonts w:hint="eastAsia" w:ascii="宋体" w:hAnsi="宋体"/>
          <w:color w:val="auto"/>
          <w:highlight w:val="none"/>
          <w:u w:val="single"/>
        </w:rPr>
        <w:t xml:space="preserve"> </w:t>
      </w:r>
      <w:r>
        <w:rPr>
          <w:rFonts w:hint="eastAsia" w:ascii="宋体" w:hAnsi="宋体"/>
          <w:color w:val="auto"/>
          <w:highlight w:val="none"/>
        </w:rPr>
        <w:t>年；</w:t>
      </w:r>
    </w:p>
    <w:p w14:paraId="36F50F5C">
      <w:pPr>
        <w:spacing w:line="312" w:lineRule="auto"/>
        <w:ind w:firstLine="420" w:firstLineChars="200"/>
        <w:rPr>
          <w:rFonts w:hint="eastAsia" w:ascii="宋体" w:hAnsi="宋体"/>
          <w:color w:val="auto"/>
          <w:highlight w:val="none"/>
        </w:rPr>
      </w:pPr>
      <w:r>
        <w:rPr>
          <w:rFonts w:hint="eastAsia" w:ascii="宋体" w:hAnsi="宋体"/>
          <w:color w:val="auto"/>
          <w:highlight w:val="none"/>
        </w:rPr>
        <w:t>3．其他项目保修期限约定如下：</w:t>
      </w:r>
      <w:r>
        <w:rPr>
          <w:rFonts w:hint="eastAsia" w:ascii="宋体" w:hAnsi="宋体"/>
          <w:color w:val="auto"/>
          <w:highlight w:val="none"/>
          <w:u w:val="single"/>
        </w:rPr>
        <w:t xml:space="preserve">其余保修期限为2年 </w:t>
      </w:r>
      <w:r>
        <w:rPr>
          <w:rFonts w:hint="eastAsia" w:ascii="宋体" w:hAnsi="宋体"/>
          <w:color w:val="auto"/>
          <w:highlight w:val="none"/>
        </w:rPr>
        <w:t>。</w:t>
      </w:r>
    </w:p>
    <w:p w14:paraId="5D3F3C18">
      <w:pPr>
        <w:spacing w:line="312" w:lineRule="auto"/>
        <w:ind w:firstLine="420" w:firstLineChars="200"/>
        <w:rPr>
          <w:rFonts w:hint="eastAsia" w:ascii="宋体" w:hAnsi="宋体"/>
          <w:color w:val="auto"/>
          <w:highlight w:val="none"/>
        </w:rPr>
      </w:pPr>
      <w:r>
        <w:rPr>
          <w:rFonts w:hint="eastAsia" w:ascii="宋体" w:hAnsi="宋体"/>
          <w:color w:val="auto"/>
          <w:highlight w:val="none"/>
        </w:rPr>
        <w:t>其余详见合同专用条款,质量保修期</w:t>
      </w:r>
      <w:r>
        <w:rPr>
          <w:rFonts w:hint="eastAsia" w:ascii="宋体" w:hAnsi="宋体"/>
          <w:color w:val="auto"/>
          <w:highlight w:val="none"/>
          <w:u w:val="single"/>
        </w:rPr>
        <w:t>自工程竣工验收合格之日起计算</w:t>
      </w:r>
      <w:r>
        <w:rPr>
          <w:rFonts w:hint="eastAsia" w:ascii="宋体" w:hAnsi="宋体"/>
          <w:color w:val="auto"/>
          <w:highlight w:val="none"/>
        </w:rPr>
        <w:t>。</w:t>
      </w:r>
    </w:p>
    <w:p w14:paraId="45C077F7">
      <w:pPr>
        <w:spacing w:line="312" w:lineRule="auto"/>
        <w:ind w:firstLine="422" w:firstLineChars="200"/>
        <w:rPr>
          <w:rFonts w:hint="eastAsia" w:ascii="宋体" w:hAnsi="宋体"/>
          <w:b/>
          <w:color w:val="auto"/>
          <w:highlight w:val="none"/>
        </w:rPr>
      </w:pPr>
      <w:r>
        <w:rPr>
          <w:rFonts w:hint="eastAsia" w:ascii="宋体" w:hAnsi="宋体"/>
          <w:b/>
          <w:color w:val="auto"/>
          <w:highlight w:val="none"/>
        </w:rPr>
        <w:t>三、缺陷责任期</w:t>
      </w:r>
    </w:p>
    <w:p w14:paraId="4ACBB44D">
      <w:pPr>
        <w:spacing w:line="312" w:lineRule="auto"/>
        <w:ind w:firstLine="420" w:firstLineChars="200"/>
        <w:rPr>
          <w:rFonts w:hint="eastAsia" w:ascii="宋体" w:hAnsi="宋体"/>
          <w:color w:val="auto"/>
          <w:highlight w:val="none"/>
        </w:rPr>
      </w:pPr>
      <w:r>
        <w:rPr>
          <w:rFonts w:hint="eastAsia" w:ascii="宋体" w:hAnsi="宋体"/>
          <w:color w:val="auto"/>
          <w:highlight w:val="none"/>
        </w:rPr>
        <w:t>工程缺陷责任期为</w:t>
      </w:r>
      <w:r>
        <w:rPr>
          <w:rFonts w:hint="eastAsia" w:ascii="宋体" w:hAnsi="宋体"/>
          <w:color w:val="auto"/>
          <w:highlight w:val="none"/>
          <w:u w:val="single"/>
        </w:rPr>
        <w:t xml:space="preserve"> 24 </w:t>
      </w:r>
      <w:r>
        <w:rPr>
          <w:rFonts w:hint="eastAsia" w:ascii="宋体" w:hAnsi="宋体"/>
          <w:color w:val="auto"/>
          <w:highlight w:val="none"/>
        </w:rPr>
        <w:t>个月，缺陷责任期自工程竣工验收合格之日起计算。单位工程先于全部工程进行验收，单位工程缺陷责任期自单位工程验收合格之日起算。</w:t>
      </w:r>
    </w:p>
    <w:p w14:paraId="6E54B6F2">
      <w:pPr>
        <w:spacing w:line="312" w:lineRule="auto"/>
        <w:ind w:firstLine="420" w:firstLineChars="200"/>
        <w:rPr>
          <w:rFonts w:hint="eastAsia" w:ascii="宋体" w:hAnsi="宋体"/>
          <w:color w:val="auto"/>
          <w:highlight w:val="none"/>
        </w:rPr>
      </w:pPr>
      <w:r>
        <w:rPr>
          <w:rFonts w:hint="eastAsia" w:ascii="宋体" w:hAnsi="宋体"/>
          <w:color w:val="auto"/>
          <w:highlight w:val="none"/>
        </w:rPr>
        <w:t>缺陷责任期终止后，发包人在完成最终结清后应退还承包人的质量保证金保函或剩余的质量保证金。</w:t>
      </w:r>
    </w:p>
    <w:p w14:paraId="69695049">
      <w:pPr>
        <w:spacing w:line="312" w:lineRule="auto"/>
        <w:ind w:firstLine="422" w:firstLineChars="200"/>
        <w:rPr>
          <w:rFonts w:hint="eastAsia" w:ascii="宋体" w:hAnsi="宋体"/>
          <w:b/>
          <w:color w:val="auto"/>
          <w:highlight w:val="none"/>
        </w:rPr>
      </w:pPr>
      <w:r>
        <w:rPr>
          <w:rFonts w:hint="eastAsia" w:ascii="宋体" w:hAnsi="宋体"/>
          <w:b/>
          <w:color w:val="auto"/>
          <w:highlight w:val="none"/>
        </w:rPr>
        <w:t>四、质量保修责任</w:t>
      </w:r>
    </w:p>
    <w:p w14:paraId="3306F8F0">
      <w:pPr>
        <w:spacing w:line="312" w:lineRule="auto"/>
        <w:ind w:firstLine="420" w:firstLineChars="200"/>
        <w:rPr>
          <w:rFonts w:hint="eastAsia" w:ascii="宋体" w:hAnsi="宋体"/>
          <w:color w:val="auto"/>
          <w:highlight w:val="none"/>
        </w:rPr>
      </w:pPr>
      <w:r>
        <w:rPr>
          <w:rFonts w:hint="eastAsia" w:ascii="宋体" w:hAnsi="宋体"/>
          <w:color w:val="auto"/>
          <w:highlight w:val="none"/>
        </w:rPr>
        <w:t>1．属于保修范围、内容的项目，承包人应当在接到保修通知之日起3天内派人保修。承包人不在约定期限内派人保修的，发包人可以委托他人修理，修理费用从质量保修金内扣除。</w:t>
      </w:r>
    </w:p>
    <w:p w14:paraId="49CF870E">
      <w:pPr>
        <w:spacing w:line="312" w:lineRule="auto"/>
        <w:ind w:firstLine="420" w:firstLineChars="200"/>
        <w:rPr>
          <w:rFonts w:hint="eastAsia" w:ascii="宋体" w:hAnsi="宋体"/>
          <w:color w:val="auto"/>
          <w:highlight w:val="none"/>
        </w:rPr>
      </w:pPr>
      <w:r>
        <w:rPr>
          <w:rFonts w:hint="eastAsia" w:ascii="宋体" w:hAnsi="宋体"/>
          <w:color w:val="auto"/>
          <w:highlight w:val="none"/>
        </w:rPr>
        <w:t>2．发生紧急事故需抢修的，承包人在接到事故通知后，应当立即到达事故现场抢修。非承包人施工质量引起的事故，抢修费用由发包人承担。</w:t>
      </w:r>
    </w:p>
    <w:p w14:paraId="1E5393C0">
      <w:pPr>
        <w:spacing w:line="312" w:lineRule="auto"/>
        <w:ind w:firstLine="420" w:firstLineChars="200"/>
        <w:rPr>
          <w:rFonts w:hint="eastAsia" w:ascii="宋体" w:hAnsi="宋体"/>
          <w:color w:val="auto"/>
          <w:highlight w:val="none"/>
        </w:rPr>
      </w:pPr>
      <w:r>
        <w:rPr>
          <w:rFonts w:hint="eastAsia" w:ascii="宋体" w:hAnsi="宋体"/>
          <w:color w:val="auto"/>
          <w:highlight w:val="none"/>
        </w:rPr>
        <w:t>3．在国家规定的工程合理使用年限内,承包人确保工程的质量，因承包人原因致使工程在合理使用期限内造成人身和财产损害的,承包人应承担损害赔偿责任。</w:t>
      </w:r>
    </w:p>
    <w:p w14:paraId="1A9EDC23">
      <w:pPr>
        <w:spacing w:line="312" w:lineRule="auto"/>
        <w:ind w:firstLine="422" w:firstLineChars="200"/>
        <w:rPr>
          <w:rFonts w:hint="eastAsia" w:ascii="宋体" w:hAnsi="宋体"/>
          <w:b/>
          <w:color w:val="auto"/>
          <w:highlight w:val="none"/>
        </w:rPr>
      </w:pPr>
      <w:r>
        <w:rPr>
          <w:rFonts w:hint="eastAsia" w:ascii="宋体" w:hAnsi="宋体"/>
          <w:b/>
          <w:color w:val="auto"/>
          <w:highlight w:val="none"/>
        </w:rPr>
        <w:t>五、保修费用</w:t>
      </w:r>
    </w:p>
    <w:p w14:paraId="6A287035">
      <w:pPr>
        <w:spacing w:line="312" w:lineRule="auto"/>
        <w:ind w:firstLine="420" w:firstLineChars="200"/>
        <w:rPr>
          <w:rFonts w:hint="eastAsia" w:ascii="宋体" w:hAnsi="宋体"/>
          <w:color w:val="auto"/>
          <w:highlight w:val="none"/>
        </w:rPr>
      </w:pPr>
      <w:r>
        <w:rPr>
          <w:rFonts w:hint="eastAsia" w:ascii="宋体" w:hAnsi="宋体"/>
          <w:color w:val="auto"/>
          <w:highlight w:val="none"/>
        </w:rPr>
        <w:t>1．本工程约定的工程质量担保额度为工程结算总价的</w:t>
      </w:r>
      <w:r>
        <w:rPr>
          <w:rFonts w:hint="eastAsia" w:ascii="宋体" w:hAnsi="宋体"/>
          <w:color w:val="auto"/>
          <w:highlight w:val="none"/>
          <w:u w:val="single"/>
        </w:rPr>
        <w:t xml:space="preserve"> / %</w:t>
      </w:r>
      <w:r>
        <w:rPr>
          <w:rFonts w:hint="eastAsia" w:ascii="宋体" w:hAnsi="宋体"/>
          <w:color w:val="auto"/>
          <w:highlight w:val="none"/>
        </w:rPr>
        <w:t>（保修金不计息）。</w:t>
      </w:r>
    </w:p>
    <w:p w14:paraId="1DED2D8F">
      <w:pPr>
        <w:spacing w:line="312" w:lineRule="auto"/>
        <w:ind w:firstLine="420" w:firstLineChars="200"/>
        <w:rPr>
          <w:rFonts w:hint="eastAsia" w:ascii="宋体" w:hAnsi="宋体"/>
          <w:color w:val="auto"/>
          <w:highlight w:val="none"/>
        </w:rPr>
      </w:pPr>
      <w:r>
        <w:rPr>
          <w:rFonts w:hint="eastAsia" w:ascii="宋体" w:hAnsi="宋体"/>
          <w:color w:val="auto"/>
          <w:highlight w:val="none"/>
        </w:rPr>
        <w:t>2．工程质量担保的支付详见专用条款。</w:t>
      </w:r>
    </w:p>
    <w:p w14:paraId="1CE48EEC">
      <w:pPr>
        <w:spacing w:line="312" w:lineRule="auto"/>
        <w:ind w:firstLine="420" w:firstLineChars="200"/>
        <w:rPr>
          <w:rFonts w:hint="eastAsia" w:ascii="宋体" w:hAnsi="宋体"/>
          <w:color w:val="auto"/>
          <w:highlight w:val="none"/>
        </w:rPr>
      </w:pPr>
      <w:r>
        <w:rPr>
          <w:rFonts w:hint="eastAsia" w:ascii="宋体" w:hAnsi="宋体"/>
          <w:color w:val="auto"/>
          <w:highlight w:val="none"/>
        </w:rPr>
        <w:t>3．工程质量保修期满二年后（期限自工程竣工验收合格之日起计算）一个月内发包人退还剩余的质量保证金。</w:t>
      </w:r>
    </w:p>
    <w:p w14:paraId="62986ECD">
      <w:pPr>
        <w:spacing w:line="312" w:lineRule="auto"/>
        <w:ind w:firstLine="420" w:firstLineChars="200"/>
        <w:rPr>
          <w:rFonts w:hint="eastAsia" w:ascii="宋体" w:hAnsi="宋体"/>
          <w:color w:val="auto"/>
          <w:highlight w:val="none"/>
        </w:rPr>
      </w:pPr>
      <w:r>
        <w:rPr>
          <w:rFonts w:hint="eastAsia" w:ascii="宋体" w:hAnsi="宋体"/>
          <w:color w:val="auto"/>
          <w:highlight w:val="none"/>
        </w:rPr>
        <w:t>4．保修费用由造成质量缺陷的责任方承担。</w:t>
      </w:r>
    </w:p>
    <w:p w14:paraId="58EEDA27">
      <w:pPr>
        <w:spacing w:line="312" w:lineRule="auto"/>
        <w:ind w:firstLine="422" w:firstLineChars="200"/>
        <w:rPr>
          <w:rFonts w:hint="eastAsia" w:ascii="宋体" w:hAnsi="宋体"/>
          <w:b/>
          <w:color w:val="auto"/>
          <w:highlight w:val="none"/>
        </w:rPr>
      </w:pPr>
      <w:r>
        <w:rPr>
          <w:rFonts w:hint="eastAsia" w:ascii="宋体" w:hAnsi="宋体"/>
          <w:b/>
          <w:color w:val="auto"/>
          <w:highlight w:val="none"/>
        </w:rPr>
        <w:t>六、双方约定的其他工程质量保修事项：</w:t>
      </w:r>
    </w:p>
    <w:p w14:paraId="437ED6BE">
      <w:pPr>
        <w:spacing w:line="312" w:lineRule="auto"/>
        <w:ind w:firstLine="420" w:firstLineChars="200"/>
        <w:rPr>
          <w:rFonts w:hint="eastAsia" w:ascii="宋体" w:hAnsi="宋体"/>
          <w:color w:val="auto"/>
          <w:highlight w:val="none"/>
        </w:rPr>
      </w:pPr>
      <w:r>
        <w:rPr>
          <w:rFonts w:hint="eastAsia" w:ascii="宋体" w:hAnsi="宋体"/>
          <w:color w:val="auto"/>
          <w:highlight w:val="none"/>
          <w:u w:val="single"/>
        </w:rPr>
        <w:t>工程质量担保待缺陷责任期满后返还。</w:t>
      </w:r>
    </w:p>
    <w:p w14:paraId="0FC862F1">
      <w:pPr>
        <w:spacing w:line="312" w:lineRule="auto"/>
        <w:ind w:firstLine="420" w:firstLineChars="200"/>
        <w:rPr>
          <w:rFonts w:hint="eastAsia" w:ascii="宋体" w:hAnsi="宋体"/>
          <w:color w:val="auto"/>
          <w:highlight w:val="none"/>
        </w:rPr>
      </w:pPr>
      <w:r>
        <w:rPr>
          <w:rFonts w:hint="eastAsia" w:ascii="宋体" w:hAnsi="宋体"/>
          <w:color w:val="auto"/>
          <w:highlight w:val="none"/>
        </w:rPr>
        <w:t>工程质量保修书由发包人、承包人在工程竣工验收前共同签署，作为施工合同附件，其有效期限至保修期满。</w:t>
      </w:r>
    </w:p>
    <w:p w14:paraId="39A905D4">
      <w:pPr>
        <w:ind w:firstLine="399" w:firstLineChars="190"/>
        <w:rPr>
          <w:rFonts w:hint="eastAsia" w:ascii="宋体" w:hAnsi="宋体"/>
          <w:color w:val="auto"/>
          <w:highlight w:val="none"/>
        </w:rPr>
      </w:pPr>
      <w:r>
        <w:rPr>
          <w:rFonts w:hint="eastAsia" w:ascii="宋体" w:hAnsi="宋体"/>
          <w:color w:val="auto"/>
          <w:highlight w:val="none"/>
        </w:rPr>
        <w:t xml:space="preserve"> </w:t>
      </w:r>
    </w:p>
    <w:p w14:paraId="7FF4E2B2">
      <w:pPr>
        <w:ind w:firstLine="399" w:firstLineChars="190"/>
        <w:rPr>
          <w:rFonts w:hint="eastAsia" w:ascii="宋体" w:hAnsi="宋体"/>
          <w:color w:val="auto"/>
          <w:highlight w:val="none"/>
        </w:rPr>
      </w:pPr>
      <w:r>
        <w:rPr>
          <w:rFonts w:hint="eastAsia" w:ascii="宋体" w:hAnsi="宋体"/>
          <w:color w:val="auto"/>
          <w:highlight w:val="none"/>
        </w:rPr>
        <w:t xml:space="preserve"> </w:t>
      </w:r>
    </w:p>
    <w:p w14:paraId="32D4B237">
      <w:pPr>
        <w:ind w:firstLine="399" w:firstLineChars="190"/>
        <w:rPr>
          <w:rFonts w:hint="eastAsia" w:ascii="宋体" w:hAnsi="宋体"/>
          <w:color w:val="auto"/>
          <w:highlight w:val="none"/>
        </w:rPr>
      </w:pPr>
      <w:r>
        <w:rPr>
          <w:rFonts w:hint="eastAsia" w:ascii="宋体" w:hAnsi="宋体"/>
          <w:color w:val="auto"/>
          <w:highlight w:val="none"/>
        </w:rPr>
        <w:t xml:space="preserve"> </w:t>
      </w:r>
    </w:p>
    <w:p w14:paraId="163B92BA">
      <w:pPr>
        <w:ind w:firstLine="399" w:firstLineChars="190"/>
        <w:rPr>
          <w:rFonts w:hint="eastAsia" w:ascii="宋体" w:hAnsi="宋体"/>
          <w:color w:val="auto"/>
          <w:highlight w:val="none"/>
        </w:rPr>
      </w:pPr>
      <w:r>
        <w:rPr>
          <w:rFonts w:hint="eastAsia" w:ascii="宋体" w:hAnsi="宋体"/>
          <w:color w:val="auto"/>
          <w:highlight w:val="none"/>
        </w:rPr>
        <w:t xml:space="preserve"> </w:t>
      </w:r>
    </w:p>
    <w:p w14:paraId="74EB96A2">
      <w:pPr>
        <w:spacing w:line="480" w:lineRule="auto"/>
        <w:jc w:val="left"/>
        <w:rPr>
          <w:rFonts w:hint="eastAsia" w:ascii="宋体" w:hAnsi="宋体"/>
          <w:color w:val="auto"/>
          <w:highlight w:val="none"/>
        </w:rPr>
      </w:pPr>
      <w:r>
        <w:rPr>
          <w:rFonts w:hint="eastAsia" w:ascii="宋体" w:hAnsi="宋体"/>
          <w:color w:val="auto"/>
          <w:highlight w:val="none"/>
        </w:rPr>
        <w:t>发包人（单位章）：</w:t>
      </w:r>
      <w:r>
        <w:rPr>
          <w:rFonts w:hint="eastAsia" w:ascii="宋体" w:hAnsi="宋体" w:cs="MingLiU_HKSCS"/>
          <w:color w:val="auto"/>
          <w:highlight w:val="none"/>
          <w:u w:val="single"/>
        </w:rPr>
        <w:t xml:space="preserve">              </w:t>
      </w:r>
      <w:r>
        <w:rPr>
          <w:rFonts w:hint="eastAsia" w:ascii="宋体" w:hAnsi="宋体"/>
          <w:color w:val="auto"/>
          <w:highlight w:val="none"/>
        </w:rPr>
        <w:t xml:space="preserve">        承包人（单位章）：</w:t>
      </w:r>
      <w:r>
        <w:rPr>
          <w:rFonts w:hint="eastAsia" w:ascii="宋体" w:hAnsi="宋体" w:cs="MingLiU_HKSCS"/>
          <w:color w:val="auto"/>
          <w:highlight w:val="none"/>
          <w:u w:val="single"/>
        </w:rPr>
        <w:t xml:space="preserve">                </w:t>
      </w:r>
    </w:p>
    <w:p w14:paraId="15665127">
      <w:pPr>
        <w:spacing w:line="480" w:lineRule="auto"/>
        <w:rPr>
          <w:rFonts w:hint="eastAsia" w:ascii="宋体" w:hAnsi="宋体"/>
          <w:color w:val="auto"/>
          <w:highlight w:val="none"/>
        </w:rPr>
      </w:pPr>
      <w:r>
        <w:rPr>
          <w:rFonts w:hint="eastAsia" w:ascii="宋体" w:hAnsi="宋体"/>
          <w:color w:val="auto"/>
          <w:highlight w:val="none"/>
        </w:rPr>
        <w:t>法定代表人（签字）：</w:t>
      </w:r>
      <w:r>
        <w:rPr>
          <w:rFonts w:hint="eastAsia" w:ascii="宋体" w:hAnsi="宋体" w:cs="MingLiU_HKSCS"/>
          <w:color w:val="auto"/>
          <w:highlight w:val="none"/>
          <w:u w:val="single"/>
        </w:rPr>
        <w:t xml:space="preserve">             </w:t>
      </w:r>
      <w:r>
        <w:rPr>
          <w:rFonts w:hint="eastAsia" w:ascii="宋体" w:hAnsi="宋体"/>
          <w:color w:val="auto"/>
          <w:highlight w:val="none"/>
        </w:rPr>
        <w:t xml:space="preserve">       法定代表人（签字）：</w:t>
      </w:r>
      <w:r>
        <w:rPr>
          <w:rFonts w:hint="eastAsia" w:ascii="宋体" w:hAnsi="宋体" w:cs="MingLiU_HKSCS"/>
          <w:color w:val="auto"/>
          <w:highlight w:val="none"/>
          <w:u w:val="single"/>
        </w:rPr>
        <w:t xml:space="preserve">              </w:t>
      </w:r>
    </w:p>
    <w:p w14:paraId="65C3EC75">
      <w:pPr>
        <w:spacing w:line="480" w:lineRule="auto"/>
        <w:rPr>
          <w:rFonts w:hint="eastAsia" w:ascii="宋体" w:hAnsi="宋体"/>
          <w:color w:val="auto"/>
          <w:highlight w:val="none"/>
        </w:rPr>
      </w:pPr>
      <w:r>
        <w:rPr>
          <w:rFonts w:hint="eastAsia" w:ascii="宋体" w:hAnsi="宋体"/>
          <w:color w:val="auto"/>
          <w:highlight w:val="none"/>
        </w:rPr>
        <w:t>委托代理人（签字）：</w:t>
      </w:r>
      <w:r>
        <w:rPr>
          <w:rFonts w:hint="eastAsia" w:ascii="宋体" w:hAnsi="宋体" w:cs="MingLiU_HKSCS"/>
          <w:color w:val="auto"/>
          <w:highlight w:val="none"/>
          <w:u w:val="single"/>
        </w:rPr>
        <w:t xml:space="preserve">             </w:t>
      </w:r>
      <w:r>
        <w:rPr>
          <w:rFonts w:hint="eastAsia" w:ascii="宋体" w:hAnsi="宋体"/>
          <w:color w:val="auto"/>
          <w:highlight w:val="none"/>
        </w:rPr>
        <w:t xml:space="preserve">        委托代理人（签字）：</w:t>
      </w:r>
      <w:r>
        <w:rPr>
          <w:rFonts w:hint="eastAsia" w:ascii="宋体" w:hAnsi="宋体" w:cs="MingLiU_HKSCS"/>
          <w:color w:val="auto"/>
          <w:highlight w:val="none"/>
          <w:u w:val="single"/>
        </w:rPr>
        <w:t xml:space="preserve">             </w:t>
      </w:r>
    </w:p>
    <w:p w14:paraId="1F05DE7F">
      <w:pPr>
        <w:rPr>
          <w:rFonts w:hint="eastAsia" w:ascii="宋体" w:hAnsi="宋体"/>
          <w:b/>
          <w:bCs/>
          <w:color w:val="auto"/>
          <w:sz w:val="24"/>
          <w:szCs w:val="24"/>
          <w:highlight w:val="none"/>
        </w:rPr>
      </w:pPr>
      <w:r>
        <w:rPr>
          <w:color w:val="auto"/>
          <w:highlight w:val="none"/>
        </w:rPr>
        <w:br w:type="page"/>
      </w:r>
      <w:bookmarkStart w:id="98" w:name="_Hlk38992949"/>
      <w:bookmarkEnd w:id="98"/>
      <w:bookmarkStart w:id="99" w:name="_Toc267261701"/>
      <w:r>
        <w:rPr>
          <w:rFonts w:hint="eastAsia" w:ascii="宋体" w:hAnsi="宋体"/>
          <w:b/>
          <w:bCs/>
          <w:color w:val="auto"/>
          <w:sz w:val="24"/>
          <w:szCs w:val="24"/>
          <w:highlight w:val="none"/>
        </w:rPr>
        <w:t>附</w:t>
      </w:r>
      <w:bookmarkEnd w:id="99"/>
      <w:bookmarkStart w:id="100" w:name="_Toc296891271"/>
      <w:bookmarkEnd w:id="100"/>
      <w:bookmarkStart w:id="101" w:name="_Toc296891059"/>
      <w:bookmarkEnd w:id="101"/>
      <w:bookmarkStart w:id="102" w:name="_Toc296944570"/>
      <w:bookmarkEnd w:id="102"/>
      <w:bookmarkStart w:id="103" w:name="_Toc296503231"/>
      <w:bookmarkEnd w:id="103"/>
      <w:bookmarkStart w:id="104" w:name="_Toc296346732"/>
      <w:bookmarkEnd w:id="104"/>
      <w:bookmarkStart w:id="105" w:name="_Toc296347230"/>
      <w:r>
        <w:rPr>
          <w:rFonts w:hint="eastAsia" w:ascii="宋体" w:hAnsi="宋体"/>
          <w:b/>
          <w:bCs/>
          <w:color w:val="auto"/>
          <w:sz w:val="24"/>
          <w:szCs w:val="24"/>
          <w:highlight w:val="none"/>
        </w:rPr>
        <w:t>件</w:t>
      </w:r>
      <w:bookmarkEnd w:id="105"/>
      <w:r>
        <w:rPr>
          <w:rFonts w:hint="eastAsia" w:ascii="宋体" w:hAnsi="宋体"/>
          <w:b/>
          <w:bCs/>
          <w:color w:val="auto"/>
          <w:sz w:val="24"/>
          <w:szCs w:val="24"/>
          <w:highlight w:val="none"/>
        </w:rPr>
        <w:t>2</w:t>
      </w:r>
    </w:p>
    <w:p w14:paraId="48AC90E6">
      <w:pPr>
        <w:pStyle w:val="4"/>
        <w:tabs>
          <w:tab w:val="left" w:pos="636"/>
          <w:tab w:val="clear" w:pos="1740"/>
        </w:tabs>
        <w:rPr>
          <w:rFonts w:hint="eastAsia" w:ascii="宋体" w:hAnsi="宋体"/>
          <w:color w:val="auto"/>
          <w:sz w:val="28"/>
          <w:szCs w:val="28"/>
          <w:highlight w:val="none"/>
        </w:rPr>
      </w:pPr>
      <w:r>
        <w:rPr>
          <w:rFonts w:hint="eastAsia" w:ascii="宋体" w:hAnsi="宋体"/>
          <w:color w:val="auto"/>
          <w:sz w:val="28"/>
          <w:szCs w:val="28"/>
          <w:highlight w:val="none"/>
        </w:rPr>
        <w:t>工程建设项目廉政责任书</w:t>
      </w:r>
    </w:p>
    <w:p w14:paraId="0A446D6C">
      <w:pPr>
        <w:spacing w:line="264" w:lineRule="auto"/>
        <w:rPr>
          <w:rFonts w:hint="eastAsia" w:ascii="宋体" w:hAnsi="宋体"/>
          <w:color w:val="auto"/>
          <w:szCs w:val="21"/>
          <w:highlight w:val="none"/>
          <w:u w:val="single"/>
        </w:rPr>
      </w:pPr>
      <w:r>
        <w:rPr>
          <w:rFonts w:hint="eastAsia" w:ascii="宋体" w:hAnsi="宋体"/>
          <w:color w:val="auto"/>
          <w:highlight w:val="none"/>
        </w:rPr>
        <w:t>工程项目名称：</w:t>
      </w:r>
      <w:r>
        <w:rPr>
          <w:rFonts w:hint="eastAsia" w:ascii="宋体" w:hAnsi="宋体"/>
          <w:color w:val="auto"/>
          <w:highlight w:val="none"/>
          <w:u w:val="single"/>
        </w:rPr>
        <w:t xml:space="preserve">                                               </w:t>
      </w:r>
    </w:p>
    <w:p w14:paraId="10F7D071">
      <w:pPr>
        <w:spacing w:line="264" w:lineRule="auto"/>
        <w:rPr>
          <w:rFonts w:hint="eastAsia" w:ascii="宋体" w:hAnsi="宋体"/>
          <w:color w:val="auto"/>
          <w:highlight w:val="none"/>
        </w:rPr>
      </w:pPr>
      <w:r>
        <w:rPr>
          <w:rFonts w:hint="eastAsia" w:ascii="宋体" w:hAnsi="宋体"/>
          <w:color w:val="auto"/>
          <w:highlight w:val="none"/>
        </w:rPr>
        <w:t>工程项目地址：</w:t>
      </w:r>
      <w:r>
        <w:rPr>
          <w:rFonts w:hint="eastAsia" w:ascii="宋体" w:hAnsi="宋体"/>
          <w:color w:val="auto"/>
          <w:highlight w:val="none"/>
          <w:u w:val="single"/>
        </w:rPr>
        <w:t xml:space="preserve">                                              </w:t>
      </w:r>
    </w:p>
    <w:p w14:paraId="1EBF494A">
      <w:pPr>
        <w:spacing w:line="264" w:lineRule="auto"/>
        <w:rPr>
          <w:rFonts w:hint="eastAsia" w:ascii="宋体" w:hAnsi="宋体"/>
          <w:color w:val="auto"/>
          <w:highlight w:val="none"/>
          <w:u w:val="single"/>
        </w:rPr>
      </w:pPr>
      <w:r>
        <w:rPr>
          <w:rFonts w:hint="eastAsia" w:ascii="宋体" w:hAnsi="宋体"/>
          <w:color w:val="auto"/>
          <w:highlight w:val="none"/>
        </w:rPr>
        <w:t>建设单位（甲方）：</w:t>
      </w:r>
      <w:r>
        <w:rPr>
          <w:rFonts w:hint="eastAsia" w:ascii="宋体" w:hAnsi="宋体"/>
          <w:color w:val="auto"/>
          <w:highlight w:val="none"/>
          <w:u w:val="single"/>
        </w:rPr>
        <w:t xml:space="preserve">                </w:t>
      </w:r>
      <w:r>
        <w:rPr>
          <w:rFonts w:hint="eastAsia" w:ascii="宋体" w:hAnsi="宋体"/>
          <w:color w:val="auto"/>
          <w:highlight w:val="none"/>
          <w:u w:val="single"/>
          <w:lang w:eastAsia="zh-CN"/>
        </w:rPr>
        <w:t>宁波老年大学管理中心</w:t>
      </w:r>
      <w:r>
        <w:rPr>
          <w:rFonts w:hint="eastAsia" w:ascii="宋体" w:hAnsi="宋体"/>
          <w:color w:val="auto"/>
          <w:highlight w:val="none"/>
          <w:u w:val="single"/>
        </w:rPr>
        <w:t xml:space="preserve">                     </w:t>
      </w:r>
    </w:p>
    <w:p w14:paraId="041CB13F">
      <w:pPr>
        <w:spacing w:line="264" w:lineRule="auto"/>
        <w:rPr>
          <w:rFonts w:hint="eastAsia" w:ascii="宋体" w:hAnsi="宋体"/>
          <w:color w:val="auto"/>
          <w:highlight w:val="none"/>
          <w:u w:val="single"/>
        </w:rPr>
      </w:pPr>
      <w:r>
        <w:rPr>
          <w:rFonts w:hint="eastAsia" w:ascii="宋体" w:hAnsi="宋体"/>
          <w:color w:val="auto"/>
          <w:highlight w:val="none"/>
        </w:rPr>
        <w:t>承包单位（乙方）：</w:t>
      </w:r>
      <w:r>
        <w:rPr>
          <w:rFonts w:hint="eastAsia" w:ascii="宋体" w:hAnsi="宋体"/>
          <w:color w:val="auto"/>
          <w:highlight w:val="none"/>
          <w:u w:val="single"/>
        </w:rPr>
        <w:t xml:space="preserve">                                             </w:t>
      </w:r>
    </w:p>
    <w:p w14:paraId="0016A9E2">
      <w:pPr>
        <w:spacing w:line="264" w:lineRule="auto"/>
        <w:ind w:firstLine="426"/>
        <w:rPr>
          <w:rFonts w:hint="eastAsia" w:ascii="宋体" w:hAnsi="宋体"/>
          <w:color w:val="auto"/>
          <w:highlight w:val="none"/>
        </w:rPr>
      </w:pPr>
      <w:r>
        <w:rPr>
          <w:rFonts w:hint="eastAsia" w:ascii="宋体" w:hAnsi="宋体"/>
          <w:color w:val="auto"/>
          <w:highlight w:val="none"/>
        </w:rPr>
        <w:t>为加强工程建设中的廉政建设，规范工程建设项目委托与被委托双方的各项活动，防止发生各种谋取不正当利益的违法违纪行为，保护国家、集体和当事人的合法权益，根据国家有关工程建设的法律法规和廉政建设责任制规定，特订立本廉政责任书。</w:t>
      </w:r>
    </w:p>
    <w:p w14:paraId="5725AA60">
      <w:pPr>
        <w:spacing w:line="264" w:lineRule="auto"/>
        <w:ind w:firstLine="426"/>
        <w:rPr>
          <w:rFonts w:hint="eastAsia" w:ascii="宋体" w:hAnsi="宋体"/>
          <w:color w:val="auto"/>
          <w:highlight w:val="none"/>
        </w:rPr>
      </w:pPr>
      <w:r>
        <w:rPr>
          <w:rFonts w:hint="eastAsia" w:ascii="宋体" w:hAnsi="宋体"/>
          <w:color w:val="auto"/>
          <w:highlight w:val="none"/>
        </w:rPr>
        <w:t>第一条  甲乙双方的责任</w:t>
      </w:r>
    </w:p>
    <w:p w14:paraId="246DABFE">
      <w:pPr>
        <w:spacing w:line="264" w:lineRule="auto"/>
        <w:ind w:firstLine="426"/>
        <w:rPr>
          <w:rFonts w:hint="eastAsia" w:ascii="宋体" w:hAnsi="宋体"/>
          <w:color w:val="auto"/>
          <w:highlight w:val="none"/>
        </w:rPr>
      </w:pPr>
      <w:r>
        <w:rPr>
          <w:rFonts w:hint="eastAsia" w:ascii="宋体" w:hAnsi="宋体"/>
          <w:color w:val="auto"/>
          <w:highlight w:val="none"/>
        </w:rPr>
        <w:t>（一）应严格遵守国家关于市场准入、项目招标投标、工程建设、施工安装、建设监理、勘察设计和市场活动的有关法律、法规，相关政策，以及廉政建设的各项规定。</w:t>
      </w:r>
    </w:p>
    <w:p w14:paraId="1BBC3CA3">
      <w:pPr>
        <w:spacing w:line="264" w:lineRule="auto"/>
        <w:ind w:firstLine="426"/>
        <w:rPr>
          <w:rFonts w:hint="eastAsia" w:ascii="宋体" w:hAnsi="宋体"/>
          <w:color w:val="auto"/>
          <w:highlight w:val="none"/>
        </w:rPr>
      </w:pPr>
      <w:r>
        <w:rPr>
          <w:rFonts w:hint="eastAsia" w:ascii="宋体" w:hAnsi="宋体"/>
          <w:color w:val="auto"/>
          <w:highlight w:val="none"/>
        </w:rPr>
        <w:t>（二）严格执行建设工程项目合同文件，自觉按合同办事。</w:t>
      </w:r>
    </w:p>
    <w:p w14:paraId="13529A59">
      <w:pPr>
        <w:spacing w:line="264" w:lineRule="auto"/>
        <w:ind w:firstLine="426"/>
        <w:rPr>
          <w:rFonts w:hint="eastAsia" w:ascii="宋体" w:hAnsi="宋体"/>
          <w:color w:val="auto"/>
          <w:highlight w:val="none"/>
        </w:rPr>
      </w:pPr>
      <w:r>
        <w:rPr>
          <w:rFonts w:hint="eastAsia" w:ascii="宋体" w:hAnsi="宋体"/>
          <w:color w:val="auto"/>
          <w:highlight w:val="none"/>
        </w:rPr>
        <w:t>（三）业务活动必须坚持公开、公平、公正、诚信、透明的原则（除法律法规另有规定者外），不得为获取不正当的利益，损害国家、集体和对方利益，不得违反工程建设管理、施工安装、建设监理和勘察设计的规章制度。</w:t>
      </w:r>
    </w:p>
    <w:p w14:paraId="2796B7D9">
      <w:pPr>
        <w:spacing w:line="264" w:lineRule="auto"/>
        <w:ind w:firstLine="426"/>
        <w:rPr>
          <w:rFonts w:hint="eastAsia" w:ascii="宋体" w:hAnsi="宋体"/>
          <w:color w:val="auto"/>
          <w:highlight w:val="none"/>
        </w:rPr>
      </w:pPr>
      <w:r>
        <w:rPr>
          <w:rFonts w:hint="eastAsia" w:ascii="宋体" w:hAnsi="宋体"/>
          <w:color w:val="auto"/>
          <w:highlight w:val="none"/>
        </w:rPr>
        <w:t>（四）发现对方在业务活动中有违规、违纪、违法行为的，应及时提醒对方，情节严重的，应向其上级主管部门或纪检监察、司法等有关机关举报。</w:t>
      </w:r>
    </w:p>
    <w:p w14:paraId="78DFDBC3">
      <w:pPr>
        <w:spacing w:line="264" w:lineRule="auto"/>
        <w:ind w:firstLine="426"/>
        <w:rPr>
          <w:rFonts w:hint="eastAsia" w:ascii="宋体" w:hAnsi="宋体"/>
          <w:color w:val="auto"/>
          <w:highlight w:val="none"/>
        </w:rPr>
      </w:pPr>
      <w:r>
        <w:rPr>
          <w:rFonts w:hint="eastAsia" w:ascii="宋体" w:hAnsi="宋体"/>
          <w:color w:val="auto"/>
          <w:highlight w:val="none"/>
        </w:rPr>
        <w:t>（五）严格遵守宁波市机关干部“正风肃纪”十项规定。</w:t>
      </w:r>
    </w:p>
    <w:p w14:paraId="38E028B8">
      <w:pPr>
        <w:spacing w:line="264" w:lineRule="auto"/>
        <w:ind w:firstLine="426"/>
        <w:rPr>
          <w:rFonts w:hint="eastAsia" w:ascii="宋体" w:hAnsi="宋体"/>
          <w:color w:val="auto"/>
          <w:highlight w:val="none"/>
        </w:rPr>
      </w:pPr>
      <w:r>
        <w:rPr>
          <w:rFonts w:hint="eastAsia" w:ascii="宋体" w:hAnsi="宋体"/>
          <w:color w:val="auto"/>
          <w:highlight w:val="none"/>
        </w:rPr>
        <w:t>第二条  甲方的责任</w:t>
      </w:r>
    </w:p>
    <w:p w14:paraId="0442D007">
      <w:pPr>
        <w:spacing w:line="264" w:lineRule="auto"/>
        <w:ind w:firstLine="426"/>
        <w:rPr>
          <w:rFonts w:hint="eastAsia" w:ascii="宋体" w:hAnsi="宋体"/>
          <w:color w:val="auto"/>
          <w:highlight w:val="none"/>
        </w:rPr>
      </w:pPr>
      <w:r>
        <w:rPr>
          <w:rFonts w:hint="eastAsia" w:ascii="宋体" w:hAnsi="宋体"/>
          <w:color w:val="auto"/>
          <w:highlight w:val="none"/>
        </w:rPr>
        <w:t>甲方的领导和从事该建设工程项目的工作人员在工程建设的事前、事中、事后应遵守以下规定：</w:t>
      </w:r>
    </w:p>
    <w:p w14:paraId="21981924">
      <w:pPr>
        <w:spacing w:line="264" w:lineRule="auto"/>
        <w:ind w:firstLine="426"/>
        <w:rPr>
          <w:rFonts w:hint="eastAsia" w:ascii="宋体" w:hAnsi="宋体"/>
          <w:color w:val="auto"/>
          <w:highlight w:val="none"/>
        </w:rPr>
      </w:pPr>
      <w:r>
        <w:rPr>
          <w:rFonts w:hint="eastAsia" w:ascii="宋体" w:hAnsi="宋体"/>
          <w:color w:val="auto"/>
          <w:highlight w:val="none"/>
        </w:rPr>
        <w:t>（一）不准向乙方和相关单位索要或接受回扣、礼金、有价证券、贵重物品和好处费、感谢费等。</w:t>
      </w:r>
    </w:p>
    <w:p w14:paraId="61920694">
      <w:pPr>
        <w:spacing w:line="264" w:lineRule="auto"/>
        <w:ind w:firstLine="426"/>
        <w:rPr>
          <w:rFonts w:hint="eastAsia" w:ascii="宋体" w:hAnsi="宋体"/>
          <w:color w:val="auto"/>
          <w:highlight w:val="none"/>
        </w:rPr>
      </w:pPr>
      <w:r>
        <w:rPr>
          <w:rFonts w:hint="eastAsia" w:ascii="宋体" w:hAnsi="宋体"/>
          <w:color w:val="auto"/>
          <w:highlight w:val="none"/>
        </w:rPr>
        <w:t>（二）不准在乙方和相关单位报销任何应由甲方或个人支付的费用。</w:t>
      </w:r>
    </w:p>
    <w:p w14:paraId="7CD81747">
      <w:pPr>
        <w:spacing w:line="264" w:lineRule="auto"/>
        <w:ind w:firstLine="426"/>
        <w:rPr>
          <w:rFonts w:hint="eastAsia" w:ascii="宋体" w:hAnsi="宋体"/>
          <w:color w:val="auto"/>
          <w:highlight w:val="none"/>
        </w:rPr>
      </w:pPr>
      <w:r>
        <w:rPr>
          <w:rFonts w:hint="eastAsia" w:ascii="宋体" w:hAnsi="宋体"/>
          <w:color w:val="auto"/>
          <w:highlight w:val="none"/>
        </w:rPr>
        <w:t>（三）不</w:t>
      </w:r>
      <w:r>
        <w:rPr>
          <w:rFonts w:hint="eastAsia" w:ascii="宋体" w:hAnsi="宋体"/>
          <w:color w:val="auto"/>
          <w:spacing w:val="-16"/>
          <w:highlight w:val="none"/>
        </w:rPr>
        <w:t>准要求、暗示和接受乙方和相关单位为个</w:t>
      </w:r>
      <w:r>
        <w:rPr>
          <w:rFonts w:hint="eastAsia" w:ascii="宋体" w:hAnsi="宋体"/>
          <w:color w:val="auto"/>
          <w:highlight w:val="none"/>
        </w:rPr>
        <w:t>人装修住房、婚丧嫁娶、配偶子女的工</w:t>
      </w:r>
      <w:r>
        <w:rPr>
          <w:rFonts w:hint="eastAsia" w:ascii="宋体" w:hAnsi="宋体"/>
          <w:color w:val="auto"/>
          <w:spacing w:val="-14"/>
          <w:highlight w:val="none"/>
        </w:rPr>
        <w:t>作安排以及出国（境）、旅游等</w:t>
      </w:r>
      <w:r>
        <w:rPr>
          <w:rFonts w:hint="eastAsia" w:ascii="宋体" w:hAnsi="宋体"/>
          <w:color w:val="auto"/>
          <w:highlight w:val="none"/>
        </w:rPr>
        <w:t>提供方便。</w:t>
      </w:r>
    </w:p>
    <w:p w14:paraId="5D0111E3">
      <w:pPr>
        <w:spacing w:line="264" w:lineRule="auto"/>
        <w:ind w:firstLine="426"/>
        <w:rPr>
          <w:rFonts w:hint="eastAsia" w:ascii="宋体" w:hAnsi="宋体"/>
          <w:color w:val="auto"/>
          <w:highlight w:val="none"/>
        </w:rPr>
      </w:pPr>
      <w:r>
        <w:rPr>
          <w:rFonts w:hint="eastAsia" w:ascii="宋体" w:hAnsi="宋体"/>
          <w:color w:val="auto"/>
          <w:highlight w:val="none"/>
        </w:rPr>
        <w:t>（四）不准参加有可能影响公正执行公务的乙方和相关单位的宴请、健身、娱乐等活动。</w:t>
      </w:r>
    </w:p>
    <w:p w14:paraId="7DD897C4">
      <w:pPr>
        <w:spacing w:line="264" w:lineRule="auto"/>
        <w:ind w:firstLine="426"/>
        <w:rPr>
          <w:rFonts w:hint="eastAsia" w:ascii="宋体" w:hAnsi="宋体"/>
          <w:color w:val="auto"/>
          <w:highlight w:val="none"/>
        </w:rPr>
      </w:pPr>
      <w:r>
        <w:rPr>
          <w:rFonts w:hint="eastAsia" w:ascii="宋体" w:hAnsi="宋体"/>
          <w:color w:val="auto"/>
          <w:highlight w:val="none"/>
        </w:rPr>
        <w:t>（五）不准向乙方和相关单位介绍或为配偶、子女、亲属参与同甲方工程项目合同有关的分包项目等活动。不准向乙方和相关单位介绍或为配偶、子女、亲属参与同项目合同有关的设备、材料、工程分包、劳务、监理、勘察设计等经济活动。不得以任何理由向乙方和相关单位推荐分包单位和要求购买与项目工程合同规定以外的材料、设备等。</w:t>
      </w:r>
    </w:p>
    <w:p w14:paraId="1BC41403">
      <w:pPr>
        <w:spacing w:line="264" w:lineRule="auto"/>
        <w:ind w:firstLine="426"/>
        <w:rPr>
          <w:rFonts w:hint="eastAsia" w:ascii="宋体" w:hAnsi="宋体"/>
          <w:color w:val="auto"/>
          <w:highlight w:val="none"/>
        </w:rPr>
      </w:pPr>
      <w:r>
        <w:rPr>
          <w:rFonts w:hint="eastAsia" w:ascii="宋体" w:hAnsi="宋体"/>
          <w:color w:val="auto"/>
          <w:highlight w:val="none"/>
        </w:rPr>
        <w:t>第三条  乙方的责任</w:t>
      </w:r>
    </w:p>
    <w:p w14:paraId="59B445AB">
      <w:pPr>
        <w:spacing w:line="264" w:lineRule="auto"/>
        <w:ind w:firstLine="426"/>
        <w:rPr>
          <w:rFonts w:hint="eastAsia" w:ascii="宋体" w:hAnsi="宋体"/>
          <w:color w:val="auto"/>
          <w:highlight w:val="none"/>
        </w:rPr>
      </w:pPr>
      <w:r>
        <w:rPr>
          <w:rFonts w:hint="eastAsia" w:ascii="宋体" w:hAnsi="宋体"/>
          <w:color w:val="auto"/>
          <w:highlight w:val="none"/>
        </w:rPr>
        <w:t>应与甲方和相关单位保持正常的业务交往，按照有关法律法规和程序开展业务工作，严格执行工程建设的有关方针、政策，尤其是有关勘察设计、监理、施工安装的强制性标准和规范，认真履行职责，并遵守以下规定：</w:t>
      </w:r>
    </w:p>
    <w:p w14:paraId="573BD97D">
      <w:pPr>
        <w:spacing w:line="264" w:lineRule="auto"/>
        <w:ind w:firstLine="426"/>
        <w:rPr>
          <w:rFonts w:hint="eastAsia" w:ascii="宋体" w:hAnsi="宋体"/>
          <w:color w:val="auto"/>
          <w:highlight w:val="none"/>
        </w:rPr>
      </w:pPr>
      <w:r>
        <w:rPr>
          <w:rFonts w:hint="eastAsia" w:ascii="宋体" w:hAnsi="宋体"/>
          <w:color w:val="auto"/>
          <w:highlight w:val="none"/>
        </w:rPr>
        <w:t>（一）不</w:t>
      </w:r>
      <w:r>
        <w:rPr>
          <w:rFonts w:hint="eastAsia" w:ascii="宋体" w:hAnsi="宋体"/>
          <w:color w:val="auto"/>
          <w:spacing w:val="-14"/>
          <w:highlight w:val="none"/>
        </w:rPr>
        <w:t>准以任何理由向甲方和相关单位及其</w:t>
      </w:r>
      <w:r>
        <w:rPr>
          <w:rFonts w:hint="eastAsia" w:ascii="宋体" w:hAnsi="宋体"/>
          <w:color w:val="auto"/>
          <w:highlight w:val="none"/>
        </w:rPr>
        <w:t>工作人员索要、接受</w:t>
      </w:r>
      <w:r>
        <w:rPr>
          <w:rFonts w:hint="eastAsia" w:ascii="宋体" w:hAnsi="宋体"/>
          <w:color w:val="auto"/>
          <w:spacing w:val="-14"/>
          <w:highlight w:val="none"/>
        </w:rPr>
        <w:t>或赠送礼金、有价证券、贵重物</w:t>
      </w:r>
      <w:r>
        <w:rPr>
          <w:rFonts w:hint="eastAsia" w:ascii="宋体" w:hAnsi="宋体"/>
          <w:color w:val="auto"/>
          <w:highlight w:val="none"/>
        </w:rPr>
        <w:t>品及回扣、好处费、感谢费等。</w:t>
      </w:r>
    </w:p>
    <w:p w14:paraId="6942E7E9">
      <w:pPr>
        <w:spacing w:line="264" w:lineRule="auto"/>
        <w:ind w:firstLine="426"/>
        <w:rPr>
          <w:rFonts w:hint="eastAsia" w:ascii="宋体" w:hAnsi="宋体"/>
          <w:color w:val="auto"/>
          <w:highlight w:val="none"/>
        </w:rPr>
      </w:pPr>
      <w:r>
        <w:rPr>
          <w:rFonts w:hint="eastAsia" w:ascii="宋体" w:hAnsi="宋体"/>
          <w:color w:val="auto"/>
          <w:highlight w:val="none"/>
        </w:rPr>
        <w:t>（二）不准以任何理由为甲方和相关单位报销应由对方或个人支付的费用。</w:t>
      </w:r>
    </w:p>
    <w:p w14:paraId="61F9948B">
      <w:pPr>
        <w:spacing w:line="264" w:lineRule="auto"/>
        <w:ind w:firstLine="426"/>
        <w:rPr>
          <w:rFonts w:hint="eastAsia" w:ascii="宋体" w:hAnsi="宋体"/>
          <w:color w:val="auto"/>
          <w:highlight w:val="none"/>
        </w:rPr>
      </w:pPr>
      <w:r>
        <w:rPr>
          <w:rFonts w:hint="eastAsia" w:ascii="宋体" w:hAnsi="宋体"/>
          <w:color w:val="auto"/>
          <w:highlight w:val="none"/>
        </w:rPr>
        <w:t>（三）不准接受或暗示为甲方、相关单位或个人装修住房、婚丧嫁</w:t>
      </w:r>
      <w:r>
        <w:rPr>
          <w:rFonts w:hint="eastAsia" w:ascii="宋体" w:hAnsi="宋体"/>
          <w:color w:val="auto"/>
          <w:spacing w:val="-14"/>
          <w:highlight w:val="none"/>
        </w:rPr>
        <w:t>娶、配偶子女的工作安排以</w:t>
      </w:r>
      <w:r>
        <w:rPr>
          <w:rFonts w:hint="eastAsia" w:ascii="宋体" w:hAnsi="宋体"/>
          <w:color w:val="auto"/>
          <w:highlight w:val="none"/>
        </w:rPr>
        <w:t>及出国（境）、旅游等提供方便。</w:t>
      </w:r>
    </w:p>
    <w:p w14:paraId="39720922">
      <w:pPr>
        <w:spacing w:line="264" w:lineRule="auto"/>
        <w:ind w:firstLine="426"/>
        <w:rPr>
          <w:rFonts w:hint="eastAsia" w:ascii="宋体" w:hAnsi="宋体"/>
          <w:color w:val="auto"/>
          <w:highlight w:val="none"/>
        </w:rPr>
      </w:pPr>
      <w:r>
        <w:rPr>
          <w:rFonts w:hint="eastAsia" w:ascii="宋体" w:hAnsi="宋体"/>
          <w:color w:val="auto"/>
          <w:highlight w:val="none"/>
        </w:rPr>
        <w:t>（四）不准违反合同约定而使用甲方、相关单位提供的通信、交通工具和高档办公用品。</w:t>
      </w:r>
    </w:p>
    <w:p w14:paraId="6253440B">
      <w:pPr>
        <w:spacing w:line="264" w:lineRule="auto"/>
        <w:ind w:firstLine="426"/>
        <w:rPr>
          <w:rFonts w:hint="eastAsia" w:ascii="宋体" w:hAnsi="宋体"/>
          <w:color w:val="auto"/>
          <w:highlight w:val="none"/>
        </w:rPr>
      </w:pPr>
      <w:r>
        <w:rPr>
          <w:rFonts w:hint="eastAsia" w:ascii="宋体" w:hAnsi="宋体"/>
          <w:color w:val="auto"/>
          <w:highlight w:val="none"/>
        </w:rPr>
        <w:t>（五）不准以任何理由为甲方、相关单位或个人组织有可能影响公正执行公务的宴请、健身、娱乐等活动。</w:t>
      </w:r>
    </w:p>
    <w:p w14:paraId="689905E6">
      <w:pPr>
        <w:spacing w:line="264" w:lineRule="auto"/>
        <w:ind w:firstLine="426"/>
        <w:rPr>
          <w:rFonts w:hint="eastAsia" w:ascii="宋体" w:hAnsi="宋体"/>
          <w:color w:val="auto"/>
          <w:highlight w:val="none"/>
        </w:rPr>
      </w:pPr>
      <w:r>
        <w:rPr>
          <w:rFonts w:hint="eastAsia" w:ascii="宋体" w:hAnsi="宋体"/>
          <w:color w:val="auto"/>
          <w:highlight w:val="none"/>
        </w:rPr>
        <w:t>第四条  违约责任</w:t>
      </w:r>
    </w:p>
    <w:p w14:paraId="0A8830A9">
      <w:pPr>
        <w:spacing w:line="264" w:lineRule="auto"/>
        <w:ind w:firstLine="426"/>
        <w:rPr>
          <w:rFonts w:hint="eastAsia" w:ascii="宋体" w:hAnsi="宋体"/>
          <w:color w:val="auto"/>
          <w:highlight w:val="none"/>
        </w:rPr>
      </w:pPr>
      <w:r>
        <w:rPr>
          <w:rFonts w:hint="eastAsia" w:ascii="宋体" w:hAnsi="宋体"/>
          <w:color w:val="auto"/>
          <w:highlight w:val="none"/>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7158A87C">
      <w:pPr>
        <w:spacing w:line="264" w:lineRule="auto"/>
        <w:ind w:firstLine="426"/>
        <w:rPr>
          <w:rFonts w:hint="eastAsia" w:ascii="宋体" w:hAnsi="宋体"/>
          <w:color w:val="auto"/>
          <w:highlight w:val="none"/>
        </w:rPr>
      </w:pPr>
      <w:r>
        <w:rPr>
          <w:rFonts w:hint="eastAsia" w:ascii="宋体" w:hAnsi="宋体"/>
          <w:color w:val="auto"/>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1E38EAB4">
      <w:pPr>
        <w:spacing w:line="264" w:lineRule="auto"/>
        <w:ind w:firstLine="426"/>
        <w:rPr>
          <w:rFonts w:hint="eastAsia" w:ascii="宋体" w:hAnsi="宋体"/>
          <w:color w:val="auto"/>
          <w:highlight w:val="none"/>
        </w:rPr>
      </w:pPr>
      <w:r>
        <w:rPr>
          <w:rFonts w:hint="eastAsia" w:ascii="宋体" w:hAnsi="宋体"/>
          <w:color w:val="auto"/>
          <w:highlight w:val="none"/>
        </w:rPr>
        <w:t>第五条  本责任书作为工程建设项目合同的附件，与工程建设项目合同具有同等法律效力。经双方签署后立即生效。</w:t>
      </w:r>
    </w:p>
    <w:p w14:paraId="275258A7">
      <w:pPr>
        <w:spacing w:line="264" w:lineRule="auto"/>
        <w:ind w:firstLine="426"/>
        <w:rPr>
          <w:rFonts w:hint="eastAsia" w:ascii="宋体" w:hAnsi="宋体"/>
          <w:color w:val="auto"/>
          <w:highlight w:val="none"/>
        </w:rPr>
      </w:pPr>
      <w:r>
        <w:rPr>
          <w:rFonts w:hint="eastAsia" w:ascii="宋体" w:hAnsi="宋体"/>
          <w:color w:val="auto"/>
          <w:highlight w:val="none"/>
        </w:rPr>
        <w:t>第六条  本责任书的有效期为双方签署之日起至该工程项目竣工验收合格时止。</w:t>
      </w:r>
    </w:p>
    <w:p w14:paraId="35AD2A86">
      <w:pPr>
        <w:spacing w:line="264" w:lineRule="auto"/>
        <w:rPr>
          <w:rFonts w:hint="eastAsia" w:ascii="宋体" w:hAnsi="宋体"/>
          <w:color w:val="auto"/>
          <w:highlight w:val="none"/>
        </w:rPr>
      </w:pPr>
      <w:r>
        <w:rPr>
          <w:rFonts w:hint="eastAsia" w:ascii="宋体" w:hAnsi="宋体"/>
          <w:color w:val="auto"/>
          <w:highlight w:val="none"/>
        </w:rPr>
        <w:t xml:space="preserve"> </w:t>
      </w:r>
    </w:p>
    <w:p w14:paraId="78717738">
      <w:pPr>
        <w:spacing w:line="264" w:lineRule="auto"/>
        <w:rPr>
          <w:rFonts w:hint="eastAsia" w:ascii="宋体" w:hAnsi="宋体"/>
          <w:color w:val="auto"/>
          <w:highlight w:val="none"/>
        </w:rPr>
      </w:pPr>
      <w:r>
        <w:rPr>
          <w:rFonts w:hint="eastAsia" w:ascii="宋体" w:hAnsi="宋体"/>
          <w:color w:val="auto"/>
          <w:highlight w:val="none"/>
        </w:rPr>
        <w:t xml:space="preserve"> </w:t>
      </w:r>
    </w:p>
    <w:p w14:paraId="4E74044F">
      <w:pPr>
        <w:spacing w:line="264" w:lineRule="auto"/>
        <w:rPr>
          <w:rFonts w:hint="eastAsia" w:ascii="宋体" w:hAnsi="宋体"/>
          <w:color w:val="auto"/>
          <w:highlight w:val="none"/>
        </w:rPr>
      </w:pPr>
      <w:r>
        <w:rPr>
          <w:rFonts w:hint="eastAsia" w:ascii="宋体" w:hAnsi="宋体"/>
          <w:color w:val="auto"/>
          <w:highlight w:val="none"/>
        </w:rPr>
        <w:t xml:space="preserve"> </w:t>
      </w:r>
    </w:p>
    <w:p w14:paraId="4DC300C5">
      <w:pPr>
        <w:snapToGrid w:val="0"/>
        <w:spacing w:line="264" w:lineRule="auto"/>
        <w:rPr>
          <w:rFonts w:hint="eastAsia" w:ascii="宋体" w:hAnsi="宋体"/>
          <w:color w:val="auto"/>
          <w:highlight w:val="none"/>
        </w:rPr>
      </w:pPr>
      <w:r>
        <w:rPr>
          <w:rFonts w:hint="eastAsia" w:ascii="宋体" w:hAnsi="宋体"/>
          <w:color w:val="auto"/>
          <w:highlight w:val="none"/>
        </w:rPr>
        <w:t>甲方单位：（盖章）                   乙方单位：（盖章）</w:t>
      </w:r>
    </w:p>
    <w:p w14:paraId="030E1DCD">
      <w:pPr>
        <w:snapToGrid w:val="0"/>
        <w:spacing w:line="264" w:lineRule="auto"/>
        <w:rPr>
          <w:rFonts w:hint="eastAsia" w:ascii="宋体" w:hAnsi="宋体"/>
          <w:color w:val="auto"/>
          <w:highlight w:val="none"/>
        </w:rPr>
      </w:pPr>
      <w:r>
        <w:rPr>
          <w:rFonts w:hint="eastAsia" w:ascii="宋体" w:hAnsi="宋体"/>
          <w:color w:val="auto"/>
          <w:highlight w:val="none"/>
        </w:rPr>
        <w:t>法定代表人：                        法定代表人：</w:t>
      </w:r>
    </w:p>
    <w:p w14:paraId="45132540">
      <w:pPr>
        <w:snapToGrid w:val="0"/>
        <w:spacing w:line="264" w:lineRule="auto"/>
        <w:rPr>
          <w:rFonts w:hint="eastAsia" w:ascii="宋体" w:hAnsi="宋体"/>
          <w:color w:val="auto"/>
          <w:highlight w:val="none"/>
        </w:rPr>
      </w:pPr>
      <w:r>
        <w:rPr>
          <w:rFonts w:hint="eastAsia" w:ascii="宋体" w:hAnsi="宋体"/>
          <w:color w:val="auto"/>
          <w:highlight w:val="none"/>
        </w:rPr>
        <w:t>地址：                              地址：</w:t>
      </w:r>
    </w:p>
    <w:p w14:paraId="7CEB88F7">
      <w:pPr>
        <w:snapToGrid w:val="0"/>
        <w:spacing w:line="264" w:lineRule="auto"/>
        <w:rPr>
          <w:rFonts w:hint="eastAsia" w:ascii="宋体" w:hAnsi="宋体"/>
          <w:color w:val="auto"/>
          <w:highlight w:val="none"/>
        </w:rPr>
      </w:pPr>
      <w:r>
        <w:rPr>
          <w:rFonts w:hint="eastAsia" w:ascii="宋体" w:hAnsi="宋体"/>
          <w:color w:val="auto"/>
          <w:highlight w:val="none"/>
        </w:rPr>
        <w:t>电话：                              电话：</w:t>
      </w:r>
    </w:p>
    <w:p w14:paraId="6E4464A7">
      <w:pPr>
        <w:snapToGrid w:val="0"/>
        <w:spacing w:line="264" w:lineRule="auto"/>
        <w:rPr>
          <w:rFonts w:hint="eastAsia" w:ascii="宋体" w:hAnsi="宋体"/>
          <w:color w:val="auto"/>
          <w:highlight w:val="none"/>
        </w:rPr>
      </w:pPr>
      <w:r>
        <w:rPr>
          <w:rFonts w:hint="eastAsia" w:ascii="宋体" w:hAnsi="宋体"/>
          <w:color w:val="auto"/>
          <w:highlight w:val="none"/>
        </w:rPr>
        <w:t>年   月   日                         年   月   日</w:t>
      </w:r>
    </w:p>
    <w:p w14:paraId="370862A9">
      <w:pPr>
        <w:spacing w:line="264" w:lineRule="auto"/>
        <w:rPr>
          <w:rFonts w:hint="eastAsia" w:ascii="宋体" w:hAnsi="宋体"/>
          <w:color w:val="auto"/>
          <w:highlight w:val="none"/>
        </w:rPr>
      </w:pPr>
      <w:r>
        <w:rPr>
          <w:rFonts w:hint="eastAsia" w:ascii="宋体" w:hAnsi="宋体"/>
          <w:color w:val="auto"/>
          <w:highlight w:val="none"/>
        </w:rPr>
        <w:t xml:space="preserve"> </w:t>
      </w:r>
    </w:p>
    <w:p w14:paraId="7433525A">
      <w:pPr>
        <w:spacing w:line="264" w:lineRule="auto"/>
        <w:rPr>
          <w:rFonts w:hint="eastAsia" w:ascii="宋体" w:hAnsi="宋体"/>
          <w:color w:val="auto"/>
          <w:highlight w:val="none"/>
        </w:rPr>
      </w:pPr>
      <w:r>
        <w:rPr>
          <w:rFonts w:hint="eastAsia" w:ascii="宋体" w:hAnsi="宋体"/>
          <w:color w:val="auto"/>
          <w:highlight w:val="none"/>
        </w:rPr>
        <w:t>甲方监督单位（盖章）              乙方监督单位（盖章）</w:t>
      </w:r>
    </w:p>
    <w:p w14:paraId="190AA9B5">
      <w:pPr>
        <w:spacing w:line="264" w:lineRule="auto"/>
        <w:rPr>
          <w:rFonts w:hint="eastAsia" w:ascii="宋体" w:hAnsi="宋体"/>
          <w:color w:val="auto"/>
          <w:highlight w:val="none"/>
        </w:rPr>
      </w:pPr>
      <w:r>
        <w:rPr>
          <w:rFonts w:hint="eastAsia" w:ascii="宋体" w:hAnsi="宋体"/>
          <w:color w:val="auto"/>
          <w:highlight w:val="none"/>
        </w:rPr>
        <w:t xml:space="preserve"> </w:t>
      </w:r>
    </w:p>
    <w:p w14:paraId="63DEB3FE">
      <w:pPr>
        <w:spacing w:line="264" w:lineRule="auto"/>
        <w:jc w:val="left"/>
        <w:rPr>
          <w:rFonts w:hint="eastAsia" w:ascii="宋体" w:hAnsi="宋体"/>
          <w:color w:val="auto"/>
          <w:highlight w:val="none"/>
        </w:rPr>
      </w:pPr>
      <w:r>
        <w:rPr>
          <w:rFonts w:hint="eastAsia" w:ascii="宋体" w:hAnsi="宋体"/>
          <w:color w:val="auto"/>
          <w:highlight w:val="none"/>
        </w:rPr>
        <w:t xml:space="preserve">         年   月   日                  年   月   日</w:t>
      </w:r>
    </w:p>
    <w:p w14:paraId="760DFC53">
      <w:pPr>
        <w:pStyle w:val="27"/>
        <w:spacing w:line="360" w:lineRule="exact"/>
        <w:jc w:val="center"/>
        <w:rPr>
          <w:rFonts w:hint="eastAsia" w:hAnsi="宋体"/>
          <w:color w:val="auto"/>
          <w:sz w:val="22"/>
          <w:szCs w:val="22"/>
          <w:highlight w:val="none"/>
        </w:rPr>
      </w:pPr>
      <w:r>
        <w:rPr>
          <w:rFonts w:hint="eastAsia" w:hAnsi="宋体"/>
          <w:color w:val="auto"/>
          <w:sz w:val="22"/>
          <w:szCs w:val="22"/>
          <w:highlight w:val="none"/>
        </w:rPr>
        <w:br w:type="page"/>
      </w:r>
    </w:p>
    <w:p w14:paraId="3C69FEFA">
      <w:pPr>
        <w:pStyle w:val="5"/>
        <w:spacing w:before="120" w:after="120"/>
        <w:rPr>
          <w:rFonts w:hint="eastAsia" w:ascii="宋体" w:hAnsi="宋体"/>
          <w:color w:val="auto"/>
          <w:sz w:val="24"/>
          <w:szCs w:val="24"/>
          <w:highlight w:val="none"/>
        </w:rPr>
      </w:pPr>
      <w:r>
        <w:rPr>
          <w:rFonts w:hint="eastAsia" w:ascii="宋体" w:hAnsi="宋体"/>
          <w:color w:val="auto"/>
          <w:sz w:val="24"/>
          <w:szCs w:val="24"/>
          <w:highlight w:val="none"/>
        </w:rPr>
        <w:t>附件3</w:t>
      </w:r>
    </w:p>
    <w:p w14:paraId="33CDE37D">
      <w:pPr>
        <w:pStyle w:val="27"/>
        <w:spacing w:line="360" w:lineRule="exact"/>
        <w:jc w:val="center"/>
        <w:rPr>
          <w:rFonts w:hint="eastAsia" w:hAnsi="宋体"/>
          <w:bCs/>
          <w:color w:val="auto"/>
          <w:sz w:val="28"/>
          <w:szCs w:val="28"/>
          <w:highlight w:val="none"/>
        </w:rPr>
      </w:pPr>
      <w:r>
        <w:rPr>
          <w:rFonts w:hint="eastAsia" w:hAnsi="宋体"/>
          <w:bCs/>
          <w:color w:val="auto"/>
          <w:sz w:val="28"/>
          <w:szCs w:val="28"/>
          <w:highlight w:val="none"/>
        </w:rPr>
        <w:t>建设工程安全管理协议</w:t>
      </w:r>
    </w:p>
    <w:p w14:paraId="6725FC1E">
      <w:pPr>
        <w:widowControl/>
        <w:spacing w:line="468" w:lineRule="atLeast"/>
        <w:rPr>
          <w:rFonts w:hint="eastAsia" w:ascii="宋体" w:hAnsi="宋体" w:cs="仿宋"/>
          <w:color w:val="auto"/>
          <w:kern w:val="0"/>
          <w:sz w:val="22"/>
          <w:szCs w:val="22"/>
          <w:highlight w:val="none"/>
        </w:rPr>
      </w:pPr>
      <w:r>
        <w:rPr>
          <w:rFonts w:hint="eastAsia" w:ascii="宋体" w:hAnsi="宋体" w:cs="仿宋"/>
          <w:color w:val="auto"/>
          <w:kern w:val="0"/>
          <w:sz w:val="22"/>
          <w:szCs w:val="22"/>
          <w:highlight w:val="none"/>
        </w:rPr>
        <w:t xml:space="preserve"> </w:t>
      </w:r>
    </w:p>
    <w:p w14:paraId="68BB6660">
      <w:pPr>
        <w:widowControl/>
        <w:spacing w:line="288" w:lineRule="auto"/>
        <w:jc w:val="left"/>
        <w:rPr>
          <w:rFonts w:hint="eastAsia" w:ascii="宋体" w:hAnsi="宋体" w:cs="仿宋"/>
          <w:color w:val="auto"/>
          <w:kern w:val="0"/>
          <w:szCs w:val="21"/>
          <w:highlight w:val="none"/>
        </w:rPr>
      </w:pPr>
      <w:r>
        <w:rPr>
          <w:rFonts w:hint="eastAsia" w:ascii="宋体" w:hAnsi="宋体" w:cs="仿宋"/>
          <w:color w:val="auto"/>
          <w:kern w:val="0"/>
          <w:highlight w:val="none"/>
        </w:rPr>
        <w:t>发 包 人：</w:t>
      </w:r>
      <w:r>
        <w:rPr>
          <w:rFonts w:hint="eastAsia" w:ascii="宋体" w:hAnsi="宋体" w:cs="仿宋"/>
          <w:bCs/>
          <w:color w:val="auto"/>
          <w:kern w:val="0"/>
          <w:highlight w:val="none"/>
          <w:u w:val="single"/>
          <w:lang w:eastAsia="zh-CN"/>
        </w:rPr>
        <w:t>宁波老年大学管理中心</w:t>
      </w:r>
      <w:r>
        <w:rPr>
          <w:rFonts w:hint="eastAsia" w:ascii="宋体" w:hAnsi="宋体" w:cs="仿宋"/>
          <w:bCs/>
          <w:color w:val="auto"/>
          <w:kern w:val="0"/>
          <w:highlight w:val="none"/>
          <w:u w:val="single"/>
        </w:rPr>
        <w:t xml:space="preserve"> </w:t>
      </w:r>
      <w:r>
        <w:rPr>
          <w:rFonts w:hint="eastAsia" w:ascii="宋体" w:hAnsi="宋体" w:cs="仿宋"/>
          <w:color w:val="auto"/>
          <w:kern w:val="0"/>
          <w:highlight w:val="none"/>
        </w:rPr>
        <w:t xml:space="preserve"> （以下简称“甲方”）</w:t>
      </w:r>
    </w:p>
    <w:p w14:paraId="49B6C8B0">
      <w:pPr>
        <w:widowControl/>
        <w:spacing w:line="288" w:lineRule="auto"/>
        <w:jc w:val="left"/>
        <w:rPr>
          <w:rFonts w:hint="eastAsia" w:ascii="宋体" w:hAnsi="宋体" w:cs="仿宋"/>
          <w:color w:val="auto"/>
          <w:highlight w:val="none"/>
          <w:u w:val="single"/>
        </w:rPr>
      </w:pPr>
      <w:r>
        <w:rPr>
          <w:rFonts w:hint="eastAsia" w:ascii="宋体" w:hAnsi="宋体" w:cs="仿宋"/>
          <w:color w:val="auto"/>
          <w:highlight w:val="none"/>
        </w:rPr>
        <w:t>承 包 人：</w:t>
      </w:r>
      <w:r>
        <w:rPr>
          <w:rFonts w:hint="eastAsia" w:ascii="宋体" w:hAnsi="宋体" w:cs="仿宋"/>
          <w:bCs/>
          <w:color w:val="auto"/>
          <w:highlight w:val="none"/>
        </w:rPr>
        <w:t xml:space="preserve"> </w:t>
      </w:r>
      <w:r>
        <w:rPr>
          <w:rFonts w:hint="eastAsia" w:ascii="宋体" w:hAnsi="宋体" w:cs="仿宋"/>
          <w:bCs/>
          <w:color w:val="auto"/>
          <w:highlight w:val="none"/>
          <w:u w:val="single"/>
        </w:rPr>
        <w:t xml:space="preserve">         </w:t>
      </w:r>
      <w:r>
        <w:rPr>
          <w:rFonts w:hint="eastAsia" w:ascii="宋体" w:hAnsi="宋体" w:cs="仿宋"/>
          <w:bCs/>
          <w:color w:val="auto"/>
          <w:highlight w:val="none"/>
        </w:rPr>
        <w:t>（</w:t>
      </w:r>
      <w:r>
        <w:rPr>
          <w:rFonts w:hint="eastAsia" w:ascii="宋体" w:hAnsi="宋体" w:cs="仿宋"/>
          <w:color w:val="auto"/>
          <w:highlight w:val="none"/>
        </w:rPr>
        <w:t>以下简称“乙方”）</w:t>
      </w:r>
    </w:p>
    <w:p w14:paraId="468601E4">
      <w:pPr>
        <w:widowControl/>
        <w:spacing w:line="288" w:lineRule="auto"/>
        <w:jc w:val="left"/>
        <w:rPr>
          <w:rFonts w:hint="eastAsia" w:ascii="宋体" w:hAnsi="宋体" w:cs="仿宋"/>
          <w:color w:val="auto"/>
          <w:kern w:val="0"/>
          <w:highlight w:val="none"/>
        </w:rPr>
      </w:pPr>
      <w:r>
        <w:rPr>
          <w:rFonts w:hint="eastAsia" w:ascii="宋体" w:hAnsi="宋体" w:cs="仿宋"/>
          <w:color w:val="auto"/>
          <w:kern w:val="0"/>
          <w:highlight w:val="none"/>
        </w:rPr>
        <w:t xml:space="preserve">  为贯彻“安全第一，预防为主”的方针，根据《中华人民共和国安全生产法》和国家有关法规，明确双方的安全生产责任，确保施工安全，双方在签订建筑安装工程合同的同时，签订本协议。</w:t>
      </w:r>
    </w:p>
    <w:p w14:paraId="4F8A4495">
      <w:pPr>
        <w:spacing w:line="288" w:lineRule="auto"/>
        <w:jc w:val="left"/>
        <w:rPr>
          <w:rFonts w:hint="eastAsia" w:ascii="宋体" w:hAnsi="宋体" w:cs="仿宋"/>
          <w:color w:val="auto"/>
          <w:kern w:val="0"/>
          <w:highlight w:val="none"/>
        </w:rPr>
      </w:pPr>
      <w:r>
        <w:rPr>
          <w:rFonts w:hint="eastAsia" w:ascii="宋体" w:hAnsi="宋体" w:cs="仿宋"/>
          <w:color w:val="auto"/>
          <w:kern w:val="0"/>
          <w:highlight w:val="none"/>
        </w:rPr>
        <w:t>一、承包工程项目</w:t>
      </w:r>
    </w:p>
    <w:p w14:paraId="1708B8D2">
      <w:pPr>
        <w:spacing w:line="288" w:lineRule="auto"/>
        <w:ind w:firstLine="422" w:firstLineChars="201"/>
        <w:jc w:val="left"/>
        <w:rPr>
          <w:rFonts w:hint="eastAsia" w:ascii="宋体" w:hAnsi="宋体" w:cs="仿宋"/>
          <w:bCs/>
          <w:color w:val="auto"/>
          <w:kern w:val="0"/>
          <w:highlight w:val="none"/>
          <w:u w:val="single"/>
        </w:rPr>
      </w:pPr>
      <w:r>
        <w:rPr>
          <w:rFonts w:hint="eastAsia" w:ascii="宋体" w:hAnsi="宋体" w:cs="仿宋"/>
          <w:color w:val="auto"/>
          <w:kern w:val="0"/>
          <w:highlight w:val="none"/>
        </w:rPr>
        <w:t>1</w:t>
      </w:r>
      <w:r>
        <w:rPr>
          <w:rFonts w:hint="eastAsia" w:ascii="宋体" w:hAnsi="宋体" w:cs="仿宋"/>
          <w:color w:val="auto"/>
          <w:highlight w:val="none"/>
        </w:rPr>
        <w:t>．</w:t>
      </w:r>
      <w:r>
        <w:rPr>
          <w:rFonts w:hint="eastAsia" w:ascii="宋体" w:hAnsi="宋体" w:cs="仿宋"/>
          <w:color w:val="auto"/>
          <w:kern w:val="0"/>
          <w:highlight w:val="none"/>
        </w:rPr>
        <w:t>工程名称：</w:t>
      </w:r>
      <w:r>
        <w:rPr>
          <w:rFonts w:hint="eastAsia" w:ascii="宋体" w:hAnsi="宋体" w:cs="仿宋"/>
          <w:color w:val="auto"/>
          <w:kern w:val="0"/>
          <w:highlight w:val="none"/>
          <w:u w:val="single"/>
        </w:rPr>
        <w:t xml:space="preserve">                </w:t>
      </w:r>
    </w:p>
    <w:p w14:paraId="302422F5">
      <w:pPr>
        <w:spacing w:line="288" w:lineRule="auto"/>
        <w:ind w:firstLine="422" w:firstLineChars="201"/>
        <w:jc w:val="left"/>
        <w:rPr>
          <w:rFonts w:hint="eastAsia" w:ascii="宋体" w:hAnsi="宋体" w:cs="仿宋"/>
          <w:bCs/>
          <w:color w:val="auto"/>
          <w:kern w:val="0"/>
          <w:highlight w:val="none"/>
          <w:u w:val="single"/>
        </w:rPr>
      </w:pPr>
      <w:r>
        <w:rPr>
          <w:rFonts w:hint="eastAsia" w:ascii="宋体" w:hAnsi="宋体" w:cs="仿宋"/>
          <w:bCs/>
          <w:color w:val="auto"/>
          <w:kern w:val="0"/>
          <w:highlight w:val="none"/>
        </w:rPr>
        <w:t>2</w:t>
      </w:r>
      <w:r>
        <w:rPr>
          <w:rFonts w:hint="eastAsia" w:ascii="宋体" w:hAnsi="宋体" w:cs="仿宋"/>
          <w:color w:val="auto"/>
          <w:highlight w:val="none"/>
        </w:rPr>
        <w:t>．</w:t>
      </w:r>
      <w:r>
        <w:rPr>
          <w:rFonts w:hint="eastAsia" w:ascii="宋体" w:hAnsi="宋体" w:cs="仿宋"/>
          <w:bCs/>
          <w:color w:val="auto"/>
          <w:kern w:val="0"/>
          <w:highlight w:val="none"/>
        </w:rPr>
        <w:t>工程地址：</w:t>
      </w:r>
      <w:r>
        <w:rPr>
          <w:rFonts w:hint="eastAsia" w:ascii="宋体" w:hAnsi="宋体" w:cs="仿宋"/>
          <w:bCs/>
          <w:color w:val="auto"/>
          <w:kern w:val="0"/>
          <w:highlight w:val="none"/>
          <w:u w:val="single"/>
        </w:rPr>
        <w:t xml:space="preserve">                </w:t>
      </w:r>
    </w:p>
    <w:p w14:paraId="7E91B369">
      <w:pPr>
        <w:spacing w:line="288" w:lineRule="auto"/>
        <w:ind w:firstLine="422" w:firstLineChars="201"/>
        <w:jc w:val="left"/>
        <w:rPr>
          <w:rFonts w:hint="eastAsia" w:ascii="宋体" w:hAnsi="宋体" w:cs="仿宋"/>
          <w:bCs/>
          <w:color w:val="auto"/>
          <w:kern w:val="0"/>
          <w:highlight w:val="none"/>
          <w:u w:val="single"/>
        </w:rPr>
      </w:pPr>
      <w:r>
        <w:rPr>
          <w:rFonts w:hint="eastAsia" w:ascii="宋体" w:hAnsi="宋体"/>
          <w:bCs/>
          <w:color w:val="auto"/>
          <w:highlight w:val="none"/>
        </w:rPr>
        <w:t>3</w:t>
      </w:r>
      <w:r>
        <w:rPr>
          <w:rFonts w:hint="eastAsia" w:ascii="宋体" w:hAnsi="宋体" w:cs="仿宋"/>
          <w:color w:val="auto"/>
          <w:highlight w:val="none"/>
        </w:rPr>
        <w:t>．</w:t>
      </w:r>
      <w:r>
        <w:rPr>
          <w:rFonts w:hint="eastAsia" w:ascii="宋体" w:hAnsi="宋体" w:cs="仿宋"/>
          <w:bCs/>
          <w:color w:val="auto"/>
          <w:highlight w:val="none"/>
        </w:rPr>
        <w:t>承包范围：</w:t>
      </w:r>
      <w:r>
        <w:rPr>
          <w:rFonts w:hint="eastAsia" w:ascii="宋体" w:hAnsi="宋体" w:cs="仿宋"/>
          <w:bCs/>
          <w:color w:val="auto"/>
          <w:highlight w:val="none"/>
          <w:u w:val="single"/>
        </w:rPr>
        <w:t xml:space="preserve"> </w:t>
      </w:r>
      <w:r>
        <w:rPr>
          <w:rFonts w:ascii="宋体" w:hAnsi="宋体" w:cs="仿宋"/>
          <w:bCs/>
          <w:color w:val="auto"/>
          <w:highlight w:val="none"/>
          <w:u w:val="single"/>
        </w:rPr>
        <w:t xml:space="preserve">               </w:t>
      </w:r>
    </w:p>
    <w:p w14:paraId="2DBC0E72">
      <w:pPr>
        <w:pStyle w:val="27"/>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二、协议期限：</w:t>
      </w:r>
      <w:r>
        <w:rPr>
          <w:rFonts w:hint="eastAsia" w:ascii="宋体" w:hAnsi="宋体" w:eastAsia="宋体" w:cs="宋体"/>
          <w:bCs/>
          <w:color w:val="auto"/>
          <w:sz w:val="21"/>
          <w:szCs w:val="21"/>
          <w:highlight w:val="none"/>
          <w:u w:val="single"/>
        </w:rPr>
        <w:t xml:space="preserve">同本项目施工合同 </w:t>
      </w:r>
    </w:p>
    <w:p w14:paraId="1A46EA98">
      <w:pPr>
        <w:pStyle w:val="27"/>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三、协议内容</w:t>
      </w:r>
    </w:p>
    <w:p w14:paraId="58AC2C28">
      <w:pPr>
        <w:spacing w:line="288" w:lineRule="auto"/>
        <w:ind w:firstLine="510"/>
        <w:jc w:val="left"/>
        <w:rPr>
          <w:rFonts w:hint="eastAsia" w:ascii="宋体" w:hAnsi="宋体" w:cs="仿宋"/>
          <w:color w:val="auto"/>
          <w:kern w:val="0"/>
          <w:highlight w:val="none"/>
        </w:rPr>
      </w:pPr>
      <w:r>
        <w:rPr>
          <w:rFonts w:hint="eastAsia" w:ascii="宋体" w:hAnsi="宋体" w:cs="仿宋"/>
          <w:color w:val="auto"/>
          <w:kern w:val="0"/>
          <w:highlight w:val="none"/>
        </w:rPr>
        <w:t>1．甲乙双方必须认真贯彻国家法律、法规和地方部门规章、上级劳动保护及安全生产主管部门颁发的有关安全生产、消防工作的方针、政策，并应严格执行有关劳动保护法规、条例、规定。</w:t>
      </w:r>
    </w:p>
    <w:p w14:paraId="35E8FB6E">
      <w:pPr>
        <w:spacing w:line="288" w:lineRule="auto"/>
        <w:ind w:firstLine="510"/>
        <w:jc w:val="left"/>
        <w:rPr>
          <w:rFonts w:hint="eastAsia" w:ascii="宋体" w:hAnsi="宋体" w:cs="仿宋"/>
          <w:color w:val="auto"/>
          <w:kern w:val="0"/>
          <w:highlight w:val="none"/>
        </w:rPr>
      </w:pPr>
      <w:r>
        <w:rPr>
          <w:rFonts w:hint="eastAsia" w:ascii="宋体" w:hAnsi="宋体" w:cs="仿宋"/>
          <w:color w:val="auto"/>
          <w:kern w:val="0"/>
          <w:highlight w:val="none"/>
        </w:rPr>
        <w:t>2．甲乙双方都应严格遵守各自责任、权利和义务。</w:t>
      </w:r>
    </w:p>
    <w:p w14:paraId="01DC74A0">
      <w:pPr>
        <w:spacing w:line="288" w:lineRule="auto"/>
        <w:jc w:val="left"/>
        <w:rPr>
          <w:rFonts w:hint="eastAsia" w:ascii="宋体" w:hAnsi="宋体" w:cs="仿宋"/>
          <w:color w:val="auto"/>
          <w:kern w:val="0"/>
          <w:highlight w:val="none"/>
        </w:rPr>
      </w:pPr>
      <w:r>
        <w:rPr>
          <w:rFonts w:hint="eastAsia" w:ascii="宋体" w:hAnsi="宋体" w:eastAsia="宋体" w:cs="宋体"/>
          <w:color w:val="auto"/>
          <w:sz w:val="21"/>
          <w:szCs w:val="21"/>
          <w:highlight w:val="none"/>
        </w:rPr>
        <w:t>四、甲方的责任、权利和义务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w:t>
      </w:r>
      <w:r>
        <w:rPr>
          <w:rFonts w:hint="eastAsia" w:ascii="宋体" w:hAnsi="宋体" w:cs="仿宋"/>
          <w:color w:val="auto"/>
          <w:kern w:val="0"/>
          <w:highlight w:val="none"/>
        </w:rPr>
        <w:t>1．加强对安全生产工作的指导、支持、监督，督促施工单位依法履行安全生产的管理职责。</w:t>
      </w:r>
      <w:r>
        <w:rPr>
          <w:rFonts w:hint="eastAsia" w:ascii="宋体" w:hAnsi="宋体" w:cs="仿宋"/>
          <w:color w:val="auto"/>
          <w:kern w:val="0"/>
          <w:highlight w:val="none"/>
        </w:rPr>
        <w:br w:type="textWrapping"/>
      </w:r>
      <w:r>
        <w:rPr>
          <w:rFonts w:hint="eastAsia" w:ascii="宋体" w:hAnsi="宋体" w:cs="仿宋"/>
          <w:color w:val="auto"/>
          <w:kern w:val="0"/>
          <w:highlight w:val="none"/>
        </w:rPr>
        <w:t xml:space="preserve">    2．随时对乙方安全文明生产情况进行监督检查，并作好现场记录。</w:t>
      </w:r>
      <w:r>
        <w:rPr>
          <w:rFonts w:hint="eastAsia" w:ascii="宋体" w:hAnsi="宋体" w:cs="仿宋"/>
          <w:color w:val="auto"/>
          <w:kern w:val="0"/>
          <w:highlight w:val="none"/>
        </w:rPr>
        <w:br w:type="textWrapping"/>
      </w:r>
      <w:r>
        <w:rPr>
          <w:rFonts w:hint="eastAsia" w:ascii="宋体" w:hAnsi="宋体" w:cs="仿宋"/>
          <w:color w:val="auto"/>
          <w:kern w:val="0"/>
          <w:highlight w:val="none"/>
        </w:rPr>
        <w:t xml:space="preserve">    3．督促乙方对生产中存在的安全隐患进行整改，及时协调解决各工地之间、工地与周边群众之间的矛盾。</w:t>
      </w:r>
    </w:p>
    <w:p w14:paraId="358331B3">
      <w:pPr>
        <w:spacing w:line="288" w:lineRule="auto"/>
        <w:ind w:firstLine="510"/>
        <w:jc w:val="left"/>
        <w:rPr>
          <w:rFonts w:hint="eastAsia" w:ascii="宋体" w:hAnsi="宋体" w:cs="仿宋"/>
          <w:color w:val="auto"/>
          <w:kern w:val="0"/>
          <w:szCs w:val="21"/>
          <w:highlight w:val="none"/>
        </w:rPr>
      </w:pPr>
      <w:r>
        <w:rPr>
          <w:rFonts w:hint="eastAsia" w:ascii="宋体" w:hAnsi="宋体" w:cs="仿宋"/>
          <w:color w:val="auto"/>
          <w:kern w:val="0"/>
          <w:highlight w:val="none"/>
        </w:rPr>
        <w:t>4．每季度末按国家住房和城乡建设部JGJ59—2011标准和地方规范标准对乙方进行考核，作为工程竣工验收安全文明施工合格与</w:t>
      </w:r>
      <w:r>
        <w:rPr>
          <w:rFonts w:hint="eastAsia" w:ascii="宋体" w:hAnsi="宋体" w:eastAsia="宋体" w:cs="宋体"/>
          <w:color w:val="auto"/>
          <w:kern w:val="0"/>
          <w:sz w:val="21"/>
          <w:szCs w:val="21"/>
          <w:highlight w:val="none"/>
        </w:rPr>
        <w:t>不合格的依据。</w:t>
      </w:r>
      <w:r>
        <w:rPr>
          <w:rFonts w:hint="eastAsia" w:ascii="宋体" w:hAnsi="宋体" w:eastAsia="宋体" w:cs="宋体"/>
          <w:color w:val="auto"/>
          <w:kern w:val="0"/>
          <w:sz w:val="21"/>
          <w:szCs w:val="21"/>
          <w:highlight w:val="none"/>
        </w:rPr>
        <w:br w:type="textWrapping"/>
      </w:r>
      <w:r>
        <w:rPr>
          <w:rFonts w:hint="eastAsia" w:ascii="宋体" w:hAnsi="宋体" w:cs="仿宋"/>
          <w:color w:val="auto"/>
          <w:kern w:val="0"/>
          <w:highlight w:val="none"/>
        </w:rPr>
        <w:t xml:space="preserve">     5</w:t>
      </w:r>
      <w:r>
        <w:rPr>
          <w:rFonts w:hint="eastAsia" w:ascii="宋体" w:hAnsi="宋体" w:cs="仿宋"/>
          <w:color w:val="auto"/>
          <w:highlight w:val="none"/>
        </w:rPr>
        <w:t>．</w:t>
      </w:r>
      <w:r>
        <w:rPr>
          <w:rFonts w:hint="eastAsia" w:ascii="宋体" w:hAnsi="宋体" w:cs="仿宋"/>
          <w:color w:val="auto"/>
          <w:kern w:val="0"/>
          <w:highlight w:val="none"/>
        </w:rPr>
        <w:t>每月召开一次有项目总监、专业监理工程师和乙方项目经理、安全专职人员参加的安全文明生产会议，通报情况，交流经验，纠正施工中存在的安全隐患问题。</w:t>
      </w:r>
      <w:r>
        <w:rPr>
          <w:rFonts w:hint="eastAsia" w:ascii="宋体" w:hAnsi="宋体" w:cs="仿宋"/>
          <w:color w:val="auto"/>
          <w:kern w:val="0"/>
          <w:highlight w:val="none"/>
        </w:rPr>
        <w:br w:type="textWrapping"/>
      </w:r>
      <w:r>
        <w:rPr>
          <w:rFonts w:hint="eastAsia" w:ascii="宋体" w:hAnsi="宋体" w:cs="仿宋"/>
          <w:color w:val="auto"/>
          <w:kern w:val="0"/>
          <w:highlight w:val="none"/>
        </w:rPr>
        <w:t xml:space="preserve">     6</w:t>
      </w:r>
      <w:r>
        <w:rPr>
          <w:rFonts w:hint="eastAsia" w:ascii="宋体" w:hAnsi="宋体" w:cs="仿宋"/>
          <w:color w:val="auto"/>
          <w:highlight w:val="none"/>
        </w:rPr>
        <w:t>．</w:t>
      </w:r>
      <w:r>
        <w:rPr>
          <w:rFonts w:hint="eastAsia" w:ascii="宋体" w:hAnsi="宋体" w:cs="仿宋"/>
          <w:color w:val="auto"/>
          <w:kern w:val="0"/>
          <w:highlight w:val="none"/>
        </w:rPr>
        <w:t>甲方发现安全隐患，有权责令乙方停工整改，直至排除隐患。</w:t>
      </w:r>
      <w:r>
        <w:rPr>
          <w:rFonts w:hint="eastAsia" w:ascii="宋体" w:hAnsi="宋体" w:cs="仿宋"/>
          <w:color w:val="auto"/>
          <w:kern w:val="0"/>
          <w:highlight w:val="none"/>
        </w:rPr>
        <w:br w:type="textWrapping"/>
      </w:r>
      <w:r>
        <w:rPr>
          <w:rFonts w:hint="eastAsia" w:ascii="宋体" w:hAnsi="宋体" w:cs="仿宋"/>
          <w:color w:val="auto"/>
          <w:kern w:val="0"/>
          <w:highlight w:val="none"/>
        </w:rPr>
        <w:t xml:space="preserve">     7</w:t>
      </w:r>
      <w:r>
        <w:rPr>
          <w:rFonts w:hint="eastAsia" w:ascii="宋体" w:hAnsi="宋体" w:cs="仿宋"/>
          <w:color w:val="auto"/>
          <w:highlight w:val="none"/>
        </w:rPr>
        <w:t>．</w:t>
      </w:r>
      <w:r>
        <w:rPr>
          <w:rFonts w:hint="eastAsia" w:ascii="宋体" w:hAnsi="宋体" w:cs="仿宋"/>
          <w:color w:val="auto"/>
          <w:kern w:val="0"/>
          <w:highlight w:val="none"/>
        </w:rPr>
        <w:t>根据现场的检查记录，确定该标段安全生产、文明施工是否合格。根据有关规定，不合格者，不计取安全文明施工措施费。</w:t>
      </w:r>
    </w:p>
    <w:p w14:paraId="3BEB962B">
      <w:pPr>
        <w:spacing w:line="288" w:lineRule="auto"/>
        <w:jc w:val="left"/>
        <w:rPr>
          <w:rFonts w:hint="eastAsia" w:ascii="宋体" w:hAnsi="宋体" w:cs="仿宋"/>
          <w:color w:val="auto"/>
          <w:kern w:val="0"/>
          <w:highlight w:val="none"/>
        </w:rPr>
      </w:pPr>
      <w:r>
        <w:rPr>
          <w:rFonts w:hint="eastAsia" w:ascii="宋体" w:hAnsi="宋体" w:cs="仿宋"/>
          <w:color w:val="auto"/>
          <w:kern w:val="0"/>
          <w:highlight w:val="none"/>
        </w:rPr>
        <w:t>五、乙方的责任、权利和义务</w:t>
      </w:r>
      <w:r>
        <w:rPr>
          <w:rFonts w:hint="eastAsia" w:ascii="宋体" w:hAnsi="宋体" w:cs="仿宋"/>
          <w:color w:val="auto"/>
          <w:kern w:val="0"/>
          <w:highlight w:val="none"/>
        </w:rPr>
        <w:br w:type="textWrapping"/>
      </w:r>
      <w:r>
        <w:rPr>
          <w:rFonts w:hint="eastAsia" w:ascii="宋体" w:hAnsi="宋体" w:cs="仿宋"/>
          <w:color w:val="auto"/>
          <w:kern w:val="0"/>
          <w:highlight w:val="none"/>
        </w:rPr>
        <w:t xml:space="preserve">     1</w:t>
      </w:r>
      <w:r>
        <w:rPr>
          <w:rFonts w:hint="eastAsia" w:ascii="宋体" w:hAnsi="宋体" w:cs="仿宋"/>
          <w:color w:val="auto"/>
          <w:highlight w:val="none"/>
        </w:rPr>
        <w:t>．</w:t>
      </w:r>
      <w:r>
        <w:rPr>
          <w:rFonts w:hint="eastAsia" w:ascii="宋体" w:hAnsi="宋体" w:cs="仿宋"/>
          <w:color w:val="auto"/>
          <w:kern w:val="0"/>
          <w:highlight w:val="none"/>
        </w:rPr>
        <w:t>乙方应当具备《安全生产法》和有关法律、行政法规和国家标准规定的安全生产条件，不具备安全条件的不得进行施工作业。</w:t>
      </w:r>
      <w:r>
        <w:rPr>
          <w:rFonts w:hint="eastAsia" w:ascii="宋体" w:hAnsi="宋体" w:cs="仿宋"/>
          <w:color w:val="auto"/>
          <w:kern w:val="0"/>
          <w:highlight w:val="none"/>
        </w:rPr>
        <w:br w:type="textWrapping"/>
      </w:r>
      <w:r>
        <w:rPr>
          <w:rFonts w:hint="eastAsia" w:ascii="宋体" w:hAnsi="宋体" w:cs="仿宋"/>
          <w:color w:val="auto"/>
          <w:kern w:val="0"/>
          <w:highlight w:val="none"/>
        </w:rPr>
        <w:t xml:space="preserve">     2</w:t>
      </w:r>
      <w:r>
        <w:rPr>
          <w:rFonts w:hint="eastAsia" w:ascii="宋体" w:hAnsi="宋体" w:cs="仿宋"/>
          <w:color w:val="auto"/>
          <w:highlight w:val="none"/>
        </w:rPr>
        <w:t>．</w:t>
      </w:r>
      <w:r>
        <w:rPr>
          <w:rFonts w:hint="eastAsia" w:ascii="宋体" w:hAnsi="宋体" w:cs="仿宋"/>
          <w:color w:val="auto"/>
          <w:kern w:val="0"/>
          <w:highlight w:val="none"/>
        </w:rPr>
        <w:t>严格执行宁波市有关建筑工程安全生产、文明施工的相关规定和住房和城乡建设部JGJ59—2011标准，并接受甲方和建设行政管理部门的检查监督、考核。</w:t>
      </w:r>
      <w:r>
        <w:rPr>
          <w:rFonts w:hint="eastAsia" w:ascii="宋体" w:hAnsi="宋体" w:cs="仿宋"/>
          <w:color w:val="auto"/>
          <w:kern w:val="0"/>
          <w:highlight w:val="none"/>
        </w:rPr>
        <w:br w:type="textWrapping"/>
      </w:r>
      <w:r>
        <w:rPr>
          <w:rFonts w:hint="eastAsia" w:ascii="宋体" w:hAnsi="宋体" w:cs="仿宋"/>
          <w:color w:val="auto"/>
          <w:kern w:val="0"/>
          <w:highlight w:val="none"/>
        </w:rPr>
        <w:t xml:space="preserve">     3</w:t>
      </w:r>
      <w:r>
        <w:rPr>
          <w:rFonts w:hint="eastAsia" w:ascii="宋体" w:hAnsi="宋体" w:cs="仿宋"/>
          <w:color w:val="auto"/>
          <w:highlight w:val="none"/>
        </w:rPr>
        <w:t>．</w:t>
      </w:r>
      <w:r>
        <w:rPr>
          <w:rFonts w:hint="eastAsia" w:ascii="宋体" w:hAnsi="宋体" w:cs="仿宋"/>
          <w:color w:val="auto"/>
          <w:kern w:val="0"/>
          <w:highlight w:val="none"/>
        </w:rPr>
        <w:t>乙方主要负责人的职责：</w:t>
      </w:r>
      <w:r>
        <w:rPr>
          <w:rFonts w:hint="eastAsia" w:ascii="宋体" w:hAnsi="宋体" w:cs="仿宋"/>
          <w:color w:val="auto"/>
          <w:kern w:val="0"/>
          <w:highlight w:val="none"/>
        </w:rPr>
        <w:br w:type="textWrapping"/>
      </w:r>
      <w:r>
        <w:rPr>
          <w:rFonts w:hint="eastAsia" w:ascii="宋体" w:hAnsi="宋体" w:cs="仿宋"/>
          <w:color w:val="auto"/>
          <w:kern w:val="0"/>
          <w:highlight w:val="none"/>
        </w:rPr>
        <w:t xml:space="preserve">   （1）建立、健全本单位安全生产责任制，对现场安全生产负总责，制定安全生产规章制度和操作规程，落实专职安全人员，确保本单位安全文明生产费用发挥有效作用。</w:t>
      </w:r>
      <w:r>
        <w:rPr>
          <w:rFonts w:hint="eastAsia" w:ascii="宋体" w:hAnsi="宋体" w:cs="仿宋"/>
          <w:color w:val="auto"/>
          <w:kern w:val="0"/>
          <w:highlight w:val="none"/>
        </w:rPr>
        <w:br w:type="textWrapping"/>
      </w:r>
      <w:r>
        <w:rPr>
          <w:rFonts w:hint="eastAsia" w:ascii="宋体" w:hAnsi="宋体" w:cs="仿宋"/>
          <w:color w:val="auto"/>
          <w:kern w:val="0"/>
          <w:highlight w:val="none"/>
        </w:rPr>
        <w:t xml:space="preserve">  （2）督促、检查本单位的安全生产工作，及时消除安全事故隐患。</w:t>
      </w:r>
      <w:r>
        <w:rPr>
          <w:rFonts w:hint="eastAsia" w:ascii="宋体" w:hAnsi="宋体" w:cs="仿宋"/>
          <w:color w:val="auto"/>
          <w:kern w:val="0"/>
          <w:highlight w:val="none"/>
        </w:rPr>
        <w:br w:type="textWrapping"/>
      </w:r>
      <w:r>
        <w:rPr>
          <w:rFonts w:hint="eastAsia" w:ascii="宋体" w:hAnsi="宋体" w:cs="仿宋"/>
          <w:color w:val="auto"/>
          <w:kern w:val="0"/>
          <w:highlight w:val="none"/>
        </w:rPr>
        <w:t xml:space="preserve">  （3）制定安全事故应急救援预案，若遇险情，及时启动。</w:t>
      </w:r>
      <w:r>
        <w:rPr>
          <w:rFonts w:hint="eastAsia" w:ascii="宋体" w:hAnsi="宋体" w:cs="仿宋"/>
          <w:color w:val="auto"/>
          <w:kern w:val="0"/>
          <w:highlight w:val="none"/>
        </w:rPr>
        <w:br w:type="textWrapping"/>
      </w:r>
      <w:r>
        <w:rPr>
          <w:rFonts w:hint="eastAsia" w:ascii="宋体" w:hAnsi="宋体" w:cs="仿宋"/>
          <w:color w:val="auto"/>
          <w:kern w:val="0"/>
          <w:highlight w:val="none"/>
        </w:rPr>
        <w:t xml:space="preserve">  （4）及时如实向项目经理部和有关职能部门报告安全事故。</w:t>
      </w:r>
    </w:p>
    <w:p w14:paraId="5F2D39F6">
      <w:pPr>
        <w:spacing w:line="288" w:lineRule="auto"/>
        <w:ind w:firstLine="420" w:firstLineChars="200"/>
        <w:jc w:val="left"/>
        <w:rPr>
          <w:rFonts w:hint="eastAsia" w:ascii="宋体" w:hAnsi="宋体" w:cs="仿宋"/>
          <w:color w:val="auto"/>
          <w:kern w:val="0"/>
          <w:highlight w:val="none"/>
        </w:rPr>
      </w:pPr>
      <w:r>
        <w:rPr>
          <w:rFonts w:hint="eastAsia" w:ascii="宋体" w:hAnsi="宋体" w:cs="仿宋"/>
          <w:color w:val="auto"/>
          <w:kern w:val="0"/>
          <w:highlight w:val="none"/>
        </w:rPr>
        <w:t>4</w:t>
      </w:r>
      <w:r>
        <w:rPr>
          <w:rFonts w:hint="eastAsia" w:ascii="宋体" w:hAnsi="宋体" w:cs="仿宋"/>
          <w:color w:val="auto"/>
          <w:highlight w:val="none"/>
        </w:rPr>
        <w:t>．</w:t>
      </w:r>
      <w:r>
        <w:rPr>
          <w:rFonts w:hint="eastAsia" w:ascii="宋体" w:hAnsi="宋体" w:cs="仿宋"/>
          <w:color w:val="auto"/>
          <w:kern w:val="0"/>
          <w:highlight w:val="none"/>
        </w:rPr>
        <w:t>保证对具备安全生产条件所必需资金的投入，并对由于安全生产所必须的资金投入不足导致的后果承担责任。</w:t>
      </w:r>
      <w:r>
        <w:rPr>
          <w:rFonts w:hint="eastAsia" w:ascii="宋体" w:hAnsi="宋体" w:cs="仿宋"/>
          <w:color w:val="auto"/>
          <w:kern w:val="0"/>
          <w:highlight w:val="none"/>
        </w:rPr>
        <w:br w:type="textWrapping"/>
      </w:r>
      <w:r>
        <w:rPr>
          <w:rFonts w:hint="eastAsia" w:ascii="宋体" w:hAnsi="宋体" w:cs="仿宋"/>
          <w:color w:val="auto"/>
          <w:kern w:val="0"/>
          <w:highlight w:val="none"/>
        </w:rPr>
        <w:t xml:space="preserve">    5</w:t>
      </w:r>
      <w:r>
        <w:rPr>
          <w:rFonts w:hint="eastAsia" w:ascii="宋体" w:hAnsi="宋体" w:cs="仿宋"/>
          <w:color w:val="auto"/>
          <w:highlight w:val="none"/>
        </w:rPr>
        <w:t>．</w:t>
      </w:r>
      <w:r>
        <w:rPr>
          <w:rFonts w:hint="eastAsia" w:ascii="宋体" w:hAnsi="宋体" w:cs="仿宋"/>
          <w:color w:val="auto"/>
          <w:kern w:val="0"/>
          <w:highlight w:val="none"/>
        </w:rPr>
        <w:t>按照国家和地方规定(从业人员300人以下)乙方应配备专职或兼职的安全管理人员，或者委托具有国家规定的相关专业技术资格的工程技术人员提供安全生产管理服务，但保证安全生产的责任仍由乙方负责。</w:t>
      </w:r>
      <w:r>
        <w:rPr>
          <w:rFonts w:hint="eastAsia" w:ascii="宋体" w:hAnsi="宋体" w:cs="仿宋"/>
          <w:color w:val="auto"/>
          <w:kern w:val="0"/>
          <w:highlight w:val="none"/>
        </w:rPr>
        <w:br w:type="textWrapping"/>
      </w:r>
      <w:r>
        <w:rPr>
          <w:rFonts w:hint="eastAsia" w:ascii="宋体" w:hAnsi="宋体" w:cs="仿宋"/>
          <w:color w:val="auto"/>
          <w:kern w:val="0"/>
          <w:highlight w:val="none"/>
        </w:rPr>
        <w:t xml:space="preserve">    6</w:t>
      </w:r>
      <w:r>
        <w:rPr>
          <w:rFonts w:hint="eastAsia" w:ascii="宋体" w:hAnsi="宋体" w:cs="仿宋"/>
          <w:color w:val="auto"/>
          <w:highlight w:val="none"/>
        </w:rPr>
        <w:t>．</w:t>
      </w:r>
      <w:r>
        <w:rPr>
          <w:rFonts w:hint="eastAsia" w:ascii="宋体" w:hAnsi="宋体" w:cs="仿宋"/>
          <w:color w:val="auto"/>
          <w:kern w:val="0"/>
          <w:highlight w:val="none"/>
        </w:rPr>
        <w:t>乙方主要负责人和安全生产管理人员必须具备与本单位所从事的工作相适应的安全生产知识和管理能力，并由职能部门考核合格后方可任职。</w:t>
      </w:r>
      <w:r>
        <w:rPr>
          <w:rFonts w:hint="eastAsia" w:ascii="宋体" w:hAnsi="宋体" w:cs="仿宋"/>
          <w:color w:val="auto"/>
          <w:kern w:val="0"/>
          <w:highlight w:val="none"/>
        </w:rPr>
        <w:br w:type="textWrapping"/>
      </w:r>
      <w:r>
        <w:rPr>
          <w:rFonts w:hint="eastAsia" w:ascii="宋体" w:hAnsi="宋体" w:cs="仿宋"/>
          <w:color w:val="auto"/>
          <w:kern w:val="0"/>
          <w:highlight w:val="none"/>
        </w:rPr>
        <w:t xml:space="preserve">    7</w:t>
      </w:r>
      <w:r>
        <w:rPr>
          <w:rFonts w:hint="eastAsia" w:ascii="宋体" w:hAnsi="宋体" w:cs="仿宋"/>
          <w:color w:val="auto"/>
          <w:highlight w:val="none"/>
        </w:rPr>
        <w:t>．</w:t>
      </w:r>
      <w:r>
        <w:rPr>
          <w:rFonts w:hint="eastAsia" w:ascii="宋体" w:hAnsi="宋体" w:cs="仿宋"/>
          <w:color w:val="auto"/>
          <w:kern w:val="0"/>
          <w:highlight w:val="none"/>
        </w:rPr>
        <w:t>根据《安全生产法》的规定，乙方应对从业人员进行安全教育和</w:t>
      </w:r>
      <w:r>
        <w:rPr>
          <w:rFonts w:ascii="宋体" w:hAnsi="宋体" w:cs="仿宋"/>
          <w:color w:val="auto"/>
          <w:kern w:val="0"/>
          <w:highlight w:val="none"/>
        </w:rPr>
        <w:fldChar w:fldCharType="begin"/>
      </w:r>
      <w:r>
        <w:rPr>
          <w:rFonts w:ascii="宋体" w:hAnsi="宋体" w:cs="仿宋"/>
          <w:color w:val="auto"/>
          <w:kern w:val="0"/>
          <w:highlight w:val="none"/>
        </w:rPr>
        <w:instrText xml:space="preserve"> HYPERLINK "http://www.aqpx.cn/" </w:instrText>
      </w:r>
      <w:r>
        <w:rPr>
          <w:rFonts w:ascii="宋体" w:hAnsi="宋体" w:cs="仿宋"/>
          <w:color w:val="auto"/>
          <w:kern w:val="0"/>
          <w:highlight w:val="none"/>
        </w:rPr>
        <w:fldChar w:fldCharType="separate"/>
      </w:r>
      <w:r>
        <w:rPr>
          <w:rFonts w:hint="eastAsia" w:ascii="宋体" w:hAnsi="宋体"/>
          <w:color w:val="auto"/>
          <w:kern w:val="0"/>
          <w:highlight w:val="none"/>
        </w:rPr>
        <w:t>培训</w:t>
      </w:r>
      <w:r>
        <w:rPr>
          <w:rFonts w:ascii="宋体" w:hAnsi="宋体" w:cs="仿宋"/>
          <w:color w:val="auto"/>
          <w:kern w:val="0"/>
          <w:highlight w:val="none"/>
        </w:rPr>
        <w:fldChar w:fldCharType="end"/>
      </w:r>
      <w:r>
        <w:rPr>
          <w:rFonts w:hint="eastAsia" w:ascii="宋体" w:hAnsi="宋体" w:cs="仿宋"/>
          <w:color w:val="auto"/>
          <w:kern w:val="0"/>
          <w:highlight w:val="none"/>
        </w:rPr>
        <w:t>，保证从业人员具备安全生产知识，熟悉安全生产规章制度和安全操作规程，掌握本岗位的安全操作技能，未经安全生产教育</w:t>
      </w:r>
      <w:r>
        <w:rPr>
          <w:rFonts w:ascii="宋体" w:hAnsi="宋体" w:cs="仿宋"/>
          <w:color w:val="auto"/>
          <w:kern w:val="0"/>
          <w:highlight w:val="none"/>
        </w:rPr>
        <w:fldChar w:fldCharType="begin"/>
      </w:r>
      <w:r>
        <w:rPr>
          <w:rFonts w:ascii="宋体" w:hAnsi="宋体" w:cs="仿宋"/>
          <w:color w:val="auto"/>
          <w:kern w:val="0"/>
          <w:highlight w:val="none"/>
        </w:rPr>
        <w:instrText xml:space="preserve"> HYPERLINK "http://www.aqpx.cn/" </w:instrText>
      </w:r>
      <w:r>
        <w:rPr>
          <w:rFonts w:ascii="宋体" w:hAnsi="宋体" w:cs="仿宋"/>
          <w:color w:val="auto"/>
          <w:kern w:val="0"/>
          <w:highlight w:val="none"/>
        </w:rPr>
        <w:fldChar w:fldCharType="separate"/>
      </w:r>
      <w:r>
        <w:rPr>
          <w:rFonts w:hint="eastAsia" w:ascii="宋体" w:hAnsi="宋体"/>
          <w:color w:val="auto"/>
          <w:kern w:val="0"/>
          <w:highlight w:val="none"/>
        </w:rPr>
        <w:t>培训</w:t>
      </w:r>
      <w:r>
        <w:rPr>
          <w:rFonts w:ascii="宋体" w:hAnsi="宋体" w:cs="仿宋"/>
          <w:color w:val="auto"/>
          <w:kern w:val="0"/>
          <w:highlight w:val="none"/>
        </w:rPr>
        <w:fldChar w:fldCharType="end"/>
      </w:r>
      <w:r>
        <w:rPr>
          <w:rFonts w:hint="eastAsia" w:ascii="宋体" w:hAnsi="宋体" w:cs="仿宋"/>
          <w:color w:val="auto"/>
          <w:kern w:val="0"/>
          <w:highlight w:val="none"/>
        </w:rPr>
        <w:t>合格的人员不得上岗作业。</w:t>
      </w:r>
      <w:r>
        <w:rPr>
          <w:rFonts w:hint="eastAsia" w:ascii="宋体" w:hAnsi="宋体" w:cs="仿宋"/>
          <w:color w:val="auto"/>
          <w:kern w:val="0"/>
          <w:highlight w:val="none"/>
        </w:rPr>
        <w:br w:type="textWrapping"/>
      </w:r>
      <w:r>
        <w:rPr>
          <w:rFonts w:hint="eastAsia" w:ascii="宋体" w:hAnsi="宋体" w:cs="仿宋"/>
          <w:color w:val="auto"/>
          <w:kern w:val="0"/>
          <w:highlight w:val="none"/>
        </w:rPr>
        <w:t xml:space="preserve">    8</w:t>
      </w:r>
      <w:r>
        <w:rPr>
          <w:rFonts w:hint="eastAsia" w:ascii="宋体" w:hAnsi="宋体" w:cs="仿宋"/>
          <w:color w:val="auto"/>
          <w:highlight w:val="none"/>
        </w:rPr>
        <w:t>．</w:t>
      </w:r>
      <w:r>
        <w:rPr>
          <w:rFonts w:hint="eastAsia" w:ascii="宋体" w:hAnsi="宋体" w:cs="仿宋"/>
          <w:color w:val="auto"/>
          <w:kern w:val="0"/>
          <w:highlight w:val="none"/>
        </w:rPr>
        <w:t>对有较大危险因素的作业场所和有关设施、设备要设置明显的安全警示标志。</w:t>
      </w:r>
      <w:r>
        <w:rPr>
          <w:rFonts w:hint="eastAsia" w:ascii="宋体" w:hAnsi="宋体" w:cs="仿宋"/>
          <w:color w:val="auto"/>
          <w:kern w:val="0"/>
          <w:highlight w:val="none"/>
        </w:rPr>
        <w:br w:type="textWrapping"/>
      </w:r>
      <w:r>
        <w:rPr>
          <w:rFonts w:hint="eastAsia" w:ascii="宋体" w:hAnsi="宋体" w:cs="仿宋"/>
          <w:color w:val="auto"/>
          <w:kern w:val="0"/>
          <w:highlight w:val="none"/>
        </w:rPr>
        <w:t xml:space="preserve">    9</w:t>
      </w:r>
      <w:r>
        <w:rPr>
          <w:rFonts w:hint="eastAsia" w:ascii="宋体" w:hAnsi="宋体" w:cs="仿宋"/>
          <w:color w:val="auto"/>
          <w:highlight w:val="none"/>
        </w:rPr>
        <w:t>．</w:t>
      </w:r>
      <w:r>
        <w:rPr>
          <w:rFonts w:hint="eastAsia" w:ascii="宋体" w:hAnsi="宋体" w:cs="仿宋"/>
          <w:color w:val="auto"/>
          <w:kern w:val="0"/>
          <w:highlight w:val="none"/>
        </w:rPr>
        <w:t>料场需放炮作业的，必须经有批准权的机关批准后，方可实施放炮作业，并安排专门人员进行现场管理，确保《爆破安全规程》的遵守和安全措施的落实。</w:t>
      </w:r>
      <w:r>
        <w:rPr>
          <w:rFonts w:hint="eastAsia" w:ascii="宋体" w:hAnsi="宋体" w:cs="仿宋"/>
          <w:color w:val="auto"/>
          <w:kern w:val="0"/>
          <w:highlight w:val="none"/>
        </w:rPr>
        <w:br w:type="textWrapping"/>
      </w:r>
      <w:r>
        <w:rPr>
          <w:rFonts w:hint="eastAsia" w:ascii="宋体" w:hAnsi="宋体" w:cs="仿宋"/>
          <w:color w:val="auto"/>
          <w:kern w:val="0"/>
          <w:highlight w:val="none"/>
        </w:rPr>
        <w:t xml:space="preserve">    10</w:t>
      </w:r>
      <w:r>
        <w:rPr>
          <w:rFonts w:hint="eastAsia" w:ascii="宋体" w:hAnsi="宋体" w:cs="仿宋"/>
          <w:color w:val="auto"/>
          <w:highlight w:val="none"/>
        </w:rPr>
        <w:t>．</w:t>
      </w:r>
      <w:r>
        <w:rPr>
          <w:rFonts w:hint="eastAsia" w:ascii="宋体" w:hAnsi="宋体" w:cs="仿宋"/>
          <w:color w:val="auto"/>
          <w:kern w:val="0"/>
          <w:highlight w:val="none"/>
        </w:rPr>
        <w:t>对爆炸物品的购买、运输、储存、管理使用，必须按国家的法律法规的规定执行。</w:t>
      </w:r>
      <w:r>
        <w:rPr>
          <w:rFonts w:hint="eastAsia" w:ascii="宋体" w:hAnsi="宋体" w:cs="仿宋"/>
          <w:color w:val="auto"/>
          <w:kern w:val="0"/>
          <w:highlight w:val="none"/>
        </w:rPr>
        <w:br w:type="textWrapping"/>
      </w:r>
      <w:r>
        <w:rPr>
          <w:rFonts w:hint="eastAsia" w:ascii="宋体" w:hAnsi="宋体" w:cs="仿宋"/>
          <w:color w:val="auto"/>
          <w:kern w:val="0"/>
          <w:highlight w:val="none"/>
        </w:rPr>
        <w:t xml:space="preserve">    11</w:t>
      </w:r>
      <w:r>
        <w:rPr>
          <w:rFonts w:hint="eastAsia" w:ascii="宋体" w:hAnsi="宋体" w:cs="仿宋"/>
          <w:color w:val="auto"/>
          <w:highlight w:val="none"/>
        </w:rPr>
        <w:t>．</w:t>
      </w:r>
      <w:r>
        <w:rPr>
          <w:rFonts w:hint="eastAsia" w:ascii="宋体" w:hAnsi="宋体" w:cs="仿宋"/>
          <w:color w:val="auto"/>
          <w:kern w:val="0"/>
          <w:highlight w:val="none"/>
        </w:rPr>
        <w:t>甲方及监理单位、安全生产监督检查人员进行安全监督检查时，乙方要主动接受检查，并积极配合，不得拒绝，阻挠和拖延，并在检查记录上签字。</w:t>
      </w:r>
    </w:p>
    <w:p w14:paraId="731C6E83">
      <w:pPr>
        <w:spacing w:line="288" w:lineRule="auto"/>
        <w:ind w:firstLine="420" w:firstLineChars="200"/>
        <w:jc w:val="left"/>
        <w:rPr>
          <w:rFonts w:hint="eastAsia" w:ascii="宋体" w:hAnsi="宋体" w:cs="仿宋"/>
          <w:color w:val="auto"/>
          <w:kern w:val="0"/>
          <w:highlight w:val="none"/>
        </w:rPr>
      </w:pPr>
      <w:r>
        <w:rPr>
          <w:rFonts w:hint="eastAsia" w:ascii="宋体" w:hAnsi="宋体" w:cs="仿宋"/>
          <w:color w:val="auto"/>
          <w:kern w:val="0"/>
          <w:highlight w:val="none"/>
        </w:rPr>
        <w:t>12</w:t>
      </w:r>
      <w:r>
        <w:rPr>
          <w:rFonts w:hint="eastAsia" w:ascii="宋体" w:hAnsi="宋体" w:cs="仿宋"/>
          <w:color w:val="auto"/>
          <w:highlight w:val="none"/>
        </w:rPr>
        <w:t>．</w:t>
      </w:r>
      <w:r>
        <w:rPr>
          <w:rFonts w:hint="eastAsia" w:ascii="宋体" w:hAnsi="宋体" w:cs="仿宋"/>
          <w:color w:val="auto"/>
          <w:kern w:val="0"/>
          <w:highlight w:val="none"/>
        </w:rPr>
        <w:t>运输过程中，遵守有关法律法规的规定，保证车辆、行人、市政设施、专业管线及沿途的建筑物、构筑物的安全，防止污染城市，对造成的损害承担全部责任。</w:t>
      </w:r>
      <w:r>
        <w:rPr>
          <w:rFonts w:hint="eastAsia" w:ascii="宋体" w:hAnsi="宋体" w:cs="仿宋"/>
          <w:color w:val="auto"/>
          <w:kern w:val="0"/>
          <w:highlight w:val="none"/>
        </w:rPr>
        <w:br w:type="textWrapping"/>
      </w:r>
      <w:r>
        <w:rPr>
          <w:rFonts w:hint="eastAsia" w:ascii="宋体" w:hAnsi="宋体" w:cs="仿宋"/>
          <w:color w:val="auto"/>
          <w:kern w:val="0"/>
          <w:highlight w:val="none"/>
        </w:rPr>
        <w:t xml:space="preserve">    13</w:t>
      </w:r>
      <w:r>
        <w:rPr>
          <w:rFonts w:hint="eastAsia" w:ascii="宋体" w:hAnsi="宋体" w:cs="仿宋"/>
          <w:color w:val="auto"/>
          <w:highlight w:val="none"/>
        </w:rPr>
        <w:t>．</w:t>
      </w:r>
      <w:r>
        <w:rPr>
          <w:rFonts w:hint="eastAsia" w:ascii="宋体" w:hAnsi="宋体" w:cs="仿宋"/>
          <w:color w:val="auto"/>
          <w:kern w:val="0"/>
          <w:highlight w:val="none"/>
        </w:rPr>
        <w:t>乙方现场应有专门负责安全、文明施工的管理人员，定期检查，发现问题及时整改；对甲方及监理单位提出的其他有关安全、文明施工等方面问题必须积极配合，认真履行。每月至少召开一次安全文明生产会议，自查自纠不安全因素及隐患，保证工程顺利进行，会议记录上报甲方及监理单位备案。</w:t>
      </w:r>
      <w:r>
        <w:rPr>
          <w:rFonts w:hint="eastAsia" w:ascii="宋体" w:hAnsi="宋体" w:cs="仿宋"/>
          <w:color w:val="auto"/>
          <w:kern w:val="0"/>
          <w:highlight w:val="none"/>
        </w:rPr>
        <w:br w:type="textWrapping"/>
      </w:r>
      <w:r>
        <w:rPr>
          <w:rFonts w:hint="eastAsia" w:ascii="宋体" w:hAnsi="宋体" w:cs="仿宋"/>
          <w:color w:val="auto"/>
          <w:kern w:val="0"/>
          <w:highlight w:val="none"/>
        </w:rPr>
        <w:t xml:space="preserve">    14</w:t>
      </w:r>
      <w:r>
        <w:rPr>
          <w:rFonts w:hint="eastAsia" w:ascii="宋体" w:hAnsi="宋体" w:cs="仿宋"/>
          <w:color w:val="auto"/>
          <w:highlight w:val="none"/>
        </w:rPr>
        <w:t>．</w:t>
      </w:r>
      <w:r>
        <w:rPr>
          <w:rFonts w:hint="eastAsia" w:ascii="宋体" w:hAnsi="宋体" w:cs="仿宋"/>
          <w:color w:val="auto"/>
          <w:kern w:val="0"/>
          <w:highlight w:val="none"/>
        </w:rPr>
        <w:t>施工现场布局及工序安排应考虑噪声、照明控制，严格按照宁波市有关规定执行，避免扰民；施工现场必须设置专用厕所，并有专人管理，严禁随意大小便；生活、生产废水及施工降水未处理合格，不得排入城市下水；不得破坏树木、绿地；土方及建筑垃圾外运过程，严格按程序操作，不得在场内外遗洒，同时应有避免扬尘的措施。</w:t>
      </w:r>
      <w:r>
        <w:rPr>
          <w:rFonts w:hint="eastAsia" w:ascii="宋体" w:hAnsi="宋体" w:cs="仿宋"/>
          <w:color w:val="auto"/>
          <w:kern w:val="0"/>
          <w:highlight w:val="none"/>
        </w:rPr>
        <w:br w:type="textWrapping"/>
      </w:r>
      <w:r>
        <w:rPr>
          <w:rFonts w:hint="eastAsia" w:ascii="宋体" w:hAnsi="宋体" w:cs="仿宋"/>
          <w:color w:val="auto"/>
          <w:kern w:val="0"/>
          <w:highlight w:val="none"/>
        </w:rPr>
        <w:t xml:space="preserve">    15</w:t>
      </w:r>
      <w:r>
        <w:rPr>
          <w:rFonts w:hint="eastAsia" w:ascii="宋体" w:hAnsi="宋体" w:cs="仿宋"/>
          <w:color w:val="auto"/>
          <w:highlight w:val="none"/>
        </w:rPr>
        <w:t>．</w:t>
      </w:r>
      <w:r>
        <w:rPr>
          <w:rFonts w:hint="eastAsia" w:ascii="宋体" w:hAnsi="宋体" w:cs="仿宋"/>
          <w:color w:val="auto"/>
          <w:kern w:val="0"/>
          <w:highlight w:val="none"/>
        </w:rPr>
        <w:t>临时用电必须符合《施工现场临时用电安全技术规范》的要求。固定式配电箱应设置围栏并有明显的安全警示标志，严禁非专业人员接拆电线，防止发生触电事故，严禁使用电炉子等妨碍现场安全的用电设备。</w:t>
      </w:r>
      <w:r>
        <w:rPr>
          <w:rFonts w:hint="eastAsia" w:ascii="宋体" w:hAnsi="宋体" w:cs="仿宋"/>
          <w:color w:val="auto"/>
          <w:kern w:val="0"/>
          <w:highlight w:val="none"/>
        </w:rPr>
        <w:br w:type="textWrapping"/>
      </w:r>
      <w:r>
        <w:rPr>
          <w:rFonts w:hint="eastAsia" w:ascii="宋体" w:hAnsi="宋体" w:cs="仿宋"/>
          <w:color w:val="auto"/>
          <w:kern w:val="0"/>
          <w:highlight w:val="none"/>
        </w:rPr>
        <w:t xml:space="preserve">    16</w:t>
      </w:r>
      <w:r>
        <w:rPr>
          <w:rFonts w:hint="eastAsia" w:ascii="宋体" w:hAnsi="宋体" w:cs="仿宋"/>
          <w:color w:val="auto"/>
          <w:highlight w:val="none"/>
        </w:rPr>
        <w:t>．</w:t>
      </w:r>
      <w:r>
        <w:rPr>
          <w:rFonts w:hint="eastAsia" w:ascii="宋体" w:hAnsi="宋体" w:cs="仿宋"/>
          <w:color w:val="auto"/>
          <w:kern w:val="0"/>
          <w:highlight w:val="none"/>
        </w:rPr>
        <w:t>现场消火栓及其他消防器材配备齐全、位置合理，应有明显的警示标志，严禁挪用，保证消防道路畅通；施工现场严禁吸烟，剧毒、易燃易爆物品及施工动火必须有专人负责管理。</w:t>
      </w:r>
      <w:r>
        <w:rPr>
          <w:rFonts w:hint="eastAsia" w:ascii="宋体" w:hAnsi="宋体" w:cs="仿宋"/>
          <w:color w:val="auto"/>
          <w:kern w:val="0"/>
          <w:highlight w:val="none"/>
        </w:rPr>
        <w:br w:type="textWrapping"/>
      </w:r>
      <w:r>
        <w:rPr>
          <w:rFonts w:hint="eastAsia" w:ascii="宋体" w:hAnsi="宋体" w:cs="仿宋"/>
          <w:color w:val="auto"/>
          <w:kern w:val="0"/>
          <w:highlight w:val="none"/>
        </w:rPr>
        <w:t xml:space="preserve">    17</w:t>
      </w:r>
      <w:r>
        <w:rPr>
          <w:rFonts w:hint="eastAsia" w:ascii="宋体" w:hAnsi="宋体" w:cs="仿宋"/>
          <w:color w:val="auto"/>
          <w:highlight w:val="none"/>
        </w:rPr>
        <w:t>．</w:t>
      </w:r>
      <w:r>
        <w:rPr>
          <w:rFonts w:hint="eastAsia" w:ascii="宋体" w:hAnsi="宋体" w:cs="仿宋"/>
          <w:color w:val="auto"/>
          <w:kern w:val="0"/>
          <w:highlight w:val="none"/>
        </w:rPr>
        <w:t>对整个工程中检查出的违法、违规、违章行为，按宁波市有关规定不计取安全文明施工措施费。安全生产、文明施工措施不落实造成事故的，按有关规定追究责任。</w:t>
      </w:r>
    </w:p>
    <w:p w14:paraId="54B31697">
      <w:pPr>
        <w:spacing w:line="288" w:lineRule="auto"/>
        <w:ind w:firstLine="420" w:firstLineChars="200"/>
        <w:jc w:val="left"/>
        <w:rPr>
          <w:rFonts w:hint="eastAsia" w:ascii="宋体" w:hAnsi="宋体" w:cs="仿宋"/>
          <w:color w:val="auto"/>
          <w:kern w:val="0"/>
          <w:highlight w:val="none"/>
        </w:rPr>
      </w:pPr>
      <w:r>
        <w:rPr>
          <w:rFonts w:hint="eastAsia" w:ascii="宋体" w:hAnsi="宋体" w:cs="仿宋"/>
          <w:color w:val="auto"/>
          <w:kern w:val="0"/>
          <w:highlight w:val="none"/>
        </w:rPr>
        <w:t>18</w:t>
      </w:r>
      <w:r>
        <w:rPr>
          <w:rFonts w:hint="eastAsia" w:ascii="宋体" w:hAnsi="宋体" w:cs="仿宋"/>
          <w:color w:val="auto"/>
          <w:highlight w:val="none"/>
        </w:rPr>
        <w:t>．</w:t>
      </w:r>
      <w:r>
        <w:rPr>
          <w:rFonts w:hint="eastAsia" w:ascii="宋体" w:hAnsi="宋体" w:cs="仿宋"/>
          <w:color w:val="auto"/>
          <w:kern w:val="0"/>
          <w:highlight w:val="none"/>
        </w:rPr>
        <w:t>施工现场应围挡整齐，沿路及重要部位须按甲方要求设置，并保证安全美观，施工标语内容须征得甲方认可；现场布局合理整洁，无杂草、积水、异味，场内道路必须进行硬化并保证畅通；各种材料应堆放整齐，施工垃圾和生活垃圾必须定点堆放，及时清运，严禁在施工现场以外堆放材料、垃圾。</w:t>
      </w:r>
      <w:r>
        <w:rPr>
          <w:rFonts w:hint="eastAsia" w:ascii="宋体" w:hAnsi="宋体" w:cs="仿宋"/>
          <w:color w:val="auto"/>
          <w:kern w:val="0"/>
          <w:highlight w:val="none"/>
        </w:rPr>
        <w:br w:type="textWrapping"/>
      </w:r>
      <w:r>
        <w:rPr>
          <w:rFonts w:hint="eastAsia" w:ascii="宋体" w:hAnsi="宋体" w:cs="仿宋"/>
          <w:color w:val="auto"/>
          <w:kern w:val="0"/>
          <w:highlight w:val="none"/>
        </w:rPr>
        <w:t xml:space="preserve">    19</w:t>
      </w:r>
      <w:r>
        <w:rPr>
          <w:rFonts w:hint="eastAsia" w:ascii="宋体" w:hAnsi="宋体" w:cs="仿宋"/>
          <w:color w:val="auto"/>
          <w:highlight w:val="none"/>
        </w:rPr>
        <w:t>．</w:t>
      </w:r>
      <w:r>
        <w:rPr>
          <w:rFonts w:hint="eastAsia" w:ascii="宋体" w:hAnsi="宋体" w:cs="仿宋"/>
          <w:color w:val="auto"/>
          <w:kern w:val="0"/>
          <w:highlight w:val="none"/>
        </w:rPr>
        <w:t>外地施工人员必须办理相关证件，禁止非乙方人员在工地留宿，施工现场禁止聚众打牌、饮酒闹事、传阅淫秽物品。</w:t>
      </w:r>
      <w:r>
        <w:rPr>
          <w:rFonts w:hint="eastAsia" w:ascii="宋体" w:hAnsi="宋体" w:cs="仿宋"/>
          <w:color w:val="auto"/>
          <w:kern w:val="0"/>
          <w:highlight w:val="none"/>
        </w:rPr>
        <w:br w:type="textWrapping"/>
      </w:r>
      <w:r>
        <w:rPr>
          <w:rFonts w:hint="eastAsia" w:ascii="宋体" w:hAnsi="宋体" w:cs="仿宋"/>
          <w:color w:val="auto"/>
          <w:kern w:val="0"/>
          <w:highlight w:val="none"/>
        </w:rPr>
        <w:t xml:space="preserve">    20</w:t>
      </w:r>
      <w:r>
        <w:rPr>
          <w:rFonts w:hint="eastAsia" w:ascii="宋体" w:hAnsi="宋体" w:cs="仿宋"/>
          <w:color w:val="auto"/>
          <w:highlight w:val="none"/>
        </w:rPr>
        <w:t>．</w:t>
      </w:r>
      <w:r>
        <w:rPr>
          <w:rFonts w:hint="eastAsia" w:ascii="宋体" w:hAnsi="宋体" w:cs="仿宋"/>
          <w:color w:val="auto"/>
          <w:kern w:val="0"/>
          <w:highlight w:val="none"/>
        </w:rPr>
        <w:t>现场施工人员须统一着装、佩带胸卡，严禁闲杂人员进入施工现场；进入施工现场必须佩戴安全帽，高空作业必须系好安全带，严禁工人酒后上岗，严禁攀爬脚手架，高处作业严禁向下抛掷物品。</w:t>
      </w:r>
      <w:r>
        <w:rPr>
          <w:rFonts w:hint="eastAsia" w:ascii="宋体" w:hAnsi="宋体" w:cs="仿宋"/>
          <w:color w:val="auto"/>
          <w:kern w:val="0"/>
          <w:highlight w:val="none"/>
        </w:rPr>
        <w:br w:type="textWrapping"/>
      </w:r>
      <w:r>
        <w:rPr>
          <w:rFonts w:hint="eastAsia" w:ascii="宋体" w:hAnsi="宋体" w:cs="仿宋"/>
          <w:color w:val="auto"/>
          <w:kern w:val="0"/>
          <w:highlight w:val="none"/>
        </w:rPr>
        <w:t xml:space="preserve">    21</w:t>
      </w:r>
      <w:r>
        <w:rPr>
          <w:rFonts w:hint="eastAsia" w:ascii="宋体" w:hAnsi="宋体" w:cs="仿宋"/>
          <w:color w:val="auto"/>
          <w:highlight w:val="none"/>
        </w:rPr>
        <w:t>．</w:t>
      </w:r>
      <w:r>
        <w:rPr>
          <w:rFonts w:hint="eastAsia" w:ascii="宋体" w:hAnsi="宋体" w:cs="仿宋"/>
          <w:color w:val="auto"/>
          <w:kern w:val="0"/>
          <w:highlight w:val="none"/>
        </w:rPr>
        <w:t>脚手架搭设、基坑支护及塔吊、升降梯等大型机械安装必须有上级主管安全部门审批的施工方案，各种施工机械的合格证、检测证及安全防护装置齐全，杜绝发生高空坠物、土方坍塌等一切施工安全事故。</w:t>
      </w:r>
      <w:r>
        <w:rPr>
          <w:rFonts w:hint="eastAsia" w:ascii="宋体" w:hAnsi="宋体" w:cs="仿宋"/>
          <w:color w:val="auto"/>
          <w:kern w:val="0"/>
          <w:highlight w:val="none"/>
        </w:rPr>
        <w:br w:type="textWrapping"/>
      </w:r>
      <w:r>
        <w:rPr>
          <w:rFonts w:hint="eastAsia" w:ascii="宋体" w:hAnsi="宋体" w:cs="仿宋"/>
          <w:color w:val="auto"/>
          <w:kern w:val="0"/>
          <w:highlight w:val="none"/>
        </w:rPr>
        <w:t xml:space="preserve">    22</w:t>
      </w:r>
      <w:r>
        <w:rPr>
          <w:rFonts w:hint="eastAsia" w:ascii="宋体" w:hAnsi="宋体" w:cs="仿宋"/>
          <w:color w:val="auto"/>
          <w:highlight w:val="none"/>
        </w:rPr>
        <w:t>．</w:t>
      </w:r>
      <w:r>
        <w:rPr>
          <w:rFonts w:hint="eastAsia" w:ascii="宋体" w:hAnsi="宋体" w:cs="仿宋"/>
          <w:color w:val="auto"/>
          <w:kern w:val="0"/>
          <w:highlight w:val="none"/>
        </w:rPr>
        <w:t>工人食堂必须干净整洁，无蝇无鼠，操作人员证件齐全，认真执行食品卫生安全的有关规定，严防工人食物中毒；施工人员宿舍要求卫生整洁，严禁随意拉扯电线。</w:t>
      </w:r>
      <w:r>
        <w:rPr>
          <w:rFonts w:hint="eastAsia" w:ascii="宋体" w:hAnsi="宋体" w:cs="仿宋"/>
          <w:color w:val="auto"/>
          <w:kern w:val="0"/>
          <w:highlight w:val="none"/>
        </w:rPr>
        <w:br w:type="textWrapping"/>
      </w:r>
      <w:r>
        <w:rPr>
          <w:rFonts w:hint="eastAsia" w:ascii="宋体" w:hAnsi="宋体" w:cs="仿宋"/>
          <w:bCs/>
          <w:color w:val="auto"/>
          <w:kern w:val="0"/>
          <w:highlight w:val="none"/>
        </w:rPr>
        <w:t>六</w:t>
      </w:r>
      <w:r>
        <w:rPr>
          <w:rFonts w:hint="eastAsia" w:ascii="宋体" w:hAnsi="宋体" w:cs="仿宋"/>
          <w:color w:val="auto"/>
          <w:kern w:val="0"/>
          <w:highlight w:val="none"/>
        </w:rPr>
        <w:t>、违约责任</w:t>
      </w:r>
      <w:r>
        <w:rPr>
          <w:rFonts w:hint="eastAsia" w:ascii="宋体" w:hAnsi="宋体" w:cs="仿宋"/>
          <w:color w:val="auto"/>
          <w:kern w:val="0"/>
          <w:highlight w:val="none"/>
        </w:rPr>
        <w:br w:type="textWrapping"/>
      </w:r>
      <w:r>
        <w:rPr>
          <w:rFonts w:hint="eastAsia" w:ascii="宋体" w:hAnsi="宋体" w:cs="仿宋"/>
          <w:color w:val="auto"/>
          <w:kern w:val="0"/>
          <w:highlight w:val="none"/>
        </w:rPr>
        <w:t xml:space="preserve">    1</w:t>
      </w:r>
      <w:r>
        <w:rPr>
          <w:rFonts w:hint="eastAsia" w:ascii="宋体" w:hAnsi="宋体" w:cs="仿宋"/>
          <w:color w:val="auto"/>
          <w:highlight w:val="none"/>
        </w:rPr>
        <w:t>．</w:t>
      </w:r>
      <w:r>
        <w:rPr>
          <w:rFonts w:hint="eastAsia" w:ascii="宋体" w:hAnsi="宋体" w:cs="仿宋"/>
          <w:color w:val="auto"/>
          <w:kern w:val="0"/>
          <w:highlight w:val="none"/>
        </w:rPr>
        <w:t>甲方未按本协议履行，将按有关行政法律法规处理。</w:t>
      </w:r>
      <w:r>
        <w:rPr>
          <w:rFonts w:hint="eastAsia" w:ascii="宋体" w:hAnsi="宋体" w:cs="仿宋"/>
          <w:color w:val="auto"/>
          <w:kern w:val="0"/>
          <w:highlight w:val="none"/>
        </w:rPr>
        <w:br w:type="textWrapping"/>
      </w:r>
      <w:r>
        <w:rPr>
          <w:rFonts w:hint="eastAsia" w:ascii="宋体" w:hAnsi="宋体" w:cs="仿宋"/>
          <w:color w:val="auto"/>
          <w:kern w:val="0"/>
          <w:highlight w:val="none"/>
        </w:rPr>
        <w:t xml:space="preserve">    2</w:t>
      </w:r>
      <w:r>
        <w:rPr>
          <w:rFonts w:hint="eastAsia" w:ascii="宋体" w:hAnsi="宋体" w:cs="仿宋"/>
          <w:color w:val="auto"/>
          <w:highlight w:val="none"/>
        </w:rPr>
        <w:t>．</w:t>
      </w:r>
      <w:r>
        <w:rPr>
          <w:rFonts w:hint="eastAsia" w:ascii="宋体" w:hAnsi="宋体" w:cs="仿宋"/>
          <w:color w:val="auto"/>
          <w:kern w:val="0"/>
          <w:highlight w:val="none"/>
        </w:rPr>
        <w:t>工程中间、竣工验收，经建设行政主管部门按单位工程安全生产文明施工状况综合评定。评定不合格者，不计取安全文明施工措施费。</w:t>
      </w:r>
      <w:r>
        <w:rPr>
          <w:rFonts w:hint="eastAsia" w:ascii="宋体" w:hAnsi="宋体" w:cs="仿宋"/>
          <w:color w:val="auto"/>
          <w:kern w:val="0"/>
          <w:highlight w:val="none"/>
        </w:rPr>
        <w:br w:type="textWrapping"/>
      </w:r>
      <w:r>
        <w:rPr>
          <w:rFonts w:hint="eastAsia" w:ascii="宋体" w:hAnsi="宋体" w:cs="仿宋"/>
          <w:color w:val="auto"/>
          <w:kern w:val="0"/>
          <w:highlight w:val="none"/>
        </w:rPr>
        <w:t xml:space="preserve">    3</w:t>
      </w:r>
      <w:r>
        <w:rPr>
          <w:rFonts w:hint="eastAsia" w:ascii="宋体" w:hAnsi="宋体" w:cs="仿宋"/>
          <w:color w:val="auto"/>
          <w:highlight w:val="none"/>
        </w:rPr>
        <w:t>．</w:t>
      </w:r>
      <w:r>
        <w:rPr>
          <w:rFonts w:hint="eastAsia" w:ascii="宋体" w:hAnsi="宋体" w:cs="仿宋"/>
          <w:color w:val="auto"/>
          <w:kern w:val="0"/>
          <w:highlight w:val="none"/>
        </w:rPr>
        <w:t>乙方未按本协议履行职责造成安全事故，给甲方、第三方造成损失的，</w:t>
      </w:r>
      <w:r>
        <w:rPr>
          <w:rFonts w:hint="eastAsia" w:ascii="宋体" w:hAnsi="宋体" w:cs="Calibri"/>
          <w:color w:val="auto"/>
          <w:kern w:val="0"/>
          <w:highlight w:val="none"/>
        </w:rPr>
        <w:t>由乙方承担全部赔偿责任，与甲方无涉。</w:t>
      </w:r>
    </w:p>
    <w:p w14:paraId="11974DFB">
      <w:pPr>
        <w:spacing w:line="288" w:lineRule="auto"/>
        <w:jc w:val="left"/>
        <w:rPr>
          <w:rFonts w:hint="eastAsia" w:ascii="宋体" w:hAnsi="宋体" w:cs="仿宋"/>
          <w:color w:val="auto"/>
          <w:kern w:val="0"/>
          <w:highlight w:val="none"/>
        </w:rPr>
      </w:pPr>
      <w:r>
        <w:rPr>
          <w:rFonts w:hint="eastAsia" w:ascii="宋体" w:hAnsi="宋体" w:cs="仿宋"/>
          <w:bCs/>
          <w:color w:val="auto"/>
          <w:kern w:val="0"/>
          <w:highlight w:val="none"/>
        </w:rPr>
        <w:t>七、本协议经各方签字盖章生效。</w:t>
      </w:r>
    </w:p>
    <w:p w14:paraId="12A39831">
      <w:pPr>
        <w:spacing w:line="288" w:lineRule="auto"/>
        <w:jc w:val="left"/>
        <w:rPr>
          <w:rFonts w:hint="eastAsia" w:ascii="宋体" w:hAnsi="宋体" w:cs="仿宋"/>
          <w:color w:val="auto"/>
          <w:kern w:val="0"/>
          <w:highlight w:val="none"/>
        </w:rPr>
      </w:pPr>
      <w:r>
        <w:rPr>
          <w:rFonts w:hint="eastAsia" w:ascii="宋体" w:hAnsi="宋体" w:cs="仿宋"/>
          <w:color w:val="auto"/>
          <w:kern w:val="0"/>
          <w:highlight w:val="none"/>
        </w:rPr>
        <w:t>八、未尽事宜，双方协商解决。</w:t>
      </w:r>
    </w:p>
    <w:p w14:paraId="17CF48AD">
      <w:pPr>
        <w:spacing w:line="288" w:lineRule="auto"/>
        <w:jc w:val="left"/>
        <w:rPr>
          <w:rFonts w:hint="eastAsia" w:ascii="宋体" w:hAnsi="宋体" w:cs="仿宋"/>
          <w:color w:val="auto"/>
          <w:kern w:val="0"/>
          <w:highlight w:val="none"/>
        </w:rPr>
      </w:pPr>
      <w:r>
        <w:rPr>
          <w:rFonts w:hint="eastAsia" w:ascii="宋体" w:hAnsi="宋体" w:cs="仿宋"/>
          <w:color w:val="auto"/>
          <w:kern w:val="0"/>
          <w:highlight w:val="none"/>
        </w:rPr>
        <w:t xml:space="preserve"> </w:t>
      </w:r>
    </w:p>
    <w:p w14:paraId="345B62EA">
      <w:pPr>
        <w:spacing w:line="288" w:lineRule="auto"/>
        <w:jc w:val="left"/>
        <w:rPr>
          <w:rFonts w:hint="eastAsia" w:ascii="宋体" w:hAnsi="宋体" w:cs="仿宋"/>
          <w:color w:val="auto"/>
          <w:kern w:val="0"/>
          <w:highlight w:val="none"/>
        </w:rPr>
      </w:pPr>
      <w:r>
        <w:rPr>
          <w:rFonts w:hint="eastAsia" w:ascii="宋体" w:hAnsi="宋体" w:cs="仿宋"/>
          <w:color w:val="auto"/>
          <w:kern w:val="0"/>
          <w:highlight w:val="none"/>
        </w:rPr>
        <w:t xml:space="preserve"> </w:t>
      </w:r>
    </w:p>
    <w:p w14:paraId="7377EBCB">
      <w:pPr>
        <w:spacing w:line="288" w:lineRule="auto"/>
        <w:jc w:val="left"/>
        <w:rPr>
          <w:rFonts w:hint="eastAsia" w:ascii="宋体" w:hAnsi="宋体" w:cs="仿宋"/>
          <w:color w:val="auto"/>
          <w:kern w:val="0"/>
          <w:highlight w:val="none"/>
        </w:rPr>
      </w:pPr>
      <w:r>
        <w:rPr>
          <w:rFonts w:hint="eastAsia" w:ascii="宋体" w:hAnsi="宋体" w:cs="仿宋"/>
          <w:color w:val="auto"/>
          <w:kern w:val="0"/>
          <w:highlight w:val="none"/>
        </w:rPr>
        <w:t xml:space="preserve"> </w:t>
      </w:r>
    </w:p>
    <w:p w14:paraId="08050140">
      <w:pPr>
        <w:spacing w:line="288" w:lineRule="auto"/>
        <w:jc w:val="left"/>
        <w:rPr>
          <w:rFonts w:hint="eastAsia" w:ascii="宋体" w:hAnsi="宋体" w:cs="仿宋"/>
          <w:bCs/>
          <w:color w:val="auto"/>
          <w:kern w:val="0"/>
          <w:highlight w:val="none"/>
        </w:rPr>
      </w:pPr>
      <w:r>
        <w:rPr>
          <w:rFonts w:hint="eastAsia" w:ascii="宋体" w:hAnsi="宋体" w:cs="仿宋"/>
          <w:bCs/>
          <w:color w:val="auto"/>
          <w:kern w:val="0"/>
          <w:highlight w:val="none"/>
        </w:rPr>
        <w:t xml:space="preserve">发包人（盖章）：                   承包人（盖章）：      </w:t>
      </w:r>
    </w:p>
    <w:p w14:paraId="609E19B9">
      <w:pPr>
        <w:spacing w:line="288" w:lineRule="auto"/>
        <w:jc w:val="left"/>
        <w:rPr>
          <w:rFonts w:hint="eastAsia" w:ascii="宋体" w:hAnsi="宋体" w:cs="仿宋"/>
          <w:bCs/>
          <w:color w:val="auto"/>
          <w:kern w:val="0"/>
          <w:highlight w:val="none"/>
        </w:rPr>
      </w:pPr>
      <w:r>
        <w:rPr>
          <w:rFonts w:hint="eastAsia" w:ascii="宋体" w:hAnsi="宋体" w:cs="仿宋"/>
          <w:bCs/>
          <w:color w:val="auto"/>
          <w:kern w:val="0"/>
          <w:highlight w:val="none"/>
        </w:rPr>
        <w:t xml:space="preserve">法定代表人（签章）：               法定代表人（签章）：       </w:t>
      </w:r>
    </w:p>
    <w:p w14:paraId="3D9CA71B">
      <w:pPr>
        <w:spacing w:line="288" w:lineRule="auto"/>
        <w:rPr>
          <w:rFonts w:hint="eastAsia" w:ascii="宋体" w:hAnsi="宋体"/>
          <w:color w:val="auto"/>
          <w:highlight w:val="none"/>
        </w:rPr>
      </w:pPr>
      <w:r>
        <w:rPr>
          <w:rFonts w:hint="eastAsia" w:ascii="宋体" w:hAnsi="宋体" w:cs="仿宋"/>
          <w:color w:val="auto"/>
          <w:kern w:val="0"/>
          <w:highlight w:val="none"/>
        </w:rPr>
        <w:t>年   月   日</w:t>
      </w:r>
    </w:p>
    <w:p w14:paraId="342E1275">
      <w:pPr>
        <w:widowControl/>
        <w:jc w:val="left"/>
        <w:rPr>
          <w:rFonts w:hint="eastAsia" w:ascii="宋体" w:hAnsi="宋体"/>
          <w:b/>
          <w:color w:val="auto"/>
          <w:kern w:val="0"/>
          <w:sz w:val="24"/>
          <w:szCs w:val="24"/>
          <w:highlight w:val="none"/>
        </w:rPr>
      </w:pPr>
      <w:r>
        <w:rPr>
          <w:rFonts w:hint="eastAsia" w:ascii="宋体" w:hAnsi="宋体"/>
          <w:color w:val="auto"/>
          <w:sz w:val="24"/>
          <w:szCs w:val="24"/>
          <w:highlight w:val="none"/>
        </w:rPr>
        <w:br w:type="page"/>
      </w:r>
    </w:p>
    <w:p w14:paraId="6D6BBDCA">
      <w:pPr>
        <w:pStyle w:val="5"/>
        <w:spacing w:before="120" w:after="120"/>
        <w:rPr>
          <w:rFonts w:hint="eastAsia" w:ascii="宋体" w:hAnsi="宋体"/>
          <w:color w:val="auto"/>
          <w:sz w:val="24"/>
          <w:szCs w:val="24"/>
          <w:highlight w:val="none"/>
        </w:rPr>
      </w:pPr>
      <w:r>
        <w:rPr>
          <w:rFonts w:hint="eastAsia" w:ascii="宋体" w:hAnsi="宋体"/>
          <w:color w:val="auto"/>
          <w:sz w:val="24"/>
          <w:szCs w:val="24"/>
          <w:highlight w:val="none"/>
        </w:rPr>
        <w:t>附件4</w:t>
      </w:r>
    </w:p>
    <w:p w14:paraId="61F27EA3">
      <w:pPr>
        <w:spacing w:before="120" w:beforeLines="50" w:after="120" w:afterLines="50" w:line="44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履约保函</w:t>
      </w:r>
    </w:p>
    <w:p w14:paraId="4C0ACA1A">
      <w:pPr>
        <w:spacing w:line="360" w:lineRule="auto"/>
        <w:ind w:firstLine="4725" w:firstLineChars="2250"/>
        <w:rPr>
          <w:rFonts w:hint="eastAsia" w:ascii="宋体" w:hAnsi="宋体"/>
          <w:color w:val="auto"/>
          <w:szCs w:val="21"/>
          <w:highlight w:val="none"/>
        </w:rPr>
      </w:pPr>
      <w:r>
        <w:rPr>
          <w:rFonts w:hint="eastAsia" w:ascii="宋体" w:hAnsi="宋体"/>
          <w:color w:val="auto"/>
          <w:highlight w:val="none"/>
        </w:rPr>
        <w:t>办理日期：  年  月  日</w:t>
      </w:r>
    </w:p>
    <w:p w14:paraId="5CDB7368">
      <w:pPr>
        <w:spacing w:line="360" w:lineRule="auto"/>
        <w:ind w:right="600"/>
        <w:rPr>
          <w:rFonts w:hint="eastAsia" w:ascii="宋体" w:hAnsi="宋体"/>
          <w:color w:val="auto"/>
          <w:highlight w:val="none"/>
        </w:rPr>
      </w:pPr>
      <w:r>
        <w:rPr>
          <w:rFonts w:hint="eastAsia" w:ascii="宋体" w:hAnsi="宋体"/>
          <w:color w:val="auto"/>
          <w:highlight w:val="none"/>
        </w:rPr>
        <w:t xml:space="preserve">                                             保函编号：№</w:t>
      </w:r>
    </w:p>
    <w:p w14:paraId="6B538220">
      <w:pPr>
        <w:spacing w:line="360" w:lineRule="auto"/>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（发包人名称）：</w:t>
      </w:r>
    </w:p>
    <w:p w14:paraId="603C96D5">
      <w:pPr>
        <w:ind w:firstLine="420" w:firstLineChars="200"/>
        <w:rPr>
          <w:rFonts w:hint="eastAsia" w:ascii="宋体" w:hAnsi="宋体"/>
          <w:color w:val="auto"/>
          <w:highlight w:val="none"/>
        </w:rPr>
      </w:pPr>
      <w:r>
        <w:rPr>
          <w:rFonts w:hint="eastAsia" w:ascii="宋体" w:hAnsi="宋体"/>
          <w:color w:val="auto"/>
          <w:highlight w:val="none"/>
        </w:rPr>
        <w:t>鉴于你方作为发包人已经与</w:t>
      </w:r>
      <w:r>
        <w:rPr>
          <w:rFonts w:hint="eastAsia" w:ascii="宋体" w:hAnsi="宋体"/>
          <w:color w:val="auto"/>
          <w:highlight w:val="none"/>
          <w:u w:val="single"/>
        </w:rPr>
        <w:t xml:space="preserve">                         </w:t>
      </w:r>
      <w:r>
        <w:rPr>
          <w:rFonts w:hint="eastAsia" w:ascii="宋体" w:hAnsi="宋体"/>
          <w:color w:val="auto"/>
          <w:highlight w:val="none"/>
        </w:rPr>
        <w:t>（承包商名称，以下称“承包商”）于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日签订了</w:t>
      </w:r>
      <w:r>
        <w:rPr>
          <w:rFonts w:hint="eastAsia" w:ascii="宋体" w:hAnsi="宋体"/>
          <w:color w:val="auto"/>
          <w:highlight w:val="none"/>
          <w:u w:val="single"/>
        </w:rPr>
        <w:t xml:space="preserve">                          </w:t>
      </w:r>
      <w:r>
        <w:rPr>
          <w:rFonts w:hint="eastAsia" w:ascii="宋体" w:hAnsi="宋体"/>
          <w:color w:val="auto"/>
          <w:highlight w:val="none"/>
        </w:rPr>
        <w:t>（工程名称）施工合同（以下称“主合同”），应承包商申请，我方愿就承包商履行主合同约定的义务以保证的方式向你方提供如下担保：</w:t>
      </w:r>
    </w:p>
    <w:p w14:paraId="7AAD2502">
      <w:pPr>
        <w:rPr>
          <w:rFonts w:hint="eastAsia" w:ascii="宋体" w:hAnsi="宋体"/>
          <w:b/>
          <w:color w:val="auto"/>
          <w:highlight w:val="none"/>
        </w:rPr>
      </w:pPr>
      <w:bookmarkStart w:id="106" w:name="_Toc387415153"/>
      <w:bookmarkEnd w:id="106"/>
      <w:r>
        <w:rPr>
          <w:rFonts w:hint="eastAsia" w:ascii="宋体" w:hAnsi="宋体"/>
          <w:b/>
          <w:color w:val="auto"/>
          <w:highlight w:val="none"/>
        </w:rPr>
        <w:t>一、保证的范围及保证金额</w:t>
      </w:r>
    </w:p>
    <w:p w14:paraId="4B204854">
      <w:pPr>
        <w:ind w:firstLine="420" w:firstLineChars="200"/>
        <w:rPr>
          <w:rFonts w:hint="eastAsia" w:ascii="宋体" w:hAnsi="宋体"/>
          <w:color w:val="auto"/>
          <w:highlight w:val="none"/>
        </w:rPr>
      </w:pPr>
      <w:r>
        <w:rPr>
          <w:rFonts w:hint="eastAsia" w:ascii="宋体" w:hAnsi="宋体"/>
          <w:color w:val="auto"/>
          <w:highlight w:val="none"/>
        </w:rPr>
        <w:t>我方的保证范围是承包商未按照主合同约定履行义务，给你方造成的实际损失。</w:t>
      </w:r>
    </w:p>
    <w:p w14:paraId="6EE2362B">
      <w:pPr>
        <w:ind w:firstLine="420" w:firstLineChars="200"/>
        <w:rPr>
          <w:rFonts w:hint="eastAsia" w:ascii="宋体" w:hAnsi="宋体"/>
          <w:color w:val="auto"/>
          <w:highlight w:val="none"/>
        </w:rPr>
      </w:pPr>
      <w:r>
        <w:rPr>
          <w:rFonts w:hint="eastAsia" w:ascii="宋体" w:hAnsi="宋体"/>
          <w:color w:val="auto"/>
          <w:highlight w:val="none"/>
        </w:rPr>
        <w:t>我方保证的金额是主合同约定的合同总价款</w:t>
      </w:r>
      <w:r>
        <w:rPr>
          <w:rFonts w:hint="eastAsia" w:ascii="宋体" w:hAnsi="宋体"/>
          <w:color w:val="auto"/>
          <w:highlight w:val="none"/>
          <w:u w:val="single"/>
        </w:rPr>
        <w:t xml:space="preserve">      </w:t>
      </w:r>
      <w:r>
        <w:rPr>
          <w:rFonts w:hint="eastAsia" w:ascii="宋体" w:hAnsi="宋体"/>
          <w:color w:val="auto"/>
          <w:highlight w:val="none"/>
        </w:rPr>
        <w:t>%，数额最高不超过人民币（大写）：</w:t>
      </w:r>
      <w:r>
        <w:rPr>
          <w:rFonts w:hint="eastAsia" w:ascii="宋体" w:hAnsi="宋体"/>
          <w:color w:val="auto"/>
          <w:highlight w:val="none"/>
          <w:u w:val="single"/>
        </w:rPr>
        <w:t xml:space="preserve">                  </w:t>
      </w:r>
      <w:r>
        <w:rPr>
          <w:rFonts w:hint="eastAsia" w:ascii="宋体" w:hAnsi="宋体"/>
          <w:color w:val="auto"/>
          <w:highlight w:val="none"/>
        </w:rPr>
        <w:t>。</w:t>
      </w:r>
    </w:p>
    <w:p w14:paraId="639F2FB5">
      <w:pPr>
        <w:rPr>
          <w:rFonts w:hint="eastAsia" w:ascii="宋体" w:hAnsi="宋体"/>
          <w:b/>
          <w:color w:val="auto"/>
          <w:highlight w:val="none"/>
        </w:rPr>
      </w:pPr>
      <w:bookmarkStart w:id="107" w:name="_Toc387415154"/>
      <w:bookmarkEnd w:id="107"/>
      <w:r>
        <w:rPr>
          <w:rFonts w:hint="eastAsia" w:ascii="宋体" w:hAnsi="宋体"/>
          <w:b/>
          <w:color w:val="auto"/>
          <w:highlight w:val="none"/>
        </w:rPr>
        <w:t>二、保证的方式及保证期间</w:t>
      </w:r>
    </w:p>
    <w:p w14:paraId="5BAFCBBE">
      <w:pPr>
        <w:ind w:firstLine="420" w:firstLineChars="200"/>
        <w:rPr>
          <w:rFonts w:hint="eastAsia" w:ascii="宋体" w:hAnsi="宋体"/>
          <w:color w:val="auto"/>
          <w:highlight w:val="none"/>
        </w:rPr>
      </w:pPr>
      <w:r>
        <w:rPr>
          <w:rFonts w:hint="eastAsia" w:ascii="宋体" w:hAnsi="宋体"/>
          <w:color w:val="auto"/>
          <w:highlight w:val="none"/>
        </w:rPr>
        <w:t>我方保证的方式为：连带责任保证。</w:t>
      </w:r>
    </w:p>
    <w:p w14:paraId="504DD355">
      <w:pPr>
        <w:ind w:firstLine="420" w:firstLineChars="200"/>
        <w:rPr>
          <w:rFonts w:hint="eastAsia" w:ascii="宋体" w:hAnsi="宋体"/>
          <w:color w:val="auto"/>
          <w:highlight w:val="none"/>
        </w:rPr>
      </w:pPr>
      <w:r>
        <w:rPr>
          <w:rFonts w:hint="eastAsia" w:ascii="宋体" w:hAnsi="宋体"/>
          <w:color w:val="auto"/>
          <w:highlight w:val="none"/>
        </w:rPr>
        <w:t>我方保证的期间为：自主合同生效之日起至承包商取得竣工验收记录后</w:t>
      </w:r>
      <w:r>
        <w:rPr>
          <w:rFonts w:hint="eastAsia" w:ascii="宋体" w:hAnsi="宋体"/>
          <w:color w:val="auto"/>
          <w:highlight w:val="none"/>
          <w:u w:val="single"/>
        </w:rPr>
        <w:t xml:space="preserve">     </w:t>
      </w:r>
      <w:r>
        <w:rPr>
          <w:rFonts w:hint="eastAsia" w:ascii="宋体" w:hAnsi="宋体"/>
          <w:color w:val="auto"/>
          <w:highlight w:val="none"/>
        </w:rPr>
        <w:t>日内。</w:t>
      </w:r>
    </w:p>
    <w:p w14:paraId="41BE6FE6">
      <w:pPr>
        <w:ind w:firstLine="420" w:firstLineChars="200"/>
        <w:rPr>
          <w:rFonts w:hint="eastAsia" w:ascii="宋体" w:hAnsi="宋体"/>
          <w:color w:val="auto"/>
          <w:highlight w:val="none"/>
        </w:rPr>
      </w:pPr>
      <w:r>
        <w:rPr>
          <w:rFonts w:hint="eastAsia" w:ascii="宋体" w:hAnsi="宋体"/>
          <w:color w:val="auto"/>
          <w:highlight w:val="none"/>
        </w:rPr>
        <w:t>你方与承包商协议变更工程竣工日期的，经我方书面同意后，保证期间按照变更后的竣工日期做相应调整。</w:t>
      </w:r>
    </w:p>
    <w:p w14:paraId="3D1C4926">
      <w:pPr>
        <w:rPr>
          <w:rFonts w:hint="eastAsia" w:ascii="宋体" w:hAnsi="宋体"/>
          <w:b/>
          <w:color w:val="auto"/>
          <w:highlight w:val="none"/>
        </w:rPr>
      </w:pPr>
      <w:bookmarkStart w:id="108" w:name="_Toc387415155"/>
      <w:bookmarkEnd w:id="108"/>
      <w:r>
        <w:rPr>
          <w:rFonts w:hint="eastAsia" w:ascii="宋体" w:hAnsi="宋体"/>
          <w:b/>
          <w:color w:val="auto"/>
          <w:highlight w:val="none"/>
        </w:rPr>
        <w:t>三、承担保证责任的形式</w:t>
      </w:r>
    </w:p>
    <w:p w14:paraId="30650A3F">
      <w:pPr>
        <w:ind w:firstLine="420" w:firstLineChars="200"/>
        <w:rPr>
          <w:rFonts w:hint="eastAsia" w:ascii="宋体" w:hAnsi="宋体"/>
          <w:color w:val="auto"/>
          <w:highlight w:val="none"/>
        </w:rPr>
      </w:pPr>
      <w:r>
        <w:rPr>
          <w:rFonts w:hint="eastAsia" w:ascii="宋体" w:hAnsi="宋体"/>
          <w:color w:val="auto"/>
          <w:highlight w:val="none"/>
        </w:rPr>
        <w:t>我方按以下第</w:t>
      </w:r>
      <w:r>
        <w:rPr>
          <w:rFonts w:hint="eastAsia" w:ascii="宋体" w:hAnsi="宋体"/>
          <w:color w:val="auto"/>
          <w:highlight w:val="none"/>
          <w:u w:val="single"/>
        </w:rPr>
        <w:t xml:space="preserve">        </w:t>
      </w:r>
      <w:r>
        <w:rPr>
          <w:rFonts w:hint="eastAsia" w:ascii="宋体" w:hAnsi="宋体"/>
          <w:color w:val="auto"/>
          <w:highlight w:val="none"/>
        </w:rPr>
        <w:t>种方式向你方承担保证责任：</w:t>
      </w:r>
    </w:p>
    <w:p w14:paraId="0F3EB80B">
      <w:pPr>
        <w:ind w:firstLine="420" w:firstLineChars="200"/>
        <w:rPr>
          <w:rFonts w:hint="eastAsia" w:ascii="宋体" w:hAnsi="宋体"/>
          <w:color w:val="auto"/>
          <w:highlight w:val="none"/>
        </w:rPr>
      </w:pPr>
      <w:r>
        <w:rPr>
          <w:rFonts w:hint="eastAsia" w:ascii="宋体" w:hAnsi="宋体"/>
          <w:color w:val="auto"/>
          <w:highlight w:val="none"/>
        </w:rPr>
        <w:t>（1）由我方提供资金及技术援助，使承包商继续履行主合同义务，支付金额不超过本保函第一条规定的保证金额。</w:t>
      </w:r>
    </w:p>
    <w:p w14:paraId="7ED30DAC">
      <w:pPr>
        <w:ind w:firstLine="420" w:firstLineChars="200"/>
        <w:rPr>
          <w:rFonts w:hint="eastAsia" w:ascii="宋体" w:hAnsi="宋体"/>
          <w:color w:val="auto"/>
          <w:highlight w:val="none"/>
        </w:rPr>
      </w:pPr>
      <w:r>
        <w:rPr>
          <w:rFonts w:hint="eastAsia" w:ascii="宋体" w:hAnsi="宋体"/>
          <w:color w:val="auto"/>
          <w:highlight w:val="none"/>
        </w:rPr>
        <w:t>（2）由我方代为承包商履行主合同剩余部分义务。</w:t>
      </w:r>
    </w:p>
    <w:p w14:paraId="128093CF">
      <w:pPr>
        <w:ind w:firstLine="420" w:firstLineChars="200"/>
        <w:rPr>
          <w:rFonts w:hint="eastAsia" w:ascii="宋体" w:hAnsi="宋体"/>
          <w:color w:val="auto"/>
          <w:highlight w:val="none"/>
        </w:rPr>
      </w:pPr>
      <w:r>
        <w:rPr>
          <w:rFonts w:hint="eastAsia" w:ascii="宋体" w:hAnsi="宋体"/>
          <w:color w:val="auto"/>
          <w:highlight w:val="none"/>
        </w:rPr>
        <w:t>（3）由我方在本保函第一条规定的保证金额内赔偿你方的损失。</w:t>
      </w:r>
    </w:p>
    <w:p w14:paraId="77E5A939">
      <w:pPr>
        <w:rPr>
          <w:rFonts w:hint="eastAsia" w:ascii="宋体" w:hAnsi="宋体"/>
          <w:b/>
          <w:color w:val="auto"/>
          <w:highlight w:val="none"/>
        </w:rPr>
      </w:pPr>
      <w:bookmarkStart w:id="109" w:name="_Toc387415156"/>
      <w:bookmarkEnd w:id="109"/>
      <w:r>
        <w:rPr>
          <w:rFonts w:hint="eastAsia" w:ascii="宋体" w:hAnsi="宋体"/>
          <w:b/>
          <w:color w:val="auto"/>
          <w:highlight w:val="none"/>
        </w:rPr>
        <w:t>四、代偿的安排</w:t>
      </w:r>
    </w:p>
    <w:p w14:paraId="543BA4DE">
      <w:pPr>
        <w:ind w:firstLine="420" w:firstLineChars="200"/>
        <w:rPr>
          <w:rFonts w:hint="eastAsia" w:ascii="宋体" w:hAnsi="宋体"/>
          <w:color w:val="auto"/>
          <w:highlight w:val="none"/>
        </w:rPr>
      </w:pPr>
      <w:r>
        <w:rPr>
          <w:rFonts w:hint="eastAsia" w:ascii="宋体" w:hAnsi="宋体"/>
          <w:color w:val="auto"/>
          <w:highlight w:val="none"/>
        </w:rPr>
        <w:t>你方要求我方承担保证责任的，应向我方发出书面索赔通知及承包商未履行主合同约定义务的证明材料，并随附本保函原件。索赔通知应写明要求索赔的金额，支付款项应到达的账号，并附有说明承包商违反主合同造成你方损失情况的证明材料。</w:t>
      </w:r>
    </w:p>
    <w:p w14:paraId="16152022">
      <w:pPr>
        <w:ind w:firstLine="420" w:firstLineChars="200"/>
        <w:rPr>
          <w:rFonts w:hint="eastAsia" w:ascii="宋体" w:hAnsi="宋体"/>
          <w:color w:val="auto"/>
          <w:highlight w:val="none"/>
        </w:rPr>
      </w:pPr>
      <w:r>
        <w:rPr>
          <w:rFonts w:hint="eastAsia" w:ascii="宋体" w:hAnsi="宋体"/>
          <w:color w:val="auto"/>
          <w:highlight w:val="none"/>
        </w:rPr>
        <w:t>如索赔的理由是工程施工质量问题，你方还需提供项目总监理工程师、监理人对索赔的理由的书面确认意见及法定的工程质量检测机构出具的检测报告；如索赔的理由是合同违约问题，你方则需提供证明承包方违约的有效证明。</w:t>
      </w:r>
    </w:p>
    <w:p w14:paraId="6733D832">
      <w:pPr>
        <w:ind w:firstLine="420" w:firstLineChars="200"/>
        <w:rPr>
          <w:rFonts w:hint="eastAsia" w:ascii="宋体" w:hAnsi="宋体"/>
          <w:color w:val="auto"/>
          <w:highlight w:val="none"/>
        </w:rPr>
      </w:pPr>
      <w:r>
        <w:rPr>
          <w:rFonts w:hint="eastAsia" w:ascii="宋体" w:hAnsi="宋体"/>
          <w:color w:val="auto"/>
          <w:highlight w:val="none"/>
        </w:rPr>
        <w:t>我方收到本保函原件和你方的书面索赔通知及相应证明材料后，在</w:t>
      </w:r>
      <w:r>
        <w:rPr>
          <w:rFonts w:hint="eastAsia" w:ascii="宋体" w:hAnsi="宋体"/>
          <w:color w:val="auto"/>
          <w:highlight w:val="none"/>
          <w:u w:val="single"/>
        </w:rPr>
        <w:t xml:space="preserve">        </w:t>
      </w:r>
      <w:r>
        <w:rPr>
          <w:rFonts w:hint="eastAsia" w:ascii="宋体" w:hAnsi="宋体"/>
          <w:color w:val="auto"/>
          <w:highlight w:val="none"/>
        </w:rPr>
        <w:t>个工作日内进行核定后按照本保函的承诺承担保证责任。</w:t>
      </w:r>
    </w:p>
    <w:p w14:paraId="071A3226">
      <w:pPr>
        <w:rPr>
          <w:rFonts w:hint="eastAsia" w:ascii="宋体" w:hAnsi="宋体"/>
          <w:b/>
          <w:color w:val="auto"/>
          <w:highlight w:val="none"/>
        </w:rPr>
      </w:pPr>
      <w:bookmarkStart w:id="110" w:name="_Toc387415157"/>
      <w:bookmarkEnd w:id="110"/>
      <w:r>
        <w:rPr>
          <w:rFonts w:hint="eastAsia" w:ascii="宋体" w:hAnsi="宋体"/>
          <w:b/>
          <w:color w:val="auto"/>
          <w:highlight w:val="none"/>
        </w:rPr>
        <w:t>五、保证责任的解除</w:t>
      </w:r>
    </w:p>
    <w:p w14:paraId="59FEA4B5">
      <w:pPr>
        <w:ind w:firstLine="420" w:firstLineChars="200"/>
        <w:rPr>
          <w:rFonts w:hint="eastAsia" w:ascii="宋体" w:hAnsi="宋体"/>
          <w:color w:val="auto"/>
          <w:highlight w:val="none"/>
        </w:rPr>
      </w:pPr>
      <w:r>
        <w:rPr>
          <w:rFonts w:hint="eastAsia" w:ascii="宋体" w:hAnsi="宋体"/>
          <w:color w:val="auto"/>
          <w:highlight w:val="none"/>
        </w:rPr>
        <w:t>1、在本保函承诺的保证期间内，你方未书面向我方主张保证责任的，自保证期间届满次日起，我方保证责任解除。</w:t>
      </w:r>
    </w:p>
    <w:p w14:paraId="731E4B1A">
      <w:pPr>
        <w:ind w:firstLine="420" w:firstLineChars="200"/>
        <w:rPr>
          <w:rFonts w:hint="eastAsia" w:ascii="宋体" w:hAnsi="宋体"/>
          <w:color w:val="auto"/>
          <w:highlight w:val="none"/>
        </w:rPr>
      </w:pPr>
      <w:r>
        <w:rPr>
          <w:rFonts w:hint="eastAsia" w:ascii="宋体" w:hAnsi="宋体"/>
          <w:color w:val="auto"/>
          <w:highlight w:val="none"/>
        </w:rPr>
        <w:t>2、承包商按主合同约定履行了义务的，自本保函承诺的保证期间届满次日起，我方保证责任解除。</w:t>
      </w:r>
    </w:p>
    <w:p w14:paraId="0963736F">
      <w:pPr>
        <w:ind w:firstLine="420" w:firstLineChars="200"/>
        <w:rPr>
          <w:rFonts w:hint="eastAsia" w:ascii="宋体" w:hAnsi="宋体"/>
          <w:color w:val="auto"/>
          <w:highlight w:val="none"/>
        </w:rPr>
      </w:pPr>
      <w:r>
        <w:rPr>
          <w:rFonts w:hint="eastAsia" w:ascii="宋体" w:hAnsi="宋体"/>
          <w:color w:val="auto"/>
          <w:highlight w:val="none"/>
        </w:rPr>
        <w:t>3、我方按照本保函向你方履行保证责任所支付的金额达到本保函保证金额时，自我方向你方支付（支付款项从我方账户划出）之日起，保证责任即解除。</w:t>
      </w:r>
    </w:p>
    <w:p w14:paraId="5DE90856">
      <w:pPr>
        <w:ind w:firstLine="420" w:firstLineChars="200"/>
        <w:rPr>
          <w:rFonts w:hint="eastAsia" w:ascii="宋体" w:hAnsi="宋体"/>
          <w:color w:val="auto"/>
          <w:highlight w:val="none"/>
        </w:rPr>
      </w:pPr>
      <w:r>
        <w:rPr>
          <w:rFonts w:hint="eastAsia" w:ascii="宋体" w:hAnsi="宋体"/>
          <w:color w:val="auto"/>
          <w:highlight w:val="none"/>
        </w:rPr>
        <w:t>4、按照法律法规的规定或出现应解除我方保证责任的其它情形的，我方在本保函项下的保证责任亦解除。</w:t>
      </w:r>
    </w:p>
    <w:p w14:paraId="3ABDD806">
      <w:pPr>
        <w:ind w:firstLine="420" w:firstLineChars="200"/>
        <w:rPr>
          <w:rFonts w:hint="eastAsia" w:ascii="宋体" w:hAnsi="宋体"/>
          <w:color w:val="auto"/>
          <w:highlight w:val="none"/>
        </w:rPr>
      </w:pPr>
      <w:r>
        <w:rPr>
          <w:rFonts w:hint="eastAsia" w:ascii="宋体" w:hAnsi="宋体"/>
          <w:color w:val="auto"/>
          <w:highlight w:val="none"/>
        </w:rPr>
        <w:t>我方解除保证责任后，你方应自我方保证责任解除之日起</w:t>
      </w:r>
      <w:r>
        <w:rPr>
          <w:rFonts w:hint="eastAsia" w:ascii="宋体" w:hAnsi="宋体"/>
          <w:color w:val="auto"/>
          <w:highlight w:val="none"/>
          <w:u w:val="single"/>
        </w:rPr>
        <w:t xml:space="preserve">        </w:t>
      </w:r>
      <w:r>
        <w:rPr>
          <w:rFonts w:hint="eastAsia" w:ascii="宋体" w:hAnsi="宋体"/>
          <w:color w:val="auto"/>
          <w:highlight w:val="none"/>
        </w:rPr>
        <w:t>个工作日内，将本保函原件返还我方。超出本约定期限的，无论本保函原件是否退还我方，我方均不再承担保证责任。</w:t>
      </w:r>
    </w:p>
    <w:p w14:paraId="1457D420">
      <w:pPr>
        <w:rPr>
          <w:rFonts w:hint="eastAsia" w:ascii="宋体" w:hAnsi="宋体"/>
          <w:b/>
          <w:color w:val="auto"/>
          <w:highlight w:val="none"/>
        </w:rPr>
      </w:pPr>
      <w:bookmarkStart w:id="111" w:name="_Toc387415158"/>
      <w:bookmarkEnd w:id="111"/>
      <w:r>
        <w:rPr>
          <w:rFonts w:hint="eastAsia" w:ascii="宋体" w:hAnsi="宋体"/>
          <w:b/>
          <w:color w:val="auto"/>
          <w:highlight w:val="none"/>
        </w:rPr>
        <w:t>六、免责条款</w:t>
      </w:r>
    </w:p>
    <w:p w14:paraId="4033033A">
      <w:pPr>
        <w:ind w:firstLine="420" w:firstLineChars="200"/>
        <w:rPr>
          <w:rFonts w:hint="eastAsia" w:ascii="宋体" w:hAnsi="宋体"/>
          <w:color w:val="auto"/>
          <w:highlight w:val="none"/>
        </w:rPr>
      </w:pPr>
      <w:r>
        <w:rPr>
          <w:rFonts w:hint="eastAsia" w:ascii="宋体" w:hAnsi="宋体"/>
          <w:color w:val="auto"/>
          <w:highlight w:val="none"/>
        </w:rPr>
        <w:t>1、因你方违约致使承包商不能履行义务的，我方不承担保证责任。</w:t>
      </w:r>
    </w:p>
    <w:p w14:paraId="28219A69">
      <w:pPr>
        <w:ind w:firstLine="420" w:firstLineChars="200"/>
        <w:rPr>
          <w:rFonts w:hint="eastAsia" w:ascii="宋体" w:hAnsi="宋体"/>
          <w:color w:val="auto"/>
          <w:highlight w:val="none"/>
        </w:rPr>
      </w:pPr>
      <w:r>
        <w:rPr>
          <w:rFonts w:hint="eastAsia" w:ascii="宋体" w:hAnsi="宋体"/>
          <w:color w:val="auto"/>
          <w:highlight w:val="none"/>
        </w:rPr>
        <w:t>2、依照法律法规的规定或你方与承包商的另行约定，免除承包商部分或全部义务的，我方亦免除其相应的保证责任。</w:t>
      </w:r>
    </w:p>
    <w:p w14:paraId="53178073">
      <w:pPr>
        <w:ind w:firstLine="420" w:firstLineChars="200"/>
        <w:rPr>
          <w:rFonts w:hint="eastAsia" w:ascii="宋体" w:hAnsi="宋体"/>
          <w:color w:val="auto"/>
          <w:highlight w:val="none"/>
        </w:rPr>
      </w:pPr>
      <w:r>
        <w:rPr>
          <w:rFonts w:hint="eastAsia" w:ascii="宋体" w:hAnsi="宋体"/>
          <w:color w:val="auto"/>
          <w:highlight w:val="none"/>
        </w:rPr>
        <w:t>3、你方与承包商协议变更主合同（符合主合同条款约定的变更除外），如加重承包商责任致使我方保证责任加重的，需征得我方书面同意，否则我方不再承担因此而加重部分的保证责任。</w:t>
      </w:r>
    </w:p>
    <w:p w14:paraId="3F915EA6">
      <w:pPr>
        <w:ind w:firstLine="420" w:firstLineChars="200"/>
        <w:rPr>
          <w:rFonts w:hint="eastAsia" w:ascii="宋体" w:hAnsi="宋体"/>
          <w:color w:val="auto"/>
          <w:highlight w:val="none"/>
        </w:rPr>
      </w:pPr>
      <w:r>
        <w:rPr>
          <w:rFonts w:hint="eastAsia" w:ascii="宋体" w:hAnsi="宋体"/>
          <w:color w:val="auto"/>
          <w:highlight w:val="none"/>
        </w:rPr>
        <w:t>4、因不可抗力造成承包商不能履行义务的，我方不承担保证责任。</w:t>
      </w:r>
    </w:p>
    <w:p w14:paraId="463BF2DF">
      <w:pPr>
        <w:ind w:firstLine="420" w:firstLineChars="200"/>
        <w:rPr>
          <w:rFonts w:hint="eastAsia" w:ascii="宋体" w:hAnsi="宋体"/>
          <w:color w:val="auto"/>
          <w:highlight w:val="none"/>
        </w:rPr>
      </w:pPr>
      <w:r>
        <w:rPr>
          <w:rFonts w:hint="eastAsia" w:ascii="宋体" w:hAnsi="宋体"/>
          <w:color w:val="auto"/>
          <w:highlight w:val="none"/>
        </w:rPr>
        <w:t>5、本保函不得转让，我方对除你方以外的任何第三方不承担任何责任。</w:t>
      </w:r>
    </w:p>
    <w:p w14:paraId="12F2B2FB">
      <w:pPr>
        <w:rPr>
          <w:rFonts w:hint="eastAsia" w:ascii="宋体" w:hAnsi="宋体"/>
          <w:b/>
          <w:color w:val="auto"/>
          <w:highlight w:val="none"/>
        </w:rPr>
      </w:pPr>
      <w:bookmarkStart w:id="112" w:name="_Toc387415159"/>
      <w:bookmarkEnd w:id="112"/>
      <w:r>
        <w:rPr>
          <w:rFonts w:hint="eastAsia" w:ascii="宋体" w:hAnsi="宋体"/>
          <w:b/>
          <w:color w:val="auto"/>
          <w:highlight w:val="none"/>
        </w:rPr>
        <w:t>七、争议的解决</w:t>
      </w:r>
    </w:p>
    <w:p w14:paraId="26723BE7">
      <w:pPr>
        <w:ind w:firstLine="420" w:firstLineChars="200"/>
        <w:rPr>
          <w:rFonts w:hint="eastAsia" w:ascii="宋体" w:hAnsi="宋体"/>
          <w:color w:val="auto"/>
          <w:highlight w:val="none"/>
        </w:rPr>
      </w:pPr>
      <w:r>
        <w:rPr>
          <w:rFonts w:hint="eastAsia" w:ascii="宋体" w:hAnsi="宋体"/>
          <w:color w:val="auto"/>
          <w:highlight w:val="none"/>
        </w:rPr>
        <w:t>因本保函发生的纠纷，由你我双方协商解决，协商不成的，任何一方均可提请</w:t>
      </w:r>
      <w:r>
        <w:rPr>
          <w:rFonts w:hint="eastAsia" w:ascii="宋体" w:hAnsi="宋体"/>
          <w:color w:val="auto"/>
          <w:highlight w:val="none"/>
          <w:u w:val="single"/>
        </w:rPr>
        <w:t>宁波</w:t>
      </w:r>
      <w:r>
        <w:rPr>
          <w:rFonts w:hint="eastAsia" w:ascii="宋体" w:hAnsi="宋体"/>
          <w:color w:val="auto"/>
          <w:highlight w:val="none"/>
        </w:rPr>
        <w:t>仲裁委员会仲裁。</w:t>
      </w:r>
    </w:p>
    <w:p w14:paraId="1F17B812">
      <w:pPr>
        <w:rPr>
          <w:rFonts w:hint="eastAsia" w:ascii="宋体" w:hAnsi="宋体"/>
          <w:b/>
          <w:color w:val="auto"/>
          <w:highlight w:val="none"/>
        </w:rPr>
      </w:pPr>
      <w:bookmarkStart w:id="113" w:name="_Toc387415160"/>
      <w:bookmarkEnd w:id="113"/>
      <w:r>
        <w:rPr>
          <w:rFonts w:hint="eastAsia" w:ascii="宋体" w:hAnsi="宋体"/>
          <w:b/>
          <w:color w:val="auto"/>
          <w:highlight w:val="none"/>
        </w:rPr>
        <w:t>八、保函的生效</w:t>
      </w:r>
    </w:p>
    <w:p w14:paraId="5240C1AD">
      <w:pPr>
        <w:ind w:firstLine="420" w:firstLineChars="200"/>
        <w:rPr>
          <w:rFonts w:hint="eastAsia" w:ascii="宋体" w:hAnsi="宋体"/>
          <w:color w:val="auto"/>
          <w:highlight w:val="none"/>
        </w:rPr>
      </w:pPr>
      <w:r>
        <w:rPr>
          <w:rFonts w:hint="eastAsia" w:ascii="宋体" w:hAnsi="宋体"/>
          <w:color w:val="auto"/>
          <w:highlight w:val="none"/>
        </w:rPr>
        <w:t>本保函自我方法定代表人（或其授权代理人）签章并加盖单位章后生效。</w:t>
      </w:r>
    </w:p>
    <w:p w14:paraId="26F2F783">
      <w:pPr>
        <w:ind w:firstLine="420" w:firstLineChars="200"/>
        <w:rPr>
          <w:rFonts w:hint="eastAsia" w:ascii="宋体" w:hAnsi="宋体"/>
          <w:color w:val="auto"/>
          <w:highlight w:val="none"/>
        </w:rPr>
      </w:pPr>
      <w:r>
        <w:rPr>
          <w:rFonts w:hint="eastAsia" w:ascii="宋体" w:hAnsi="宋体"/>
          <w:color w:val="auto"/>
          <w:highlight w:val="none"/>
        </w:rPr>
        <w:t xml:space="preserve"> </w:t>
      </w:r>
    </w:p>
    <w:p w14:paraId="6D9792B1">
      <w:pPr>
        <w:ind w:firstLine="2975" w:firstLineChars="1417"/>
        <w:rPr>
          <w:rFonts w:hint="eastAsia" w:ascii="宋体" w:hAnsi="宋体"/>
          <w:color w:val="auto"/>
          <w:highlight w:val="none"/>
        </w:rPr>
      </w:pPr>
      <w:r>
        <w:rPr>
          <w:rFonts w:hint="eastAsia" w:ascii="宋体" w:hAnsi="宋体"/>
          <w:color w:val="auto"/>
          <w:highlight w:val="none"/>
        </w:rPr>
        <w:t>担 保 人：</w:t>
      </w:r>
      <w:r>
        <w:rPr>
          <w:rFonts w:hint="eastAsia" w:ascii="宋体" w:hAnsi="宋体"/>
          <w:color w:val="auto"/>
          <w:highlight w:val="none"/>
          <w:u w:val="single"/>
        </w:rPr>
        <w:t xml:space="preserve">                         </w:t>
      </w:r>
      <w:r>
        <w:rPr>
          <w:rFonts w:hint="eastAsia" w:ascii="宋体" w:hAnsi="宋体"/>
          <w:color w:val="auto"/>
          <w:highlight w:val="none"/>
        </w:rPr>
        <w:t>（盖单位章）</w:t>
      </w:r>
    </w:p>
    <w:p w14:paraId="38C5B86F">
      <w:pPr>
        <w:ind w:firstLine="2975" w:firstLineChars="1417"/>
        <w:rPr>
          <w:rFonts w:hint="eastAsia" w:ascii="宋体" w:hAnsi="宋体"/>
          <w:color w:val="auto"/>
          <w:highlight w:val="none"/>
        </w:rPr>
      </w:pPr>
      <w:r>
        <w:rPr>
          <w:rFonts w:hint="eastAsia" w:ascii="宋体" w:hAnsi="宋体"/>
          <w:color w:val="auto"/>
          <w:highlight w:val="none"/>
        </w:rPr>
        <w:t>法定代表人或其委托代理人：</w:t>
      </w:r>
      <w:r>
        <w:rPr>
          <w:rFonts w:hint="eastAsia" w:ascii="宋体" w:hAnsi="宋体"/>
          <w:color w:val="auto"/>
          <w:highlight w:val="none"/>
          <w:u w:val="single"/>
        </w:rPr>
        <w:t xml:space="preserve">                 </w:t>
      </w:r>
      <w:r>
        <w:rPr>
          <w:rFonts w:hint="eastAsia" w:ascii="宋体" w:hAnsi="宋体"/>
          <w:color w:val="auto"/>
          <w:highlight w:val="none"/>
        </w:rPr>
        <w:t>（签字）</w:t>
      </w:r>
    </w:p>
    <w:p w14:paraId="2BF87A13">
      <w:pPr>
        <w:ind w:firstLine="2975" w:firstLineChars="1417"/>
        <w:rPr>
          <w:rFonts w:hint="eastAsia"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 xml:space="preserve">                                         </w:t>
      </w:r>
    </w:p>
    <w:p w14:paraId="1DD6204F">
      <w:pPr>
        <w:ind w:firstLine="2975" w:firstLineChars="1417"/>
        <w:rPr>
          <w:rFonts w:hint="eastAsia" w:ascii="宋体" w:hAnsi="宋体"/>
          <w:color w:val="auto"/>
          <w:highlight w:val="none"/>
        </w:rPr>
      </w:pPr>
      <w:r>
        <w:rPr>
          <w:rFonts w:hint="eastAsia" w:ascii="宋体" w:hAnsi="宋体"/>
          <w:color w:val="auto"/>
          <w:highlight w:val="none"/>
        </w:rPr>
        <w:t>邮政编码：</w:t>
      </w:r>
      <w:r>
        <w:rPr>
          <w:rFonts w:hint="eastAsia" w:ascii="宋体" w:hAnsi="宋体"/>
          <w:color w:val="auto"/>
          <w:highlight w:val="none"/>
          <w:u w:val="single"/>
        </w:rPr>
        <w:t xml:space="preserve">                                         </w:t>
      </w:r>
    </w:p>
    <w:p w14:paraId="42875796">
      <w:pPr>
        <w:ind w:firstLine="2975" w:firstLineChars="1417"/>
        <w:rPr>
          <w:rFonts w:hint="eastAsia" w:ascii="宋体" w:hAnsi="宋体"/>
          <w:color w:val="auto"/>
          <w:highlight w:val="none"/>
        </w:rPr>
      </w:pPr>
      <w:r>
        <w:rPr>
          <w:rFonts w:hint="eastAsia" w:ascii="宋体" w:hAnsi="宋体"/>
          <w:color w:val="auto"/>
          <w:highlight w:val="none"/>
        </w:rPr>
        <w:t>电    话：</w:t>
      </w:r>
      <w:r>
        <w:rPr>
          <w:rFonts w:hint="eastAsia" w:ascii="宋体" w:hAnsi="宋体"/>
          <w:color w:val="auto"/>
          <w:highlight w:val="none"/>
          <w:u w:val="single"/>
        </w:rPr>
        <w:t xml:space="preserve">                                         </w:t>
      </w:r>
    </w:p>
    <w:p w14:paraId="2D7BDDFD">
      <w:pPr>
        <w:ind w:firstLine="2975" w:firstLineChars="1417"/>
        <w:rPr>
          <w:rFonts w:hint="eastAsia" w:ascii="宋体" w:hAnsi="宋体"/>
          <w:color w:val="auto"/>
          <w:highlight w:val="none"/>
        </w:rPr>
      </w:pPr>
      <w:r>
        <w:rPr>
          <w:rFonts w:hint="eastAsia" w:ascii="宋体" w:hAnsi="宋体"/>
          <w:color w:val="auto"/>
          <w:highlight w:val="none"/>
        </w:rPr>
        <w:t>传    真：</w:t>
      </w:r>
      <w:r>
        <w:rPr>
          <w:rFonts w:hint="eastAsia" w:ascii="宋体" w:hAnsi="宋体"/>
          <w:color w:val="auto"/>
          <w:highlight w:val="none"/>
          <w:u w:val="single"/>
        </w:rPr>
        <w:t xml:space="preserve">                                         </w:t>
      </w:r>
    </w:p>
    <w:p w14:paraId="21295E6F">
      <w:pPr>
        <w:ind w:firstLine="1860" w:firstLineChars="886"/>
        <w:jc w:val="right"/>
        <w:rPr>
          <w:rFonts w:hint="eastAsia" w:ascii="宋体" w:hAnsi="宋体"/>
          <w:color w:val="auto"/>
          <w:sz w:val="24"/>
          <w:szCs w:val="24"/>
          <w:highlight w:val="none"/>
        </w:rPr>
      </w:pP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7DEBCACE">
      <w:pPr>
        <w:spacing w:line="360" w:lineRule="auto"/>
        <w:ind w:left="1899" w:hanging="1899" w:hangingChars="633"/>
        <w:rPr>
          <w:rFonts w:hint="eastAsia" w:ascii="宋体" w:hAnsi="宋体"/>
          <w:color w:val="auto"/>
          <w:sz w:val="30"/>
          <w:szCs w:val="30"/>
          <w:highlight w:val="none"/>
        </w:rPr>
      </w:pPr>
      <w:r>
        <w:rPr>
          <w:rFonts w:hint="eastAsia" w:ascii="宋体" w:hAnsi="宋体"/>
          <w:color w:val="auto"/>
          <w:sz w:val="30"/>
          <w:szCs w:val="30"/>
          <w:highlight w:val="none"/>
        </w:rPr>
        <w:t xml:space="preserve"> </w:t>
      </w:r>
    </w:p>
    <w:p w14:paraId="7DBB3346">
      <w:pPr>
        <w:spacing w:line="360" w:lineRule="auto"/>
        <w:ind w:left="1899" w:hanging="1899" w:hangingChars="633"/>
        <w:rPr>
          <w:rFonts w:hint="eastAsia" w:ascii="宋体" w:hAnsi="宋体"/>
          <w:color w:val="auto"/>
          <w:sz w:val="30"/>
          <w:szCs w:val="30"/>
          <w:highlight w:val="none"/>
        </w:rPr>
      </w:pPr>
      <w:r>
        <w:rPr>
          <w:rFonts w:hint="eastAsia" w:ascii="宋体" w:hAnsi="宋体"/>
          <w:color w:val="auto"/>
          <w:sz w:val="30"/>
          <w:szCs w:val="30"/>
          <w:highlight w:val="none"/>
        </w:rPr>
        <w:t xml:space="preserve"> </w:t>
      </w:r>
    </w:p>
    <w:p w14:paraId="41AE4093">
      <w:pPr>
        <w:widowControl/>
        <w:jc w:val="left"/>
        <w:rPr>
          <w:rFonts w:hint="eastAsia" w:ascii="宋体" w:hAnsi="宋体"/>
          <w:b/>
          <w:color w:val="auto"/>
          <w:sz w:val="24"/>
          <w:szCs w:val="24"/>
          <w:highlight w:val="none"/>
        </w:rPr>
      </w:pPr>
      <w:r>
        <w:rPr>
          <w:rFonts w:hint="eastAsia" w:ascii="宋体" w:hAnsi="宋体"/>
          <w:color w:val="auto"/>
          <w:highlight w:val="none"/>
        </w:rPr>
        <w:br w:type="page"/>
      </w:r>
    </w:p>
    <w:p w14:paraId="7B5E13FC">
      <w:pPr>
        <w:pStyle w:val="5"/>
        <w:spacing w:before="120" w:after="120"/>
        <w:rPr>
          <w:rFonts w:hint="eastAsia" w:ascii="宋体" w:hAnsi="宋体"/>
          <w:color w:val="auto"/>
          <w:sz w:val="24"/>
          <w:szCs w:val="24"/>
          <w:highlight w:val="none"/>
        </w:rPr>
      </w:pPr>
      <w:r>
        <w:rPr>
          <w:rFonts w:hint="eastAsia" w:ascii="宋体" w:hAnsi="宋体"/>
          <w:color w:val="auto"/>
          <w:sz w:val="24"/>
          <w:szCs w:val="24"/>
          <w:highlight w:val="none"/>
        </w:rPr>
        <w:t>附件5</w:t>
      </w:r>
    </w:p>
    <w:p w14:paraId="42340F49">
      <w:pPr>
        <w:spacing w:before="120" w:beforeLines="50" w:after="120" w:afterLines="50" w:line="44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支付担保</w:t>
      </w:r>
    </w:p>
    <w:p w14:paraId="2E6C1811">
      <w:pPr>
        <w:spacing w:line="360" w:lineRule="auto"/>
        <w:ind w:firstLine="4725" w:firstLineChars="2250"/>
        <w:rPr>
          <w:rFonts w:hint="eastAsia" w:ascii="宋体" w:hAnsi="宋体"/>
          <w:color w:val="auto"/>
          <w:szCs w:val="21"/>
          <w:highlight w:val="none"/>
        </w:rPr>
      </w:pPr>
      <w:r>
        <w:rPr>
          <w:rFonts w:hint="eastAsia" w:ascii="宋体" w:hAnsi="宋体"/>
          <w:color w:val="auto"/>
          <w:highlight w:val="none"/>
        </w:rPr>
        <w:t>办理日期： 年 月 日</w:t>
      </w:r>
    </w:p>
    <w:p w14:paraId="2221FCC9">
      <w:pPr>
        <w:spacing w:line="360" w:lineRule="auto"/>
        <w:ind w:right="600"/>
        <w:rPr>
          <w:rFonts w:hint="eastAsia" w:ascii="宋体" w:hAnsi="宋体"/>
          <w:color w:val="auto"/>
          <w:highlight w:val="none"/>
        </w:rPr>
      </w:pPr>
      <w:r>
        <w:rPr>
          <w:rFonts w:hint="eastAsia" w:ascii="宋体" w:hAnsi="宋体"/>
          <w:color w:val="auto"/>
          <w:highlight w:val="none"/>
        </w:rPr>
        <w:t xml:space="preserve">                                             保函编号：№</w:t>
      </w:r>
    </w:p>
    <w:p w14:paraId="6C29D919">
      <w:pPr>
        <w:rPr>
          <w:rFonts w:hint="eastAsia" w:ascii="宋体" w:hAnsi="宋体"/>
          <w:color w:val="auto"/>
          <w:highlight w:val="none"/>
        </w:rPr>
      </w:pPr>
      <w:r>
        <w:rPr>
          <w:rFonts w:hint="eastAsia" w:ascii="宋体" w:hAnsi="宋体"/>
          <w:color w:val="auto"/>
          <w:highlight w:val="none"/>
          <w:u w:val="single"/>
        </w:rPr>
        <w:t>（承包商名称）</w:t>
      </w:r>
      <w:r>
        <w:rPr>
          <w:rFonts w:hint="eastAsia" w:ascii="宋体" w:hAnsi="宋体"/>
          <w:color w:val="auto"/>
          <w:highlight w:val="none"/>
        </w:rPr>
        <w:t>：</w:t>
      </w:r>
    </w:p>
    <w:p w14:paraId="773ECBDD">
      <w:pPr>
        <w:ind w:firstLine="420" w:firstLineChars="200"/>
        <w:rPr>
          <w:rFonts w:hint="eastAsia" w:ascii="宋体" w:hAnsi="宋体"/>
          <w:color w:val="auto"/>
          <w:highlight w:val="none"/>
        </w:rPr>
      </w:pPr>
      <w:r>
        <w:rPr>
          <w:rFonts w:hint="eastAsia" w:ascii="宋体" w:hAnsi="宋体"/>
          <w:color w:val="auto"/>
          <w:highlight w:val="none"/>
        </w:rPr>
        <w:t>鉴于你方作为承包商已经与</w:t>
      </w:r>
      <w:r>
        <w:rPr>
          <w:rFonts w:hint="eastAsia" w:ascii="宋体" w:hAnsi="宋体"/>
          <w:color w:val="auto"/>
          <w:highlight w:val="none"/>
          <w:u w:val="single"/>
        </w:rPr>
        <w:t xml:space="preserve">           </w:t>
      </w:r>
      <w:r>
        <w:rPr>
          <w:rFonts w:hint="eastAsia" w:ascii="宋体" w:hAnsi="宋体"/>
          <w:color w:val="auto"/>
          <w:highlight w:val="none"/>
        </w:rPr>
        <w:t>（发包人名称，以下称“发包人”）于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日签订了</w:t>
      </w:r>
      <w:r>
        <w:rPr>
          <w:rFonts w:hint="eastAsia" w:ascii="宋体" w:hAnsi="宋体"/>
          <w:color w:val="auto"/>
          <w:highlight w:val="none"/>
          <w:u w:val="single"/>
        </w:rPr>
        <w:t xml:space="preserve">            </w:t>
      </w:r>
      <w:r>
        <w:rPr>
          <w:rFonts w:hint="eastAsia" w:ascii="宋体" w:hAnsi="宋体"/>
          <w:color w:val="auto"/>
          <w:highlight w:val="none"/>
        </w:rPr>
        <w:t>（工程名称）施工合同（以下称“主合同”），应发包人的申请，我方愿就发包人履行主合同约定合同款支付义务以保证的方式向你方提供如下担保：</w:t>
      </w:r>
    </w:p>
    <w:p w14:paraId="720D3AA1">
      <w:pPr>
        <w:rPr>
          <w:rFonts w:hint="eastAsia" w:ascii="宋体" w:hAnsi="宋体"/>
          <w:b/>
          <w:color w:val="auto"/>
          <w:highlight w:val="none"/>
        </w:rPr>
      </w:pPr>
      <w:bookmarkStart w:id="114" w:name="_Toc387415162"/>
      <w:bookmarkEnd w:id="114"/>
      <w:r>
        <w:rPr>
          <w:rFonts w:hint="eastAsia" w:ascii="宋体" w:hAnsi="宋体"/>
          <w:b/>
          <w:color w:val="auto"/>
          <w:highlight w:val="none"/>
        </w:rPr>
        <w:t>一、保证的范围及保证金额</w:t>
      </w:r>
    </w:p>
    <w:p w14:paraId="7527EEDE">
      <w:pPr>
        <w:ind w:firstLine="420" w:firstLineChars="200"/>
        <w:rPr>
          <w:rFonts w:hint="eastAsia" w:ascii="宋体" w:hAnsi="宋体"/>
          <w:color w:val="auto"/>
          <w:highlight w:val="none"/>
        </w:rPr>
      </w:pPr>
      <w:r>
        <w:rPr>
          <w:rFonts w:hint="eastAsia" w:ascii="宋体" w:hAnsi="宋体"/>
          <w:color w:val="auto"/>
          <w:highlight w:val="none"/>
        </w:rPr>
        <w:t>我方的保证范围是主合同约定的合同款。</w:t>
      </w:r>
    </w:p>
    <w:p w14:paraId="08064D23">
      <w:pPr>
        <w:ind w:firstLine="420" w:firstLineChars="200"/>
        <w:rPr>
          <w:rFonts w:hint="eastAsia" w:ascii="宋体" w:hAnsi="宋体"/>
          <w:color w:val="auto"/>
          <w:highlight w:val="none"/>
        </w:rPr>
      </w:pPr>
      <w:r>
        <w:rPr>
          <w:rFonts w:hint="eastAsia" w:ascii="宋体" w:hAnsi="宋体"/>
          <w:color w:val="auto"/>
          <w:highlight w:val="none"/>
        </w:rPr>
        <w:t>本保函所称主合同约定的合同款是指主合同约定的合同总价款。如主合同约定承包商提交工程质量保修金的，合同款应扣除工程质量保修金金额。</w:t>
      </w:r>
    </w:p>
    <w:p w14:paraId="01BBFEF4">
      <w:pPr>
        <w:ind w:firstLine="420" w:firstLineChars="200"/>
        <w:rPr>
          <w:rFonts w:hint="eastAsia" w:ascii="宋体" w:hAnsi="宋体"/>
          <w:color w:val="auto"/>
          <w:highlight w:val="none"/>
        </w:rPr>
      </w:pPr>
      <w:r>
        <w:rPr>
          <w:rFonts w:hint="eastAsia" w:ascii="宋体" w:hAnsi="宋体"/>
          <w:color w:val="auto"/>
          <w:highlight w:val="none"/>
        </w:rPr>
        <w:t>我方保证的金额是主合同约定的合同总价款的</w:t>
      </w:r>
      <w:r>
        <w:rPr>
          <w:rFonts w:hint="eastAsia" w:ascii="宋体" w:hAnsi="宋体"/>
          <w:color w:val="auto"/>
          <w:highlight w:val="none"/>
          <w:u w:val="single"/>
        </w:rPr>
        <w:t xml:space="preserve">         </w:t>
      </w:r>
      <w:r>
        <w:rPr>
          <w:rFonts w:hint="eastAsia" w:ascii="宋体" w:hAnsi="宋体"/>
          <w:color w:val="auto"/>
          <w:highlight w:val="none"/>
        </w:rPr>
        <w:t>%，数额最高不超过人民币（大写）：</w:t>
      </w:r>
      <w:r>
        <w:rPr>
          <w:rFonts w:hint="eastAsia" w:ascii="宋体" w:hAnsi="宋体"/>
          <w:color w:val="auto"/>
          <w:highlight w:val="none"/>
          <w:u w:val="single"/>
        </w:rPr>
        <w:t xml:space="preserve">        </w:t>
      </w:r>
      <w:r>
        <w:rPr>
          <w:rFonts w:hint="eastAsia" w:ascii="宋体" w:hAnsi="宋体"/>
          <w:color w:val="auto"/>
          <w:highlight w:val="none"/>
        </w:rPr>
        <w:t>。</w:t>
      </w:r>
    </w:p>
    <w:p w14:paraId="0EE92869">
      <w:pPr>
        <w:rPr>
          <w:rFonts w:hint="eastAsia" w:ascii="宋体" w:hAnsi="宋体"/>
          <w:b/>
          <w:color w:val="auto"/>
          <w:highlight w:val="none"/>
        </w:rPr>
      </w:pPr>
      <w:bookmarkStart w:id="115" w:name="_Toc387415163"/>
      <w:bookmarkEnd w:id="115"/>
      <w:r>
        <w:rPr>
          <w:rFonts w:hint="eastAsia" w:ascii="宋体" w:hAnsi="宋体"/>
          <w:b/>
          <w:color w:val="auto"/>
          <w:highlight w:val="none"/>
        </w:rPr>
        <w:t>二、保证的方式及保证期间</w:t>
      </w:r>
    </w:p>
    <w:p w14:paraId="141AA0DF">
      <w:pPr>
        <w:ind w:firstLine="420" w:firstLineChars="200"/>
        <w:rPr>
          <w:rFonts w:hint="eastAsia" w:ascii="宋体" w:hAnsi="宋体"/>
          <w:color w:val="auto"/>
          <w:highlight w:val="none"/>
        </w:rPr>
      </w:pPr>
      <w:r>
        <w:rPr>
          <w:rFonts w:hint="eastAsia" w:ascii="宋体" w:hAnsi="宋体"/>
          <w:color w:val="auto"/>
          <w:highlight w:val="none"/>
        </w:rPr>
        <w:t>我方保证的方式为：连带责任保证。</w:t>
      </w:r>
    </w:p>
    <w:p w14:paraId="7F8E0AB0">
      <w:pPr>
        <w:ind w:firstLine="420" w:firstLineChars="200"/>
        <w:rPr>
          <w:rFonts w:hint="eastAsia" w:ascii="宋体" w:hAnsi="宋体"/>
          <w:color w:val="auto"/>
          <w:highlight w:val="none"/>
        </w:rPr>
      </w:pPr>
      <w:r>
        <w:rPr>
          <w:rFonts w:hint="eastAsia" w:ascii="宋体" w:hAnsi="宋体"/>
          <w:color w:val="auto"/>
          <w:highlight w:val="none"/>
        </w:rPr>
        <w:t>我方保证的期间为：自主合同生效之日起至主合同约定的合同款支付之日</w:t>
      </w:r>
      <w:r>
        <w:rPr>
          <w:rFonts w:hint="eastAsia" w:ascii="宋体" w:hAnsi="宋体"/>
          <w:color w:val="auto"/>
          <w:highlight w:val="none"/>
          <w:u w:val="single"/>
        </w:rPr>
        <w:t xml:space="preserve">      </w:t>
      </w:r>
      <w:r>
        <w:rPr>
          <w:rFonts w:hint="eastAsia" w:ascii="宋体" w:hAnsi="宋体"/>
          <w:color w:val="auto"/>
          <w:highlight w:val="none"/>
        </w:rPr>
        <w:t>后日内。</w:t>
      </w:r>
    </w:p>
    <w:p w14:paraId="236534FA">
      <w:pPr>
        <w:ind w:firstLine="420" w:firstLineChars="200"/>
        <w:rPr>
          <w:rFonts w:hint="eastAsia" w:ascii="宋体" w:hAnsi="宋体"/>
          <w:color w:val="auto"/>
          <w:highlight w:val="none"/>
        </w:rPr>
      </w:pPr>
      <w:r>
        <w:rPr>
          <w:rFonts w:hint="eastAsia" w:ascii="宋体" w:hAnsi="宋体"/>
          <w:color w:val="auto"/>
          <w:highlight w:val="none"/>
        </w:rPr>
        <w:t>你方与发包人协议变更合同款支付日期的，经我方书面同意后，保证期间按照变更后的支付日期做相应调整。</w:t>
      </w:r>
    </w:p>
    <w:p w14:paraId="7441B48B">
      <w:pPr>
        <w:rPr>
          <w:rFonts w:hint="eastAsia" w:ascii="宋体" w:hAnsi="宋体"/>
          <w:color w:val="auto"/>
          <w:highlight w:val="none"/>
        </w:rPr>
      </w:pPr>
      <w:bookmarkStart w:id="116" w:name="_Toc387415164"/>
      <w:bookmarkEnd w:id="116"/>
      <w:r>
        <w:rPr>
          <w:rFonts w:hint="eastAsia" w:ascii="宋体" w:hAnsi="宋体"/>
          <w:color w:val="auto"/>
          <w:highlight w:val="none"/>
        </w:rPr>
        <w:t>三、承担保证责任的形式</w:t>
      </w:r>
    </w:p>
    <w:p w14:paraId="1E096F95">
      <w:pPr>
        <w:ind w:firstLine="420" w:firstLineChars="200"/>
        <w:rPr>
          <w:rFonts w:hint="eastAsia" w:ascii="宋体" w:hAnsi="宋体"/>
          <w:color w:val="auto"/>
          <w:highlight w:val="none"/>
        </w:rPr>
      </w:pPr>
      <w:r>
        <w:rPr>
          <w:rFonts w:hint="eastAsia" w:ascii="宋体" w:hAnsi="宋体"/>
          <w:color w:val="auto"/>
          <w:highlight w:val="none"/>
        </w:rPr>
        <w:t>我方承担保证责任的形式是代为支付。发包人未按主合同约定向你方支付合同款的，由我方在保证金额内代为支付。</w:t>
      </w:r>
    </w:p>
    <w:p w14:paraId="4E519D9E">
      <w:pPr>
        <w:rPr>
          <w:rFonts w:hint="eastAsia" w:ascii="宋体" w:hAnsi="宋体"/>
          <w:b/>
          <w:color w:val="auto"/>
          <w:highlight w:val="none"/>
        </w:rPr>
      </w:pPr>
      <w:bookmarkStart w:id="117" w:name="_Toc387415165"/>
      <w:bookmarkEnd w:id="117"/>
      <w:r>
        <w:rPr>
          <w:rFonts w:hint="eastAsia" w:ascii="宋体" w:hAnsi="宋体"/>
          <w:b/>
          <w:color w:val="auto"/>
          <w:highlight w:val="none"/>
        </w:rPr>
        <w:t>四、代偿的安排</w:t>
      </w:r>
    </w:p>
    <w:p w14:paraId="0EA2EDB5">
      <w:pPr>
        <w:ind w:firstLine="420" w:firstLineChars="200"/>
        <w:rPr>
          <w:rFonts w:hint="eastAsia" w:ascii="宋体" w:hAnsi="宋体"/>
          <w:color w:val="auto"/>
          <w:highlight w:val="none"/>
        </w:rPr>
      </w:pPr>
      <w:r>
        <w:rPr>
          <w:rFonts w:hint="eastAsia" w:ascii="宋体" w:hAnsi="宋体"/>
          <w:color w:val="auto"/>
          <w:highlight w:val="none"/>
        </w:rPr>
        <w:t>你方要求我方承担保证责任的，应向我方发出书面索赔通知及发包人未支付主合同约定合同款的证明材料，并随附本保函原件。索赔通知应写明要求索赔的金额及支付款项到达的账号。</w:t>
      </w:r>
    </w:p>
    <w:p w14:paraId="045391D3">
      <w:pPr>
        <w:ind w:firstLine="420" w:firstLineChars="200"/>
        <w:rPr>
          <w:rFonts w:hint="eastAsia" w:ascii="宋体" w:hAnsi="宋体"/>
          <w:color w:val="auto"/>
          <w:highlight w:val="none"/>
        </w:rPr>
      </w:pPr>
      <w:r>
        <w:rPr>
          <w:rFonts w:hint="eastAsia" w:ascii="宋体" w:hAnsi="宋体"/>
          <w:color w:val="auto"/>
          <w:highlight w:val="none"/>
        </w:rPr>
        <w:t>在出现你方与发包人因工程质量发生争议，发包人拒绝向你方支付合同款的情形时，你方要求我方履行保证责任代为支付的，还需提供项目总监理工程师、监理人或法定的建筑工程质量检测机构出具的检测报告。</w:t>
      </w:r>
    </w:p>
    <w:p w14:paraId="262D6470">
      <w:pPr>
        <w:ind w:firstLine="420" w:firstLineChars="200"/>
        <w:rPr>
          <w:rFonts w:hint="eastAsia" w:ascii="宋体" w:hAnsi="宋体"/>
          <w:color w:val="auto"/>
          <w:highlight w:val="none"/>
        </w:rPr>
      </w:pPr>
      <w:r>
        <w:rPr>
          <w:rFonts w:hint="eastAsia" w:ascii="宋体" w:hAnsi="宋体"/>
          <w:color w:val="auto"/>
          <w:highlight w:val="none"/>
        </w:rPr>
        <w:t>我方收到本保函原件和你方的书面索赔通知及相应证明材料后，在</w:t>
      </w:r>
      <w:r>
        <w:rPr>
          <w:rFonts w:hint="eastAsia" w:ascii="宋体" w:hAnsi="宋体"/>
          <w:color w:val="auto"/>
          <w:highlight w:val="none"/>
          <w:u w:val="single"/>
        </w:rPr>
        <w:t xml:space="preserve">      </w:t>
      </w:r>
      <w:r>
        <w:rPr>
          <w:rFonts w:hint="eastAsia" w:ascii="宋体" w:hAnsi="宋体"/>
          <w:color w:val="auto"/>
          <w:highlight w:val="none"/>
        </w:rPr>
        <w:t>个工作日内进行核定后按照本保函的承诺承担保证责任。</w:t>
      </w:r>
    </w:p>
    <w:p w14:paraId="372C436A">
      <w:pPr>
        <w:rPr>
          <w:rFonts w:hint="eastAsia" w:ascii="宋体" w:hAnsi="宋体"/>
          <w:b/>
          <w:color w:val="auto"/>
          <w:highlight w:val="none"/>
        </w:rPr>
      </w:pPr>
      <w:bookmarkStart w:id="118" w:name="_Toc387415166"/>
      <w:bookmarkEnd w:id="118"/>
      <w:r>
        <w:rPr>
          <w:rFonts w:hint="eastAsia" w:ascii="宋体" w:hAnsi="宋体"/>
          <w:b/>
          <w:color w:val="auto"/>
          <w:highlight w:val="none"/>
        </w:rPr>
        <w:t>五、保证责任的解除</w:t>
      </w:r>
    </w:p>
    <w:p w14:paraId="021125D3">
      <w:pPr>
        <w:ind w:firstLine="420" w:firstLineChars="200"/>
        <w:rPr>
          <w:rFonts w:hint="eastAsia" w:ascii="宋体" w:hAnsi="宋体"/>
          <w:color w:val="auto"/>
          <w:highlight w:val="none"/>
        </w:rPr>
      </w:pPr>
      <w:r>
        <w:rPr>
          <w:rFonts w:hint="eastAsia" w:ascii="宋体" w:hAnsi="宋体"/>
          <w:color w:val="auto"/>
          <w:highlight w:val="none"/>
        </w:rPr>
        <w:t>1. 在本保函承诺的保证期间内，你方未书面向我方主张保证责任的，自保证期间届满次日起，我方保证责任解除。</w:t>
      </w:r>
    </w:p>
    <w:p w14:paraId="1DE1914C">
      <w:pPr>
        <w:ind w:firstLine="420" w:firstLineChars="200"/>
        <w:rPr>
          <w:rFonts w:hint="eastAsia" w:ascii="宋体" w:hAnsi="宋体"/>
          <w:color w:val="auto"/>
          <w:highlight w:val="none"/>
        </w:rPr>
      </w:pPr>
      <w:r>
        <w:rPr>
          <w:rFonts w:hint="eastAsia" w:ascii="宋体" w:hAnsi="宋体"/>
          <w:color w:val="auto"/>
          <w:highlight w:val="none"/>
        </w:rPr>
        <w:t>2. 发包人按主合同约定履行了合同款的全部支付义务的，自本保函承诺的保证期间届满次日起，我方保证责任解除。</w:t>
      </w:r>
    </w:p>
    <w:p w14:paraId="08135AFD">
      <w:pPr>
        <w:ind w:firstLine="420" w:firstLineChars="200"/>
        <w:rPr>
          <w:rFonts w:hint="eastAsia" w:ascii="宋体" w:hAnsi="宋体"/>
          <w:color w:val="auto"/>
          <w:highlight w:val="none"/>
        </w:rPr>
      </w:pPr>
      <w:r>
        <w:rPr>
          <w:rFonts w:hint="eastAsia" w:ascii="宋体" w:hAnsi="宋体"/>
          <w:color w:val="auto"/>
          <w:highlight w:val="none"/>
        </w:rPr>
        <w:t>3. 我方按照本保函向你方履行保证责任所支付金额达到本保函保证金额时，自我方向你方支付（支付款项从我方账户划出）之日起，保证责任即解除。</w:t>
      </w:r>
    </w:p>
    <w:p w14:paraId="27F15592">
      <w:pPr>
        <w:ind w:firstLine="420" w:firstLineChars="200"/>
        <w:rPr>
          <w:rFonts w:hint="eastAsia" w:ascii="宋体" w:hAnsi="宋体"/>
          <w:color w:val="auto"/>
          <w:highlight w:val="none"/>
        </w:rPr>
      </w:pPr>
      <w:r>
        <w:rPr>
          <w:rFonts w:hint="eastAsia" w:ascii="宋体" w:hAnsi="宋体"/>
          <w:color w:val="auto"/>
          <w:highlight w:val="none"/>
        </w:rPr>
        <w:t>4. 按照法律法规的规定或出现应解除我方保证责任的其它情形的，我方在本保函项下的保证责任亦解除。</w:t>
      </w:r>
    </w:p>
    <w:p w14:paraId="3D5AAA1F">
      <w:pPr>
        <w:ind w:firstLine="420" w:firstLineChars="200"/>
        <w:rPr>
          <w:rFonts w:hint="eastAsia" w:ascii="宋体" w:hAnsi="宋体"/>
          <w:color w:val="auto"/>
          <w:highlight w:val="none"/>
        </w:rPr>
      </w:pPr>
      <w:r>
        <w:rPr>
          <w:rFonts w:hint="eastAsia" w:ascii="宋体" w:hAnsi="宋体"/>
          <w:color w:val="auto"/>
          <w:highlight w:val="none"/>
        </w:rPr>
        <w:t>我方解除保证责任后，你方应自我方保证责任解除之日起个工作日内，将本保函原件返还我方。超出本约定期限的，无论保函原件是否退还我方，我方均不再承担保证责任。</w:t>
      </w:r>
    </w:p>
    <w:p w14:paraId="6C0B84FB">
      <w:pPr>
        <w:rPr>
          <w:rFonts w:hint="eastAsia" w:ascii="宋体" w:hAnsi="宋体"/>
          <w:b/>
          <w:color w:val="auto"/>
          <w:highlight w:val="none"/>
        </w:rPr>
      </w:pPr>
      <w:bookmarkStart w:id="119" w:name="_Toc387415167"/>
      <w:bookmarkEnd w:id="119"/>
      <w:r>
        <w:rPr>
          <w:rFonts w:hint="eastAsia" w:ascii="宋体" w:hAnsi="宋体"/>
          <w:b/>
          <w:color w:val="auto"/>
          <w:highlight w:val="none"/>
        </w:rPr>
        <w:t>六、免责条款</w:t>
      </w:r>
    </w:p>
    <w:p w14:paraId="718D5B40">
      <w:pPr>
        <w:ind w:firstLine="420" w:firstLineChars="200"/>
        <w:rPr>
          <w:rFonts w:hint="eastAsia" w:ascii="宋体" w:hAnsi="宋体"/>
          <w:color w:val="auto"/>
          <w:highlight w:val="none"/>
        </w:rPr>
      </w:pPr>
      <w:r>
        <w:rPr>
          <w:rFonts w:hint="eastAsia" w:ascii="宋体" w:hAnsi="宋体"/>
          <w:color w:val="auto"/>
          <w:highlight w:val="none"/>
        </w:rPr>
        <w:t>1. 因你方违约致使发包人不能履行义务的，我方不承担保证责任。</w:t>
      </w:r>
    </w:p>
    <w:p w14:paraId="7045020A">
      <w:pPr>
        <w:ind w:firstLine="420" w:firstLineChars="200"/>
        <w:rPr>
          <w:rFonts w:hint="eastAsia" w:ascii="宋体" w:hAnsi="宋体"/>
          <w:color w:val="auto"/>
          <w:highlight w:val="none"/>
        </w:rPr>
      </w:pPr>
      <w:r>
        <w:rPr>
          <w:rFonts w:hint="eastAsia" w:ascii="宋体" w:hAnsi="宋体"/>
          <w:color w:val="auto"/>
          <w:highlight w:val="none"/>
        </w:rPr>
        <w:t>2. 依照法律法规的规定或你方与发包人的另行约定，免除发包人部分或全部义务的，我方亦免除其相应的保证责任。</w:t>
      </w:r>
    </w:p>
    <w:p w14:paraId="519F0FBA">
      <w:pPr>
        <w:ind w:firstLine="420" w:firstLineChars="200"/>
        <w:rPr>
          <w:rFonts w:hint="eastAsia" w:ascii="宋体" w:hAnsi="宋体"/>
          <w:color w:val="auto"/>
          <w:highlight w:val="none"/>
        </w:rPr>
      </w:pPr>
      <w:r>
        <w:rPr>
          <w:rFonts w:hint="eastAsia" w:ascii="宋体" w:hAnsi="宋体"/>
          <w:color w:val="auto"/>
          <w:highlight w:val="none"/>
        </w:rPr>
        <w:t>3. 你方与发包人协议变更主合同的（符合主合同条款约定的变更除外），如加重发包人责任致使我方保证责任加重的，需征得我方书面同意，否则我方不再承担因此而加重部分的保证责任。</w:t>
      </w:r>
    </w:p>
    <w:p w14:paraId="4B405310">
      <w:pPr>
        <w:ind w:firstLine="420" w:firstLineChars="200"/>
        <w:rPr>
          <w:rFonts w:hint="eastAsia" w:ascii="宋体" w:hAnsi="宋体"/>
          <w:color w:val="auto"/>
          <w:highlight w:val="none"/>
        </w:rPr>
      </w:pPr>
      <w:r>
        <w:rPr>
          <w:rFonts w:hint="eastAsia" w:ascii="宋体" w:hAnsi="宋体"/>
          <w:color w:val="auto"/>
          <w:highlight w:val="none"/>
        </w:rPr>
        <w:t>4. 因不可抗力造成发包人不能履行义务的，我方不承担保证责任。</w:t>
      </w:r>
    </w:p>
    <w:p w14:paraId="4C3479E6">
      <w:pPr>
        <w:ind w:firstLine="420" w:firstLineChars="200"/>
        <w:rPr>
          <w:rFonts w:hint="eastAsia" w:ascii="宋体" w:hAnsi="宋体"/>
          <w:color w:val="auto"/>
          <w:highlight w:val="none"/>
        </w:rPr>
      </w:pPr>
      <w:r>
        <w:rPr>
          <w:rFonts w:hint="eastAsia" w:ascii="宋体" w:hAnsi="宋体"/>
          <w:color w:val="auto"/>
          <w:highlight w:val="none"/>
        </w:rPr>
        <w:t>5. 本保函不得转让，我方对除你方以外的任何第三方不承担任何责任。</w:t>
      </w:r>
    </w:p>
    <w:p w14:paraId="6D0767A2">
      <w:pPr>
        <w:rPr>
          <w:rFonts w:hint="eastAsia" w:ascii="宋体" w:hAnsi="宋体"/>
          <w:b/>
          <w:color w:val="auto"/>
          <w:highlight w:val="none"/>
        </w:rPr>
      </w:pPr>
      <w:bookmarkStart w:id="120" w:name="_Toc387415168"/>
      <w:bookmarkEnd w:id="120"/>
      <w:r>
        <w:rPr>
          <w:rFonts w:hint="eastAsia" w:ascii="宋体" w:hAnsi="宋体"/>
          <w:b/>
          <w:color w:val="auto"/>
          <w:highlight w:val="none"/>
        </w:rPr>
        <w:t>七、争议的解决</w:t>
      </w:r>
    </w:p>
    <w:p w14:paraId="54CDD2EC">
      <w:pPr>
        <w:ind w:firstLine="420" w:firstLineChars="200"/>
        <w:rPr>
          <w:rFonts w:hint="eastAsia" w:ascii="宋体" w:hAnsi="宋体"/>
          <w:color w:val="auto"/>
          <w:highlight w:val="none"/>
        </w:rPr>
      </w:pPr>
      <w:r>
        <w:rPr>
          <w:rFonts w:hint="eastAsia" w:ascii="宋体" w:hAnsi="宋体"/>
          <w:color w:val="auto"/>
          <w:highlight w:val="none"/>
        </w:rPr>
        <w:t>因本保函发生的纠纷，由你我双方协商解决，协商不成的，任何一方均可提请</w:t>
      </w:r>
      <w:r>
        <w:rPr>
          <w:rFonts w:hint="eastAsia" w:ascii="宋体" w:hAnsi="宋体"/>
          <w:color w:val="auto"/>
          <w:highlight w:val="none"/>
          <w:u w:val="single"/>
        </w:rPr>
        <w:t>宁波</w:t>
      </w:r>
      <w:r>
        <w:rPr>
          <w:rFonts w:hint="eastAsia" w:ascii="宋体" w:hAnsi="宋体"/>
          <w:color w:val="auto"/>
          <w:highlight w:val="none"/>
        </w:rPr>
        <w:t>仲裁委员会仲裁。</w:t>
      </w:r>
    </w:p>
    <w:p w14:paraId="4F46423C">
      <w:pPr>
        <w:rPr>
          <w:rFonts w:hint="eastAsia" w:ascii="宋体" w:hAnsi="宋体"/>
          <w:b/>
          <w:color w:val="auto"/>
          <w:highlight w:val="none"/>
        </w:rPr>
      </w:pPr>
      <w:bookmarkStart w:id="121" w:name="_Toc387415169"/>
      <w:bookmarkEnd w:id="121"/>
      <w:r>
        <w:rPr>
          <w:rFonts w:hint="eastAsia" w:ascii="宋体" w:hAnsi="宋体"/>
          <w:b/>
          <w:color w:val="auto"/>
          <w:highlight w:val="none"/>
        </w:rPr>
        <w:t>八、保函的生效</w:t>
      </w:r>
    </w:p>
    <w:p w14:paraId="13C36F8A">
      <w:pPr>
        <w:ind w:firstLine="420" w:firstLineChars="200"/>
        <w:rPr>
          <w:rFonts w:hint="eastAsia" w:ascii="宋体" w:hAnsi="宋体"/>
          <w:color w:val="auto"/>
          <w:highlight w:val="none"/>
        </w:rPr>
      </w:pPr>
      <w:r>
        <w:rPr>
          <w:rFonts w:hint="eastAsia" w:ascii="宋体" w:hAnsi="宋体"/>
          <w:color w:val="auto"/>
          <w:highlight w:val="none"/>
        </w:rPr>
        <w:t>本保函自我方法定代表人（或其授权代理人）签章并加盖单位法人章后生效。</w:t>
      </w:r>
    </w:p>
    <w:p w14:paraId="5AB7073D">
      <w:pPr>
        <w:ind w:firstLine="420" w:firstLineChars="200"/>
        <w:rPr>
          <w:rFonts w:hint="eastAsia" w:ascii="宋体" w:hAnsi="宋体"/>
          <w:color w:val="auto"/>
          <w:highlight w:val="none"/>
        </w:rPr>
      </w:pPr>
      <w:r>
        <w:rPr>
          <w:rFonts w:hint="eastAsia" w:ascii="宋体" w:hAnsi="宋体"/>
          <w:color w:val="auto"/>
          <w:highlight w:val="none"/>
        </w:rPr>
        <w:t xml:space="preserve"> </w:t>
      </w:r>
    </w:p>
    <w:p w14:paraId="18BC55DA">
      <w:pPr>
        <w:ind w:firstLine="420" w:firstLineChars="200"/>
        <w:rPr>
          <w:rFonts w:hint="eastAsia" w:ascii="宋体" w:hAnsi="宋体"/>
          <w:color w:val="auto"/>
          <w:highlight w:val="none"/>
        </w:rPr>
      </w:pPr>
      <w:r>
        <w:rPr>
          <w:rFonts w:hint="eastAsia" w:ascii="宋体" w:hAnsi="宋体"/>
          <w:color w:val="auto"/>
          <w:highlight w:val="none"/>
        </w:rPr>
        <w:t xml:space="preserve"> </w:t>
      </w:r>
    </w:p>
    <w:p w14:paraId="1E4D8F3F">
      <w:pPr>
        <w:ind w:firstLine="420" w:firstLineChars="200"/>
        <w:rPr>
          <w:rFonts w:hint="eastAsia" w:ascii="宋体" w:hAnsi="宋体"/>
          <w:color w:val="auto"/>
          <w:highlight w:val="none"/>
        </w:rPr>
      </w:pPr>
      <w:r>
        <w:rPr>
          <w:rFonts w:hint="eastAsia" w:ascii="宋体" w:hAnsi="宋体"/>
          <w:color w:val="auto"/>
          <w:highlight w:val="none"/>
        </w:rPr>
        <w:t xml:space="preserve"> </w:t>
      </w:r>
    </w:p>
    <w:p w14:paraId="777134AF">
      <w:pPr>
        <w:ind w:firstLine="1860" w:firstLineChars="886"/>
        <w:rPr>
          <w:rFonts w:hint="eastAsia" w:ascii="宋体" w:hAnsi="宋体"/>
          <w:color w:val="auto"/>
          <w:highlight w:val="none"/>
          <w:u w:val="single"/>
        </w:rPr>
      </w:pPr>
      <w:r>
        <w:rPr>
          <w:rFonts w:hint="eastAsia" w:ascii="宋体" w:hAnsi="宋体"/>
          <w:color w:val="auto"/>
          <w:highlight w:val="none"/>
        </w:rPr>
        <w:t>担保人：（盖单位法人章）</w:t>
      </w:r>
      <w:r>
        <w:rPr>
          <w:rFonts w:hint="eastAsia" w:ascii="宋体" w:hAnsi="宋体"/>
          <w:color w:val="auto"/>
          <w:highlight w:val="none"/>
          <w:u w:val="single"/>
        </w:rPr>
        <w:t xml:space="preserve">                            </w:t>
      </w:r>
    </w:p>
    <w:p w14:paraId="5A073485">
      <w:pPr>
        <w:ind w:firstLine="1860" w:firstLineChars="886"/>
        <w:rPr>
          <w:rFonts w:hint="eastAsia" w:ascii="宋体" w:hAnsi="宋体"/>
          <w:color w:val="auto"/>
          <w:highlight w:val="none"/>
          <w:u w:val="single"/>
        </w:rPr>
      </w:pPr>
      <w:r>
        <w:rPr>
          <w:rFonts w:hint="eastAsia" w:ascii="宋体" w:hAnsi="宋体"/>
          <w:color w:val="auto"/>
          <w:highlight w:val="none"/>
        </w:rPr>
        <w:t>法定代表人或其委托代理人：（签字）</w:t>
      </w:r>
      <w:r>
        <w:rPr>
          <w:rFonts w:hint="eastAsia" w:ascii="宋体" w:hAnsi="宋体"/>
          <w:color w:val="auto"/>
          <w:highlight w:val="none"/>
          <w:u w:val="single"/>
        </w:rPr>
        <w:t xml:space="preserve">                  </w:t>
      </w:r>
    </w:p>
    <w:p w14:paraId="3151983E">
      <w:pPr>
        <w:ind w:firstLine="1860" w:firstLineChars="886"/>
        <w:rPr>
          <w:rFonts w:hint="eastAsia" w:ascii="宋体" w:hAnsi="宋体"/>
          <w:color w:val="auto"/>
          <w:highlight w:val="none"/>
          <w:u w:val="single"/>
        </w:rPr>
      </w:pPr>
      <w:r>
        <w:rPr>
          <w:rFonts w:hint="eastAsia" w:ascii="宋体" w:hAnsi="宋体"/>
          <w:color w:val="auto"/>
          <w:highlight w:val="none"/>
        </w:rPr>
        <w:t>地址：</w:t>
      </w:r>
      <w:r>
        <w:rPr>
          <w:rFonts w:hint="eastAsia" w:ascii="宋体" w:hAnsi="宋体"/>
          <w:color w:val="auto"/>
          <w:highlight w:val="none"/>
          <w:u w:val="single"/>
        </w:rPr>
        <w:t xml:space="preserve">                                             </w:t>
      </w:r>
    </w:p>
    <w:p w14:paraId="3C33BF8F">
      <w:pPr>
        <w:ind w:firstLine="1860" w:firstLineChars="886"/>
        <w:rPr>
          <w:rFonts w:hint="eastAsia" w:ascii="宋体" w:hAnsi="宋体"/>
          <w:color w:val="auto"/>
          <w:highlight w:val="none"/>
          <w:u w:val="single"/>
        </w:rPr>
      </w:pPr>
      <w:r>
        <w:rPr>
          <w:rFonts w:hint="eastAsia" w:ascii="宋体" w:hAnsi="宋体"/>
          <w:color w:val="auto"/>
          <w:highlight w:val="none"/>
        </w:rPr>
        <w:t>邮政编码：</w:t>
      </w:r>
      <w:r>
        <w:rPr>
          <w:rFonts w:hint="eastAsia" w:ascii="宋体" w:hAnsi="宋体"/>
          <w:color w:val="auto"/>
          <w:highlight w:val="none"/>
          <w:u w:val="single"/>
        </w:rPr>
        <w:t xml:space="preserve">                                         </w:t>
      </w:r>
    </w:p>
    <w:p w14:paraId="587AC15D">
      <w:pPr>
        <w:ind w:firstLine="1860" w:firstLineChars="886"/>
        <w:rPr>
          <w:rFonts w:hint="eastAsia" w:ascii="宋体" w:hAnsi="宋体"/>
          <w:color w:val="auto"/>
          <w:highlight w:val="none"/>
          <w:u w:val="single"/>
        </w:rPr>
      </w:pPr>
      <w:r>
        <w:rPr>
          <w:rFonts w:hint="eastAsia" w:ascii="宋体" w:hAnsi="宋体"/>
          <w:color w:val="auto"/>
          <w:highlight w:val="none"/>
        </w:rPr>
        <w:t>电话：</w:t>
      </w:r>
      <w:r>
        <w:rPr>
          <w:rFonts w:hint="eastAsia" w:ascii="宋体" w:hAnsi="宋体"/>
          <w:color w:val="auto"/>
          <w:highlight w:val="none"/>
          <w:u w:val="single"/>
        </w:rPr>
        <w:t xml:space="preserve">                                             </w:t>
      </w:r>
    </w:p>
    <w:p w14:paraId="0C385568">
      <w:pPr>
        <w:ind w:firstLine="1860" w:firstLineChars="886"/>
        <w:rPr>
          <w:rFonts w:hint="eastAsia" w:ascii="宋体" w:hAnsi="宋体"/>
          <w:color w:val="auto"/>
          <w:highlight w:val="none"/>
          <w:u w:val="single"/>
        </w:rPr>
      </w:pPr>
      <w:r>
        <w:rPr>
          <w:rFonts w:hint="eastAsia" w:ascii="宋体" w:hAnsi="宋体"/>
          <w:color w:val="auto"/>
          <w:highlight w:val="none"/>
        </w:rPr>
        <w:t>传真：</w:t>
      </w:r>
      <w:r>
        <w:rPr>
          <w:rFonts w:hint="eastAsia" w:ascii="宋体" w:hAnsi="宋体"/>
          <w:color w:val="auto"/>
          <w:highlight w:val="none"/>
          <w:u w:val="single"/>
        </w:rPr>
        <w:t xml:space="preserve">                                             </w:t>
      </w:r>
    </w:p>
    <w:p w14:paraId="28F5C385">
      <w:pPr>
        <w:spacing w:line="360" w:lineRule="auto"/>
        <w:ind w:firstLine="3750" w:firstLineChars="1786"/>
        <w:rPr>
          <w:rFonts w:hint="eastAsia" w:ascii="宋体" w:hAnsi="宋体"/>
          <w:color w:val="auto"/>
          <w:highlight w:val="none"/>
        </w:rPr>
      </w:pPr>
      <w:r>
        <w:rPr>
          <w:rFonts w:hint="eastAsia" w:ascii="宋体" w:hAnsi="宋体"/>
          <w:color w:val="auto"/>
          <w:highlight w:val="none"/>
        </w:rPr>
        <w:t>年      月      日</w:t>
      </w:r>
    </w:p>
    <w:p w14:paraId="0C4E24E7">
      <w:pPr>
        <w:widowControl/>
        <w:jc w:val="left"/>
        <w:rPr>
          <w:rFonts w:ascii="宋体" w:hAnsi="宋体"/>
          <w:b/>
          <w:bCs/>
          <w:color w:val="auto"/>
          <w:szCs w:val="21"/>
          <w:highlight w:val="none"/>
        </w:rPr>
      </w:pPr>
      <w:r>
        <w:rPr>
          <w:rFonts w:ascii="宋体" w:hAnsi="宋体"/>
          <w:b/>
          <w:bCs/>
          <w:color w:val="auto"/>
          <w:szCs w:val="21"/>
          <w:highlight w:val="none"/>
        </w:rPr>
        <w:br w:type="page"/>
      </w:r>
    </w:p>
    <w:p w14:paraId="172EEC47">
      <w:pPr>
        <w:pStyle w:val="2"/>
        <w:rPr>
          <w:rFonts w:asciiTheme="minorEastAsia" w:hAnsiTheme="minorEastAsia" w:eastAsiaTheme="minorEastAsia"/>
          <w:color w:val="auto"/>
          <w:highlight w:val="none"/>
        </w:rPr>
      </w:pPr>
      <w:bookmarkStart w:id="122" w:name="_Toc86053876"/>
      <w:bookmarkStart w:id="123" w:name="_Toc34844746"/>
      <w:r>
        <w:rPr>
          <w:rFonts w:hint="eastAsia" w:asciiTheme="minorEastAsia" w:hAnsiTheme="minorEastAsia" w:eastAsiaTheme="minorEastAsia"/>
          <w:color w:val="auto"/>
          <w:highlight w:val="none"/>
        </w:rPr>
        <w:t>第六章  响应文件格式</w:t>
      </w:r>
      <w:bookmarkEnd w:id="122"/>
      <w:bookmarkEnd w:id="123"/>
    </w:p>
    <w:p w14:paraId="1B0D0EC7">
      <w:pPr>
        <w:wordWrap w:val="0"/>
        <w:snapToGrid w:val="0"/>
        <w:spacing w:before="142" w:beforeLines="50" w:after="50"/>
        <w:jc w:val="left"/>
        <w:rPr>
          <w:rFonts w:ascii="宋体" w:hAnsi="宋体" w:cs="宋体"/>
          <w:color w:val="auto"/>
          <w:highlight w:val="none"/>
        </w:rPr>
      </w:pPr>
      <w:r>
        <w:rPr>
          <w:rFonts w:hint="eastAsia" w:ascii="宋体" w:hAnsi="宋体" w:cs="宋体"/>
          <w:color w:val="auto"/>
          <w:highlight w:val="none"/>
        </w:rPr>
        <w:t>附件1</w:t>
      </w:r>
    </w:p>
    <w:p w14:paraId="50E7DE92">
      <w:pPr>
        <w:wordWrap w:val="0"/>
        <w:spacing w:line="300" w:lineRule="auto"/>
        <w:ind w:right="240"/>
        <w:jc w:val="right"/>
        <w:rPr>
          <w:rFonts w:ascii="宋体" w:hAnsi="宋体" w:cs="宋体"/>
          <w:color w:val="auto"/>
          <w:sz w:val="24"/>
          <w:highlight w:val="none"/>
        </w:rPr>
      </w:pPr>
    </w:p>
    <w:p w14:paraId="207FD7A9">
      <w:pPr>
        <w:wordWrap w:val="0"/>
        <w:spacing w:line="300" w:lineRule="auto"/>
        <w:jc w:val="center"/>
        <w:rPr>
          <w:rFonts w:ascii="宋体" w:hAnsi="宋体" w:cs="宋体"/>
          <w:color w:val="auto"/>
          <w:szCs w:val="21"/>
          <w:highlight w:val="none"/>
        </w:rPr>
      </w:pPr>
    </w:p>
    <w:p w14:paraId="6DE7FB42">
      <w:pPr>
        <w:wordWrap w:val="0"/>
        <w:spacing w:line="300" w:lineRule="auto"/>
        <w:ind w:firstLine="2951" w:firstLineChars="1050"/>
        <w:rPr>
          <w:rFonts w:ascii="宋体" w:hAnsi="宋体" w:cs="宋体"/>
          <w:b/>
          <w:bCs/>
          <w:color w:val="auto"/>
          <w:sz w:val="28"/>
          <w:szCs w:val="28"/>
          <w:highlight w:val="none"/>
        </w:rPr>
      </w:pPr>
    </w:p>
    <w:p w14:paraId="13275715">
      <w:pPr>
        <w:wordWrap w:val="0"/>
        <w:spacing w:line="300" w:lineRule="auto"/>
        <w:jc w:val="center"/>
        <w:rPr>
          <w:rFonts w:ascii="宋体" w:hAnsi="宋体" w:cs="宋体"/>
          <w:b/>
          <w:color w:val="auto"/>
          <w:sz w:val="28"/>
          <w:szCs w:val="28"/>
          <w:highlight w:val="none"/>
        </w:rPr>
      </w:pPr>
      <w:r>
        <w:rPr>
          <w:rFonts w:hint="eastAsia" w:ascii="宋体" w:hAnsi="宋体" w:cs="宋体"/>
          <w:b/>
          <w:bCs/>
          <w:color w:val="auto"/>
          <w:sz w:val="28"/>
          <w:szCs w:val="28"/>
          <w:highlight w:val="none"/>
        </w:rPr>
        <w:t>商务技术文件/报价文件/资格文件</w:t>
      </w:r>
    </w:p>
    <w:p w14:paraId="37D29123">
      <w:pPr>
        <w:wordWrap w:val="0"/>
        <w:spacing w:line="300" w:lineRule="auto"/>
        <w:ind w:firstLine="1260" w:firstLineChars="600"/>
        <w:rPr>
          <w:rFonts w:ascii="宋体" w:hAnsi="宋体" w:cs="宋体"/>
          <w:color w:val="auto"/>
          <w:szCs w:val="21"/>
          <w:highlight w:val="none"/>
        </w:rPr>
      </w:pPr>
    </w:p>
    <w:p w14:paraId="4024B50B">
      <w:pPr>
        <w:wordWrap w:val="0"/>
        <w:spacing w:line="300" w:lineRule="auto"/>
        <w:ind w:firstLine="1260" w:firstLineChars="600"/>
        <w:rPr>
          <w:rFonts w:ascii="宋体" w:hAnsi="宋体" w:cs="宋体"/>
          <w:color w:val="auto"/>
          <w:szCs w:val="21"/>
          <w:highlight w:val="none"/>
        </w:rPr>
      </w:pPr>
    </w:p>
    <w:p w14:paraId="303385EB">
      <w:pPr>
        <w:wordWrap w:val="0"/>
        <w:spacing w:line="360" w:lineRule="auto"/>
        <w:ind w:firstLine="1680" w:firstLineChars="600"/>
        <w:rPr>
          <w:rFonts w:ascii="宋体" w:hAnsi="宋体" w:cs="宋体"/>
          <w:color w:val="auto"/>
          <w:sz w:val="28"/>
          <w:szCs w:val="28"/>
          <w:highlight w:val="none"/>
        </w:rPr>
      </w:pPr>
      <w:r>
        <w:rPr>
          <w:rFonts w:hint="eastAsia" w:ascii="宋体" w:hAnsi="宋体" w:cs="宋体"/>
          <w:color w:val="auto"/>
          <w:sz w:val="28"/>
          <w:szCs w:val="28"/>
          <w:highlight w:val="none"/>
        </w:rPr>
        <w:t>磋商项目名称：</w:t>
      </w:r>
    </w:p>
    <w:p w14:paraId="5AE01A88">
      <w:pPr>
        <w:wordWrap w:val="0"/>
        <w:spacing w:line="360" w:lineRule="auto"/>
        <w:ind w:firstLine="1680" w:firstLineChars="600"/>
        <w:rPr>
          <w:rFonts w:ascii="宋体" w:hAnsi="宋体" w:cs="宋体"/>
          <w:color w:val="auto"/>
          <w:sz w:val="28"/>
          <w:szCs w:val="28"/>
          <w:highlight w:val="none"/>
        </w:rPr>
      </w:pPr>
    </w:p>
    <w:p w14:paraId="587263C9">
      <w:pPr>
        <w:wordWrap w:val="0"/>
        <w:spacing w:line="360" w:lineRule="auto"/>
        <w:ind w:firstLine="1680" w:firstLineChars="600"/>
        <w:rPr>
          <w:rFonts w:ascii="宋体" w:hAnsi="宋体" w:cs="宋体"/>
          <w:color w:val="auto"/>
          <w:sz w:val="28"/>
          <w:szCs w:val="28"/>
          <w:highlight w:val="none"/>
        </w:rPr>
      </w:pPr>
      <w:r>
        <w:rPr>
          <w:rFonts w:hint="eastAsia" w:ascii="宋体" w:hAnsi="宋体" w:cs="宋体"/>
          <w:color w:val="auto"/>
          <w:sz w:val="28"/>
          <w:szCs w:val="28"/>
          <w:highlight w:val="none"/>
        </w:rPr>
        <w:t>项目编号：</w:t>
      </w:r>
    </w:p>
    <w:p w14:paraId="240287FA">
      <w:pPr>
        <w:wordWrap w:val="0"/>
        <w:spacing w:line="360" w:lineRule="auto"/>
        <w:ind w:firstLine="1680" w:firstLineChars="600"/>
        <w:rPr>
          <w:rFonts w:ascii="宋体" w:hAnsi="宋体" w:cs="宋体"/>
          <w:color w:val="auto"/>
          <w:sz w:val="28"/>
          <w:szCs w:val="28"/>
          <w:highlight w:val="none"/>
        </w:rPr>
      </w:pPr>
    </w:p>
    <w:p w14:paraId="3582F0CD">
      <w:pPr>
        <w:pStyle w:val="6"/>
        <w:wordWrap w:val="0"/>
        <w:snapToGrid w:val="0"/>
        <w:spacing w:before="50" w:after="50" w:line="360" w:lineRule="auto"/>
        <w:ind w:firstLine="1654" w:firstLineChars="591"/>
        <w:rPr>
          <w:rFonts w:ascii="宋体" w:hAnsi="宋体" w:cs="宋体"/>
          <w:bCs/>
          <w:color w:val="auto"/>
          <w:sz w:val="28"/>
          <w:szCs w:val="28"/>
          <w:highlight w:val="none"/>
        </w:rPr>
      </w:pPr>
      <w:r>
        <w:rPr>
          <w:rFonts w:hint="eastAsia" w:ascii="宋体" w:hAnsi="宋体" w:cs="宋体"/>
          <w:bCs/>
          <w:color w:val="auto"/>
          <w:sz w:val="28"/>
          <w:szCs w:val="28"/>
          <w:highlight w:val="none"/>
        </w:rPr>
        <w:t>供应商名称：</w:t>
      </w:r>
    </w:p>
    <w:p w14:paraId="51B7426F">
      <w:pPr>
        <w:wordWrap w:val="0"/>
        <w:spacing w:line="360" w:lineRule="auto"/>
        <w:ind w:firstLine="1680" w:firstLineChars="600"/>
        <w:rPr>
          <w:rFonts w:ascii="宋体" w:hAnsi="宋体" w:cs="宋体"/>
          <w:bCs/>
          <w:color w:val="auto"/>
          <w:sz w:val="28"/>
          <w:szCs w:val="28"/>
          <w:highlight w:val="none"/>
        </w:rPr>
      </w:pPr>
    </w:p>
    <w:p w14:paraId="1284EF8A">
      <w:pPr>
        <w:wordWrap w:val="0"/>
        <w:spacing w:line="360" w:lineRule="auto"/>
        <w:ind w:firstLine="1680" w:firstLineChars="600"/>
        <w:rPr>
          <w:rFonts w:ascii="宋体" w:hAnsi="宋体" w:cs="宋体"/>
          <w:color w:val="auto"/>
          <w:sz w:val="28"/>
          <w:szCs w:val="28"/>
          <w:highlight w:val="none"/>
        </w:rPr>
      </w:pPr>
      <w:r>
        <w:rPr>
          <w:rFonts w:hint="eastAsia" w:ascii="宋体" w:hAnsi="宋体" w:cs="宋体"/>
          <w:bCs/>
          <w:color w:val="auto"/>
          <w:sz w:val="28"/>
          <w:szCs w:val="28"/>
          <w:highlight w:val="none"/>
        </w:rPr>
        <w:t>供应商地址：</w:t>
      </w:r>
    </w:p>
    <w:p w14:paraId="4D11959D">
      <w:pPr>
        <w:wordWrap w:val="0"/>
        <w:spacing w:line="360" w:lineRule="auto"/>
        <w:jc w:val="center"/>
        <w:rPr>
          <w:rFonts w:ascii="宋体" w:hAnsi="宋体" w:cs="宋体"/>
          <w:color w:val="auto"/>
          <w:sz w:val="28"/>
          <w:szCs w:val="28"/>
          <w:highlight w:val="none"/>
        </w:rPr>
      </w:pPr>
    </w:p>
    <w:p w14:paraId="67955173">
      <w:pPr>
        <w:wordWrap w:val="0"/>
        <w:spacing w:line="360" w:lineRule="auto"/>
        <w:jc w:val="center"/>
        <w:rPr>
          <w:rFonts w:ascii="宋体" w:hAnsi="宋体" w:cs="宋体"/>
          <w:color w:val="auto"/>
          <w:sz w:val="28"/>
          <w:szCs w:val="28"/>
          <w:highlight w:val="none"/>
        </w:rPr>
      </w:pPr>
    </w:p>
    <w:p w14:paraId="31C2B6B6">
      <w:pPr>
        <w:wordWrap w:val="0"/>
        <w:spacing w:line="360" w:lineRule="auto"/>
        <w:jc w:val="center"/>
        <w:rPr>
          <w:rFonts w:ascii="宋体" w:hAnsi="宋体" w:cs="宋体"/>
          <w:color w:val="auto"/>
          <w:sz w:val="28"/>
          <w:szCs w:val="28"/>
          <w:highlight w:val="none"/>
        </w:rPr>
      </w:pPr>
    </w:p>
    <w:p w14:paraId="385849FB">
      <w:pPr>
        <w:wordWrap w:val="0"/>
        <w:spacing w:line="360" w:lineRule="auto"/>
        <w:jc w:val="center"/>
        <w:rPr>
          <w:rFonts w:ascii="宋体" w:hAnsi="宋体" w:cs="宋体"/>
          <w:color w:val="auto"/>
          <w:sz w:val="28"/>
          <w:szCs w:val="28"/>
          <w:highlight w:val="none"/>
        </w:rPr>
      </w:pPr>
    </w:p>
    <w:p w14:paraId="5DC50532">
      <w:pPr>
        <w:wordWrap w:val="0"/>
        <w:spacing w:line="360" w:lineRule="auto"/>
        <w:jc w:val="center"/>
        <w:rPr>
          <w:rFonts w:ascii="宋体" w:hAnsi="宋体" w:cs="宋体"/>
          <w:color w:val="auto"/>
          <w:sz w:val="28"/>
          <w:szCs w:val="28"/>
          <w:highlight w:val="none"/>
        </w:rPr>
      </w:pPr>
    </w:p>
    <w:p w14:paraId="291647E1">
      <w:pPr>
        <w:wordWrap w:val="0"/>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供应商（盖章）</w:t>
      </w:r>
    </w:p>
    <w:p w14:paraId="5698171B">
      <w:pPr>
        <w:wordWrap w:val="0"/>
        <w:spacing w:line="360" w:lineRule="auto"/>
        <w:ind w:firstLine="4620" w:firstLineChars="1650"/>
        <w:rPr>
          <w:rFonts w:ascii="宋体" w:hAnsi="宋体" w:cs="宋体"/>
          <w:color w:val="auto"/>
          <w:sz w:val="28"/>
          <w:szCs w:val="28"/>
          <w:highlight w:val="none"/>
        </w:rPr>
      </w:pPr>
      <w:r>
        <w:rPr>
          <w:rFonts w:hint="eastAsia" w:ascii="宋体" w:hAnsi="宋体" w:cs="宋体"/>
          <w:color w:val="auto"/>
          <w:sz w:val="28"/>
          <w:szCs w:val="28"/>
          <w:highlight w:val="none"/>
        </w:rPr>
        <w:t xml:space="preserve">    年    月    日</w:t>
      </w:r>
    </w:p>
    <w:p w14:paraId="1BBFEE5E">
      <w:pPr>
        <w:wordWrap w:val="0"/>
        <w:spacing w:line="360" w:lineRule="auto"/>
        <w:rPr>
          <w:rFonts w:ascii="宋体" w:hAnsi="宋体" w:cs="宋体"/>
          <w:b/>
          <w:color w:val="auto"/>
          <w:sz w:val="28"/>
          <w:szCs w:val="28"/>
          <w:highlight w:val="none"/>
        </w:rPr>
      </w:pPr>
    </w:p>
    <w:p w14:paraId="27D083AB">
      <w:pPr>
        <w:spacing w:line="400" w:lineRule="exact"/>
        <w:jc w:val="center"/>
        <w:rPr>
          <w:rFonts w:ascii="宋体" w:hAnsi="宋体" w:cs="宋体"/>
          <w:color w:val="auto"/>
          <w:kern w:val="44"/>
          <w:szCs w:val="21"/>
          <w:highlight w:val="none"/>
        </w:rPr>
      </w:pPr>
      <w:r>
        <w:rPr>
          <w:rFonts w:hint="eastAsia" w:ascii="宋体" w:hAnsi="宋体" w:cs="宋体"/>
          <w:b/>
          <w:bCs/>
          <w:color w:val="auto"/>
          <w:kern w:val="44"/>
          <w:szCs w:val="24"/>
          <w:highlight w:val="none"/>
        </w:rPr>
        <w:br w:type="page"/>
      </w:r>
    </w:p>
    <w:p w14:paraId="708812CB">
      <w:pPr>
        <w:pStyle w:val="21"/>
        <w:wordWrap w:val="0"/>
        <w:snapToGrid w:val="0"/>
        <w:spacing w:line="440" w:lineRule="exact"/>
        <w:ind w:firstLine="0"/>
        <w:jc w:val="left"/>
        <w:rPr>
          <w:rFonts w:ascii="宋体" w:hAnsi="宋体" w:eastAsia="宋体" w:cs="宋体"/>
          <w:b/>
          <w:bCs/>
          <w:color w:val="auto"/>
          <w:kern w:val="44"/>
          <w:szCs w:val="24"/>
          <w:highlight w:val="none"/>
        </w:rPr>
      </w:pPr>
      <w:r>
        <w:rPr>
          <w:rFonts w:hint="eastAsia" w:ascii="宋体" w:hAnsi="宋体" w:eastAsia="宋体" w:cs="宋体"/>
          <w:color w:val="auto"/>
          <w:kern w:val="44"/>
          <w:sz w:val="21"/>
          <w:szCs w:val="21"/>
          <w:highlight w:val="none"/>
        </w:rPr>
        <w:t>附件2</w:t>
      </w:r>
    </w:p>
    <w:p w14:paraId="49DF4CFF">
      <w:pPr>
        <w:wordWrap w:val="0"/>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法定代表人身份证明书</w:t>
      </w:r>
    </w:p>
    <w:p w14:paraId="4C77D4BF">
      <w:pPr>
        <w:wordWrap w:val="0"/>
        <w:jc w:val="center"/>
        <w:rPr>
          <w:rFonts w:ascii="宋体" w:hAnsi="宋体" w:cs="宋体"/>
          <w:b/>
          <w:color w:val="auto"/>
          <w:sz w:val="32"/>
          <w:szCs w:val="32"/>
          <w:highlight w:val="none"/>
        </w:rPr>
      </w:pPr>
    </w:p>
    <w:p w14:paraId="6E354C6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p>
    <w:p w14:paraId="3311FF0B">
      <w:pPr>
        <w:wordWrap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p>
    <w:p w14:paraId="39DDAC8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31CD74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14:paraId="69D5EAB1">
      <w:pPr>
        <w:wordWrap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2EF7422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(供应商名称)          </w:t>
      </w:r>
      <w:r>
        <w:rPr>
          <w:rFonts w:hint="eastAsia" w:ascii="宋体" w:hAnsi="宋体" w:cs="宋体"/>
          <w:color w:val="auto"/>
          <w:szCs w:val="21"/>
          <w:highlight w:val="none"/>
        </w:rPr>
        <w:t>的法定代表人。</w:t>
      </w:r>
    </w:p>
    <w:p w14:paraId="7EE22345">
      <w:pPr>
        <w:wordWrap w:val="0"/>
        <w:spacing w:line="360" w:lineRule="auto"/>
        <w:rPr>
          <w:rFonts w:ascii="宋体" w:hAnsi="宋体" w:cs="宋体"/>
          <w:color w:val="auto"/>
          <w:szCs w:val="21"/>
          <w:highlight w:val="none"/>
        </w:rPr>
      </w:pPr>
    </w:p>
    <w:p w14:paraId="1C4555A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特此证明。</w:t>
      </w:r>
    </w:p>
    <w:p w14:paraId="6A7DB246">
      <w:pPr>
        <w:wordWrap w:val="0"/>
        <w:spacing w:line="360" w:lineRule="auto"/>
        <w:rPr>
          <w:rFonts w:ascii="宋体" w:hAnsi="宋体" w:cs="宋体"/>
          <w:color w:val="auto"/>
          <w:szCs w:val="21"/>
          <w:highlight w:val="none"/>
        </w:rPr>
      </w:pPr>
    </w:p>
    <w:p w14:paraId="48C7C4B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s="宋体"/>
          <w:color w:val="auto"/>
          <w:szCs w:val="21"/>
          <w:highlight w:val="none"/>
          <w:u w:val="single"/>
        </w:rPr>
        <w:t xml:space="preserve">       (盖公章)           </w:t>
      </w:r>
    </w:p>
    <w:p w14:paraId="6B86209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21DFBC49">
      <w:pPr>
        <w:wordWrap w:val="0"/>
        <w:rPr>
          <w:rFonts w:ascii="宋体" w:hAnsi="宋体" w:cs="宋体"/>
          <w:color w:val="auto"/>
          <w:szCs w:val="21"/>
          <w:highlight w:val="none"/>
        </w:rPr>
      </w:pP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2D24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2" w:hRule="atLeast"/>
        </w:trPr>
        <w:tc>
          <w:tcPr>
            <w:tcW w:w="9180" w:type="dxa"/>
            <w:noWrap w:val="0"/>
            <w:vAlign w:val="center"/>
          </w:tcPr>
          <w:p w14:paraId="20EDE77C">
            <w:pPr>
              <w:wordWrap w:val="0"/>
              <w:jc w:val="center"/>
              <w:rPr>
                <w:rFonts w:ascii="宋体" w:hAnsi="宋体" w:cs="宋体"/>
                <w:color w:val="auto"/>
                <w:szCs w:val="21"/>
                <w:highlight w:val="none"/>
              </w:rPr>
            </w:pPr>
            <w:r>
              <w:rPr>
                <w:rFonts w:hint="eastAsia" w:ascii="宋体" w:hAnsi="宋体" w:cs="宋体"/>
                <w:color w:val="auto"/>
                <w:szCs w:val="21"/>
                <w:highlight w:val="none"/>
              </w:rPr>
              <w:t>法定代表人身份证（正反面复印）</w:t>
            </w:r>
          </w:p>
        </w:tc>
      </w:tr>
    </w:tbl>
    <w:p w14:paraId="4DCB85E0">
      <w:pPr>
        <w:wordWrap w:val="0"/>
        <w:jc w:val="center"/>
        <w:rPr>
          <w:rFonts w:ascii="宋体" w:hAnsi="宋体" w:cs="宋体"/>
          <w:color w:val="auto"/>
          <w:szCs w:val="21"/>
          <w:highlight w:val="none"/>
        </w:rPr>
      </w:pPr>
    </w:p>
    <w:p w14:paraId="191E6A86">
      <w:pPr>
        <w:spacing w:line="400" w:lineRule="exact"/>
        <w:rPr>
          <w:rFonts w:ascii="宋体" w:hAnsi="宋体"/>
          <w:b/>
          <w:color w:val="auto"/>
          <w:highlight w:val="none"/>
        </w:rPr>
      </w:pPr>
    </w:p>
    <w:p w14:paraId="0AA41449">
      <w:pPr>
        <w:wordWrap w:val="0"/>
        <w:jc w:val="left"/>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kern w:val="44"/>
          <w:szCs w:val="24"/>
          <w:highlight w:val="none"/>
        </w:rPr>
        <w:t>附件3</w:t>
      </w:r>
    </w:p>
    <w:p w14:paraId="3212C1DE">
      <w:pPr>
        <w:wordWrap w:val="0"/>
        <w:jc w:val="center"/>
        <w:rPr>
          <w:rFonts w:ascii="宋体" w:hAnsi="宋体" w:cs="宋体"/>
          <w:b/>
          <w:color w:val="auto"/>
          <w:sz w:val="32"/>
          <w:szCs w:val="32"/>
          <w:highlight w:val="none"/>
        </w:rPr>
      </w:pPr>
      <w:r>
        <w:rPr>
          <w:rFonts w:hint="eastAsia" w:ascii="宋体" w:hAnsi="宋体" w:cs="宋体"/>
          <w:b/>
          <w:color w:val="auto"/>
          <w:sz w:val="32"/>
          <w:szCs w:val="32"/>
          <w:highlight w:val="none"/>
        </w:rPr>
        <w:t xml:space="preserve"> 法定代表人授权委托书</w:t>
      </w:r>
    </w:p>
    <w:p w14:paraId="0282B486">
      <w:pPr>
        <w:wordWrap w:val="0"/>
        <w:rPr>
          <w:rFonts w:ascii="宋体" w:hAnsi="宋体" w:cs="宋体"/>
          <w:color w:val="auto"/>
          <w:highlight w:val="none"/>
        </w:rPr>
      </w:pPr>
    </w:p>
    <w:p w14:paraId="32B5EAAF">
      <w:pPr>
        <w:wordWrap w:val="0"/>
        <w:spacing w:line="360" w:lineRule="auto"/>
        <w:ind w:left="2" w:firstLine="451" w:firstLineChars="215"/>
        <w:rPr>
          <w:rFonts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(供应商名称) </w:t>
      </w:r>
      <w:r>
        <w:rPr>
          <w:rFonts w:hint="eastAsia" w:ascii="宋体" w:hAnsi="宋体" w:cs="宋体"/>
          <w:color w:val="auto"/>
          <w:szCs w:val="21"/>
          <w:highlight w:val="none"/>
        </w:rPr>
        <w:t>法定代表人，现授权委托</w:t>
      </w:r>
      <w:r>
        <w:rPr>
          <w:rFonts w:hint="eastAsia" w:ascii="宋体" w:hAnsi="宋体" w:cs="宋体"/>
          <w:color w:val="auto"/>
          <w:szCs w:val="21"/>
          <w:highlight w:val="none"/>
          <w:u w:val="single"/>
        </w:rPr>
        <w:t xml:space="preserve">  （单位）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为我方代理人。代理人根据授权，以我方名义签署、澄清、递交、撤回、修改</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工程响应文件、签订合同和处理有关事宜，其法律后果由我方承担。</w:t>
      </w:r>
    </w:p>
    <w:p w14:paraId="1CF48E5A">
      <w:pPr>
        <w:wordWrap w:val="0"/>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委托期限：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76EA2FF">
      <w:pPr>
        <w:wordWrap w:val="0"/>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代理人无转委托权。</w:t>
      </w:r>
    </w:p>
    <w:p w14:paraId="0BF7984D">
      <w:pPr>
        <w:wordWrap w:val="0"/>
        <w:spacing w:line="360" w:lineRule="auto"/>
        <w:rPr>
          <w:rFonts w:hint="eastAsia" w:ascii="宋体" w:hAnsi="宋体" w:cs="宋体"/>
          <w:color w:val="auto"/>
          <w:szCs w:val="21"/>
          <w:highlight w:val="none"/>
        </w:rPr>
      </w:pPr>
    </w:p>
    <w:p w14:paraId="6C04405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附：授权代表人身份证，并提供社保部门出具的供应商单位在磋商截止时间前6个月内任意1个月为授权代表缴纳社保的证明资料复印件。</w:t>
      </w:r>
    </w:p>
    <w:p w14:paraId="53C304F2">
      <w:pPr>
        <w:wordWrap w:val="0"/>
        <w:spacing w:line="360" w:lineRule="auto"/>
        <w:rPr>
          <w:rFonts w:hint="eastAsia" w:ascii="宋体" w:hAnsi="宋体" w:cs="宋体"/>
          <w:color w:val="auto"/>
          <w:szCs w:val="21"/>
          <w:highlight w:val="none"/>
        </w:rPr>
      </w:pPr>
    </w:p>
    <w:p w14:paraId="547F37B4">
      <w:pPr>
        <w:pStyle w:val="20"/>
        <w:rPr>
          <w:rFonts w:hint="eastAsia"/>
          <w:color w:val="auto"/>
          <w:highlight w:val="none"/>
        </w:rPr>
      </w:pPr>
    </w:p>
    <w:p w14:paraId="2F7B1EEF">
      <w:pPr>
        <w:wordWrap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供 应 商：</w:t>
      </w:r>
      <w:r>
        <w:rPr>
          <w:rFonts w:hint="eastAsia" w:ascii="宋体" w:hAnsi="宋体" w:cs="宋体"/>
          <w:color w:val="auto"/>
          <w:szCs w:val="21"/>
          <w:highlight w:val="none"/>
          <w:u w:val="single"/>
        </w:rPr>
        <w:t xml:space="preserve">                     (盖公章)     </w:t>
      </w:r>
    </w:p>
    <w:p w14:paraId="7D2A5C4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(签字或盖章) </w:t>
      </w:r>
    </w:p>
    <w:p w14:paraId="4617475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35AF65E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(签字或盖章) </w:t>
      </w:r>
    </w:p>
    <w:p w14:paraId="7A47EAD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3F1768E6">
      <w:pPr>
        <w:wordWrap w:val="0"/>
        <w:spacing w:line="360" w:lineRule="auto"/>
        <w:ind w:firstLine="3307" w:firstLineChars="1575"/>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019FA555">
      <w:pPr>
        <w:wordWrap w:val="0"/>
        <w:rPr>
          <w:rFonts w:ascii="宋体" w:hAnsi="宋体" w:cs="宋体"/>
          <w:color w:val="auto"/>
          <w:szCs w:val="21"/>
          <w:highlight w:val="none"/>
        </w:rPr>
      </w:pPr>
    </w:p>
    <w:tbl>
      <w:tblPr>
        <w:tblStyle w:val="5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14:paraId="2D946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8640" w:type="dxa"/>
            <w:noWrap w:val="0"/>
            <w:vAlign w:val="center"/>
          </w:tcPr>
          <w:p w14:paraId="729877E6">
            <w:pPr>
              <w:wordWrap w:val="0"/>
              <w:jc w:val="center"/>
              <w:rPr>
                <w:rFonts w:ascii="宋体" w:hAnsi="宋体" w:cs="宋体"/>
                <w:color w:val="auto"/>
                <w:szCs w:val="21"/>
                <w:highlight w:val="none"/>
              </w:rPr>
            </w:pPr>
          </w:p>
          <w:p w14:paraId="1F57FCB4">
            <w:pPr>
              <w:wordWrap w:val="0"/>
              <w:jc w:val="center"/>
              <w:rPr>
                <w:rFonts w:ascii="宋体" w:hAnsi="宋体" w:cs="宋体"/>
                <w:color w:val="auto"/>
                <w:szCs w:val="21"/>
                <w:highlight w:val="none"/>
              </w:rPr>
            </w:pPr>
          </w:p>
          <w:p w14:paraId="1A695217">
            <w:pPr>
              <w:wordWrap w:val="0"/>
              <w:jc w:val="center"/>
              <w:rPr>
                <w:rFonts w:ascii="宋体" w:hAnsi="宋体" w:cs="宋体"/>
                <w:color w:val="auto"/>
                <w:szCs w:val="21"/>
                <w:highlight w:val="none"/>
              </w:rPr>
            </w:pPr>
          </w:p>
          <w:p w14:paraId="5CBD5FB2">
            <w:pPr>
              <w:wordWrap w:val="0"/>
              <w:jc w:val="center"/>
              <w:rPr>
                <w:rFonts w:ascii="宋体" w:hAnsi="宋体" w:cs="宋体"/>
                <w:color w:val="auto"/>
                <w:szCs w:val="21"/>
                <w:highlight w:val="none"/>
              </w:rPr>
            </w:pPr>
          </w:p>
          <w:p w14:paraId="3A9D806F">
            <w:pPr>
              <w:wordWrap w:val="0"/>
              <w:jc w:val="center"/>
              <w:rPr>
                <w:rFonts w:ascii="宋体" w:hAnsi="宋体" w:cs="宋体"/>
                <w:color w:val="auto"/>
                <w:szCs w:val="21"/>
                <w:highlight w:val="none"/>
              </w:rPr>
            </w:pPr>
            <w:r>
              <w:rPr>
                <w:rFonts w:hint="eastAsia" w:ascii="宋体" w:hAnsi="宋体" w:cs="宋体"/>
                <w:color w:val="auto"/>
                <w:szCs w:val="21"/>
                <w:highlight w:val="none"/>
              </w:rPr>
              <w:t>授权代表人身份证（正反面复印）</w:t>
            </w:r>
          </w:p>
          <w:p w14:paraId="33B919B2">
            <w:pPr>
              <w:wordWrap w:val="0"/>
              <w:jc w:val="center"/>
              <w:rPr>
                <w:rFonts w:ascii="宋体" w:hAnsi="宋体" w:cs="宋体"/>
                <w:color w:val="auto"/>
                <w:szCs w:val="21"/>
                <w:highlight w:val="none"/>
              </w:rPr>
            </w:pPr>
          </w:p>
          <w:p w14:paraId="3A8A7412">
            <w:pPr>
              <w:wordWrap w:val="0"/>
              <w:jc w:val="center"/>
              <w:rPr>
                <w:rFonts w:ascii="宋体" w:hAnsi="宋体" w:cs="宋体"/>
                <w:color w:val="auto"/>
                <w:szCs w:val="21"/>
                <w:highlight w:val="none"/>
              </w:rPr>
            </w:pPr>
          </w:p>
          <w:p w14:paraId="540FD8E3">
            <w:pPr>
              <w:wordWrap w:val="0"/>
              <w:jc w:val="center"/>
              <w:rPr>
                <w:rFonts w:ascii="宋体" w:hAnsi="宋体" w:cs="宋体"/>
                <w:color w:val="auto"/>
                <w:szCs w:val="21"/>
                <w:highlight w:val="none"/>
              </w:rPr>
            </w:pPr>
          </w:p>
        </w:tc>
      </w:tr>
    </w:tbl>
    <w:p w14:paraId="68FEAD7F">
      <w:pPr>
        <w:pStyle w:val="21"/>
        <w:wordWrap w:val="0"/>
        <w:ind w:firstLine="0"/>
        <w:jc w:val="left"/>
        <w:rPr>
          <w:rFonts w:hint="eastAsia" w:ascii="宋体" w:hAnsi="宋体" w:eastAsia="宋体" w:cs="宋体"/>
          <w:bCs/>
          <w:color w:val="auto"/>
          <w:sz w:val="21"/>
          <w:szCs w:val="21"/>
          <w:highlight w:val="none"/>
        </w:rPr>
      </w:pPr>
    </w:p>
    <w:p w14:paraId="7611596A">
      <w:pPr>
        <w:pStyle w:val="21"/>
        <w:wordWrap w:val="0"/>
        <w:ind w:firstLine="0"/>
        <w:jc w:val="left"/>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br w:type="page"/>
      </w:r>
      <w:r>
        <w:rPr>
          <w:rFonts w:hint="eastAsia" w:ascii="宋体" w:hAnsi="宋体" w:eastAsia="宋体" w:cs="宋体"/>
          <w:bCs/>
          <w:color w:val="auto"/>
          <w:sz w:val="21"/>
          <w:szCs w:val="21"/>
          <w:highlight w:val="none"/>
        </w:rPr>
        <w:t>附件4</w:t>
      </w:r>
    </w:p>
    <w:p w14:paraId="2727F253">
      <w:pPr>
        <w:pStyle w:val="21"/>
        <w:wordWrap w:val="0"/>
        <w:ind w:firstLine="0"/>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报价函</w:t>
      </w:r>
    </w:p>
    <w:p w14:paraId="15358307">
      <w:pPr>
        <w:pStyle w:val="21"/>
        <w:keepNext w:val="0"/>
        <w:keepLines w:val="0"/>
        <w:pageBreakBefore w:val="0"/>
        <w:widowControl w:val="0"/>
        <w:kinsoku/>
        <w:wordWrap w:val="0"/>
        <w:overflowPunct/>
        <w:topLinePunct w:val="0"/>
        <w:autoSpaceDE/>
        <w:autoSpaceDN/>
        <w:bidi w:val="0"/>
        <w:adjustRightInd/>
        <w:snapToGrid/>
        <w:spacing w:line="240" w:lineRule="auto"/>
        <w:ind w:firstLine="0"/>
        <w:textAlignment w:val="auto"/>
        <w:rPr>
          <w:rFonts w:ascii="宋体" w:hAnsi="宋体" w:eastAsia="宋体" w:cs="宋体"/>
          <w:color w:val="auto"/>
          <w:sz w:val="21"/>
          <w:szCs w:val="21"/>
          <w:highlight w:val="none"/>
        </w:rPr>
      </w:pPr>
      <w:r>
        <w:rPr>
          <w:rFonts w:ascii="宋体" w:hAnsi="宋体" w:eastAsia="宋体" w:cs="宋体"/>
          <w:color w:val="auto"/>
          <w:sz w:val="21"/>
          <w:szCs w:val="21"/>
          <w:highlight w:val="none"/>
        </w:rPr>
        <w:t>致</w:t>
      </w:r>
      <w:r>
        <w:rPr>
          <w:rFonts w:ascii="宋体" w:hAnsi="宋体" w:eastAsia="宋体" w:cs="宋体"/>
          <w:color w:val="auto"/>
          <w:sz w:val="21"/>
          <w:szCs w:val="21"/>
          <w:highlight w:val="none"/>
          <w:u w:val="single"/>
        </w:rPr>
        <w:t xml:space="preserve">（采购代理机构）       </w:t>
      </w:r>
      <w:r>
        <w:rPr>
          <w:rFonts w:hint="eastAsia" w:ascii="宋体" w:hAnsi="宋体" w:eastAsia="宋体" w:cs="宋体"/>
          <w:color w:val="auto"/>
          <w:sz w:val="21"/>
          <w:szCs w:val="21"/>
          <w:highlight w:val="none"/>
        </w:rPr>
        <w:t>：</w:t>
      </w:r>
    </w:p>
    <w:p w14:paraId="57872AD8">
      <w:pPr>
        <w:pStyle w:val="21"/>
        <w:keepNext w:val="0"/>
        <w:keepLines w:val="0"/>
        <w:pageBreakBefore w:val="0"/>
        <w:widowControl w:val="0"/>
        <w:kinsoku/>
        <w:wordWrap w:val="0"/>
        <w:overflowPunct/>
        <w:topLinePunct w:val="0"/>
        <w:autoSpaceDE/>
        <w:autoSpaceDN/>
        <w:bidi w:val="0"/>
        <w:adjustRightInd/>
        <w:snapToGrid/>
        <w:spacing w:line="240" w:lineRule="auto"/>
        <w:ind w:firstLine="0"/>
        <w:textAlignment w:val="auto"/>
        <w:rPr>
          <w:rFonts w:ascii="宋体" w:hAnsi="宋体" w:eastAsia="宋体" w:cs="宋体"/>
          <w:color w:val="auto"/>
          <w:sz w:val="21"/>
          <w:szCs w:val="21"/>
          <w:highlight w:val="none"/>
          <w:u w:val="single"/>
        </w:rPr>
      </w:pP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u w:val="single"/>
        </w:rPr>
        <w:t xml:space="preserve">    （供应商全称）      </w:t>
      </w:r>
      <w:r>
        <w:rPr>
          <w:rFonts w:ascii="宋体" w:hAnsi="宋体" w:eastAsia="宋体" w:cs="宋体"/>
          <w:color w:val="auto"/>
          <w:sz w:val="21"/>
          <w:szCs w:val="21"/>
          <w:highlight w:val="none"/>
        </w:rPr>
        <w:t xml:space="preserve"> 授权</w:t>
      </w:r>
      <w:r>
        <w:rPr>
          <w:rFonts w:ascii="宋体" w:hAnsi="宋体" w:eastAsia="宋体" w:cs="宋体"/>
          <w:color w:val="auto"/>
          <w:sz w:val="21"/>
          <w:szCs w:val="21"/>
          <w:highlight w:val="none"/>
          <w:u w:val="single"/>
        </w:rPr>
        <w:t xml:space="preserve"> （全权代表姓名、职务）  </w:t>
      </w:r>
      <w:r>
        <w:rPr>
          <w:rFonts w:hint="eastAsia" w:ascii="宋体" w:hAnsi="宋体" w:eastAsia="宋体" w:cs="宋体"/>
          <w:color w:val="auto"/>
          <w:sz w:val="21"/>
          <w:szCs w:val="21"/>
          <w:highlight w:val="none"/>
        </w:rPr>
        <w:t>为本公司合法代理人，参加贵方组织的</w:t>
      </w:r>
      <w:r>
        <w:rPr>
          <w:rFonts w:ascii="宋体" w:hAnsi="宋体" w:eastAsia="宋体" w:cs="宋体"/>
          <w:color w:val="auto"/>
          <w:sz w:val="21"/>
          <w:szCs w:val="21"/>
          <w:highlight w:val="none"/>
          <w:u w:val="single"/>
        </w:rPr>
        <w:t xml:space="preserve">    （竞争性磋商编号、磋商项目名称）      </w:t>
      </w:r>
      <w:r>
        <w:rPr>
          <w:rFonts w:hint="eastAsia" w:ascii="宋体" w:hAnsi="宋体" w:eastAsia="宋体" w:cs="宋体"/>
          <w:color w:val="auto"/>
          <w:sz w:val="21"/>
          <w:szCs w:val="21"/>
          <w:highlight w:val="none"/>
        </w:rPr>
        <w:t>竞争性磋商活动，代表本公司处理磋商采购活动中的一切事宜，为对</w:t>
      </w:r>
      <w:r>
        <w:rPr>
          <w:rFonts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进行报价，在此：</w:t>
      </w:r>
    </w:p>
    <w:p w14:paraId="4F91FDF1">
      <w:pPr>
        <w:pStyle w:val="21"/>
        <w:keepNext w:val="0"/>
        <w:keepLines w:val="0"/>
        <w:pageBreakBefore w:val="0"/>
        <w:widowControl w:val="0"/>
        <w:tabs>
          <w:tab w:val="left" w:pos="0"/>
        </w:tabs>
        <w:kinsoku/>
        <w:wordWrap w:val="0"/>
        <w:overflowPunct/>
        <w:topLinePunct w:val="0"/>
        <w:autoSpaceDE/>
        <w:autoSpaceDN/>
        <w:bidi w:val="0"/>
        <w:adjustRightInd/>
        <w:snapToGrid/>
        <w:spacing w:line="240" w:lineRule="auto"/>
        <w:ind w:firstLine="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1、提供“竞争性磋商采购文件”规定的全部响应文件：</w:t>
      </w:r>
    </w:p>
    <w:p w14:paraId="55166972">
      <w:pPr>
        <w:pStyle w:val="21"/>
        <w:keepNext w:val="0"/>
        <w:keepLines w:val="0"/>
        <w:pageBreakBefore w:val="0"/>
        <w:widowControl w:val="0"/>
        <w:kinsoku/>
        <w:wordWrap w:val="0"/>
        <w:overflowPunct/>
        <w:topLinePunct w:val="0"/>
        <w:autoSpaceDE/>
        <w:autoSpaceDN/>
        <w:bidi w:val="0"/>
        <w:adjustRightInd/>
        <w:snapToGrid/>
        <w:spacing w:line="240" w:lineRule="auto"/>
        <w:ind w:firstLine="424" w:firstLineChars="202"/>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1）上传到政府采购云平台的</w:t>
      </w:r>
      <w:r>
        <w:rPr>
          <w:rFonts w:hint="eastAsia" w:ascii="宋体" w:hAnsi="宋体" w:eastAsia="宋体" w:cs="宋体"/>
          <w:color w:val="auto"/>
          <w:sz w:val="21"/>
          <w:szCs w:val="21"/>
          <w:highlight w:val="none"/>
        </w:rPr>
        <w:t>电子响应文件</w:t>
      </w:r>
      <w:r>
        <w:rPr>
          <w:rFonts w:ascii="宋体" w:hAnsi="宋体" w:eastAsia="宋体" w:cs="宋体"/>
          <w:color w:val="auto"/>
          <w:sz w:val="21"/>
          <w:szCs w:val="21"/>
          <w:highlight w:val="none"/>
        </w:rPr>
        <w:t>（含资格文件、商务技术文件、报价文件）1份。</w:t>
      </w:r>
    </w:p>
    <w:p w14:paraId="22371F05">
      <w:pPr>
        <w:pStyle w:val="21"/>
        <w:keepNext w:val="0"/>
        <w:keepLines w:val="0"/>
        <w:pageBreakBefore w:val="0"/>
        <w:widowControl w:val="0"/>
        <w:tabs>
          <w:tab w:val="left" w:pos="0"/>
        </w:tabs>
        <w:kinsoku/>
        <w:wordWrap w:val="0"/>
        <w:overflowPunct/>
        <w:topLinePunct w:val="0"/>
        <w:autoSpaceDE/>
        <w:autoSpaceDN/>
        <w:bidi w:val="0"/>
        <w:adjustRightInd/>
        <w:snapToGrid/>
        <w:spacing w:line="240" w:lineRule="auto"/>
        <w:ind w:firstLine="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2、据此函，签字代表宣布并承诺如下：</w:t>
      </w:r>
    </w:p>
    <w:p w14:paraId="2DAF13BF">
      <w:pPr>
        <w:pStyle w:val="21"/>
        <w:keepNext w:val="0"/>
        <w:keepLines w:val="0"/>
        <w:pageBreakBefore w:val="0"/>
        <w:widowControl w:val="0"/>
        <w:kinsoku/>
        <w:wordWrap w:val="0"/>
        <w:overflowPunct/>
        <w:topLinePunct w:val="0"/>
        <w:autoSpaceDE/>
        <w:autoSpaceDN/>
        <w:bidi w:val="0"/>
        <w:adjustRightInd/>
        <w:snapToGrid/>
        <w:spacing w:line="24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1）初次</w:t>
      </w:r>
      <w:r>
        <w:rPr>
          <w:rFonts w:hint="eastAsia" w:ascii="宋体" w:hAnsi="宋体" w:eastAsia="宋体" w:cs="宋体"/>
          <w:color w:val="auto"/>
          <w:sz w:val="21"/>
          <w:szCs w:val="21"/>
          <w:highlight w:val="none"/>
        </w:rPr>
        <w:t>响应</w:t>
      </w:r>
      <w:r>
        <w:rPr>
          <w:rFonts w:ascii="宋体" w:hAnsi="宋体" w:eastAsia="宋体" w:cs="宋体"/>
          <w:color w:val="auto"/>
          <w:sz w:val="21"/>
          <w:szCs w:val="21"/>
          <w:highlight w:val="none"/>
        </w:rPr>
        <w:t>报价人民币：</w:t>
      </w:r>
      <w:r>
        <w:rPr>
          <w:rFonts w:hint="eastAsia" w:ascii="宋体" w:hAnsi="宋体" w:eastAsia="宋体" w:cs="宋体"/>
          <w:color w:val="auto"/>
          <w:sz w:val="21"/>
          <w:szCs w:val="21"/>
          <w:highlight w:val="none"/>
          <w:u w:val="single"/>
        </w:rPr>
        <w:t>人民币</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805EFDB">
      <w:pPr>
        <w:pStyle w:val="21"/>
        <w:keepNext w:val="0"/>
        <w:keepLines w:val="0"/>
        <w:pageBreakBefore w:val="0"/>
        <w:widowControl w:val="0"/>
        <w:kinsoku/>
        <w:wordWrap w:val="0"/>
        <w:overflowPunct/>
        <w:topLinePunct w:val="0"/>
        <w:autoSpaceDE/>
        <w:autoSpaceDN/>
        <w:bidi w:val="0"/>
        <w:adjustRightInd/>
        <w:snapToGrid/>
        <w:spacing w:line="24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2）质量目标:</w:t>
      </w:r>
      <w:r>
        <w:rPr>
          <w:rFonts w:ascii="宋体" w:hAnsi="宋体" w:eastAsia="宋体" w:cs="宋体"/>
          <w:color w:val="auto"/>
          <w:sz w:val="21"/>
          <w:szCs w:val="21"/>
          <w:highlight w:val="none"/>
          <w:u w:val="single"/>
        </w:rPr>
        <w:t xml:space="preserve">              </w:t>
      </w:r>
      <w:r>
        <w:rPr>
          <w:rFonts w:ascii="宋体" w:hAnsi="宋体" w:eastAsia="宋体" w:cs="宋体"/>
          <w:color w:val="auto"/>
          <w:sz w:val="21"/>
          <w:szCs w:val="21"/>
          <w:highlight w:val="none"/>
        </w:rPr>
        <w:t xml:space="preserve"> ；</w:t>
      </w:r>
    </w:p>
    <w:p w14:paraId="3464E935">
      <w:pPr>
        <w:pStyle w:val="21"/>
        <w:keepNext w:val="0"/>
        <w:keepLines w:val="0"/>
        <w:pageBreakBefore w:val="0"/>
        <w:widowControl w:val="0"/>
        <w:kinsoku/>
        <w:wordWrap w:val="0"/>
        <w:overflowPunct/>
        <w:topLinePunct w:val="0"/>
        <w:autoSpaceDE/>
        <w:autoSpaceDN/>
        <w:bidi w:val="0"/>
        <w:adjustRightInd/>
        <w:snapToGrid/>
        <w:spacing w:line="24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3）工期</w:t>
      </w:r>
      <w:r>
        <w:rPr>
          <w:rFonts w:hint="eastAsia" w:ascii="宋体" w:hAnsi="宋体" w:eastAsia="宋体" w:cs="宋体"/>
          <w:color w:val="auto"/>
          <w:sz w:val="21"/>
          <w:szCs w:val="21"/>
          <w:highlight w:val="none"/>
        </w:rPr>
        <w:t>目标</w:t>
      </w:r>
      <w:r>
        <w:rPr>
          <w:rFonts w:ascii="宋体" w:hAnsi="宋体" w:eastAsia="宋体" w:cs="宋体"/>
          <w:color w:val="auto"/>
          <w:sz w:val="21"/>
          <w:szCs w:val="21"/>
          <w:highlight w:val="none"/>
        </w:rPr>
        <w:t>：</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6BBB2ADE">
      <w:pPr>
        <w:pStyle w:val="21"/>
        <w:keepNext w:val="0"/>
        <w:keepLines w:val="0"/>
        <w:pageBreakBefore w:val="0"/>
        <w:widowControl w:val="0"/>
        <w:kinsoku/>
        <w:wordWrap w:val="0"/>
        <w:overflowPunct/>
        <w:topLinePunct w:val="0"/>
        <w:autoSpaceDE/>
        <w:autoSpaceDN/>
        <w:bidi w:val="0"/>
        <w:adjustRightInd/>
        <w:snapToGrid/>
        <w:spacing w:line="24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4）</w:t>
      </w:r>
      <w:r>
        <w:rPr>
          <w:rFonts w:hint="eastAsia" w:ascii="宋体" w:hAnsi="宋体" w:eastAsia="宋体" w:cs="宋体"/>
          <w:color w:val="auto"/>
          <w:sz w:val="21"/>
          <w:szCs w:val="21"/>
          <w:highlight w:val="none"/>
        </w:rPr>
        <w:t>安全目标</w:t>
      </w:r>
      <w:r>
        <w:rPr>
          <w:rFonts w:ascii="宋体" w:hAnsi="宋体" w:eastAsia="宋体" w:cs="宋体"/>
          <w:color w:val="auto"/>
          <w:sz w:val="21"/>
          <w:szCs w:val="21"/>
          <w:highlight w:val="none"/>
        </w:rPr>
        <w:t>：</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97E150E">
      <w:pPr>
        <w:pStyle w:val="21"/>
        <w:keepNext w:val="0"/>
        <w:keepLines w:val="0"/>
        <w:pageBreakBefore w:val="0"/>
        <w:widowControl w:val="0"/>
        <w:kinsoku/>
        <w:wordWrap w:val="0"/>
        <w:overflowPunct/>
        <w:topLinePunct w:val="0"/>
        <w:autoSpaceDE/>
        <w:autoSpaceDN/>
        <w:bidi w:val="0"/>
        <w:adjustRightInd/>
        <w:snapToGrid/>
        <w:spacing w:line="240"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本报价已经包含了所投项目应纳的税金及竞争性磋商采购文件规定的报价方式应包含的其它费用。本报价在报价有效期内固定不变，并在合同有效期内不受利率波动的影响。</w:t>
      </w:r>
    </w:p>
    <w:p w14:paraId="5BE64D8D">
      <w:pPr>
        <w:pStyle w:val="21"/>
        <w:keepNext w:val="0"/>
        <w:keepLines w:val="0"/>
        <w:pageBreakBefore w:val="0"/>
        <w:widowControl w:val="0"/>
        <w:kinsoku/>
        <w:wordWrap w:val="0"/>
        <w:overflowPunct/>
        <w:topLinePunct w:val="0"/>
        <w:autoSpaceDE/>
        <w:autoSpaceDN/>
        <w:bidi w:val="0"/>
        <w:adjustRightInd/>
        <w:snapToGrid/>
        <w:spacing w:line="240" w:lineRule="auto"/>
        <w:ind w:firstLine="514"/>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5）本</w:t>
      </w:r>
      <w:r>
        <w:rPr>
          <w:rFonts w:hint="eastAsia" w:ascii="宋体" w:hAnsi="宋体" w:eastAsia="宋体" w:cs="宋体"/>
          <w:color w:val="auto"/>
          <w:sz w:val="21"/>
          <w:szCs w:val="21"/>
          <w:highlight w:val="none"/>
        </w:rPr>
        <w:t>响应文件</w:t>
      </w:r>
      <w:r>
        <w:rPr>
          <w:rFonts w:ascii="宋体" w:hAnsi="宋体" w:eastAsia="宋体" w:cs="宋体"/>
          <w:color w:val="auto"/>
          <w:sz w:val="21"/>
          <w:szCs w:val="21"/>
          <w:highlight w:val="none"/>
        </w:rPr>
        <w:t>自接受</w:t>
      </w:r>
      <w:r>
        <w:rPr>
          <w:rFonts w:hint="eastAsia" w:ascii="宋体" w:hAnsi="宋体" w:eastAsia="宋体" w:cs="宋体"/>
          <w:color w:val="auto"/>
          <w:sz w:val="21"/>
          <w:szCs w:val="21"/>
          <w:highlight w:val="none"/>
        </w:rPr>
        <w:t>响应文件</w:t>
      </w:r>
      <w:r>
        <w:rPr>
          <w:rFonts w:ascii="宋体" w:hAnsi="宋体" w:eastAsia="宋体" w:cs="宋体"/>
          <w:color w:val="auto"/>
          <w:sz w:val="21"/>
          <w:szCs w:val="21"/>
          <w:highlight w:val="none"/>
        </w:rPr>
        <w:t>截止之日起</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90</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天内有效。</w:t>
      </w:r>
    </w:p>
    <w:p w14:paraId="1C2C0F9B">
      <w:pPr>
        <w:pStyle w:val="21"/>
        <w:keepNext w:val="0"/>
        <w:keepLines w:val="0"/>
        <w:pageBreakBefore w:val="0"/>
        <w:widowControl w:val="0"/>
        <w:kinsoku/>
        <w:wordWrap w:val="0"/>
        <w:overflowPunct/>
        <w:topLinePunct w:val="0"/>
        <w:autoSpaceDE/>
        <w:autoSpaceDN/>
        <w:bidi w:val="0"/>
        <w:adjustRightInd/>
        <w:snapToGrid/>
        <w:spacing w:line="240" w:lineRule="auto"/>
        <w:ind w:firstLine="514"/>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6）我们已详细审查全部</w:t>
      </w:r>
      <w:r>
        <w:rPr>
          <w:rFonts w:hint="eastAsia" w:ascii="宋体" w:hAnsi="宋体" w:eastAsia="宋体" w:cs="宋体"/>
          <w:color w:val="auto"/>
          <w:sz w:val="21"/>
          <w:szCs w:val="21"/>
          <w:highlight w:val="none"/>
        </w:rPr>
        <w:t>竞争性磋商采购文件</w:t>
      </w:r>
      <w:r>
        <w:rPr>
          <w:rFonts w:ascii="宋体" w:hAnsi="宋体" w:eastAsia="宋体" w:cs="宋体"/>
          <w:color w:val="auto"/>
          <w:sz w:val="21"/>
          <w:szCs w:val="21"/>
          <w:highlight w:val="none"/>
        </w:rPr>
        <w:t>及有关的澄清/修改文件(若有的话)，我们完全理解并同意放弃对这方面提出任何异议的权利。保证遵守</w:t>
      </w:r>
      <w:r>
        <w:rPr>
          <w:rFonts w:hint="eastAsia" w:ascii="宋体" w:hAnsi="宋体" w:eastAsia="宋体" w:cs="宋体"/>
          <w:color w:val="auto"/>
          <w:sz w:val="21"/>
          <w:szCs w:val="21"/>
          <w:highlight w:val="none"/>
        </w:rPr>
        <w:t>竞争性磋商采购文件</w:t>
      </w:r>
      <w:r>
        <w:rPr>
          <w:rFonts w:ascii="宋体" w:hAnsi="宋体" w:eastAsia="宋体" w:cs="宋体"/>
          <w:color w:val="auto"/>
          <w:sz w:val="21"/>
          <w:szCs w:val="21"/>
          <w:highlight w:val="none"/>
        </w:rPr>
        <w:t>有关条款规定。</w:t>
      </w:r>
    </w:p>
    <w:p w14:paraId="442112C1">
      <w:pPr>
        <w:pStyle w:val="21"/>
        <w:keepNext w:val="0"/>
        <w:keepLines w:val="0"/>
        <w:pageBreakBefore w:val="0"/>
        <w:widowControl w:val="0"/>
        <w:kinsoku/>
        <w:wordWrap w:val="0"/>
        <w:overflowPunct/>
        <w:topLinePunct w:val="0"/>
        <w:autoSpaceDE/>
        <w:autoSpaceDN/>
        <w:bidi w:val="0"/>
        <w:adjustRightInd/>
        <w:snapToGrid/>
        <w:spacing w:line="240" w:lineRule="auto"/>
        <w:ind w:firstLine="514"/>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7）</w:t>
      </w:r>
      <w:r>
        <w:rPr>
          <w:rFonts w:hint="eastAsia" w:ascii="宋体" w:hAnsi="宋体" w:eastAsia="宋体" w:cs="宋体"/>
          <w:color w:val="auto"/>
          <w:sz w:val="21"/>
          <w:szCs w:val="21"/>
          <w:highlight w:val="none"/>
        </w:rPr>
        <w:t>保证遵守竞争性磋商采购文件有关条款规定。</w:t>
      </w:r>
    </w:p>
    <w:p w14:paraId="59783E19">
      <w:pPr>
        <w:pStyle w:val="21"/>
        <w:keepNext w:val="0"/>
        <w:keepLines w:val="0"/>
        <w:pageBreakBefore w:val="0"/>
        <w:widowControl w:val="0"/>
        <w:kinsoku/>
        <w:wordWrap w:val="0"/>
        <w:overflowPunct/>
        <w:topLinePunct w:val="0"/>
        <w:autoSpaceDE/>
        <w:autoSpaceDN/>
        <w:bidi w:val="0"/>
        <w:adjustRightInd/>
        <w:snapToGrid/>
        <w:spacing w:line="240" w:lineRule="auto"/>
        <w:ind w:firstLine="514"/>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8）</w:t>
      </w:r>
      <w:r>
        <w:rPr>
          <w:rFonts w:hint="eastAsia" w:ascii="宋体" w:hAnsi="宋体" w:eastAsia="宋体" w:cs="宋体"/>
          <w:color w:val="auto"/>
          <w:sz w:val="21"/>
          <w:szCs w:val="21"/>
          <w:highlight w:val="none"/>
        </w:rPr>
        <w:t>保证在被确定为成交供应商后忠实地执行与采购人所签署的合同，并承担合同规定的责任义务，并保证按照竞争性磋商采购文件的规定支付磋商服务费。</w:t>
      </w:r>
    </w:p>
    <w:p w14:paraId="38052930">
      <w:pPr>
        <w:pStyle w:val="21"/>
        <w:keepNext w:val="0"/>
        <w:keepLines w:val="0"/>
        <w:pageBreakBefore w:val="0"/>
        <w:widowControl w:val="0"/>
        <w:kinsoku/>
        <w:wordWrap w:val="0"/>
        <w:overflowPunct/>
        <w:topLinePunct w:val="0"/>
        <w:autoSpaceDE/>
        <w:autoSpaceDN/>
        <w:bidi w:val="0"/>
        <w:adjustRightInd/>
        <w:snapToGrid/>
        <w:spacing w:line="240" w:lineRule="auto"/>
        <w:ind w:firstLine="514"/>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9）</w:t>
      </w:r>
      <w:r>
        <w:rPr>
          <w:rFonts w:hint="eastAsia" w:ascii="宋体" w:hAnsi="宋体" w:eastAsia="宋体" w:cs="宋体"/>
          <w:color w:val="auto"/>
          <w:sz w:val="21"/>
          <w:szCs w:val="21"/>
          <w:highlight w:val="none"/>
        </w:rPr>
        <w:t>承诺应贵方要求提供任何与该项目有关的数据、情况和技术资料。</w:t>
      </w:r>
    </w:p>
    <w:p w14:paraId="0CE438AF">
      <w:pPr>
        <w:pStyle w:val="21"/>
        <w:keepNext w:val="0"/>
        <w:keepLines w:val="0"/>
        <w:pageBreakBefore w:val="0"/>
        <w:widowControl w:val="0"/>
        <w:kinsoku/>
        <w:wordWrap w:val="0"/>
        <w:overflowPunct/>
        <w:topLinePunct w:val="0"/>
        <w:autoSpaceDE/>
        <w:autoSpaceDN/>
        <w:bidi w:val="0"/>
        <w:adjustRightInd/>
        <w:snapToGrid/>
        <w:spacing w:line="240" w:lineRule="auto"/>
        <w:ind w:firstLine="514"/>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10</w:t>
      </w:r>
      <w:r>
        <w:rPr>
          <w:rFonts w:hint="eastAsia" w:ascii="宋体" w:hAnsi="宋体" w:eastAsia="宋体" w:cs="宋体"/>
          <w:color w:val="auto"/>
          <w:sz w:val="21"/>
          <w:szCs w:val="21"/>
          <w:highlight w:val="none"/>
        </w:rPr>
        <w:t>）我们郑重声明：本响应文件提供的情况和文件完全是真实的，我公司符合采购法规定的参加采购活动应当具备的条件：具有健全的财务会计制度、依法缴纳税收和社会保障资金、参加本次采购活动之前的三年内，在经营活动中无重大违法活动。</w:t>
      </w:r>
    </w:p>
    <w:p w14:paraId="005C48E4">
      <w:pPr>
        <w:pStyle w:val="21"/>
        <w:keepNext w:val="0"/>
        <w:keepLines w:val="0"/>
        <w:pageBreakBefore w:val="0"/>
        <w:widowControl w:val="0"/>
        <w:tabs>
          <w:tab w:val="left" w:pos="0"/>
        </w:tabs>
        <w:kinsoku/>
        <w:wordWrap w:val="0"/>
        <w:overflowPunct/>
        <w:topLinePunct w:val="0"/>
        <w:autoSpaceDE/>
        <w:autoSpaceDN/>
        <w:bidi w:val="0"/>
        <w:adjustRightInd/>
        <w:snapToGrid/>
        <w:spacing w:line="240" w:lineRule="auto"/>
        <w:ind w:firstLine="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3、与本竞争性磋商采购有关的一切往来通讯请寄：</w:t>
      </w:r>
    </w:p>
    <w:p w14:paraId="1E979B70">
      <w:pPr>
        <w:pStyle w:val="21"/>
        <w:keepNext w:val="0"/>
        <w:keepLines w:val="0"/>
        <w:pageBreakBefore w:val="0"/>
        <w:widowControl w:val="0"/>
        <w:kinsoku/>
        <w:wordWrap w:val="0"/>
        <w:overflowPunct/>
        <w:topLinePunct w:val="0"/>
        <w:autoSpaceDE/>
        <w:autoSpaceDN/>
        <w:bidi w:val="0"/>
        <w:adjustRightInd/>
        <w:snapToGrid/>
        <w:spacing w:line="240" w:lineRule="auto"/>
        <w:ind w:firstLine="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ascii="宋体" w:hAnsi="宋体" w:eastAsia="宋体" w:cs="宋体"/>
          <w:color w:val="auto"/>
          <w:sz w:val="21"/>
          <w:szCs w:val="21"/>
          <w:highlight w:val="none"/>
          <w:u w:val="single"/>
        </w:rPr>
        <w:t xml:space="preserve">                                                   </w:t>
      </w:r>
    </w:p>
    <w:p w14:paraId="271DEABE">
      <w:pPr>
        <w:pStyle w:val="21"/>
        <w:keepNext w:val="0"/>
        <w:keepLines w:val="0"/>
        <w:pageBreakBefore w:val="0"/>
        <w:widowControl w:val="0"/>
        <w:kinsoku/>
        <w:wordWrap w:val="0"/>
        <w:overflowPunct/>
        <w:topLinePunct w:val="0"/>
        <w:autoSpaceDE/>
        <w:autoSpaceDN/>
        <w:bidi w:val="0"/>
        <w:adjustRightInd/>
        <w:snapToGrid/>
        <w:spacing w:line="240" w:lineRule="auto"/>
        <w:ind w:firstLine="0"/>
        <w:textAlignment w:val="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邮编：</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电话：</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ascii="宋体" w:hAnsi="宋体" w:eastAsia="宋体" w:cs="宋体"/>
          <w:color w:val="auto"/>
          <w:sz w:val="21"/>
          <w:szCs w:val="21"/>
          <w:highlight w:val="none"/>
          <w:u w:val="single"/>
        </w:rPr>
        <w:t xml:space="preserve">             </w:t>
      </w:r>
    </w:p>
    <w:p w14:paraId="5AF66B2E">
      <w:pPr>
        <w:pStyle w:val="21"/>
        <w:keepNext w:val="0"/>
        <w:keepLines w:val="0"/>
        <w:pageBreakBefore w:val="0"/>
        <w:widowControl w:val="0"/>
        <w:kinsoku/>
        <w:wordWrap w:val="0"/>
        <w:overflowPunct/>
        <w:topLinePunct w:val="0"/>
        <w:autoSpaceDE/>
        <w:autoSpaceDN/>
        <w:bidi w:val="0"/>
        <w:adjustRightInd/>
        <w:snapToGrid/>
        <w:spacing w:line="240" w:lineRule="auto"/>
        <w:ind w:firstLine="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应</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商</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单</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位</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（盖章）：</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法定代表人或授权代表（签字或盖章）：</w:t>
      </w:r>
    </w:p>
    <w:p w14:paraId="0E6FE53F">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宋体" w:hAnsi="宋体" w:cs="宋体"/>
          <w:color w:val="auto"/>
          <w:szCs w:val="21"/>
          <w:highlight w:val="none"/>
        </w:rPr>
        <w:sectPr>
          <w:footerReference r:id="rId11" w:type="default"/>
          <w:pgSz w:w="11907" w:h="16840"/>
          <w:pgMar w:top="1440" w:right="1701" w:bottom="1440" w:left="1701" w:header="720" w:footer="720" w:gutter="0"/>
          <w:cols w:space="720" w:num="1"/>
          <w:docGrid w:type="lines" w:linePitch="285" w:charSpace="0"/>
        </w:sectPr>
      </w:pPr>
      <w:r>
        <w:rPr>
          <w:rFonts w:hint="eastAsia" w:ascii="宋体" w:hAnsi="宋体" w:cs="宋体"/>
          <w:color w:val="auto"/>
          <w:szCs w:val="21"/>
          <w:highlight w:val="none"/>
        </w:rPr>
        <w:t xml:space="preserve">                                          日      期：     年   月   日</w:t>
      </w:r>
    </w:p>
    <w:p w14:paraId="4030F69F">
      <w:pPr>
        <w:wordWrap w:val="0"/>
        <w:spacing w:line="360" w:lineRule="auto"/>
        <w:jc w:val="left"/>
        <w:rPr>
          <w:rFonts w:ascii="宋体" w:hAnsi="宋体" w:cs="宋体"/>
          <w:bCs/>
          <w:color w:val="auto"/>
          <w:szCs w:val="21"/>
          <w:highlight w:val="none"/>
        </w:rPr>
      </w:pPr>
      <w:bookmarkStart w:id="124" w:name="_4.6__"/>
      <w:bookmarkEnd w:id="124"/>
      <w:r>
        <w:rPr>
          <w:rFonts w:hint="eastAsia" w:ascii="宋体" w:hAnsi="宋体" w:cs="宋体"/>
          <w:bCs/>
          <w:color w:val="auto"/>
          <w:szCs w:val="21"/>
          <w:highlight w:val="none"/>
        </w:rPr>
        <w:t>附件5</w:t>
      </w:r>
    </w:p>
    <w:p w14:paraId="667A1F4A">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报价函附录</w:t>
      </w:r>
    </w:p>
    <w:tbl>
      <w:tblPr>
        <w:tblStyle w:val="51"/>
        <w:tblpPr w:leftFromText="180" w:rightFromText="180" w:vertAnchor="text" w:horzAnchor="margin" w:tblpX="-318" w:tblpY="9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3780"/>
        <w:gridCol w:w="2952"/>
        <w:gridCol w:w="1804"/>
      </w:tblGrid>
      <w:tr w14:paraId="061F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14:paraId="1E5AEF0C">
            <w:pPr>
              <w:wordWrap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4E750A92">
            <w:pPr>
              <w:wordWrap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项目内容</w:t>
            </w:r>
          </w:p>
        </w:tc>
        <w:tc>
          <w:tcPr>
            <w:tcW w:w="2952" w:type="dxa"/>
            <w:tcBorders>
              <w:top w:val="single" w:color="auto" w:sz="4" w:space="0"/>
              <w:left w:val="single" w:color="auto" w:sz="4" w:space="0"/>
              <w:bottom w:val="single" w:color="auto" w:sz="4" w:space="0"/>
              <w:right w:val="single" w:color="auto" w:sz="4" w:space="0"/>
            </w:tcBorders>
            <w:noWrap w:val="0"/>
            <w:vAlign w:val="center"/>
          </w:tcPr>
          <w:p w14:paraId="2B1EDC2B">
            <w:pPr>
              <w:wordWrap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报价承诺</w:t>
            </w:r>
          </w:p>
        </w:tc>
        <w:tc>
          <w:tcPr>
            <w:tcW w:w="1804" w:type="dxa"/>
            <w:tcBorders>
              <w:top w:val="single" w:color="auto" w:sz="4" w:space="0"/>
              <w:left w:val="single" w:color="auto" w:sz="4" w:space="0"/>
              <w:bottom w:val="single" w:color="auto" w:sz="4" w:space="0"/>
              <w:right w:val="single" w:color="auto" w:sz="4" w:space="0"/>
            </w:tcBorders>
            <w:noWrap w:val="0"/>
            <w:vAlign w:val="center"/>
          </w:tcPr>
          <w:p w14:paraId="238D7B40">
            <w:pPr>
              <w:wordWrap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14:paraId="2388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14:paraId="0F7B33BE">
            <w:pPr>
              <w:wordWrap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39F4B30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施工准备时间</w:t>
            </w:r>
          </w:p>
        </w:tc>
        <w:tc>
          <w:tcPr>
            <w:tcW w:w="2952" w:type="dxa"/>
            <w:tcBorders>
              <w:top w:val="single" w:color="auto" w:sz="4" w:space="0"/>
              <w:left w:val="single" w:color="auto" w:sz="4" w:space="0"/>
              <w:bottom w:val="single" w:color="auto" w:sz="4" w:space="0"/>
              <w:right w:val="single" w:color="auto" w:sz="4" w:space="0"/>
            </w:tcBorders>
            <w:noWrap w:val="0"/>
            <w:vAlign w:val="bottom"/>
          </w:tcPr>
          <w:p w14:paraId="476C8FF4">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签订合同后</w:t>
            </w:r>
            <w:r>
              <w:rPr>
                <w:rFonts w:hint="eastAsia" w:ascii="宋体" w:hAnsi="宋体" w:cs="宋体"/>
                <w:b/>
                <w:color w:val="auto"/>
                <w:szCs w:val="21"/>
                <w:highlight w:val="none"/>
                <w:u w:val="single"/>
              </w:rPr>
              <w:t xml:space="preserve"> 3 </w:t>
            </w:r>
            <w:r>
              <w:rPr>
                <w:rFonts w:hint="eastAsia" w:ascii="宋体" w:hAnsi="宋体" w:cs="宋体"/>
                <w:color w:val="auto"/>
                <w:szCs w:val="21"/>
                <w:highlight w:val="none"/>
              </w:rPr>
              <w:t>天</w:t>
            </w:r>
          </w:p>
        </w:tc>
        <w:tc>
          <w:tcPr>
            <w:tcW w:w="1804" w:type="dxa"/>
            <w:tcBorders>
              <w:top w:val="single" w:color="auto" w:sz="4" w:space="0"/>
              <w:left w:val="single" w:color="auto" w:sz="4" w:space="0"/>
              <w:bottom w:val="single" w:color="auto" w:sz="4" w:space="0"/>
              <w:right w:val="single" w:color="auto" w:sz="4" w:space="0"/>
            </w:tcBorders>
            <w:noWrap w:val="0"/>
            <w:vAlign w:val="center"/>
          </w:tcPr>
          <w:p w14:paraId="311B8DB3">
            <w:pPr>
              <w:wordWrap w:val="0"/>
              <w:rPr>
                <w:rFonts w:ascii="宋体" w:hAnsi="宋体" w:cs="宋体"/>
                <w:color w:val="auto"/>
                <w:szCs w:val="21"/>
                <w:highlight w:val="none"/>
              </w:rPr>
            </w:pPr>
          </w:p>
        </w:tc>
      </w:tr>
      <w:tr w14:paraId="6CE7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14:paraId="1B73C762">
            <w:pPr>
              <w:wordWrap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0B883D6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提前合同工期奖励标准</w:t>
            </w:r>
          </w:p>
        </w:tc>
        <w:tc>
          <w:tcPr>
            <w:tcW w:w="2952" w:type="dxa"/>
            <w:tcBorders>
              <w:top w:val="single" w:color="auto" w:sz="4" w:space="0"/>
              <w:left w:val="single" w:color="auto" w:sz="4" w:space="0"/>
              <w:bottom w:val="single" w:color="auto" w:sz="4" w:space="0"/>
              <w:right w:val="single" w:color="auto" w:sz="4" w:space="0"/>
            </w:tcBorders>
            <w:noWrap w:val="0"/>
            <w:vAlign w:val="center"/>
          </w:tcPr>
          <w:p w14:paraId="0E608CBA">
            <w:pPr>
              <w:wordWrap w:val="0"/>
              <w:spacing w:line="360" w:lineRule="auto"/>
              <w:jc w:val="center"/>
              <w:rPr>
                <w:rFonts w:ascii="宋体" w:hAnsi="宋体" w:cs="宋体"/>
                <w:color w:val="auto"/>
                <w:szCs w:val="21"/>
                <w:highlight w:val="none"/>
              </w:rPr>
            </w:pPr>
            <w:r>
              <w:rPr>
                <w:rFonts w:hint="eastAsia" w:ascii="宋体" w:hAnsi="宋体" w:cs="宋体"/>
                <w:b/>
                <w:color w:val="auto"/>
                <w:szCs w:val="21"/>
                <w:highlight w:val="none"/>
                <w:u w:val="single"/>
              </w:rPr>
              <w:t xml:space="preserve">  / </w:t>
            </w:r>
            <w:r>
              <w:rPr>
                <w:rFonts w:hint="eastAsia" w:ascii="宋体" w:hAnsi="宋体" w:cs="宋体"/>
                <w:color w:val="auto"/>
                <w:szCs w:val="21"/>
                <w:highlight w:val="none"/>
              </w:rPr>
              <w:t>元/天</w:t>
            </w:r>
          </w:p>
        </w:tc>
        <w:tc>
          <w:tcPr>
            <w:tcW w:w="1804" w:type="dxa"/>
            <w:tcBorders>
              <w:top w:val="single" w:color="auto" w:sz="4" w:space="0"/>
              <w:left w:val="single" w:color="auto" w:sz="4" w:space="0"/>
              <w:bottom w:val="single" w:color="auto" w:sz="4" w:space="0"/>
              <w:right w:val="single" w:color="auto" w:sz="4" w:space="0"/>
            </w:tcBorders>
            <w:noWrap w:val="0"/>
            <w:vAlign w:val="center"/>
          </w:tcPr>
          <w:p w14:paraId="56370FC0">
            <w:pPr>
              <w:wordWrap w:val="0"/>
              <w:jc w:val="center"/>
              <w:rPr>
                <w:rFonts w:ascii="宋体" w:hAnsi="宋体" w:cs="宋体"/>
                <w:color w:val="auto"/>
                <w:szCs w:val="21"/>
                <w:highlight w:val="none"/>
              </w:rPr>
            </w:pPr>
          </w:p>
        </w:tc>
      </w:tr>
      <w:tr w14:paraId="4E13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14:paraId="26A1C0B4">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53A508C1">
            <w:pPr>
              <w:wordWrap w:val="0"/>
              <w:spacing w:line="360" w:lineRule="auto"/>
              <w:rPr>
                <w:rFonts w:hint="eastAsia" w:ascii="宋体" w:hAnsi="宋体" w:cs="宋体"/>
                <w:color w:val="auto"/>
                <w:szCs w:val="21"/>
                <w:highlight w:val="none"/>
              </w:rPr>
            </w:pPr>
            <w:r>
              <w:rPr>
                <w:rFonts w:hint="eastAsia" w:hAnsi="宋体" w:cs="宋体"/>
                <w:color w:val="auto"/>
                <w:sz w:val="21"/>
                <w:szCs w:val="21"/>
                <w:highlight w:val="none"/>
              </w:rPr>
              <w:t>延误合同工期赔偿标准</w:t>
            </w:r>
          </w:p>
        </w:tc>
        <w:tc>
          <w:tcPr>
            <w:tcW w:w="2952" w:type="dxa"/>
            <w:tcBorders>
              <w:top w:val="single" w:color="auto" w:sz="4" w:space="0"/>
              <w:left w:val="single" w:color="auto" w:sz="4" w:space="0"/>
              <w:bottom w:val="single" w:color="auto" w:sz="4" w:space="0"/>
              <w:right w:val="single" w:color="auto" w:sz="4" w:space="0"/>
            </w:tcBorders>
            <w:noWrap w:val="0"/>
            <w:vAlign w:val="center"/>
          </w:tcPr>
          <w:p w14:paraId="41811792">
            <w:pPr>
              <w:wordWrap w:val="0"/>
              <w:spacing w:line="360" w:lineRule="auto"/>
              <w:jc w:val="center"/>
              <w:rPr>
                <w:rFonts w:hint="eastAsia" w:ascii="宋体" w:hAnsi="宋体" w:cs="宋体"/>
                <w:b/>
                <w:color w:val="auto"/>
                <w:szCs w:val="21"/>
                <w:highlight w:val="none"/>
                <w:u w:val="single"/>
              </w:rPr>
            </w:pPr>
            <w:r>
              <w:rPr>
                <w:rFonts w:hint="eastAsia" w:ascii="宋体" w:hAnsi="宋体" w:cs="宋体"/>
                <w:b/>
                <w:color w:val="auto"/>
                <w:szCs w:val="21"/>
                <w:highlight w:val="none"/>
                <w:u w:val="single"/>
                <w:lang w:val="en-US" w:eastAsia="zh-CN"/>
              </w:rPr>
              <w:t>3</w:t>
            </w:r>
            <w:r>
              <w:rPr>
                <w:rFonts w:hint="eastAsia" w:ascii="宋体" w:hAnsi="宋体" w:cs="宋体"/>
                <w:b/>
                <w:color w:val="auto"/>
                <w:szCs w:val="21"/>
                <w:highlight w:val="none"/>
                <w:u w:val="single"/>
              </w:rPr>
              <w:t>000</w:t>
            </w:r>
            <w:r>
              <w:rPr>
                <w:rFonts w:hint="eastAsia" w:ascii="宋体" w:hAnsi="宋体" w:cs="宋体"/>
                <w:color w:val="auto"/>
                <w:szCs w:val="21"/>
                <w:highlight w:val="none"/>
              </w:rPr>
              <w:t>元/天</w:t>
            </w:r>
          </w:p>
        </w:tc>
        <w:tc>
          <w:tcPr>
            <w:tcW w:w="1804" w:type="dxa"/>
            <w:tcBorders>
              <w:top w:val="single" w:color="auto" w:sz="4" w:space="0"/>
              <w:left w:val="single" w:color="auto" w:sz="4" w:space="0"/>
              <w:bottom w:val="single" w:color="auto" w:sz="4" w:space="0"/>
              <w:right w:val="single" w:color="auto" w:sz="4" w:space="0"/>
            </w:tcBorders>
            <w:noWrap w:val="0"/>
            <w:vAlign w:val="center"/>
          </w:tcPr>
          <w:p w14:paraId="59F4BD05">
            <w:pPr>
              <w:wordWrap w:val="0"/>
              <w:jc w:val="center"/>
              <w:rPr>
                <w:rFonts w:ascii="宋体" w:hAnsi="宋体" w:cs="宋体"/>
                <w:color w:val="auto"/>
                <w:szCs w:val="21"/>
                <w:highlight w:val="none"/>
              </w:rPr>
            </w:pPr>
          </w:p>
        </w:tc>
      </w:tr>
      <w:tr w14:paraId="3A53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14:paraId="66B785EC">
            <w:pPr>
              <w:wordWrap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42C114D8">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延误合同工期违约金限额</w:t>
            </w:r>
          </w:p>
        </w:tc>
        <w:tc>
          <w:tcPr>
            <w:tcW w:w="2952" w:type="dxa"/>
            <w:tcBorders>
              <w:top w:val="single" w:color="auto" w:sz="4" w:space="0"/>
              <w:left w:val="single" w:color="auto" w:sz="4" w:space="0"/>
              <w:bottom w:val="single" w:color="auto" w:sz="4" w:space="0"/>
              <w:right w:val="single" w:color="auto" w:sz="4" w:space="0"/>
            </w:tcBorders>
            <w:noWrap w:val="0"/>
            <w:vAlign w:val="center"/>
          </w:tcPr>
          <w:p w14:paraId="5B939949">
            <w:pPr>
              <w:jc w:val="center"/>
              <w:rPr>
                <w:color w:val="auto"/>
                <w:highlight w:val="none"/>
              </w:rPr>
            </w:pPr>
            <w:r>
              <w:rPr>
                <w:rFonts w:hint="eastAsia"/>
                <w:color w:val="auto"/>
                <w:sz w:val="21"/>
                <w:szCs w:val="21"/>
                <w:highlight w:val="none"/>
              </w:rPr>
              <w:t>履约担保</w:t>
            </w:r>
            <w:r>
              <w:rPr>
                <w:rFonts w:hint="eastAsia" w:hAnsi="宋体" w:cs="宋体"/>
                <w:color w:val="auto"/>
                <w:sz w:val="21"/>
                <w:szCs w:val="21"/>
                <w:highlight w:val="none"/>
              </w:rPr>
              <w:t>的</w:t>
            </w:r>
            <w:r>
              <w:rPr>
                <w:rFonts w:hint="eastAsia" w:hAnsi="宋体" w:cs="宋体"/>
                <w:color w:val="auto"/>
                <w:sz w:val="21"/>
                <w:szCs w:val="21"/>
                <w:highlight w:val="none"/>
                <w:u w:val="single"/>
              </w:rPr>
              <w:t>30</w:t>
            </w:r>
            <w:r>
              <w:rPr>
                <w:rFonts w:hint="eastAsia" w:hAnsi="宋体" w:cs="宋体"/>
                <w:color w:val="auto"/>
                <w:sz w:val="21"/>
                <w:szCs w:val="21"/>
                <w:highlight w:val="none"/>
              </w:rPr>
              <w:t>%</w:t>
            </w:r>
          </w:p>
        </w:tc>
        <w:tc>
          <w:tcPr>
            <w:tcW w:w="1804" w:type="dxa"/>
            <w:vMerge w:val="restart"/>
            <w:tcBorders>
              <w:top w:val="single" w:color="auto" w:sz="4" w:space="0"/>
              <w:left w:val="single" w:color="auto" w:sz="4" w:space="0"/>
              <w:right w:val="single" w:color="auto" w:sz="4" w:space="0"/>
            </w:tcBorders>
            <w:noWrap w:val="0"/>
            <w:vAlign w:val="center"/>
          </w:tcPr>
          <w:p w14:paraId="3735C5DB">
            <w:pPr>
              <w:wordWrap w:val="0"/>
              <w:rPr>
                <w:rFonts w:ascii="宋体" w:hAnsi="宋体" w:cs="宋体"/>
                <w:color w:val="auto"/>
                <w:szCs w:val="21"/>
                <w:highlight w:val="none"/>
              </w:rPr>
            </w:pPr>
            <w:r>
              <w:rPr>
                <w:rFonts w:hint="eastAsia" w:ascii="宋体" w:hAnsi="宋体" w:cs="宋体"/>
                <w:bCs/>
                <w:color w:val="auto"/>
                <w:szCs w:val="21"/>
                <w:highlight w:val="none"/>
              </w:rPr>
              <w:t>各项违约金限额之和应与履约保证金金额保持一致。</w:t>
            </w:r>
          </w:p>
        </w:tc>
      </w:tr>
      <w:tr w14:paraId="5EAA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14:paraId="4EDCE3A0">
            <w:pPr>
              <w:wordWrap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6742F858">
            <w:pPr>
              <w:wordWrap w:val="0"/>
              <w:spacing w:line="300" w:lineRule="exact"/>
              <w:rPr>
                <w:rFonts w:ascii="宋体" w:hAnsi="宋体" w:cs="宋体"/>
                <w:color w:val="auto"/>
                <w:szCs w:val="21"/>
                <w:highlight w:val="none"/>
              </w:rPr>
            </w:pPr>
            <w:r>
              <w:rPr>
                <w:rFonts w:hint="eastAsia" w:ascii="宋体" w:hAnsi="宋体" w:cs="宋体"/>
                <w:color w:val="auto"/>
                <w:szCs w:val="21"/>
                <w:highlight w:val="none"/>
              </w:rPr>
              <w:t>未达到工程质量验收一次性合格标准违约金限额</w:t>
            </w:r>
          </w:p>
        </w:tc>
        <w:tc>
          <w:tcPr>
            <w:tcW w:w="2952" w:type="dxa"/>
            <w:tcBorders>
              <w:top w:val="single" w:color="auto" w:sz="4" w:space="0"/>
              <w:left w:val="single" w:color="auto" w:sz="4" w:space="0"/>
              <w:bottom w:val="single" w:color="auto" w:sz="4" w:space="0"/>
              <w:right w:val="single" w:color="auto" w:sz="4" w:space="0"/>
            </w:tcBorders>
            <w:noWrap w:val="0"/>
            <w:vAlign w:val="center"/>
          </w:tcPr>
          <w:p w14:paraId="3A48A9E4">
            <w:pPr>
              <w:jc w:val="center"/>
              <w:rPr>
                <w:color w:val="auto"/>
                <w:highlight w:val="none"/>
              </w:rPr>
            </w:pPr>
            <w:r>
              <w:rPr>
                <w:rFonts w:hint="eastAsia"/>
                <w:color w:val="auto"/>
                <w:sz w:val="21"/>
                <w:szCs w:val="21"/>
                <w:highlight w:val="none"/>
              </w:rPr>
              <w:t>履约担保</w:t>
            </w:r>
            <w:r>
              <w:rPr>
                <w:rFonts w:hint="eastAsia" w:hAnsi="宋体" w:cs="宋体"/>
                <w:color w:val="auto"/>
                <w:sz w:val="21"/>
                <w:szCs w:val="21"/>
                <w:highlight w:val="none"/>
              </w:rPr>
              <w:t>的</w:t>
            </w:r>
            <w:r>
              <w:rPr>
                <w:rFonts w:hint="eastAsia" w:hAnsi="宋体" w:cs="宋体"/>
                <w:color w:val="auto"/>
                <w:sz w:val="21"/>
                <w:szCs w:val="21"/>
                <w:highlight w:val="none"/>
                <w:u w:val="single"/>
              </w:rPr>
              <w:t>30</w:t>
            </w:r>
            <w:r>
              <w:rPr>
                <w:rFonts w:hint="eastAsia" w:hAnsi="宋体" w:cs="宋体"/>
                <w:color w:val="auto"/>
                <w:sz w:val="21"/>
                <w:szCs w:val="21"/>
                <w:highlight w:val="none"/>
              </w:rPr>
              <w:t>%</w:t>
            </w:r>
          </w:p>
        </w:tc>
        <w:tc>
          <w:tcPr>
            <w:tcW w:w="1804" w:type="dxa"/>
            <w:vMerge w:val="continue"/>
            <w:tcBorders>
              <w:left w:val="single" w:color="auto" w:sz="4" w:space="0"/>
              <w:right w:val="single" w:color="auto" w:sz="4" w:space="0"/>
            </w:tcBorders>
            <w:noWrap w:val="0"/>
            <w:vAlign w:val="center"/>
          </w:tcPr>
          <w:p w14:paraId="7106A923">
            <w:pPr>
              <w:widowControl/>
              <w:wordWrap w:val="0"/>
              <w:jc w:val="left"/>
              <w:rPr>
                <w:rFonts w:ascii="宋体" w:hAnsi="宋体" w:cs="宋体"/>
                <w:color w:val="auto"/>
                <w:szCs w:val="21"/>
                <w:highlight w:val="none"/>
              </w:rPr>
            </w:pPr>
          </w:p>
        </w:tc>
      </w:tr>
      <w:tr w14:paraId="76761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14:paraId="2AE98D70">
            <w:pPr>
              <w:wordWrap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73C39F21">
            <w:pPr>
              <w:wordWrap w:val="0"/>
              <w:spacing w:line="300" w:lineRule="exact"/>
              <w:rPr>
                <w:rFonts w:ascii="宋体" w:hAnsi="宋体" w:cs="宋体"/>
                <w:color w:val="auto"/>
                <w:szCs w:val="21"/>
                <w:highlight w:val="none"/>
              </w:rPr>
            </w:pPr>
            <w:r>
              <w:rPr>
                <w:rFonts w:hint="eastAsia" w:ascii="宋体" w:hAnsi="宋体" w:cs="宋体"/>
                <w:color w:val="auto"/>
                <w:szCs w:val="21"/>
                <w:highlight w:val="none"/>
              </w:rPr>
              <w:t>未履行项目经理及主要施工管理人员到场承诺违约金限额</w:t>
            </w:r>
          </w:p>
        </w:tc>
        <w:tc>
          <w:tcPr>
            <w:tcW w:w="2952" w:type="dxa"/>
            <w:tcBorders>
              <w:top w:val="single" w:color="auto" w:sz="4" w:space="0"/>
              <w:left w:val="single" w:color="auto" w:sz="4" w:space="0"/>
              <w:bottom w:val="single" w:color="auto" w:sz="4" w:space="0"/>
              <w:right w:val="single" w:color="auto" w:sz="4" w:space="0"/>
            </w:tcBorders>
            <w:noWrap w:val="0"/>
            <w:vAlign w:val="center"/>
          </w:tcPr>
          <w:p w14:paraId="78DC8426">
            <w:pPr>
              <w:jc w:val="center"/>
              <w:rPr>
                <w:color w:val="auto"/>
                <w:highlight w:val="none"/>
              </w:rPr>
            </w:pPr>
            <w:r>
              <w:rPr>
                <w:rFonts w:hint="eastAsia"/>
                <w:color w:val="auto"/>
                <w:sz w:val="21"/>
                <w:szCs w:val="21"/>
                <w:highlight w:val="none"/>
              </w:rPr>
              <w:t>履约担保</w:t>
            </w:r>
            <w:r>
              <w:rPr>
                <w:rFonts w:hint="eastAsia" w:hAnsi="宋体" w:cs="宋体"/>
                <w:color w:val="auto"/>
                <w:sz w:val="21"/>
                <w:szCs w:val="21"/>
                <w:highlight w:val="none"/>
              </w:rPr>
              <w:t>的</w:t>
            </w:r>
            <w:r>
              <w:rPr>
                <w:rFonts w:hint="eastAsia" w:hAnsi="宋体" w:cs="宋体"/>
                <w:color w:val="auto"/>
                <w:sz w:val="21"/>
                <w:szCs w:val="21"/>
                <w:highlight w:val="none"/>
                <w:u w:val="single"/>
                <w:lang w:val="en-US" w:eastAsia="zh-CN"/>
              </w:rPr>
              <w:t>2</w:t>
            </w:r>
            <w:r>
              <w:rPr>
                <w:rFonts w:hint="eastAsia" w:hAnsi="宋体" w:cs="宋体"/>
                <w:color w:val="auto"/>
                <w:sz w:val="21"/>
                <w:szCs w:val="21"/>
                <w:highlight w:val="none"/>
                <w:u w:val="single"/>
              </w:rPr>
              <w:t>0</w:t>
            </w:r>
            <w:r>
              <w:rPr>
                <w:rFonts w:hint="eastAsia" w:hAnsi="宋体" w:cs="宋体"/>
                <w:color w:val="auto"/>
                <w:sz w:val="21"/>
                <w:szCs w:val="21"/>
                <w:highlight w:val="none"/>
              </w:rPr>
              <w:t>%</w:t>
            </w:r>
          </w:p>
        </w:tc>
        <w:tc>
          <w:tcPr>
            <w:tcW w:w="1804" w:type="dxa"/>
            <w:vMerge w:val="continue"/>
            <w:tcBorders>
              <w:left w:val="single" w:color="auto" w:sz="4" w:space="0"/>
              <w:right w:val="single" w:color="auto" w:sz="4" w:space="0"/>
            </w:tcBorders>
            <w:noWrap w:val="0"/>
            <w:vAlign w:val="center"/>
          </w:tcPr>
          <w:p w14:paraId="6A81001C">
            <w:pPr>
              <w:widowControl/>
              <w:wordWrap w:val="0"/>
              <w:jc w:val="left"/>
              <w:rPr>
                <w:rFonts w:ascii="宋体" w:hAnsi="宋体" w:cs="宋体"/>
                <w:color w:val="auto"/>
                <w:szCs w:val="21"/>
                <w:highlight w:val="none"/>
              </w:rPr>
            </w:pPr>
          </w:p>
        </w:tc>
      </w:tr>
      <w:tr w14:paraId="38A3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14:paraId="23FD86FA">
            <w:pPr>
              <w:wordWrap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3179B3F0">
            <w:pPr>
              <w:wordWrap w:val="0"/>
              <w:spacing w:line="300" w:lineRule="exact"/>
              <w:rPr>
                <w:rFonts w:ascii="宋体" w:hAnsi="宋体" w:cs="宋体"/>
                <w:color w:val="auto"/>
                <w:szCs w:val="21"/>
                <w:highlight w:val="none"/>
              </w:rPr>
            </w:pPr>
            <w:r>
              <w:rPr>
                <w:rFonts w:hint="eastAsia" w:ascii="宋体" w:hAnsi="宋体" w:cs="宋体"/>
                <w:color w:val="auto"/>
                <w:szCs w:val="21"/>
                <w:highlight w:val="none"/>
              </w:rPr>
              <w:t>未履行安全文明施工承诺违约金限额</w:t>
            </w:r>
          </w:p>
        </w:tc>
        <w:tc>
          <w:tcPr>
            <w:tcW w:w="2952" w:type="dxa"/>
            <w:tcBorders>
              <w:top w:val="single" w:color="auto" w:sz="4" w:space="0"/>
              <w:left w:val="single" w:color="auto" w:sz="4" w:space="0"/>
              <w:bottom w:val="single" w:color="auto" w:sz="4" w:space="0"/>
              <w:right w:val="single" w:color="auto" w:sz="4" w:space="0"/>
            </w:tcBorders>
            <w:noWrap w:val="0"/>
            <w:vAlign w:val="center"/>
          </w:tcPr>
          <w:p w14:paraId="5718D6D1">
            <w:pPr>
              <w:jc w:val="center"/>
              <w:rPr>
                <w:color w:val="auto"/>
                <w:highlight w:val="none"/>
              </w:rPr>
            </w:pPr>
            <w:r>
              <w:rPr>
                <w:rFonts w:hint="eastAsia"/>
                <w:color w:val="auto"/>
                <w:sz w:val="21"/>
                <w:szCs w:val="21"/>
                <w:highlight w:val="none"/>
              </w:rPr>
              <w:t>履约担保</w:t>
            </w:r>
            <w:r>
              <w:rPr>
                <w:rFonts w:hint="eastAsia" w:hAnsi="宋体" w:cs="宋体"/>
                <w:color w:val="auto"/>
                <w:sz w:val="21"/>
                <w:szCs w:val="21"/>
                <w:highlight w:val="none"/>
              </w:rPr>
              <w:t>的</w:t>
            </w:r>
            <w:r>
              <w:rPr>
                <w:rFonts w:hint="eastAsia" w:hAnsi="宋体" w:cs="宋体"/>
                <w:color w:val="auto"/>
                <w:sz w:val="21"/>
                <w:szCs w:val="21"/>
                <w:highlight w:val="none"/>
                <w:u w:val="single"/>
                <w:lang w:val="en-US" w:eastAsia="zh-CN"/>
              </w:rPr>
              <w:t>2</w:t>
            </w:r>
            <w:r>
              <w:rPr>
                <w:rFonts w:hint="eastAsia" w:hAnsi="宋体" w:cs="宋体"/>
                <w:color w:val="auto"/>
                <w:sz w:val="21"/>
                <w:szCs w:val="21"/>
                <w:highlight w:val="none"/>
                <w:u w:val="single"/>
              </w:rPr>
              <w:t>0</w:t>
            </w:r>
            <w:r>
              <w:rPr>
                <w:rFonts w:hint="eastAsia" w:hAnsi="宋体" w:cs="宋体"/>
                <w:color w:val="auto"/>
                <w:sz w:val="21"/>
                <w:szCs w:val="21"/>
                <w:highlight w:val="none"/>
              </w:rPr>
              <w:t>%</w:t>
            </w:r>
          </w:p>
        </w:tc>
        <w:tc>
          <w:tcPr>
            <w:tcW w:w="1804" w:type="dxa"/>
            <w:vMerge w:val="continue"/>
            <w:tcBorders>
              <w:left w:val="single" w:color="auto" w:sz="4" w:space="0"/>
              <w:bottom w:val="single" w:color="auto" w:sz="4" w:space="0"/>
              <w:right w:val="single" w:color="auto" w:sz="4" w:space="0"/>
            </w:tcBorders>
            <w:noWrap w:val="0"/>
            <w:vAlign w:val="center"/>
          </w:tcPr>
          <w:p w14:paraId="12B18A7B">
            <w:pPr>
              <w:widowControl/>
              <w:wordWrap w:val="0"/>
              <w:jc w:val="left"/>
              <w:rPr>
                <w:rFonts w:ascii="宋体" w:hAnsi="宋体" w:cs="宋体"/>
                <w:color w:val="auto"/>
                <w:szCs w:val="21"/>
                <w:highlight w:val="none"/>
              </w:rPr>
            </w:pPr>
          </w:p>
        </w:tc>
      </w:tr>
      <w:tr w14:paraId="1FBA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14:paraId="262F6A98">
            <w:pPr>
              <w:wordWrap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6DAB0D6F">
            <w:pPr>
              <w:wordWrap w:val="0"/>
              <w:rPr>
                <w:rFonts w:ascii="宋体" w:hAnsi="宋体" w:cs="宋体"/>
                <w:color w:val="auto"/>
                <w:szCs w:val="21"/>
                <w:highlight w:val="none"/>
              </w:rPr>
            </w:pPr>
            <w:r>
              <w:rPr>
                <w:rFonts w:hint="eastAsia" w:ascii="宋体" w:hAnsi="宋体" w:cs="宋体"/>
                <w:color w:val="auto"/>
                <w:szCs w:val="21"/>
                <w:highlight w:val="none"/>
              </w:rPr>
              <w:t>工程质量保证担保</w:t>
            </w:r>
          </w:p>
        </w:tc>
        <w:tc>
          <w:tcPr>
            <w:tcW w:w="2952" w:type="dxa"/>
            <w:tcBorders>
              <w:top w:val="single" w:color="auto" w:sz="4" w:space="0"/>
              <w:left w:val="single" w:color="auto" w:sz="4" w:space="0"/>
              <w:bottom w:val="single" w:color="auto" w:sz="4" w:space="0"/>
              <w:right w:val="single" w:color="auto" w:sz="4" w:space="0"/>
            </w:tcBorders>
            <w:noWrap w:val="0"/>
            <w:vAlign w:val="center"/>
          </w:tcPr>
          <w:p w14:paraId="7E3D3C82">
            <w:pPr>
              <w:jc w:val="center"/>
              <w:rPr>
                <w:color w:val="auto"/>
                <w:highlight w:val="none"/>
              </w:rPr>
            </w:pPr>
            <w:r>
              <w:rPr>
                <w:rFonts w:hint="eastAsia"/>
                <w:color w:val="auto"/>
                <w:highlight w:val="none"/>
              </w:rPr>
              <w:t>/</w:t>
            </w:r>
          </w:p>
        </w:tc>
        <w:tc>
          <w:tcPr>
            <w:tcW w:w="1804" w:type="dxa"/>
            <w:tcBorders>
              <w:top w:val="single" w:color="auto" w:sz="4" w:space="0"/>
              <w:left w:val="single" w:color="auto" w:sz="4" w:space="0"/>
              <w:bottom w:val="single" w:color="auto" w:sz="4" w:space="0"/>
              <w:right w:val="single" w:color="auto" w:sz="4" w:space="0"/>
            </w:tcBorders>
            <w:noWrap w:val="0"/>
            <w:vAlign w:val="center"/>
          </w:tcPr>
          <w:p w14:paraId="30D9A6FF">
            <w:pPr>
              <w:wordWrap w:val="0"/>
              <w:spacing w:line="0" w:lineRule="atLeast"/>
              <w:rPr>
                <w:rFonts w:ascii="宋体" w:hAnsi="宋体" w:cs="宋体"/>
                <w:bCs/>
                <w:color w:val="auto"/>
                <w:szCs w:val="21"/>
                <w:highlight w:val="none"/>
              </w:rPr>
            </w:pPr>
          </w:p>
        </w:tc>
      </w:tr>
      <w:tr w14:paraId="78D7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14:paraId="09E19838">
            <w:pPr>
              <w:wordWrap w:val="0"/>
              <w:jc w:val="center"/>
              <w:rPr>
                <w:rFonts w:ascii="宋体" w:hAnsi="宋体" w:cs="宋体"/>
                <w:color w:val="auto"/>
                <w:szCs w:val="21"/>
                <w:highlight w:val="none"/>
              </w:rPr>
            </w:pPr>
            <w:r>
              <w:rPr>
                <w:rFonts w:hint="eastAsia" w:ascii="宋体" w:hAnsi="宋体" w:cs="宋体"/>
                <w:color w:val="auto"/>
                <w:szCs w:val="21"/>
                <w:highlight w:val="none"/>
              </w:rPr>
              <w:t>9</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6EC9383C">
            <w:pPr>
              <w:wordWrap w:val="0"/>
              <w:rPr>
                <w:rFonts w:ascii="宋体" w:hAnsi="宋体" w:cs="宋体"/>
                <w:color w:val="auto"/>
                <w:szCs w:val="21"/>
                <w:highlight w:val="none"/>
              </w:rPr>
            </w:pPr>
            <w:r>
              <w:rPr>
                <w:rFonts w:hint="eastAsia" w:ascii="宋体" w:hAnsi="宋体" w:cs="宋体"/>
                <w:color w:val="auto"/>
                <w:szCs w:val="21"/>
                <w:highlight w:val="none"/>
              </w:rPr>
              <w:t>是否同意采购文件其它内容</w:t>
            </w:r>
          </w:p>
        </w:tc>
        <w:tc>
          <w:tcPr>
            <w:tcW w:w="2952" w:type="dxa"/>
            <w:tcBorders>
              <w:top w:val="single" w:color="auto" w:sz="4" w:space="0"/>
              <w:left w:val="single" w:color="auto" w:sz="4" w:space="0"/>
              <w:bottom w:val="single" w:color="auto" w:sz="4" w:space="0"/>
              <w:right w:val="single" w:color="auto" w:sz="4" w:space="0"/>
            </w:tcBorders>
            <w:noWrap w:val="0"/>
            <w:vAlign w:val="center"/>
          </w:tcPr>
          <w:p w14:paraId="3D71183C">
            <w:pPr>
              <w:jc w:val="center"/>
              <w:rPr>
                <w:color w:val="auto"/>
                <w:highlight w:val="none"/>
              </w:rPr>
            </w:pPr>
            <w:r>
              <w:rPr>
                <w:rFonts w:hint="eastAsia"/>
                <w:color w:val="auto"/>
                <w:highlight w:val="none"/>
              </w:rPr>
              <w:t>同意</w:t>
            </w:r>
          </w:p>
        </w:tc>
        <w:tc>
          <w:tcPr>
            <w:tcW w:w="1804" w:type="dxa"/>
            <w:tcBorders>
              <w:top w:val="single" w:color="auto" w:sz="4" w:space="0"/>
              <w:left w:val="single" w:color="auto" w:sz="4" w:space="0"/>
              <w:bottom w:val="single" w:color="auto" w:sz="4" w:space="0"/>
              <w:right w:val="single" w:color="auto" w:sz="4" w:space="0"/>
            </w:tcBorders>
            <w:noWrap w:val="0"/>
            <w:vAlign w:val="center"/>
          </w:tcPr>
          <w:p w14:paraId="4E073230">
            <w:pPr>
              <w:wordWrap w:val="0"/>
              <w:spacing w:line="0" w:lineRule="atLeast"/>
              <w:jc w:val="center"/>
              <w:rPr>
                <w:rFonts w:ascii="宋体" w:hAnsi="宋体" w:cs="宋体"/>
                <w:bCs/>
                <w:color w:val="auto"/>
                <w:szCs w:val="21"/>
                <w:highlight w:val="none"/>
              </w:rPr>
            </w:pPr>
          </w:p>
        </w:tc>
      </w:tr>
      <w:tr w14:paraId="5580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14:paraId="796973F8">
            <w:pPr>
              <w:wordWrap w:val="0"/>
              <w:jc w:val="center"/>
              <w:rPr>
                <w:rFonts w:ascii="宋体" w:hAnsi="宋体" w:cs="宋体"/>
                <w:color w:val="auto"/>
                <w:szCs w:val="21"/>
                <w:highlight w:val="none"/>
              </w:rPr>
            </w:pPr>
            <w:r>
              <w:rPr>
                <w:rFonts w:hint="eastAsia" w:ascii="宋体" w:hAnsi="宋体" w:cs="宋体"/>
                <w:color w:val="auto"/>
                <w:szCs w:val="21"/>
                <w:highlight w:val="none"/>
              </w:rPr>
              <w:t>10</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163F30CE">
            <w:pPr>
              <w:wordWrap w:val="0"/>
              <w:rPr>
                <w:rFonts w:ascii="宋体" w:hAnsi="宋体" w:cs="宋体"/>
                <w:color w:val="auto"/>
                <w:szCs w:val="21"/>
                <w:highlight w:val="none"/>
              </w:rPr>
            </w:pPr>
            <w:r>
              <w:rPr>
                <w:rFonts w:hint="eastAsia" w:ascii="宋体" w:hAnsi="宋体" w:cs="宋体"/>
                <w:color w:val="auto"/>
                <w:szCs w:val="21"/>
                <w:highlight w:val="none"/>
              </w:rPr>
              <w:t>是否同意合同条款及合同附件格式</w:t>
            </w:r>
          </w:p>
        </w:tc>
        <w:tc>
          <w:tcPr>
            <w:tcW w:w="2952" w:type="dxa"/>
            <w:tcBorders>
              <w:top w:val="single" w:color="auto" w:sz="4" w:space="0"/>
              <w:left w:val="single" w:color="auto" w:sz="4" w:space="0"/>
              <w:bottom w:val="single" w:color="auto" w:sz="4" w:space="0"/>
              <w:right w:val="single" w:color="auto" w:sz="4" w:space="0"/>
            </w:tcBorders>
            <w:noWrap w:val="0"/>
            <w:vAlign w:val="center"/>
          </w:tcPr>
          <w:p w14:paraId="498789A9">
            <w:pPr>
              <w:jc w:val="center"/>
              <w:rPr>
                <w:color w:val="auto"/>
                <w:highlight w:val="none"/>
              </w:rPr>
            </w:pPr>
            <w:r>
              <w:rPr>
                <w:rFonts w:hint="eastAsia"/>
                <w:color w:val="auto"/>
                <w:highlight w:val="none"/>
              </w:rPr>
              <w:t>同意</w:t>
            </w:r>
          </w:p>
        </w:tc>
        <w:tc>
          <w:tcPr>
            <w:tcW w:w="1804" w:type="dxa"/>
            <w:tcBorders>
              <w:top w:val="single" w:color="auto" w:sz="4" w:space="0"/>
              <w:left w:val="single" w:color="auto" w:sz="4" w:space="0"/>
              <w:bottom w:val="single" w:color="auto" w:sz="4" w:space="0"/>
              <w:right w:val="single" w:color="auto" w:sz="4" w:space="0"/>
            </w:tcBorders>
            <w:noWrap w:val="0"/>
            <w:vAlign w:val="center"/>
          </w:tcPr>
          <w:p w14:paraId="446F7991">
            <w:pPr>
              <w:wordWrap w:val="0"/>
              <w:spacing w:line="0" w:lineRule="atLeast"/>
              <w:jc w:val="center"/>
              <w:rPr>
                <w:rFonts w:ascii="宋体" w:hAnsi="宋体" w:cs="宋体"/>
                <w:bCs/>
                <w:color w:val="auto"/>
                <w:szCs w:val="21"/>
                <w:highlight w:val="none"/>
              </w:rPr>
            </w:pPr>
          </w:p>
        </w:tc>
      </w:tr>
    </w:tbl>
    <w:p w14:paraId="181382DB">
      <w:pPr>
        <w:wordWrap w:val="0"/>
        <w:spacing w:line="0" w:lineRule="atLeast"/>
        <w:rPr>
          <w:rFonts w:hint="eastAsia" w:ascii="宋体" w:hAnsi="宋体" w:cs="宋体"/>
          <w:color w:val="auto"/>
          <w:szCs w:val="21"/>
          <w:highlight w:val="none"/>
        </w:rPr>
      </w:pPr>
    </w:p>
    <w:p w14:paraId="311C7C91">
      <w:pPr>
        <w:wordWrap w:val="0"/>
        <w:spacing w:line="0" w:lineRule="atLeast"/>
        <w:rPr>
          <w:rFonts w:ascii="宋体" w:hAnsi="宋体" w:cs="宋体"/>
          <w:color w:val="auto"/>
          <w:szCs w:val="21"/>
          <w:highlight w:val="none"/>
        </w:rPr>
      </w:pPr>
      <w:r>
        <w:rPr>
          <w:rFonts w:hint="eastAsia" w:ascii="宋体" w:hAnsi="宋体" w:cs="宋体"/>
          <w:color w:val="auto"/>
          <w:szCs w:val="21"/>
          <w:highlight w:val="none"/>
        </w:rPr>
        <w:t>注：本表每一栏须对第三部分“附表二”要求承诺的内容，按国家规定并结合评标办法作出报价承诺，否则视作不响应采购文件要求，其响应文件作无效响应处理。</w:t>
      </w:r>
    </w:p>
    <w:p w14:paraId="5BDEC40D">
      <w:pPr>
        <w:wordWrap w:val="0"/>
        <w:spacing w:line="360" w:lineRule="auto"/>
        <w:jc w:val="center"/>
        <w:rPr>
          <w:rFonts w:ascii="宋体" w:hAnsi="宋体" w:cs="宋体"/>
          <w:b/>
          <w:color w:val="auto"/>
          <w:sz w:val="32"/>
          <w:szCs w:val="32"/>
          <w:highlight w:val="none"/>
        </w:rPr>
      </w:pPr>
    </w:p>
    <w:p w14:paraId="2D930ADD">
      <w:pPr>
        <w:wordWrap w:val="0"/>
        <w:spacing w:line="360" w:lineRule="auto"/>
        <w:jc w:val="center"/>
        <w:rPr>
          <w:rFonts w:ascii="宋体" w:hAnsi="宋体" w:cs="宋体"/>
          <w:b/>
          <w:color w:val="auto"/>
          <w:sz w:val="32"/>
          <w:szCs w:val="32"/>
          <w:highlight w:val="none"/>
        </w:rPr>
      </w:pPr>
    </w:p>
    <w:p w14:paraId="4E6E0138">
      <w:pPr>
        <w:pStyle w:val="21"/>
        <w:wordWrap w:val="0"/>
        <w:ind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 应 商 单 位  （盖章）：            法定代表人或授权代表（签字或盖章）：</w:t>
      </w:r>
    </w:p>
    <w:p w14:paraId="4DE73AD0">
      <w:pPr>
        <w:pStyle w:val="21"/>
        <w:wordWrap w:val="0"/>
        <w:ind w:firstLine="0"/>
        <w:rPr>
          <w:rFonts w:ascii="宋体" w:hAnsi="宋体" w:eastAsia="宋体" w:cs="宋体"/>
          <w:color w:val="auto"/>
          <w:highlight w:val="none"/>
        </w:rPr>
      </w:pPr>
    </w:p>
    <w:p w14:paraId="4348BD3E">
      <w:pPr>
        <w:wordWrap w:val="0"/>
        <w:spacing w:line="360" w:lineRule="auto"/>
        <w:jc w:val="center"/>
        <w:rPr>
          <w:rFonts w:ascii="宋体" w:hAnsi="宋体" w:cs="宋体"/>
          <w:color w:val="auto"/>
          <w:sz w:val="24"/>
          <w:highlight w:val="none"/>
        </w:rPr>
        <w:sectPr>
          <w:footerReference r:id="rId12" w:type="default"/>
          <w:pgSz w:w="11907" w:h="16840"/>
          <w:pgMar w:top="1440" w:right="1701" w:bottom="1440" w:left="1701" w:header="720" w:footer="720" w:gutter="0"/>
          <w:cols w:space="720" w:num="1"/>
          <w:docGrid w:type="lines" w:linePitch="285" w:charSpace="0"/>
        </w:sectPr>
      </w:pPr>
      <w:r>
        <w:rPr>
          <w:rFonts w:hint="eastAsia" w:ascii="宋体" w:hAnsi="宋体" w:cs="宋体"/>
          <w:color w:val="auto"/>
          <w:highlight w:val="none"/>
        </w:rPr>
        <w:t xml:space="preserve">                                          日      期：     年   月   日</w:t>
      </w:r>
    </w:p>
    <w:p w14:paraId="54191B1B">
      <w:pPr>
        <w:pStyle w:val="21"/>
        <w:wordWrap w:val="0"/>
        <w:ind w:firstLine="0"/>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附件6</w:t>
      </w:r>
    </w:p>
    <w:p w14:paraId="0D99EF87">
      <w:pPr>
        <w:wordWrap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报价一览表</w:t>
      </w:r>
    </w:p>
    <w:p w14:paraId="41D3E2E6">
      <w:pPr>
        <w:pStyle w:val="21"/>
        <w:wordWrap w:val="0"/>
        <w:spacing w:line="320" w:lineRule="exact"/>
        <w:ind w:left="0" w:leftChars="0" w:right="-223" w:rightChars="-106" w:firstLine="0" w:firstLineChars="0"/>
        <w:jc w:val="left"/>
        <w:rPr>
          <w:rFonts w:ascii="宋体" w:hAnsi="宋体" w:eastAsia="宋体" w:cs="宋体"/>
          <w:color w:val="auto"/>
          <w:szCs w:val="24"/>
          <w:highlight w:val="none"/>
        </w:rPr>
      </w:pPr>
      <w:r>
        <w:rPr>
          <w:rFonts w:hint="eastAsia" w:ascii="宋体" w:hAnsi="宋体" w:eastAsia="宋体" w:cs="宋体"/>
          <w:color w:val="auto"/>
          <w:sz w:val="21"/>
          <w:szCs w:val="21"/>
          <w:highlight w:val="none"/>
        </w:rPr>
        <w:t>项目名称：</w:t>
      </w:r>
    </w:p>
    <w:p w14:paraId="31A547CE">
      <w:pPr>
        <w:wordWrap w:val="0"/>
        <w:rPr>
          <w:rFonts w:ascii="宋体" w:hAnsi="宋体" w:cs="宋体"/>
          <w:color w:val="auto"/>
          <w:highlight w:val="none"/>
        </w:rPr>
      </w:pPr>
      <w:r>
        <w:rPr>
          <w:rFonts w:hint="eastAsia" w:ascii="宋体" w:hAnsi="宋体" w:cs="宋体"/>
          <w:color w:val="auto"/>
          <w:highlight w:val="none"/>
        </w:rPr>
        <w:t>项目编号：</w:t>
      </w:r>
    </w:p>
    <w:tbl>
      <w:tblPr>
        <w:tblStyle w:val="51"/>
        <w:tblpPr w:leftFromText="180" w:rightFromText="180" w:vertAnchor="text" w:horzAnchor="margin" w:tblpXSpec="center" w:tblpY="7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636"/>
        <w:gridCol w:w="1662"/>
        <w:gridCol w:w="1559"/>
        <w:gridCol w:w="1559"/>
        <w:gridCol w:w="1554"/>
      </w:tblGrid>
      <w:tr w14:paraId="4A69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772" w:type="dxa"/>
            <w:noWrap w:val="0"/>
            <w:vAlign w:val="center"/>
          </w:tcPr>
          <w:p w14:paraId="6847F137">
            <w:pPr>
              <w:wordWrap w:val="0"/>
              <w:jc w:val="center"/>
              <w:rPr>
                <w:rFonts w:ascii="宋体" w:hAnsi="宋体" w:cs="宋体"/>
                <w:color w:val="auto"/>
                <w:szCs w:val="21"/>
                <w:highlight w:val="none"/>
              </w:rPr>
            </w:pPr>
            <w:r>
              <w:rPr>
                <w:rFonts w:hint="eastAsia" w:ascii="宋体" w:hAnsi="宋体" w:cs="宋体"/>
                <w:color w:val="auto"/>
                <w:szCs w:val="21"/>
                <w:highlight w:val="none"/>
              </w:rPr>
              <w:t>供应商</w:t>
            </w:r>
          </w:p>
        </w:tc>
        <w:tc>
          <w:tcPr>
            <w:tcW w:w="7970" w:type="dxa"/>
            <w:gridSpan w:val="5"/>
            <w:noWrap w:val="0"/>
            <w:vAlign w:val="center"/>
          </w:tcPr>
          <w:p w14:paraId="7558EED9">
            <w:pPr>
              <w:wordWrap w:val="0"/>
              <w:jc w:val="center"/>
              <w:rPr>
                <w:rFonts w:ascii="宋体" w:hAnsi="宋体" w:cs="宋体"/>
                <w:color w:val="auto"/>
                <w:szCs w:val="21"/>
                <w:highlight w:val="none"/>
              </w:rPr>
            </w:pPr>
          </w:p>
        </w:tc>
      </w:tr>
      <w:tr w14:paraId="61F7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772" w:type="dxa"/>
            <w:noWrap w:val="0"/>
            <w:vAlign w:val="center"/>
          </w:tcPr>
          <w:p w14:paraId="2103E18A">
            <w:pPr>
              <w:wordWrap w:val="0"/>
              <w:jc w:val="center"/>
              <w:rPr>
                <w:rFonts w:ascii="宋体" w:hAnsi="宋体" w:cs="宋体"/>
                <w:color w:val="auto"/>
                <w:szCs w:val="21"/>
                <w:highlight w:val="none"/>
              </w:rPr>
            </w:pPr>
            <w:r>
              <w:rPr>
                <w:rFonts w:hint="eastAsia" w:ascii="宋体" w:hAnsi="宋体" w:cs="宋体"/>
                <w:color w:val="auto"/>
                <w:szCs w:val="21"/>
                <w:highlight w:val="none"/>
              </w:rPr>
              <w:t>项目内容</w:t>
            </w:r>
          </w:p>
        </w:tc>
        <w:tc>
          <w:tcPr>
            <w:tcW w:w="1636" w:type="dxa"/>
            <w:noWrap w:val="0"/>
            <w:vAlign w:val="center"/>
          </w:tcPr>
          <w:p w14:paraId="7EE6C407">
            <w:pPr>
              <w:wordWrap w:val="0"/>
              <w:jc w:val="center"/>
              <w:rPr>
                <w:rFonts w:ascii="宋体" w:hAnsi="宋体" w:cs="宋体"/>
                <w:color w:val="auto"/>
                <w:szCs w:val="21"/>
                <w:highlight w:val="none"/>
              </w:rPr>
            </w:pPr>
            <w:r>
              <w:rPr>
                <w:rFonts w:hint="eastAsia" w:ascii="宋体" w:hAnsi="宋体" w:cs="宋体"/>
                <w:color w:val="auto"/>
                <w:szCs w:val="21"/>
                <w:highlight w:val="none"/>
              </w:rPr>
              <w:t>最高限价（元）</w:t>
            </w:r>
          </w:p>
        </w:tc>
        <w:tc>
          <w:tcPr>
            <w:tcW w:w="1662" w:type="dxa"/>
            <w:noWrap w:val="0"/>
            <w:vAlign w:val="center"/>
          </w:tcPr>
          <w:p w14:paraId="794B1626">
            <w:pPr>
              <w:wordWrap w:val="0"/>
              <w:jc w:val="center"/>
              <w:rPr>
                <w:rFonts w:ascii="宋体" w:hAnsi="宋体" w:cs="宋体"/>
                <w:color w:val="auto"/>
                <w:szCs w:val="21"/>
                <w:highlight w:val="none"/>
              </w:rPr>
            </w:pPr>
            <w:r>
              <w:rPr>
                <w:rFonts w:hint="eastAsia" w:ascii="宋体" w:hAnsi="宋体" w:cs="宋体"/>
                <w:color w:val="auto"/>
                <w:szCs w:val="21"/>
                <w:highlight w:val="none"/>
              </w:rPr>
              <w:t>工程暂估价（含暂定综合单价）、暂列金额及其他不可竞争费（元）</w:t>
            </w:r>
          </w:p>
        </w:tc>
        <w:tc>
          <w:tcPr>
            <w:tcW w:w="1559" w:type="dxa"/>
            <w:noWrap w:val="0"/>
            <w:vAlign w:val="center"/>
          </w:tcPr>
          <w:p w14:paraId="1F812D88">
            <w:pPr>
              <w:wordWrap w:val="0"/>
              <w:jc w:val="center"/>
              <w:rPr>
                <w:rFonts w:ascii="宋体" w:hAnsi="宋体" w:cs="宋体"/>
                <w:color w:val="auto"/>
                <w:szCs w:val="21"/>
                <w:highlight w:val="none"/>
              </w:rPr>
            </w:pPr>
            <w:r>
              <w:rPr>
                <w:rFonts w:hint="eastAsia" w:ascii="宋体" w:hAnsi="宋体" w:cs="宋体"/>
                <w:color w:val="auto"/>
                <w:szCs w:val="21"/>
                <w:highlight w:val="none"/>
              </w:rPr>
              <w:t>响应报价浮动率</w:t>
            </w:r>
          </w:p>
        </w:tc>
        <w:tc>
          <w:tcPr>
            <w:tcW w:w="1559" w:type="dxa"/>
            <w:noWrap w:val="0"/>
            <w:vAlign w:val="center"/>
          </w:tcPr>
          <w:p w14:paraId="01F86038">
            <w:pPr>
              <w:wordWrap w:val="0"/>
              <w:jc w:val="center"/>
              <w:rPr>
                <w:rFonts w:ascii="宋体" w:hAnsi="宋体" w:cs="宋体"/>
                <w:color w:val="auto"/>
                <w:szCs w:val="21"/>
                <w:highlight w:val="none"/>
              </w:rPr>
            </w:pPr>
            <w:r>
              <w:rPr>
                <w:rFonts w:hint="eastAsia" w:ascii="宋体" w:hAnsi="宋体" w:cs="宋体"/>
                <w:color w:val="auto"/>
                <w:szCs w:val="21"/>
                <w:highlight w:val="none"/>
              </w:rPr>
              <w:t>响应报价（元）</w:t>
            </w:r>
          </w:p>
        </w:tc>
        <w:tc>
          <w:tcPr>
            <w:tcW w:w="1554" w:type="dxa"/>
            <w:noWrap w:val="0"/>
            <w:vAlign w:val="center"/>
          </w:tcPr>
          <w:p w14:paraId="7438A528">
            <w:pPr>
              <w:wordWrap w:val="0"/>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2B08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772" w:type="dxa"/>
            <w:noWrap w:val="0"/>
            <w:vAlign w:val="center"/>
          </w:tcPr>
          <w:p w14:paraId="26E9E0E3">
            <w:pPr>
              <w:wordWrap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宁波老年大学整体修缮工程</w:t>
            </w:r>
          </w:p>
        </w:tc>
        <w:tc>
          <w:tcPr>
            <w:tcW w:w="1636" w:type="dxa"/>
            <w:noWrap w:val="0"/>
            <w:vAlign w:val="center"/>
          </w:tcPr>
          <w:p w14:paraId="43ED363B">
            <w:pPr>
              <w:wordWrap w:val="0"/>
              <w:jc w:val="center"/>
              <w:rPr>
                <w:rFonts w:hint="eastAsia" w:ascii="宋体" w:hAnsi="宋体" w:eastAsia="宋体" w:cs="宋体"/>
                <w:color w:val="auto"/>
                <w:szCs w:val="21"/>
                <w:highlight w:val="none"/>
                <w:lang w:eastAsia="zh-CN"/>
              </w:rPr>
            </w:pPr>
            <w:r>
              <w:rPr>
                <w:rFonts w:hint="eastAsia" w:ascii="宋体" w:hAnsi="宋体"/>
                <w:color w:val="auto"/>
                <w:szCs w:val="21"/>
                <w:highlight w:val="none"/>
                <w:lang w:val="en-US" w:eastAsia="zh-CN"/>
              </w:rPr>
              <w:t xml:space="preserve"> </w:t>
            </w:r>
          </w:p>
        </w:tc>
        <w:tc>
          <w:tcPr>
            <w:tcW w:w="1662" w:type="dxa"/>
            <w:noWrap w:val="0"/>
            <w:vAlign w:val="center"/>
          </w:tcPr>
          <w:p w14:paraId="5B7924F0">
            <w:pPr>
              <w:wordWrap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tc>
        <w:tc>
          <w:tcPr>
            <w:tcW w:w="1559" w:type="dxa"/>
            <w:noWrap w:val="0"/>
            <w:vAlign w:val="center"/>
          </w:tcPr>
          <w:p w14:paraId="1DAC2732">
            <w:pPr>
              <w:wordWrap w:val="0"/>
              <w:jc w:val="center"/>
              <w:rPr>
                <w:rFonts w:ascii="宋体" w:hAnsi="宋体" w:cs="宋体"/>
                <w:color w:val="auto"/>
                <w:szCs w:val="21"/>
                <w:highlight w:val="none"/>
              </w:rPr>
            </w:pPr>
            <w:r>
              <w:rPr>
                <w:rFonts w:hint="eastAsia" w:ascii="宋体" w:hAnsi="宋体" w:cs="宋体"/>
                <w:color w:val="auto"/>
                <w:szCs w:val="21"/>
                <w:highlight w:val="none"/>
                <w:u w:val="single"/>
              </w:rPr>
              <w:t>-    %</w:t>
            </w:r>
          </w:p>
        </w:tc>
        <w:tc>
          <w:tcPr>
            <w:tcW w:w="1559" w:type="dxa"/>
            <w:noWrap w:val="0"/>
            <w:vAlign w:val="center"/>
          </w:tcPr>
          <w:p w14:paraId="3A17FB6A">
            <w:pPr>
              <w:wordWrap w:val="0"/>
              <w:jc w:val="center"/>
              <w:rPr>
                <w:rFonts w:ascii="宋体" w:hAnsi="宋体" w:cs="宋体"/>
                <w:color w:val="auto"/>
                <w:szCs w:val="21"/>
                <w:highlight w:val="none"/>
              </w:rPr>
            </w:pPr>
          </w:p>
        </w:tc>
        <w:tc>
          <w:tcPr>
            <w:tcW w:w="1554" w:type="dxa"/>
            <w:noWrap w:val="0"/>
            <w:vAlign w:val="center"/>
          </w:tcPr>
          <w:p w14:paraId="2510469E">
            <w:pPr>
              <w:wordWrap w:val="0"/>
              <w:jc w:val="center"/>
              <w:rPr>
                <w:rFonts w:ascii="宋体" w:hAnsi="宋体" w:cs="宋体"/>
                <w:color w:val="auto"/>
                <w:szCs w:val="21"/>
                <w:highlight w:val="none"/>
              </w:rPr>
            </w:pPr>
          </w:p>
        </w:tc>
      </w:tr>
      <w:tr w14:paraId="0BBE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772" w:type="dxa"/>
            <w:noWrap w:val="0"/>
            <w:vAlign w:val="center"/>
          </w:tcPr>
          <w:p w14:paraId="64AAAFAE">
            <w:pPr>
              <w:wordWrap w:val="0"/>
              <w:jc w:val="center"/>
              <w:rPr>
                <w:rFonts w:ascii="宋体" w:hAnsi="宋体" w:cs="宋体"/>
                <w:color w:val="auto"/>
                <w:szCs w:val="21"/>
                <w:highlight w:val="none"/>
              </w:rPr>
            </w:pPr>
            <w:r>
              <w:rPr>
                <w:rFonts w:hint="eastAsia" w:ascii="宋体" w:hAnsi="宋体" w:cs="宋体"/>
                <w:color w:val="auto"/>
                <w:szCs w:val="21"/>
                <w:highlight w:val="none"/>
              </w:rPr>
              <w:t>响应报价（大写）</w:t>
            </w:r>
          </w:p>
        </w:tc>
        <w:tc>
          <w:tcPr>
            <w:tcW w:w="6416" w:type="dxa"/>
            <w:gridSpan w:val="4"/>
            <w:noWrap w:val="0"/>
            <w:vAlign w:val="center"/>
          </w:tcPr>
          <w:p w14:paraId="29B70099">
            <w:pPr>
              <w:wordWrap w:val="0"/>
              <w:jc w:val="center"/>
              <w:rPr>
                <w:rFonts w:ascii="宋体" w:hAnsi="宋体" w:cs="宋体"/>
                <w:color w:val="auto"/>
                <w:szCs w:val="21"/>
                <w:highlight w:val="none"/>
              </w:rPr>
            </w:pPr>
            <w:r>
              <w:rPr>
                <w:rFonts w:hint="eastAsia" w:ascii="宋体" w:hAnsi="宋体" w:cs="宋体"/>
                <w:color w:val="auto"/>
                <w:szCs w:val="21"/>
                <w:highlight w:val="none"/>
              </w:rPr>
              <w:t xml:space="preserve">                                        </w:t>
            </w:r>
          </w:p>
        </w:tc>
        <w:tc>
          <w:tcPr>
            <w:tcW w:w="1554" w:type="dxa"/>
            <w:noWrap w:val="0"/>
            <w:vAlign w:val="center"/>
          </w:tcPr>
          <w:p w14:paraId="6476C720">
            <w:pPr>
              <w:wordWrap w:val="0"/>
              <w:jc w:val="center"/>
              <w:rPr>
                <w:rFonts w:ascii="宋体" w:hAnsi="宋体" w:cs="宋体"/>
                <w:color w:val="auto"/>
                <w:szCs w:val="21"/>
                <w:highlight w:val="none"/>
              </w:rPr>
            </w:pPr>
          </w:p>
        </w:tc>
      </w:tr>
      <w:tr w14:paraId="2E00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742" w:type="dxa"/>
            <w:gridSpan w:val="6"/>
            <w:noWrap w:val="0"/>
            <w:vAlign w:val="center"/>
          </w:tcPr>
          <w:p w14:paraId="445B7DD4">
            <w:pPr>
              <w:wordWrap w:val="0"/>
              <w:rPr>
                <w:rFonts w:ascii="宋体" w:hAnsi="宋体" w:cs="宋体"/>
                <w:color w:val="auto"/>
                <w:szCs w:val="21"/>
                <w:highlight w:val="none"/>
              </w:rPr>
            </w:pPr>
            <w:r>
              <w:rPr>
                <w:rFonts w:hint="eastAsia" w:ascii="宋体" w:hAnsi="宋体" w:cs="宋体"/>
                <w:color w:val="auto"/>
                <w:szCs w:val="21"/>
                <w:highlight w:val="none"/>
              </w:rPr>
              <w:t>响应报价=（最高限价-工程暂估价（含暂定综合单价）、暂列金额及其他不可竞争费总和）×（1+响应报价浮动率）+工程暂估价（含暂定综合单价）、暂列金额及其他不可竞争费总和</w:t>
            </w:r>
          </w:p>
        </w:tc>
      </w:tr>
    </w:tbl>
    <w:p w14:paraId="36132E30">
      <w:pPr>
        <w:wordWrap w:val="0"/>
        <w:rPr>
          <w:rFonts w:ascii="宋体" w:hAnsi="宋体" w:cs="宋体"/>
          <w:color w:val="auto"/>
          <w:highlight w:val="none"/>
        </w:rPr>
      </w:pPr>
      <w:r>
        <w:rPr>
          <w:rFonts w:hint="eastAsia" w:ascii="宋体" w:hAnsi="宋体" w:cs="宋体"/>
          <w:color w:val="auto"/>
          <w:highlight w:val="none"/>
        </w:rPr>
        <w:t>备注：1、若供应商尚有其它内容需名列的，请按此表格式拓展。</w:t>
      </w:r>
    </w:p>
    <w:p w14:paraId="38ADC262">
      <w:pPr>
        <w:wordWrap w:val="0"/>
        <w:ind w:firstLine="630" w:firstLineChars="300"/>
        <w:rPr>
          <w:rFonts w:ascii="宋体" w:hAnsi="宋体" w:cs="宋体"/>
          <w:color w:val="auto"/>
          <w:szCs w:val="24"/>
          <w:highlight w:val="none"/>
        </w:rPr>
      </w:pPr>
      <w:r>
        <w:rPr>
          <w:rFonts w:hint="eastAsia" w:ascii="宋体" w:hAnsi="宋体" w:cs="宋体"/>
          <w:b w:val="0"/>
          <w:bCs w:val="0"/>
          <w:color w:val="auto"/>
          <w:szCs w:val="24"/>
          <w:highlight w:val="none"/>
        </w:rPr>
        <w:t>2、浮动率以%表示，保留小数点后两位，如未按此要求保留小数点的须按此规定进行修正；浮动率填写错误的以磋商报价大写金额调整浮动率，供应商拒绝修正的按照无效响应处理。</w:t>
      </w:r>
    </w:p>
    <w:p w14:paraId="7F4FAC6A">
      <w:pPr>
        <w:wordWrap w:val="0"/>
        <w:rPr>
          <w:rFonts w:ascii="宋体" w:hAnsi="宋体" w:cs="宋体"/>
          <w:color w:val="auto"/>
          <w:highlight w:val="none"/>
        </w:rPr>
      </w:pPr>
      <w:r>
        <w:rPr>
          <w:rFonts w:hint="eastAsia" w:ascii="宋体" w:hAnsi="宋体" w:cs="宋体"/>
          <w:color w:val="auto"/>
          <w:sz w:val="18"/>
          <w:szCs w:val="18"/>
          <w:highlight w:val="none"/>
        </w:rPr>
        <w:t xml:space="preserve"> </w:t>
      </w:r>
      <w:r>
        <w:rPr>
          <w:rFonts w:hint="eastAsia" w:ascii="宋体" w:hAnsi="宋体" w:cs="宋体"/>
          <w:color w:val="auto"/>
          <w:szCs w:val="21"/>
          <w:highlight w:val="none"/>
        </w:rPr>
        <w:t xml:space="preserve">    </w:t>
      </w:r>
    </w:p>
    <w:p w14:paraId="419F9D7E">
      <w:pPr>
        <w:wordWrap w:val="0"/>
        <w:spacing w:line="360" w:lineRule="auto"/>
        <w:jc w:val="center"/>
        <w:rPr>
          <w:rFonts w:hint="eastAsia" w:ascii="宋体" w:hAnsi="宋体" w:cs="宋体"/>
          <w:color w:val="auto"/>
          <w:highlight w:val="none"/>
        </w:rPr>
      </w:pPr>
    </w:p>
    <w:p w14:paraId="551D9FAD">
      <w:pPr>
        <w:wordWrap w:val="0"/>
        <w:spacing w:line="360" w:lineRule="auto"/>
        <w:jc w:val="center"/>
        <w:rPr>
          <w:rFonts w:hint="eastAsia" w:ascii="宋体" w:hAnsi="宋体" w:cs="宋体"/>
          <w:color w:val="auto"/>
          <w:highlight w:val="none"/>
        </w:rPr>
      </w:pPr>
    </w:p>
    <w:p w14:paraId="7D6AA5E2">
      <w:pPr>
        <w:wordWrap w:val="0"/>
        <w:spacing w:line="360" w:lineRule="auto"/>
        <w:jc w:val="center"/>
        <w:rPr>
          <w:rFonts w:hint="eastAsia" w:ascii="宋体" w:hAnsi="宋体" w:cs="宋体"/>
          <w:color w:val="auto"/>
          <w:highlight w:val="none"/>
        </w:rPr>
      </w:pPr>
    </w:p>
    <w:p w14:paraId="7BCB4A7E">
      <w:pPr>
        <w:wordWrap w:val="0"/>
        <w:spacing w:line="360" w:lineRule="auto"/>
        <w:jc w:val="center"/>
        <w:rPr>
          <w:rFonts w:ascii="宋体" w:hAnsi="宋体" w:cs="宋体"/>
          <w:color w:val="auto"/>
          <w:highlight w:val="none"/>
        </w:rPr>
      </w:pPr>
      <w:r>
        <w:rPr>
          <w:rFonts w:hint="eastAsia" w:ascii="宋体" w:hAnsi="宋体" w:cs="宋体"/>
          <w:color w:val="auto"/>
          <w:highlight w:val="none"/>
        </w:rPr>
        <w:t>供 应 商 单 位  （盖章）：            法定代表人或授权代表（签字或盖章）：</w:t>
      </w:r>
    </w:p>
    <w:p w14:paraId="33C51345">
      <w:pPr>
        <w:wordWrap w:val="0"/>
        <w:spacing w:line="360" w:lineRule="auto"/>
        <w:jc w:val="center"/>
        <w:rPr>
          <w:rFonts w:ascii="宋体" w:hAnsi="宋体" w:cs="宋体"/>
          <w:color w:val="auto"/>
          <w:highlight w:val="none"/>
        </w:rPr>
      </w:pPr>
      <w:r>
        <w:rPr>
          <w:rFonts w:hint="eastAsia" w:ascii="宋体" w:hAnsi="宋体" w:cs="宋体"/>
          <w:color w:val="auto"/>
          <w:highlight w:val="none"/>
        </w:rPr>
        <w:t xml:space="preserve">                                          日      期：     年   月   日</w:t>
      </w:r>
    </w:p>
    <w:p w14:paraId="31EF4E5D">
      <w:pPr>
        <w:pStyle w:val="20"/>
        <w:wordWrap w:val="0"/>
        <w:rPr>
          <w:color w:val="auto"/>
          <w:highlight w:val="none"/>
        </w:rPr>
        <w:sectPr>
          <w:footerReference r:id="rId13" w:type="default"/>
          <w:pgSz w:w="11907" w:h="16840"/>
          <w:pgMar w:top="1440" w:right="1701" w:bottom="1440" w:left="1701" w:header="720" w:footer="720" w:gutter="0"/>
          <w:cols w:space="720" w:num="1"/>
          <w:docGrid w:type="lines" w:linePitch="285" w:charSpace="0"/>
        </w:sectPr>
      </w:pPr>
    </w:p>
    <w:p w14:paraId="652FF183">
      <w:pPr>
        <w:pStyle w:val="21"/>
        <w:wordWrap w:val="0"/>
        <w:ind w:firstLine="0"/>
        <w:jc w:val="left"/>
        <w:rPr>
          <w:rFonts w:ascii="宋体" w:hAnsi="宋体" w:eastAsia="宋体" w:cs="宋体"/>
          <w:b/>
          <w:color w:val="auto"/>
          <w:sz w:val="28"/>
          <w:szCs w:val="22"/>
          <w:highlight w:val="none"/>
        </w:rPr>
      </w:pPr>
      <w:r>
        <w:rPr>
          <w:rFonts w:hint="eastAsia" w:ascii="宋体" w:hAnsi="宋体" w:eastAsia="宋体" w:cs="宋体"/>
          <w:bCs/>
          <w:color w:val="auto"/>
          <w:sz w:val="21"/>
          <w:szCs w:val="21"/>
          <w:highlight w:val="none"/>
        </w:rPr>
        <w:t>附件7</w:t>
      </w:r>
    </w:p>
    <w:p w14:paraId="56704048">
      <w:pPr>
        <w:pStyle w:val="21"/>
        <w:wordWrap w:val="0"/>
        <w:ind w:firstLine="0"/>
        <w:jc w:val="center"/>
        <w:rPr>
          <w:rFonts w:ascii="宋体" w:hAnsi="宋体" w:eastAsia="宋体" w:cs="宋体"/>
          <w:b/>
          <w:color w:val="auto"/>
          <w:sz w:val="28"/>
          <w:szCs w:val="22"/>
          <w:highlight w:val="none"/>
        </w:rPr>
      </w:pPr>
      <w:bookmarkStart w:id="125" w:name="_Toc405531886"/>
      <w:bookmarkStart w:id="126" w:name="_Toc405388967"/>
    </w:p>
    <w:p w14:paraId="0C127204">
      <w:pPr>
        <w:wordWrap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磋商控制价预算书确认单</w:t>
      </w:r>
    </w:p>
    <w:p w14:paraId="4FE0D45F">
      <w:pPr>
        <w:tabs>
          <w:tab w:val="left" w:pos="0"/>
        </w:tabs>
        <w:wordWrap w:val="0"/>
        <w:ind w:firstLine="420"/>
        <w:rPr>
          <w:rFonts w:ascii="宋体" w:hAnsi="宋体" w:cs="宋体"/>
          <w:color w:val="auto"/>
          <w:szCs w:val="21"/>
          <w:highlight w:val="none"/>
        </w:rPr>
      </w:pPr>
    </w:p>
    <w:p w14:paraId="4E231FB3">
      <w:pPr>
        <w:tabs>
          <w:tab w:val="left" w:pos="0"/>
        </w:tabs>
        <w:wordWrap w:val="0"/>
        <w:spacing w:line="480" w:lineRule="auto"/>
        <w:ind w:firstLine="420"/>
        <w:rPr>
          <w:rFonts w:ascii="宋体" w:hAnsi="宋体" w:cs="宋体"/>
          <w:color w:val="auto"/>
          <w:szCs w:val="21"/>
          <w:highlight w:val="none"/>
        </w:rPr>
      </w:pPr>
    </w:p>
    <w:p w14:paraId="5A98230A">
      <w:pPr>
        <w:tabs>
          <w:tab w:val="left" w:pos="0"/>
        </w:tabs>
        <w:wordWrap w:val="0"/>
        <w:spacing w:line="480" w:lineRule="auto"/>
        <w:ind w:firstLine="420"/>
        <w:rPr>
          <w:rFonts w:hint="eastAsia" w:ascii="宋体" w:hAnsi="宋体" w:cs="宋体"/>
          <w:color w:val="auto"/>
          <w:szCs w:val="21"/>
          <w:highlight w:val="none"/>
        </w:rPr>
      </w:pPr>
      <w:r>
        <w:rPr>
          <w:rFonts w:hint="eastAsia" w:ascii="宋体" w:hAnsi="宋体" w:cs="宋体"/>
          <w:color w:val="auto"/>
          <w:szCs w:val="21"/>
          <w:highlight w:val="none"/>
        </w:rPr>
        <w:t>经核算，本单位对采购人提供的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（项目编号：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rPr>
        <w:t>的《工程造价咨询报告书》（控制价）内容予以认可，承诺以响应报价浮动率浮动后的报价作为合同总价【即，（最高限价-工程暂估价（含暂定综合单价）、暂列金额及其他不可竞争费总和）×（1+响应报价浮动率）+工程暂估价（含暂定综合单价）、暂列金额及其他不可竞争费总和】，并按采购文件约定的合同条款与采购人签订施工承包合同。</w:t>
      </w:r>
    </w:p>
    <w:p w14:paraId="6EF4AD0C">
      <w:pPr>
        <w:pStyle w:val="67"/>
        <w:ind w:firstLine="420"/>
        <w:rPr>
          <w:rFonts w:hint="eastAsia"/>
          <w:color w:val="auto"/>
          <w:highlight w:val="none"/>
        </w:rPr>
      </w:pPr>
    </w:p>
    <w:p w14:paraId="6DAC16B2">
      <w:pPr>
        <w:pStyle w:val="67"/>
        <w:ind w:firstLine="420"/>
        <w:rPr>
          <w:rFonts w:hint="eastAsia"/>
          <w:color w:val="auto"/>
          <w:highlight w:val="none"/>
        </w:rPr>
      </w:pPr>
    </w:p>
    <w:p w14:paraId="36E8602C">
      <w:pPr>
        <w:pStyle w:val="67"/>
        <w:ind w:firstLine="422"/>
        <w:rPr>
          <w:b/>
          <w:color w:val="auto"/>
          <w:highlight w:val="none"/>
          <w:lang w:val="en-US"/>
        </w:rPr>
      </w:pPr>
      <w:r>
        <w:rPr>
          <w:rFonts w:hint="eastAsia"/>
          <w:b/>
          <w:color w:val="auto"/>
          <w:highlight w:val="none"/>
        </w:rPr>
        <w:t>注：后附采购人提供的预算书，并逐页加盖企业公章</w:t>
      </w:r>
    </w:p>
    <w:p w14:paraId="7289236A">
      <w:pPr>
        <w:tabs>
          <w:tab w:val="left" w:pos="0"/>
        </w:tabs>
        <w:wordWrap w:val="0"/>
        <w:spacing w:line="480" w:lineRule="auto"/>
        <w:ind w:firstLine="420"/>
        <w:rPr>
          <w:rFonts w:ascii="宋体" w:hAnsi="宋体" w:cs="宋体"/>
          <w:color w:val="auto"/>
          <w:szCs w:val="21"/>
          <w:highlight w:val="none"/>
        </w:rPr>
      </w:pPr>
    </w:p>
    <w:p w14:paraId="440988CB">
      <w:pPr>
        <w:tabs>
          <w:tab w:val="left" w:pos="0"/>
        </w:tabs>
        <w:wordWrap w:val="0"/>
        <w:spacing w:line="480" w:lineRule="auto"/>
        <w:ind w:firstLine="420"/>
        <w:rPr>
          <w:rFonts w:ascii="宋体" w:hAnsi="宋体" w:cs="宋体"/>
          <w:color w:val="auto"/>
          <w:szCs w:val="21"/>
          <w:highlight w:val="none"/>
        </w:rPr>
      </w:pPr>
    </w:p>
    <w:p w14:paraId="13534932">
      <w:pPr>
        <w:tabs>
          <w:tab w:val="left" w:pos="0"/>
        </w:tabs>
        <w:wordWrap w:val="0"/>
        <w:spacing w:line="480" w:lineRule="auto"/>
        <w:ind w:firstLine="420"/>
        <w:rPr>
          <w:rFonts w:ascii="宋体" w:hAnsi="宋体" w:cs="宋体"/>
          <w:color w:val="auto"/>
          <w:szCs w:val="21"/>
          <w:highlight w:val="none"/>
        </w:rPr>
      </w:pPr>
    </w:p>
    <w:p w14:paraId="4AB7C36B">
      <w:pPr>
        <w:wordWrap w:val="0"/>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14:paraId="65E1183D">
      <w:pPr>
        <w:wordWrap w:val="0"/>
        <w:spacing w:line="480" w:lineRule="auto"/>
        <w:ind w:firstLine="420" w:firstLineChars="200"/>
        <w:rPr>
          <w:rFonts w:ascii="宋体" w:hAnsi="宋体" w:cs="宋体"/>
          <w:color w:val="auto"/>
          <w:szCs w:val="21"/>
          <w:highlight w:val="none"/>
        </w:rPr>
      </w:pPr>
    </w:p>
    <w:p w14:paraId="251CB69F">
      <w:pPr>
        <w:wordWrap w:val="0"/>
        <w:rPr>
          <w:rFonts w:ascii="宋体" w:hAnsi="宋体" w:cs="宋体"/>
          <w:color w:val="auto"/>
          <w:szCs w:val="21"/>
          <w:highlight w:val="none"/>
        </w:rPr>
      </w:pPr>
      <w:r>
        <w:rPr>
          <w:rFonts w:hint="eastAsia" w:ascii="宋体" w:hAnsi="宋体" w:cs="宋体"/>
          <w:color w:val="auto"/>
          <w:szCs w:val="21"/>
          <w:highlight w:val="none"/>
        </w:rPr>
        <w:t xml:space="preserve">供 应 商 单 位  （盖章）：                 </w:t>
      </w:r>
      <w:r>
        <w:rPr>
          <w:rFonts w:hint="eastAsia" w:ascii="宋体" w:hAnsi="宋体" w:cs="宋体"/>
          <w:color w:val="auto"/>
          <w:highlight w:val="none"/>
        </w:rPr>
        <w:t>法定代表人或授权代表（签字或盖章）：</w:t>
      </w:r>
      <w:r>
        <w:rPr>
          <w:rFonts w:hint="eastAsia" w:ascii="宋体" w:hAnsi="宋体" w:cs="宋体"/>
          <w:color w:val="auto"/>
          <w:szCs w:val="21"/>
          <w:highlight w:val="none"/>
        </w:rPr>
        <w:t xml:space="preserve">       </w:t>
      </w:r>
    </w:p>
    <w:p w14:paraId="162954F2">
      <w:pPr>
        <w:wordWrap w:val="0"/>
        <w:rPr>
          <w:rFonts w:ascii="宋体" w:hAnsi="宋体" w:cs="宋体"/>
          <w:color w:val="auto"/>
          <w:szCs w:val="21"/>
          <w:highlight w:val="none"/>
        </w:rPr>
      </w:pPr>
    </w:p>
    <w:p w14:paraId="418FA960">
      <w:pPr>
        <w:wordWrap w:val="0"/>
        <w:rPr>
          <w:rFonts w:ascii="宋体" w:hAnsi="宋体" w:cs="宋体"/>
          <w:b/>
          <w:color w:val="auto"/>
          <w:sz w:val="32"/>
          <w:szCs w:val="32"/>
          <w:highlight w:val="none"/>
        </w:rPr>
      </w:pPr>
      <w:r>
        <w:rPr>
          <w:rFonts w:hint="eastAsia" w:ascii="宋体" w:hAnsi="宋体" w:cs="宋体"/>
          <w:color w:val="auto"/>
          <w:szCs w:val="21"/>
          <w:highlight w:val="none"/>
        </w:rPr>
        <w:t xml:space="preserve">                                            日    期：    年    月    日</w:t>
      </w:r>
      <w:r>
        <w:rPr>
          <w:rFonts w:hint="eastAsia" w:ascii="宋体" w:hAnsi="宋体" w:cs="宋体"/>
          <w:b/>
          <w:color w:val="auto"/>
          <w:sz w:val="32"/>
          <w:szCs w:val="32"/>
          <w:highlight w:val="none"/>
        </w:rPr>
        <w:t xml:space="preserve"> </w:t>
      </w:r>
    </w:p>
    <w:p w14:paraId="14DAC752">
      <w:pPr>
        <w:wordWrap w:val="0"/>
        <w:spacing w:line="360" w:lineRule="auto"/>
        <w:ind w:right="420"/>
        <w:rPr>
          <w:rFonts w:ascii="宋体" w:hAnsi="宋体" w:cs="宋体"/>
          <w:color w:val="auto"/>
          <w:spacing w:val="6"/>
          <w:sz w:val="30"/>
          <w:szCs w:val="30"/>
          <w:highlight w:val="none"/>
        </w:rPr>
      </w:pPr>
      <w:r>
        <w:rPr>
          <w:rFonts w:ascii="宋体"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3" name="文本框 15"/>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569616F1">
                            <w:pPr>
                              <w:rPr>
                                <w:rFonts w:ascii="仿宋_GB2312" w:hAnsi="楷体" w:eastAsia="仿宋_GB2312"/>
                              </w:rPr>
                            </w:pPr>
                          </w:p>
                        </w:txbxContent>
                      </wps:txbx>
                      <wps:bodyPr upright="1"/>
                    </wps:wsp>
                  </a:graphicData>
                </a:graphic>
              </wp:anchor>
            </w:drawing>
          </mc:Choice>
          <mc:Fallback>
            <w:pict>
              <v:shape id="文本框 15" o:spid="_x0000_s1026" o:spt="202" type="#_x0000_t202" style="position:absolute;left:0pt;margin-left:414pt;margin-top:4.2pt;height:23.4pt;width:54pt;z-index:251661312;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IVkD51gAA&#10;AAgBAAAPAAAAAAAAAAEAIAAAACIAAABkcnMvZG93bnJldi54bWxQSwECFAAUAAAACACHTuJAddfQ&#10;/K4BAABOAwAADgAAAAAAAAABACAAAAAlAQAAZHJzL2Uyb0RvYy54bWxQSwUGAAAAAAYABgBZAQAA&#10;RQUAAAAA&#10;">
                <v:fill on="f" focussize="0,0"/>
                <v:stroke on="f"/>
                <v:imagedata o:title=""/>
                <o:lock v:ext="edit" aspectratio="f"/>
                <v:textbox>
                  <w:txbxContent>
                    <w:p w14:paraId="569616F1">
                      <w:pPr>
                        <w:rPr>
                          <w:rFonts w:ascii="仿宋_GB2312" w:hAnsi="楷体" w:eastAsia="仿宋_GB2312"/>
                        </w:rPr>
                      </w:pPr>
                    </w:p>
                  </w:txbxContent>
                </v:textbox>
              </v:shape>
            </w:pict>
          </mc:Fallback>
        </mc:AlternateContent>
      </w:r>
      <w:bookmarkStart w:id="127" w:name="_Toc312164558"/>
      <w:bookmarkStart w:id="128" w:name="_Toc221445485"/>
      <w:bookmarkStart w:id="129" w:name="_Toc249339092"/>
      <w:bookmarkStart w:id="130" w:name="_Toc222020819"/>
      <w:bookmarkStart w:id="131" w:name="_Toc327188332"/>
      <w:bookmarkStart w:id="132" w:name="_Toc238368970"/>
      <w:bookmarkStart w:id="133" w:name="_Toc327189660"/>
      <w:bookmarkStart w:id="134" w:name="_Toc311729787"/>
      <w:bookmarkStart w:id="135" w:name="_Toc251668776"/>
      <w:r>
        <w:rPr>
          <w:rFonts w:ascii="宋体" w:hAnsi="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2" name="文本框 16"/>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30540735">
                            <w:pPr>
                              <w:rPr>
                                <w:rFonts w:ascii="仿宋_GB2312" w:hAnsi="楷体" w:eastAsia="仿宋_GB2312"/>
                              </w:rPr>
                            </w:pPr>
                          </w:p>
                        </w:txbxContent>
                      </wps:txbx>
                      <wps:bodyPr upright="1"/>
                    </wps:wsp>
                  </a:graphicData>
                </a:graphic>
              </wp:anchor>
            </w:drawing>
          </mc:Choice>
          <mc:Fallback>
            <w:pict>
              <v:shape id="文本框 16" o:spid="_x0000_s1026" o:spt="202" type="#_x0000_t202" style="position:absolute;left:0pt;margin-left:414pt;margin-top:4.2pt;height:23.4pt;width:54pt;z-index:251660288;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hWQPnWAAAA&#10;CAEAAA8AAAAAAAAAAQAgAAAAIgAAAGRycy9kb3ducmV2LnhtbFBLAQIUABQAAAAIAIdO4kBzS98o&#10;rQEAAE4DAAAOAAAAAAAAAAEAIAAAACUBAABkcnMvZTJvRG9jLnhtbFBLBQYAAAAABgAGAFkBAABE&#10;BQAAAAA=&#10;">
                <v:fill on="f" focussize="0,0"/>
                <v:stroke on="f"/>
                <v:imagedata o:title=""/>
                <o:lock v:ext="edit" aspectratio="f"/>
                <v:textbox>
                  <w:txbxContent>
                    <w:p w14:paraId="30540735">
                      <w:pPr>
                        <w:rPr>
                          <w:rFonts w:ascii="仿宋_GB2312" w:hAnsi="楷体" w:eastAsia="仿宋_GB2312"/>
                        </w:rPr>
                      </w:pPr>
                    </w:p>
                  </w:txbxContent>
                </v:textbox>
              </v:shape>
            </w:pict>
          </mc:Fallback>
        </mc:AlternateContent>
      </w:r>
      <w:bookmarkEnd w:id="127"/>
      <w:bookmarkEnd w:id="128"/>
      <w:bookmarkEnd w:id="129"/>
      <w:bookmarkEnd w:id="130"/>
      <w:bookmarkEnd w:id="131"/>
      <w:bookmarkEnd w:id="132"/>
      <w:bookmarkEnd w:id="133"/>
      <w:bookmarkEnd w:id="134"/>
      <w:bookmarkEnd w:id="135"/>
      <w:bookmarkStart w:id="136" w:name="_Toc498589610"/>
      <w:r>
        <w:rPr>
          <w:rFonts w:ascii="宋体" w:hAnsi="宋体" w:cs="宋体"/>
          <w:b/>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5257800</wp:posOffset>
                </wp:positionH>
                <wp:positionV relativeFrom="paragraph">
                  <wp:posOffset>1633855</wp:posOffset>
                </wp:positionV>
                <wp:extent cx="800100" cy="297180"/>
                <wp:effectExtent l="0" t="0" r="0" b="0"/>
                <wp:wrapNone/>
                <wp:docPr id="1" name="文本框 17"/>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449C3416">
                            <w:pPr>
                              <w:rPr>
                                <w:rFonts w:ascii="仿宋_GB2312" w:hAnsi="楷体" w:eastAsia="仿宋_GB2312"/>
                              </w:rPr>
                            </w:pPr>
                          </w:p>
                        </w:txbxContent>
                      </wps:txbx>
                      <wps:bodyPr upright="1"/>
                    </wps:wsp>
                  </a:graphicData>
                </a:graphic>
              </wp:anchor>
            </w:drawing>
          </mc:Choice>
          <mc:Fallback>
            <w:pict>
              <v:shape id="文本框 17" o:spid="_x0000_s1026" o:spt="202" type="#_x0000_t202" style="position:absolute;left:0pt;margin-left:414pt;margin-top:128.65pt;height:23.4pt;width:63pt;z-index:251659264;mso-width-relative:page;mso-height-relative:page;" filled="f" stroked="f" coordsize="21600,21600" o:gfxdata="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UmTY12QAA&#10;AAsBAAAPAAAAAAAAAAEAIAAAACIAAABkcnMvZG93bnJldi54bWxQSwECFAAUAAAACACHTuJAjwOu&#10;46sBAABOAwAADgAAAAAAAAABACAAAAAoAQAAZHJzL2Uyb0RvYy54bWxQSwUGAAAAAAYABgBZAQAA&#10;RQUAAAAA&#10;">
                <v:fill on="f" focussize="0,0"/>
                <v:stroke on="f"/>
                <v:imagedata o:title=""/>
                <o:lock v:ext="edit" aspectratio="f"/>
                <v:textbox>
                  <w:txbxContent>
                    <w:p w14:paraId="449C3416">
                      <w:pPr>
                        <w:rPr>
                          <w:rFonts w:ascii="仿宋_GB2312" w:hAnsi="楷体" w:eastAsia="仿宋_GB2312"/>
                        </w:rPr>
                      </w:pPr>
                    </w:p>
                  </w:txbxContent>
                </v:textbox>
              </v:shape>
            </w:pict>
          </mc:Fallback>
        </mc:AlternateContent>
      </w:r>
      <w:bookmarkEnd w:id="125"/>
      <w:bookmarkEnd w:id="126"/>
      <w:bookmarkEnd w:id="136"/>
    </w:p>
    <w:p w14:paraId="4410B075">
      <w:pPr>
        <w:wordWrap w:val="0"/>
        <w:rPr>
          <w:rFonts w:ascii="宋体" w:hAnsi="宋体" w:cs="宋体"/>
          <w:color w:val="auto"/>
          <w:sz w:val="24"/>
          <w:szCs w:val="24"/>
          <w:highlight w:val="none"/>
        </w:rPr>
      </w:pPr>
      <w:bookmarkStart w:id="137" w:name="_Toc498589611"/>
      <w:r>
        <w:rPr>
          <w:rFonts w:hint="eastAsia" w:ascii="宋体" w:hAnsi="宋体" w:cs="宋体"/>
          <w:color w:val="auto"/>
          <w:szCs w:val="21"/>
          <w:highlight w:val="none"/>
        </w:rPr>
        <w:br w:type="page"/>
      </w:r>
      <w:r>
        <w:rPr>
          <w:rFonts w:hint="eastAsia" w:ascii="宋体" w:hAnsi="宋体" w:cs="宋体"/>
          <w:color w:val="auto"/>
          <w:szCs w:val="21"/>
          <w:highlight w:val="none"/>
        </w:rPr>
        <w:t>附件</w:t>
      </w:r>
      <w:bookmarkEnd w:id="137"/>
      <w:r>
        <w:rPr>
          <w:rFonts w:hint="eastAsia" w:ascii="宋体" w:hAnsi="宋体" w:cs="宋体"/>
          <w:color w:val="auto"/>
          <w:szCs w:val="21"/>
          <w:highlight w:val="none"/>
        </w:rPr>
        <w:t>8</w:t>
      </w:r>
      <w:r>
        <w:rPr>
          <w:rFonts w:hint="eastAsia" w:ascii="宋体" w:hAnsi="宋体" w:cs="宋体"/>
          <w:color w:val="auto"/>
          <w:sz w:val="24"/>
          <w:szCs w:val="24"/>
          <w:highlight w:val="none"/>
        </w:rPr>
        <w:t xml:space="preserve"> </w:t>
      </w:r>
      <w:bookmarkStart w:id="138" w:name="_Toc396327658"/>
      <w:bookmarkStart w:id="139" w:name="_Toc405531888"/>
      <w:bookmarkStart w:id="140" w:name="_Toc405388969"/>
    </w:p>
    <w:p w14:paraId="123FCD79">
      <w:pPr>
        <w:wordWrap w:val="0"/>
        <w:spacing w:line="360" w:lineRule="auto"/>
        <w:jc w:val="center"/>
        <w:rPr>
          <w:rFonts w:hint="eastAsia" w:ascii="宋体" w:hAnsi="宋体" w:eastAsia="宋体" w:cs="宋体"/>
          <w:b/>
          <w:color w:val="auto"/>
          <w:sz w:val="32"/>
          <w:szCs w:val="32"/>
          <w:highlight w:val="none"/>
        </w:rPr>
      </w:pPr>
      <w:bookmarkStart w:id="141" w:name="_Toc498589612"/>
      <w:r>
        <w:rPr>
          <w:rFonts w:hint="eastAsia" w:ascii="宋体" w:hAnsi="宋体" w:eastAsia="宋体" w:cs="宋体"/>
          <w:b/>
          <w:color w:val="auto"/>
          <w:sz w:val="32"/>
          <w:szCs w:val="32"/>
          <w:highlight w:val="none"/>
        </w:rPr>
        <w:t>项目管理机构</w:t>
      </w:r>
      <w:bookmarkEnd w:id="138"/>
      <w:bookmarkEnd w:id="139"/>
      <w:bookmarkEnd w:id="140"/>
      <w:bookmarkEnd w:id="141"/>
    </w:p>
    <w:p w14:paraId="7479CAD4">
      <w:pPr>
        <w:wordWrap w:val="0"/>
        <w:jc w:val="center"/>
        <w:rPr>
          <w:rFonts w:ascii="宋体" w:hAnsi="宋体" w:cs="宋体"/>
          <w:b/>
          <w:color w:val="auto"/>
          <w:sz w:val="27"/>
          <w:highlight w:val="none"/>
        </w:rPr>
      </w:pPr>
      <w:r>
        <w:rPr>
          <w:rFonts w:hint="eastAsia" w:ascii="宋体" w:hAnsi="宋体" w:cs="宋体"/>
          <w:b/>
          <w:color w:val="auto"/>
          <w:sz w:val="27"/>
          <w:highlight w:val="none"/>
        </w:rPr>
        <w:t>（1）拟派往本项目的管理机构人员组成表</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2"/>
        <w:gridCol w:w="905"/>
        <w:gridCol w:w="1011"/>
        <w:gridCol w:w="840"/>
        <w:gridCol w:w="840"/>
        <w:gridCol w:w="840"/>
        <w:gridCol w:w="842"/>
        <w:gridCol w:w="1957"/>
        <w:gridCol w:w="831"/>
      </w:tblGrid>
      <w:tr w14:paraId="3E30B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652" w:type="dxa"/>
            <w:vMerge w:val="restart"/>
            <w:tcBorders>
              <w:top w:val="single" w:color="auto" w:sz="4" w:space="0"/>
              <w:left w:val="single" w:color="auto" w:sz="4" w:space="0"/>
              <w:bottom w:val="single" w:color="auto" w:sz="4" w:space="0"/>
              <w:right w:val="single" w:color="auto" w:sz="4" w:space="0"/>
            </w:tcBorders>
            <w:noWrap w:val="0"/>
            <w:vAlign w:val="center"/>
          </w:tcPr>
          <w:p w14:paraId="7FD97327">
            <w:pPr>
              <w:wordWrap w:val="0"/>
              <w:spacing w:line="0" w:lineRule="atLeast"/>
              <w:ind w:left="-21" w:leftChars="-10" w:right="-21" w:rightChars="-10"/>
              <w:jc w:val="center"/>
              <w:rPr>
                <w:rFonts w:ascii="宋体" w:hAnsi="宋体" w:cs="宋体"/>
                <w:bCs/>
                <w:color w:val="auto"/>
                <w:highlight w:val="none"/>
              </w:rPr>
            </w:pPr>
            <w:r>
              <w:rPr>
                <w:rFonts w:hint="eastAsia" w:ascii="宋体" w:hAnsi="宋体" w:cs="宋体"/>
                <w:bCs/>
                <w:color w:val="auto"/>
                <w:highlight w:val="none"/>
              </w:rPr>
              <w:t>职务</w:t>
            </w:r>
          </w:p>
        </w:tc>
        <w:tc>
          <w:tcPr>
            <w:tcW w:w="905" w:type="dxa"/>
            <w:vMerge w:val="restart"/>
            <w:tcBorders>
              <w:top w:val="single" w:color="auto" w:sz="4" w:space="0"/>
              <w:left w:val="single" w:color="auto" w:sz="4" w:space="0"/>
              <w:bottom w:val="single" w:color="auto" w:sz="4" w:space="0"/>
              <w:right w:val="single" w:color="auto" w:sz="4" w:space="0"/>
            </w:tcBorders>
            <w:noWrap w:val="0"/>
            <w:vAlign w:val="center"/>
          </w:tcPr>
          <w:p w14:paraId="79148DF6">
            <w:pPr>
              <w:wordWrap w:val="0"/>
              <w:spacing w:line="0" w:lineRule="atLeast"/>
              <w:ind w:left="-21" w:leftChars="-10" w:right="-21" w:rightChars="-10"/>
              <w:jc w:val="center"/>
              <w:rPr>
                <w:rFonts w:ascii="宋体" w:hAnsi="宋体" w:cs="宋体"/>
                <w:bCs/>
                <w:color w:val="auto"/>
                <w:highlight w:val="none"/>
              </w:rPr>
            </w:pPr>
            <w:r>
              <w:rPr>
                <w:rFonts w:hint="eastAsia" w:ascii="宋体" w:hAnsi="宋体" w:cs="宋体"/>
                <w:bCs/>
                <w:color w:val="auto"/>
                <w:highlight w:val="none"/>
              </w:rPr>
              <w:t>姓名</w:t>
            </w:r>
          </w:p>
        </w:tc>
        <w:tc>
          <w:tcPr>
            <w:tcW w:w="1011" w:type="dxa"/>
            <w:vMerge w:val="restart"/>
            <w:tcBorders>
              <w:top w:val="single" w:color="auto" w:sz="4" w:space="0"/>
              <w:left w:val="single" w:color="auto" w:sz="4" w:space="0"/>
              <w:bottom w:val="single" w:color="auto" w:sz="4" w:space="0"/>
              <w:right w:val="single" w:color="auto" w:sz="4" w:space="0"/>
            </w:tcBorders>
            <w:noWrap w:val="0"/>
            <w:vAlign w:val="center"/>
          </w:tcPr>
          <w:p w14:paraId="4FF3BF3B">
            <w:pPr>
              <w:wordWrap w:val="0"/>
              <w:spacing w:line="0" w:lineRule="atLeast"/>
              <w:ind w:left="-21" w:leftChars="-10" w:right="-21" w:rightChars="-10"/>
              <w:jc w:val="center"/>
              <w:rPr>
                <w:rFonts w:ascii="宋体" w:hAnsi="宋体" w:cs="宋体"/>
                <w:bCs/>
                <w:color w:val="auto"/>
                <w:highlight w:val="none"/>
              </w:rPr>
            </w:pPr>
            <w:r>
              <w:rPr>
                <w:rFonts w:hint="eastAsia" w:ascii="宋体" w:hAnsi="宋体" w:cs="宋体"/>
                <w:bCs/>
                <w:color w:val="auto"/>
                <w:highlight w:val="none"/>
              </w:rPr>
              <w:t>职称</w:t>
            </w:r>
          </w:p>
        </w:tc>
        <w:tc>
          <w:tcPr>
            <w:tcW w:w="5319" w:type="dxa"/>
            <w:gridSpan w:val="5"/>
            <w:tcBorders>
              <w:top w:val="single" w:color="auto" w:sz="4" w:space="0"/>
              <w:left w:val="single" w:color="auto" w:sz="4" w:space="0"/>
              <w:bottom w:val="single" w:color="auto" w:sz="4" w:space="0"/>
              <w:right w:val="single" w:color="auto" w:sz="4" w:space="0"/>
            </w:tcBorders>
            <w:noWrap w:val="0"/>
            <w:vAlign w:val="center"/>
          </w:tcPr>
          <w:p w14:paraId="45E24533">
            <w:pPr>
              <w:wordWrap w:val="0"/>
              <w:spacing w:line="0" w:lineRule="atLeast"/>
              <w:ind w:left="-21" w:leftChars="-10" w:right="-21" w:rightChars="-10"/>
              <w:jc w:val="center"/>
              <w:rPr>
                <w:rFonts w:ascii="宋体" w:hAnsi="宋体" w:cs="宋体"/>
                <w:bCs/>
                <w:color w:val="auto"/>
                <w:highlight w:val="none"/>
              </w:rPr>
            </w:pPr>
            <w:r>
              <w:rPr>
                <w:rFonts w:hint="eastAsia" w:ascii="宋体" w:hAnsi="宋体" w:cs="宋体"/>
                <w:bCs/>
                <w:color w:val="auto"/>
                <w:highlight w:val="none"/>
              </w:rPr>
              <w:t>执业或职业资格证明</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3799EA2C">
            <w:pPr>
              <w:wordWrap w:val="0"/>
              <w:spacing w:line="0" w:lineRule="atLeast"/>
              <w:ind w:right="-21" w:rightChars="-10"/>
              <w:jc w:val="center"/>
              <w:rPr>
                <w:rFonts w:ascii="宋体" w:hAnsi="宋体" w:cs="宋体"/>
                <w:bCs/>
                <w:color w:val="auto"/>
                <w:highlight w:val="none"/>
              </w:rPr>
            </w:pPr>
            <w:r>
              <w:rPr>
                <w:rFonts w:hint="eastAsia" w:ascii="宋体" w:hAnsi="宋体" w:cs="宋体"/>
                <w:bCs/>
                <w:color w:val="auto"/>
                <w:highlight w:val="none"/>
              </w:rPr>
              <w:t>备注</w:t>
            </w:r>
          </w:p>
        </w:tc>
      </w:tr>
      <w:tr w14:paraId="5E04F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52" w:type="dxa"/>
            <w:vMerge w:val="continue"/>
            <w:tcBorders>
              <w:top w:val="single" w:color="auto" w:sz="4" w:space="0"/>
              <w:left w:val="single" w:color="auto" w:sz="4" w:space="0"/>
              <w:bottom w:val="single" w:color="auto" w:sz="4" w:space="0"/>
              <w:right w:val="single" w:color="auto" w:sz="4" w:space="0"/>
            </w:tcBorders>
            <w:noWrap w:val="0"/>
            <w:vAlign w:val="center"/>
          </w:tcPr>
          <w:p w14:paraId="0CD1507E">
            <w:pPr>
              <w:widowControl/>
              <w:wordWrap w:val="0"/>
              <w:jc w:val="left"/>
              <w:rPr>
                <w:rFonts w:ascii="宋体" w:hAnsi="宋体" w:cs="宋体"/>
                <w:bCs/>
                <w:color w:val="auto"/>
                <w:highlight w:val="none"/>
              </w:rPr>
            </w:pPr>
          </w:p>
        </w:tc>
        <w:tc>
          <w:tcPr>
            <w:tcW w:w="905" w:type="dxa"/>
            <w:vMerge w:val="continue"/>
            <w:tcBorders>
              <w:top w:val="single" w:color="auto" w:sz="4" w:space="0"/>
              <w:left w:val="single" w:color="auto" w:sz="4" w:space="0"/>
              <w:bottom w:val="single" w:color="auto" w:sz="4" w:space="0"/>
              <w:right w:val="single" w:color="auto" w:sz="4" w:space="0"/>
            </w:tcBorders>
            <w:noWrap w:val="0"/>
            <w:vAlign w:val="center"/>
          </w:tcPr>
          <w:p w14:paraId="65B683EF">
            <w:pPr>
              <w:widowControl/>
              <w:wordWrap w:val="0"/>
              <w:jc w:val="left"/>
              <w:rPr>
                <w:rFonts w:ascii="宋体" w:hAnsi="宋体" w:cs="宋体"/>
                <w:bCs/>
                <w:color w:val="auto"/>
                <w:highlight w:val="none"/>
              </w:rPr>
            </w:pPr>
          </w:p>
        </w:tc>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14:paraId="29258216">
            <w:pPr>
              <w:widowControl/>
              <w:wordWrap w:val="0"/>
              <w:jc w:val="left"/>
              <w:rPr>
                <w:rFonts w:ascii="宋体" w:hAnsi="宋体" w:cs="宋体"/>
                <w:bCs/>
                <w:color w:val="auto"/>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36C8F4AF">
            <w:pPr>
              <w:wordWrap w:val="0"/>
              <w:spacing w:line="0" w:lineRule="atLeast"/>
              <w:ind w:left="-21" w:leftChars="-10" w:right="-21" w:rightChars="-10"/>
              <w:jc w:val="center"/>
              <w:rPr>
                <w:rFonts w:ascii="宋体" w:hAnsi="宋体" w:cs="宋体"/>
                <w:bCs/>
                <w:color w:val="auto"/>
                <w:highlight w:val="none"/>
              </w:rPr>
            </w:pPr>
            <w:r>
              <w:rPr>
                <w:rFonts w:hint="eastAsia" w:ascii="宋体" w:hAnsi="宋体" w:cs="宋体"/>
                <w:bCs/>
                <w:color w:val="auto"/>
                <w:highlight w:val="none"/>
              </w:rPr>
              <w:t>证书</w:t>
            </w:r>
          </w:p>
          <w:p w14:paraId="349705CD">
            <w:pPr>
              <w:wordWrap w:val="0"/>
              <w:spacing w:line="0" w:lineRule="atLeast"/>
              <w:ind w:left="-21" w:leftChars="-10" w:right="-21" w:rightChars="-10"/>
              <w:jc w:val="center"/>
              <w:rPr>
                <w:rFonts w:ascii="宋体" w:hAnsi="宋体" w:cs="宋体"/>
                <w:bCs/>
                <w:color w:val="auto"/>
                <w:highlight w:val="none"/>
              </w:rPr>
            </w:pPr>
            <w:r>
              <w:rPr>
                <w:rFonts w:hint="eastAsia" w:ascii="宋体" w:hAnsi="宋体" w:cs="宋体"/>
                <w:bCs/>
                <w:color w:val="auto"/>
                <w:highlight w:val="none"/>
              </w:rPr>
              <w:t>名称</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3FEAA948">
            <w:pPr>
              <w:wordWrap w:val="0"/>
              <w:spacing w:line="0" w:lineRule="atLeast"/>
              <w:ind w:left="-21" w:leftChars="-10" w:right="-21" w:rightChars="-10"/>
              <w:jc w:val="center"/>
              <w:rPr>
                <w:rFonts w:ascii="宋体" w:hAnsi="宋体" w:cs="宋体"/>
                <w:bCs/>
                <w:color w:val="auto"/>
                <w:highlight w:val="none"/>
              </w:rPr>
            </w:pPr>
            <w:r>
              <w:rPr>
                <w:rFonts w:hint="eastAsia" w:ascii="宋体" w:hAnsi="宋体" w:cs="宋体"/>
                <w:bCs/>
                <w:color w:val="auto"/>
                <w:highlight w:val="none"/>
              </w:rPr>
              <w:t>级别</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361FA25F">
            <w:pPr>
              <w:wordWrap w:val="0"/>
              <w:spacing w:line="0" w:lineRule="atLeast"/>
              <w:ind w:left="-21" w:leftChars="-10" w:right="-21" w:rightChars="-10"/>
              <w:jc w:val="center"/>
              <w:rPr>
                <w:rFonts w:ascii="宋体" w:hAnsi="宋体" w:cs="宋体"/>
                <w:bCs/>
                <w:color w:val="auto"/>
                <w:highlight w:val="none"/>
              </w:rPr>
            </w:pPr>
            <w:r>
              <w:rPr>
                <w:rFonts w:hint="eastAsia" w:ascii="宋体" w:hAnsi="宋体" w:cs="宋体"/>
                <w:bCs/>
                <w:color w:val="auto"/>
                <w:highlight w:val="none"/>
              </w:rPr>
              <w:t>证号</w:t>
            </w:r>
          </w:p>
        </w:tc>
        <w:tc>
          <w:tcPr>
            <w:tcW w:w="842" w:type="dxa"/>
            <w:tcBorders>
              <w:top w:val="single" w:color="auto" w:sz="4" w:space="0"/>
              <w:left w:val="single" w:color="auto" w:sz="4" w:space="0"/>
              <w:bottom w:val="single" w:color="auto" w:sz="4" w:space="0"/>
              <w:right w:val="single" w:color="auto" w:sz="4" w:space="0"/>
            </w:tcBorders>
            <w:noWrap w:val="0"/>
            <w:vAlign w:val="center"/>
          </w:tcPr>
          <w:p w14:paraId="62125683">
            <w:pPr>
              <w:wordWrap w:val="0"/>
              <w:spacing w:line="0" w:lineRule="atLeast"/>
              <w:ind w:right="-21" w:rightChars="-10"/>
              <w:jc w:val="center"/>
              <w:rPr>
                <w:rFonts w:ascii="宋体" w:hAnsi="宋体" w:cs="宋体"/>
                <w:bCs/>
                <w:color w:val="auto"/>
                <w:highlight w:val="none"/>
              </w:rPr>
            </w:pPr>
            <w:r>
              <w:rPr>
                <w:rFonts w:hint="eastAsia" w:ascii="宋体" w:hAnsi="宋体" w:cs="宋体"/>
                <w:bCs/>
                <w:color w:val="auto"/>
                <w:highlight w:val="none"/>
              </w:rPr>
              <w:t>专业</w:t>
            </w:r>
          </w:p>
        </w:tc>
        <w:tc>
          <w:tcPr>
            <w:tcW w:w="1957" w:type="dxa"/>
            <w:tcBorders>
              <w:top w:val="nil"/>
              <w:left w:val="single" w:color="auto" w:sz="4" w:space="0"/>
              <w:bottom w:val="single" w:color="auto" w:sz="4" w:space="0"/>
              <w:right w:val="single" w:color="auto" w:sz="4" w:space="0"/>
            </w:tcBorders>
            <w:noWrap w:val="0"/>
            <w:vAlign w:val="center"/>
          </w:tcPr>
          <w:p w14:paraId="3F21023C">
            <w:pPr>
              <w:wordWrap w:val="0"/>
              <w:spacing w:line="0" w:lineRule="atLeast"/>
              <w:ind w:left="-21" w:leftChars="-10" w:right="-21" w:rightChars="-10"/>
              <w:jc w:val="center"/>
              <w:rPr>
                <w:rFonts w:ascii="宋体" w:hAnsi="宋体" w:cs="宋体"/>
                <w:bCs/>
                <w:color w:val="auto"/>
                <w:highlight w:val="none"/>
              </w:rPr>
            </w:pPr>
            <w:r>
              <w:rPr>
                <w:rFonts w:hint="eastAsia" w:ascii="宋体" w:hAnsi="宋体" w:cs="宋体"/>
                <w:bCs/>
                <w:color w:val="auto"/>
                <w:highlight w:val="none"/>
              </w:rPr>
              <w:t>养老保险编号</w:t>
            </w:r>
          </w:p>
        </w:tc>
        <w:tc>
          <w:tcPr>
            <w:tcW w:w="831" w:type="dxa"/>
            <w:tcBorders>
              <w:top w:val="nil"/>
              <w:left w:val="single" w:color="auto" w:sz="4" w:space="0"/>
              <w:bottom w:val="single" w:color="auto" w:sz="4" w:space="0"/>
              <w:right w:val="single" w:color="auto" w:sz="4" w:space="0"/>
            </w:tcBorders>
            <w:noWrap w:val="0"/>
            <w:vAlign w:val="center"/>
          </w:tcPr>
          <w:p w14:paraId="4A7C183E">
            <w:pPr>
              <w:wordWrap w:val="0"/>
              <w:spacing w:line="0" w:lineRule="atLeast"/>
              <w:ind w:right="-21" w:rightChars="-10"/>
              <w:jc w:val="center"/>
              <w:rPr>
                <w:rFonts w:ascii="宋体" w:hAnsi="宋体" w:cs="宋体"/>
                <w:bCs/>
                <w:color w:val="auto"/>
                <w:highlight w:val="none"/>
              </w:rPr>
            </w:pPr>
          </w:p>
        </w:tc>
      </w:tr>
      <w:tr w14:paraId="4078E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top"/>
          </w:tcPr>
          <w:p w14:paraId="0E500425">
            <w:pPr>
              <w:wordWrap w:val="0"/>
              <w:jc w:val="center"/>
              <w:rPr>
                <w:rFonts w:ascii="宋体" w:hAnsi="宋体" w:cs="宋体"/>
                <w:b/>
                <w:color w:val="auto"/>
                <w:sz w:val="28"/>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2CB21099">
            <w:pPr>
              <w:wordWrap w:val="0"/>
              <w:jc w:val="center"/>
              <w:rPr>
                <w:rFonts w:ascii="宋体" w:hAnsi="宋体" w:cs="宋体"/>
                <w:b/>
                <w:color w:val="auto"/>
                <w:sz w:val="2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550C11F8">
            <w:pPr>
              <w:wordWrap w:val="0"/>
              <w:jc w:val="center"/>
              <w:rPr>
                <w:rFonts w:ascii="宋体" w:hAnsi="宋体" w:cs="宋体"/>
                <w:b/>
                <w:color w:val="auto"/>
                <w:sz w:val="28"/>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44E33E7C">
            <w:pPr>
              <w:wordWrap w:val="0"/>
              <w:jc w:val="center"/>
              <w:rPr>
                <w:rFonts w:ascii="宋体" w:hAnsi="宋体" w:cs="宋体"/>
                <w:b/>
                <w:color w:val="auto"/>
                <w:sz w:val="28"/>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6B69EE28">
            <w:pPr>
              <w:wordWrap w:val="0"/>
              <w:jc w:val="center"/>
              <w:rPr>
                <w:rFonts w:ascii="宋体" w:hAnsi="宋体" w:cs="宋体"/>
                <w:b/>
                <w:color w:val="auto"/>
                <w:sz w:val="28"/>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2278D272">
            <w:pPr>
              <w:wordWrap w:val="0"/>
              <w:jc w:val="center"/>
              <w:rPr>
                <w:rFonts w:ascii="宋体" w:hAnsi="宋体" w:cs="宋体"/>
                <w:b/>
                <w:color w:val="auto"/>
                <w:sz w:val="28"/>
                <w:highlight w:val="none"/>
              </w:rPr>
            </w:pPr>
          </w:p>
        </w:tc>
        <w:tc>
          <w:tcPr>
            <w:tcW w:w="842" w:type="dxa"/>
            <w:tcBorders>
              <w:top w:val="single" w:color="auto" w:sz="4" w:space="0"/>
              <w:left w:val="single" w:color="auto" w:sz="4" w:space="0"/>
              <w:bottom w:val="single" w:color="auto" w:sz="4" w:space="0"/>
              <w:right w:val="single" w:color="auto" w:sz="4" w:space="0"/>
            </w:tcBorders>
            <w:noWrap w:val="0"/>
            <w:vAlign w:val="top"/>
          </w:tcPr>
          <w:p w14:paraId="5ED54165">
            <w:pPr>
              <w:wordWrap w:val="0"/>
              <w:jc w:val="center"/>
              <w:rPr>
                <w:rFonts w:ascii="宋体" w:hAnsi="宋体" w:cs="宋体"/>
                <w:b/>
                <w:color w:val="auto"/>
                <w:sz w:val="28"/>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top"/>
          </w:tcPr>
          <w:p w14:paraId="5D573360">
            <w:pPr>
              <w:wordWrap w:val="0"/>
              <w:jc w:val="center"/>
              <w:rPr>
                <w:rFonts w:ascii="宋体" w:hAnsi="宋体" w:cs="宋体"/>
                <w:b/>
                <w:color w:val="auto"/>
                <w:sz w:val="28"/>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top"/>
          </w:tcPr>
          <w:p w14:paraId="45D83267">
            <w:pPr>
              <w:wordWrap w:val="0"/>
              <w:jc w:val="center"/>
              <w:rPr>
                <w:rFonts w:ascii="宋体" w:hAnsi="宋体" w:cs="宋体"/>
                <w:b/>
                <w:color w:val="auto"/>
                <w:sz w:val="28"/>
                <w:highlight w:val="none"/>
              </w:rPr>
            </w:pPr>
          </w:p>
        </w:tc>
      </w:tr>
      <w:tr w14:paraId="5E17F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top"/>
          </w:tcPr>
          <w:p w14:paraId="62681414">
            <w:pPr>
              <w:wordWrap w:val="0"/>
              <w:jc w:val="center"/>
              <w:rPr>
                <w:rFonts w:ascii="宋体" w:hAnsi="宋体" w:cs="宋体"/>
                <w:b/>
                <w:color w:val="auto"/>
                <w:sz w:val="28"/>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0184D4E0">
            <w:pPr>
              <w:wordWrap w:val="0"/>
              <w:jc w:val="center"/>
              <w:rPr>
                <w:rFonts w:ascii="宋体" w:hAnsi="宋体" w:cs="宋体"/>
                <w:b/>
                <w:color w:val="auto"/>
                <w:sz w:val="2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6A1DC609">
            <w:pPr>
              <w:wordWrap w:val="0"/>
              <w:jc w:val="center"/>
              <w:rPr>
                <w:rFonts w:ascii="宋体" w:hAnsi="宋体" w:cs="宋体"/>
                <w:b/>
                <w:color w:val="auto"/>
                <w:sz w:val="28"/>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5C4C9548">
            <w:pPr>
              <w:wordWrap w:val="0"/>
              <w:jc w:val="center"/>
              <w:rPr>
                <w:rFonts w:ascii="宋体" w:hAnsi="宋体" w:cs="宋体"/>
                <w:b/>
                <w:color w:val="auto"/>
                <w:sz w:val="28"/>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6F1228E0">
            <w:pPr>
              <w:wordWrap w:val="0"/>
              <w:jc w:val="center"/>
              <w:rPr>
                <w:rFonts w:ascii="宋体" w:hAnsi="宋体" w:cs="宋体"/>
                <w:b/>
                <w:color w:val="auto"/>
                <w:sz w:val="28"/>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3D803250">
            <w:pPr>
              <w:wordWrap w:val="0"/>
              <w:jc w:val="center"/>
              <w:rPr>
                <w:rFonts w:ascii="宋体" w:hAnsi="宋体" w:cs="宋体"/>
                <w:b/>
                <w:color w:val="auto"/>
                <w:sz w:val="28"/>
                <w:highlight w:val="none"/>
              </w:rPr>
            </w:pPr>
          </w:p>
        </w:tc>
        <w:tc>
          <w:tcPr>
            <w:tcW w:w="842" w:type="dxa"/>
            <w:tcBorders>
              <w:top w:val="single" w:color="auto" w:sz="4" w:space="0"/>
              <w:left w:val="single" w:color="auto" w:sz="4" w:space="0"/>
              <w:bottom w:val="single" w:color="auto" w:sz="4" w:space="0"/>
              <w:right w:val="single" w:color="auto" w:sz="4" w:space="0"/>
            </w:tcBorders>
            <w:noWrap w:val="0"/>
            <w:vAlign w:val="top"/>
          </w:tcPr>
          <w:p w14:paraId="24EB8A23">
            <w:pPr>
              <w:wordWrap w:val="0"/>
              <w:jc w:val="center"/>
              <w:rPr>
                <w:rFonts w:ascii="宋体" w:hAnsi="宋体" w:cs="宋体"/>
                <w:b/>
                <w:color w:val="auto"/>
                <w:sz w:val="28"/>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top"/>
          </w:tcPr>
          <w:p w14:paraId="0AE57390">
            <w:pPr>
              <w:wordWrap w:val="0"/>
              <w:jc w:val="center"/>
              <w:rPr>
                <w:rFonts w:ascii="宋体" w:hAnsi="宋体" w:cs="宋体"/>
                <w:b/>
                <w:color w:val="auto"/>
                <w:sz w:val="28"/>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top"/>
          </w:tcPr>
          <w:p w14:paraId="1530C70C">
            <w:pPr>
              <w:wordWrap w:val="0"/>
              <w:jc w:val="center"/>
              <w:rPr>
                <w:rFonts w:ascii="宋体" w:hAnsi="宋体" w:cs="宋体"/>
                <w:b/>
                <w:color w:val="auto"/>
                <w:sz w:val="28"/>
                <w:highlight w:val="none"/>
              </w:rPr>
            </w:pPr>
          </w:p>
        </w:tc>
      </w:tr>
      <w:tr w14:paraId="1B927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top"/>
          </w:tcPr>
          <w:p w14:paraId="5CB336E5">
            <w:pPr>
              <w:wordWrap w:val="0"/>
              <w:jc w:val="center"/>
              <w:rPr>
                <w:rFonts w:ascii="宋体" w:hAnsi="宋体" w:cs="宋体"/>
                <w:b/>
                <w:color w:val="auto"/>
                <w:sz w:val="28"/>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35F6CD4B">
            <w:pPr>
              <w:wordWrap w:val="0"/>
              <w:jc w:val="center"/>
              <w:rPr>
                <w:rFonts w:ascii="宋体" w:hAnsi="宋体" w:cs="宋体"/>
                <w:b/>
                <w:color w:val="auto"/>
                <w:sz w:val="2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584FCA03">
            <w:pPr>
              <w:wordWrap w:val="0"/>
              <w:jc w:val="center"/>
              <w:rPr>
                <w:rFonts w:ascii="宋体" w:hAnsi="宋体" w:cs="宋体"/>
                <w:b/>
                <w:color w:val="auto"/>
                <w:sz w:val="28"/>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204832CA">
            <w:pPr>
              <w:wordWrap w:val="0"/>
              <w:jc w:val="center"/>
              <w:rPr>
                <w:rFonts w:ascii="宋体" w:hAnsi="宋体" w:cs="宋体"/>
                <w:b/>
                <w:color w:val="auto"/>
                <w:sz w:val="28"/>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133AD8FB">
            <w:pPr>
              <w:wordWrap w:val="0"/>
              <w:jc w:val="center"/>
              <w:rPr>
                <w:rFonts w:ascii="宋体" w:hAnsi="宋体" w:cs="宋体"/>
                <w:b/>
                <w:color w:val="auto"/>
                <w:sz w:val="28"/>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2FAF70DB">
            <w:pPr>
              <w:wordWrap w:val="0"/>
              <w:jc w:val="center"/>
              <w:rPr>
                <w:rFonts w:ascii="宋体" w:hAnsi="宋体" w:cs="宋体"/>
                <w:b/>
                <w:color w:val="auto"/>
                <w:sz w:val="28"/>
                <w:highlight w:val="none"/>
              </w:rPr>
            </w:pPr>
          </w:p>
        </w:tc>
        <w:tc>
          <w:tcPr>
            <w:tcW w:w="842" w:type="dxa"/>
            <w:tcBorders>
              <w:top w:val="single" w:color="auto" w:sz="4" w:space="0"/>
              <w:left w:val="single" w:color="auto" w:sz="4" w:space="0"/>
              <w:bottom w:val="single" w:color="auto" w:sz="4" w:space="0"/>
              <w:right w:val="single" w:color="auto" w:sz="4" w:space="0"/>
            </w:tcBorders>
            <w:noWrap w:val="0"/>
            <w:vAlign w:val="top"/>
          </w:tcPr>
          <w:p w14:paraId="26DA295F">
            <w:pPr>
              <w:wordWrap w:val="0"/>
              <w:jc w:val="center"/>
              <w:rPr>
                <w:rFonts w:ascii="宋体" w:hAnsi="宋体" w:cs="宋体"/>
                <w:b/>
                <w:color w:val="auto"/>
                <w:sz w:val="28"/>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top"/>
          </w:tcPr>
          <w:p w14:paraId="5974353F">
            <w:pPr>
              <w:wordWrap w:val="0"/>
              <w:jc w:val="center"/>
              <w:rPr>
                <w:rFonts w:ascii="宋体" w:hAnsi="宋体" w:cs="宋体"/>
                <w:b/>
                <w:color w:val="auto"/>
                <w:sz w:val="28"/>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top"/>
          </w:tcPr>
          <w:p w14:paraId="700D1454">
            <w:pPr>
              <w:wordWrap w:val="0"/>
              <w:jc w:val="center"/>
              <w:rPr>
                <w:rFonts w:ascii="宋体" w:hAnsi="宋体" w:cs="宋体"/>
                <w:b/>
                <w:color w:val="auto"/>
                <w:sz w:val="28"/>
                <w:highlight w:val="none"/>
              </w:rPr>
            </w:pPr>
          </w:p>
        </w:tc>
      </w:tr>
      <w:tr w14:paraId="237BC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top"/>
          </w:tcPr>
          <w:p w14:paraId="1BA8FD13">
            <w:pPr>
              <w:wordWrap w:val="0"/>
              <w:jc w:val="center"/>
              <w:rPr>
                <w:rFonts w:ascii="宋体" w:hAnsi="宋体" w:cs="宋体"/>
                <w:b/>
                <w:color w:val="auto"/>
                <w:sz w:val="28"/>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14225C62">
            <w:pPr>
              <w:wordWrap w:val="0"/>
              <w:jc w:val="center"/>
              <w:rPr>
                <w:rFonts w:ascii="宋体" w:hAnsi="宋体" w:cs="宋体"/>
                <w:b/>
                <w:color w:val="auto"/>
                <w:sz w:val="2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08BC4BA5">
            <w:pPr>
              <w:wordWrap w:val="0"/>
              <w:jc w:val="center"/>
              <w:rPr>
                <w:rFonts w:ascii="宋体" w:hAnsi="宋体" w:cs="宋体"/>
                <w:b/>
                <w:color w:val="auto"/>
                <w:sz w:val="28"/>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3EDEECC6">
            <w:pPr>
              <w:wordWrap w:val="0"/>
              <w:jc w:val="center"/>
              <w:rPr>
                <w:rFonts w:ascii="宋体" w:hAnsi="宋体" w:cs="宋体"/>
                <w:b/>
                <w:color w:val="auto"/>
                <w:sz w:val="28"/>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693C78E5">
            <w:pPr>
              <w:wordWrap w:val="0"/>
              <w:jc w:val="center"/>
              <w:rPr>
                <w:rFonts w:ascii="宋体" w:hAnsi="宋体" w:cs="宋体"/>
                <w:b/>
                <w:color w:val="auto"/>
                <w:sz w:val="28"/>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6976DF9A">
            <w:pPr>
              <w:wordWrap w:val="0"/>
              <w:jc w:val="center"/>
              <w:rPr>
                <w:rFonts w:ascii="宋体" w:hAnsi="宋体" w:cs="宋体"/>
                <w:b/>
                <w:color w:val="auto"/>
                <w:sz w:val="28"/>
                <w:highlight w:val="none"/>
              </w:rPr>
            </w:pPr>
          </w:p>
        </w:tc>
        <w:tc>
          <w:tcPr>
            <w:tcW w:w="842" w:type="dxa"/>
            <w:tcBorders>
              <w:top w:val="single" w:color="auto" w:sz="4" w:space="0"/>
              <w:left w:val="single" w:color="auto" w:sz="4" w:space="0"/>
              <w:bottom w:val="single" w:color="auto" w:sz="4" w:space="0"/>
              <w:right w:val="single" w:color="auto" w:sz="4" w:space="0"/>
            </w:tcBorders>
            <w:noWrap w:val="0"/>
            <w:vAlign w:val="top"/>
          </w:tcPr>
          <w:p w14:paraId="406EEB8F">
            <w:pPr>
              <w:wordWrap w:val="0"/>
              <w:jc w:val="center"/>
              <w:rPr>
                <w:rFonts w:ascii="宋体" w:hAnsi="宋体" w:cs="宋体"/>
                <w:b/>
                <w:color w:val="auto"/>
                <w:sz w:val="28"/>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top"/>
          </w:tcPr>
          <w:p w14:paraId="47CE2F4C">
            <w:pPr>
              <w:wordWrap w:val="0"/>
              <w:jc w:val="center"/>
              <w:rPr>
                <w:rFonts w:ascii="宋体" w:hAnsi="宋体" w:cs="宋体"/>
                <w:b/>
                <w:color w:val="auto"/>
                <w:sz w:val="28"/>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top"/>
          </w:tcPr>
          <w:p w14:paraId="71BB0C69">
            <w:pPr>
              <w:wordWrap w:val="0"/>
              <w:jc w:val="center"/>
              <w:rPr>
                <w:rFonts w:ascii="宋体" w:hAnsi="宋体" w:cs="宋体"/>
                <w:b/>
                <w:color w:val="auto"/>
                <w:sz w:val="28"/>
                <w:highlight w:val="none"/>
              </w:rPr>
            </w:pPr>
          </w:p>
        </w:tc>
      </w:tr>
      <w:tr w14:paraId="674D7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top"/>
          </w:tcPr>
          <w:p w14:paraId="7F361E7C">
            <w:pPr>
              <w:wordWrap w:val="0"/>
              <w:jc w:val="center"/>
              <w:rPr>
                <w:rFonts w:ascii="宋体" w:hAnsi="宋体" w:cs="宋体"/>
                <w:b/>
                <w:color w:val="auto"/>
                <w:sz w:val="28"/>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51C33C11">
            <w:pPr>
              <w:wordWrap w:val="0"/>
              <w:jc w:val="center"/>
              <w:rPr>
                <w:rFonts w:ascii="宋体" w:hAnsi="宋体" w:cs="宋体"/>
                <w:b/>
                <w:color w:val="auto"/>
                <w:sz w:val="2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7A1A12A6">
            <w:pPr>
              <w:wordWrap w:val="0"/>
              <w:jc w:val="center"/>
              <w:rPr>
                <w:rFonts w:ascii="宋体" w:hAnsi="宋体" w:cs="宋体"/>
                <w:b/>
                <w:color w:val="auto"/>
                <w:sz w:val="28"/>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132F852C">
            <w:pPr>
              <w:wordWrap w:val="0"/>
              <w:jc w:val="center"/>
              <w:rPr>
                <w:rFonts w:ascii="宋体" w:hAnsi="宋体" w:cs="宋体"/>
                <w:b/>
                <w:color w:val="auto"/>
                <w:sz w:val="28"/>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05BD0B4C">
            <w:pPr>
              <w:wordWrap w:val="0"/>
              <w:jc w:val="center"/>
              <w:rPr>
                <w:rFonts w:ascii="宋体" w:hAnsi="宋体" w:cs="宋体"/>
                <w:b/>
                <w:color w:val="auto"/>
                <w:sz w:val="28"/>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328D41D4">
            <w:pPr>
              <w:wordWrap w:val="0"/>
              <w:jc w:val="center"/>
              <w:rPr>
                <w:rFonts w:ascii="宋体" w:hAnsi="宋体" w:cs="宋体"/>
                <w:b/>
                <w:color w:val="auto"/>
                <w:sz w:val="28"/>
                <w:highlight w:val="none"/>
              </w:rPr>
            </w:pPr>
          </w:p>
        </w:tc>
        <w:tc>
          <w:tcPr>
            <w:tcW w:w="842" w:type="dxa"/>
            <w:tcBorders>
              <w:top w:val="single" w:color="auto" w:sz="4" w:space="0"/>
              <w:left w:val="single" w:color="auto" w:sz="4" w:space="0"/>
              <w:bottom w:val="single" w:color="auto" w:sz="4" w:space="0"/>
              <w:right w:val="single" w:color="auto" w:sz="4" w:space="0"/>
            </w:tcBorders>
            <w:noWrap w:val="0"/>
            <w:vAlign w:val="top"/>
          </w:tcPr>
          <w:p w14:paraId="5353A6F6">
            <w:pPr>
              <w:wordWrap w:val="0"/>
              <w:jc w:val="center"/>
              <w:rPr>
                <w:rFonts w:ascii="宋体" w:hAnsi="宋体" w:cs="宋体"/>
                <w:b/>
                <w:color w:val="auto"/>
                <w:sz w:val="28"/>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top"/>
          </w:tcPr>
          <w:p w14:paraId="72F0F030">
            <w:pPr>
              <w:wordWrap w:val="0"/>
              <w:jc w:val="center"/>
              <w:rPr>
                <w:rFonts w:ascii="宋体" w:hAnsi="宋体" w:cs="宋体"/>
                <w:b/>
                <w:color w:val="auto"/>
                <w:sz w:val="28"/>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top"/>
          </w:tcPr>
          <w:p w14:paraId="421016D4">
            <w:pPr>
              <w:wordWrap w:val="0"/>
              <w:jc w:val="center"/>
              <w:rPr>
                <w:rFonts w:ascii="宋体" w:hAnsi="宋体" w:cs="宋体"/>
                <w:b/>
                <w:color w:val="auto"/>
                <w:sz w:val="28"/>
                <w:highlight w:val="none"/>
              </w:rPr>
            </w:pPr>
          </w:p>
        </w:tc>
      </w:tr>
      <w:tr w14:paraId="26342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top"/>
          </w:tcPr>
          <w:p w14:paraId="4C5F56A8">
            <w:pPr>
              <w:wordWrap w:val="0"/>
              <w:jc w:val="center"/>
              <w:rPr>
                <w:rFonts w:ascii="宋体" w:hAnsi="宋体" w:cs="宋体"/>
                <w:b/>
                <w:color w:val="auto"/>
                <w:sz w:val="28"/>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17A07FE4">
            <w:pPr>
              <w:wordWrap w:val="0"/>
              <w:jc w:val="center"/>
              <w:rPr>
                <w:rFonts w:ascii="宋体" w:hAnsi="宋体" w:cs="宋体"/>
                <w:b/>
                <w:color w:val="auto"/>
                <w:sz w:val="2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5813B6D4">
            <w:pPr>
              <w:wordWrap w:val="0"/>
              <w:jc w:val="center"/>
              <w:rPr>
                <w:rFonts w:ascii="宋体" w:hAnsi="宋体" w:cs="宋体"/>
                <w:b/>
                <w:color w:val="auto"/>
                <w:sz w:val="28"/>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1C8FB561">
            <w:pPr>
              <w:wordWrap w:val="0"/>
              <w:jc w:val="center"/>
              <w:rPr>
                <w:rFonts w:ascii="宋体" w:hAnsi="宋体" w:cs="宋体"/>
                <w:b/>
                <w:color w:val="auto"/>
                <w:sz w:val="28"/>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37EC7DC7">
            <w:pPr>
              <w:wordWrap w:val="0"/>
              <w:jc w:val="center"/>
              <w:rPr>
                <w:rFonts w:ascii="宋体" w:hAnsi="宋体" w:cs="宋体"/>
                <w:b/>
                <w:color w:val="auto"/>
                <w:sz w:val="28"/>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04F4EA5A">
            <w:pPr>
              <w:wordWrap w:val="0"/>
              <w:jc w:val="center"/>
              <w:rPr>
                <w:rFonts w:ascii="宋体" w:hAnsi="宋体" w:cs="宋体"/>
                <w:b/>
                <w:color w:val="auto"/>
                <w:sz w:val="28"/>
                <w:highlight w:val="none"/>
              </w:rPr>
            </w:pPr>
          </w:p>
        </w:tc>
        <w:tc>
          <w:tcPr>
            <w:tcW w:w="842" w:type="dxa"/>
            <w:tcBorders>
              <w:top w:val="single" w:color="auto" w:sz="4" w:space="0"/>
              <w:left w:val="single" w:color="auto" w:sz="4" w:space="0"/>
              <w:bottom w:val="single" w:color="auto" w:sz="4" w:space="0"/>
              <w:right w:val="single" w:color="auto" w:sz="4" w:space="0"/>
            </w:tcBorders>
            <w:noWrap w:val="0"/>
            <w:vAlign w:val="top"/>
          </w:tcPr>
          <w:p w14:paraId="16950070">
            <w:pPr>
              <w:wordWrap w:val="0"/>
              <w:jc w:val="center"/>
              <w:rPr>
                <w:rFonts w:ascii="宋体" w:hAnsi="宋体" w:cs="宋体"/>
                <w:b/>
                <w:color w:val="auto"/>
                <w:sz w:val="28"/>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top"/>
          </w:tcPr>
          <w:p w14:paraId="478CDC9B">
            <w:pPr>
              <w:wordWrap w:val="0"/>
              <w:jc w:val="center"/>
              <w:rPr>
                <w:rFonts w:ascii="宋体" w:hAnsi="宋体" w:cs="宋体"/>
                <w:b/>
                <w:color w:val="auto"/>
                <w:sz w:val="28"/>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top"/>
          </w:tcPr>
          <w:p w14:paraId="6ADFBA3B">
            <w:pPr>
              <w:wordWrap w:val="0"/>
              <w:jc w:val="center"/>
              <w:rPr>
                <w:rFonts w:ascii="宋体" w:hAnsi="宋体" w:cs="宋体"/>
                <w:b/>
                <w:color w:val="auto"/>
                <w:sz w:val="28"/>
                <w:highlight w:val="none"/>
              </w:rPr>
            </w:pPr>
          </w:p>
        </w:tc>
      </w:tr>
      <w:tr w14:paraId="47122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top"/>
          </w:tcPr>
          <w:p w14:paraId="2AB392AD">
            <w:pPr>
              <w:wordWrap w:val="0"/>
              <w:jc w:val="center"/>
              <w:rPr>
                <w:rFonts w:ascii="宋体" w:hAnsi="宋体" w:cs="宋体"/>
                <w:b/>
                <w:color w:val="auto"/>
                <w:sz w:val="28"/>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263AF421">
            <w:pPr>
              <w:wordWrap w:val="0"/>
              <w:jc w:val="center"/>
              <w:rPr>
                <w:rFonts w:ascii="宋体" w:hAnsi="宋体" w:cs="宋体"/>
                <w:b/>
                <w:color w:val="auto"/>
                <w:sz w:val="2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381D7C20">
            <w:pPr>
              <w:wordWrap w:val="0"/>
              <w:jc w:val="center"/>
              <w:rPr>
                <w:rFonts w:ascii="宋体" w:hAnsi="宋体" w:cs="宋体"/>
                <w:b/>
                <w:color w:val="auto"/>
                <w:sz w:val="28"/>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6623FE0B">
            <w:pPr>
              <w:wordWrap w:val="0"/>
              <w:jc w:val="center"/>
              <w:rPr>
                <w:rFonts w:ascii="宋体" w:hAnsi="宋体" w:cs="宋体"/>
                <w:b/>
                <w:color w:val="auto"/>
                <w:sz w:val="28"/>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6B44D819">
            <w:pPr>
              <w:wordWrap w:val="0"/>
              <w:jc w:val="center"/>
              <w:rPr>
                <w:rFonts w:ascii="宋体" w:hAnsi="宋体" w:cs="宋体"/>
                <w:b/>
                <w:color w:val="auto"/>
                <w:sz w:val="28"/>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5C3685F5">
            <w:pPr>
              <w:wordWrap w:val="0"/>
              <w:jc w:val="center"/>
              <w:rPr>
                <w:rFonts w:ascii="宋体" w:hAnsi="宋体" w:cs="宋体"/>
                <w:b/>
                <w:color w:val="auto"/>
                <w:sz w:val="28"/>
                <w:highlight w:val="none"/>
              </w:rPr>
            </w:pPr>
          </w:p>
        </w:tc>
        <w:tc>
          <w:tcPr>
            <w:tcW w:w="842" w:type="dxa"/>
            <w:tcBorders>
              <w:top w:val="single" w:color="auto" w:sz="4" w:space="0"/>
              <w:left w:val="single" w:color="auto" w:sz="4" w:space="0"/>
              <w:bottom w:val="single" w:color="auto" w:sz="4" w:space="0"/>
              <w:right w:val="single" w:color="auto" w:sz="4" w:space="0"/>
            </w:tcBorders>
            <w:noWrap w:val="0"/>
            <w:vAlign w:val="top"/>
          </w:tcPr>
          <w:p w14:paraId="0A33C446">
            <w:pPr>
              <w:wordWrap w:val="0"/>
              <w:jc w:val="center"/>
              <w:rPr>
                <w:rFonts w:ascii="宋体" w:hAnsi="宋体" w:cs="宋体"/>
                <w:b/>
                <w:color w:val="auto"/>
                <w:sz w:val="28"/>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top"/>
          </w:tcPr>
          <w:p w14:paraId="4A38F54F">
            <w:pPr>
              <w:wordWrap w:val="0"/>
              <w:jc w:val="center"/>
              <w:rPr>
                <w:rFonts w:ascii="宋体" w:hAnsi="宋体" w:cs="宋体"/>
                <w:b/>
                <w:color w:val="auto"/>
                <w:sz w:val="28"/>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top"/>
          </w:tcPr>
          <w:p w14:paraId="2ACFF541">
            <w:pPr>
              <w:wordWrap w:val="0"/>
              <w:jc w:val="center"/>
              <w:rPr>
                <w:rFonts w:ascii="宋体" w:hAnsi="宋体" w:cs="宋体"/>
                <w:b/>
                <w:color w:val="auto"/>
                <w:sz w:val="28"/>
                <w:highlight w:val="none"/>
              </w:rPr>
            </w:pPr>
          </w:p>
        </w:tc>
      </w:tr>
      <w:tr w14:paraId="00992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top"/>
          </w:tcPr>
          <w:p w14:paraId="23EC9A81">
            <w:pPr>
              <w:wordWrap w:val="0"/>
              <w:jc w:val="center"/>
              <w:rPr>
                <w:rFonts w:ascii="宋体" w:hAnsi="宋体" w:cs="宋体"/>
                <w:b/>
                <w:color w:val="auto"/>
                <w:sz w:val="28"/>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41AF8781">
            <w:pPr>
              <w:wordWrap w:val="0"/>
              <w:jc w:val="center"/>
              <w:rPr>
                <w:rFonts w:ascii="宋体" w:hAnsi="宋体" w:cs="宋体"/>
                <w:b/>
                <w:color w:val="auto"/>
                <w:sz w:val="2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075DF81E">
            <w:pPr>
              <w:wordWrap w:val="0"/>
              <w:jc w:val="center"/>
              <w:rPr>
                <w:rFonts w:ascii="宋体" w:hAnsi="宋体" w:cs="宋体"/>
                <w:b/>
                <w:color w:val="auto"/>
                <w:sz w:val="28"/>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2D4B4C98">
            <w:pPr>
              <w:wordWrap w:val="0"/>
              <w:jc w:val="center"/>
              <w:rPr>
                <w:rFonts w:ascii="宋体" w:hAnsi="宋体" w:cs="宋体"/>
                <w:b/>
                <w:color w:val="auto"/>
                <w:sz w:val="28"/>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2E1BC4BC">
            <w:pPr>
              <w:wordWrap w:val="0"/>
              <w:jc w:val="center"/>
              <w:rPr>
                <w:rFonts w:ascii="宋体" w:hAnsi="宋体" w:cs="宋体"/>
                <w:b/>
                <w:color w:val="auto"/>
                <w:sz w:val="28"/>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4F6DA513">
            <w:pPr>
              <w:wordWrap w:val="0"/>
              <w:jc w:val="center"/>
              <w:rPr>
                <w:rFonts w:ascii="宋体" w:hAnsi="宋体" w:cs="宋体"/>
                <w:b/>
                <w:color w:val="auto"/>
                <w:sz w:val="28"/>
                <w:highlight w:val="none"/>
              </w:rPr>
            </w:pPr>
          </w:p>
        </w:tc>
        <w:tc>
          <w:tcPr>
            <w:tcW w:w="842" w:type="dxa"/>
            <w:tcBorders>
              <w:top w:val="single" w:color="auto" w:sz="4" w:space="0"/>
              <w:left w:val="single" w:color="auto" w:sz="4" w:space="0"/>
              <w:bottom w:val="single" w:color="auto" w:sz="4" w:space="0"/>
              <w:right w:val="single" w:color="auto" w:sz="4" w:space="0"/>
            </w:tcBorders>
            <w:noWrap w:val="0"/>
            <w:vAlign w:val="top"/>
          </w:tcPr>
          <w:p w14:paraId="57F54127">
            <w:pPr>
              <w:wordWrap w:val="0"/>
              <w:jc w:val="center"/>
              <w:rPr>
                <w:rFonts w:ascii="宋体" w:hAnsi="宋体" w:cs="宋体"/>
                <w:b/>
                <w:color w:val="auto"/>
                <w:sz w:val="28"/>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top"/>
          </w:tcPr>
          <w:p w14:paraId="6DCB885F">
            <w:pPr>
              <w:wordWrap w:val="0"/>
              <w:jc w:val="center"/>
              <w:rPr>
                <w:rFonts w:ascii="宋体" w:hAnsi="宋体" w:cs="宋体"/>
                <w:b/>
                <w:color w:val="auto"/>
                <w:sz w:val="28"/>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top"/>
          </w:tcPr>
          <w:p w14:paraId="570645AD">
            <w:pPr>
              <w:wordWrap w:val="0"/>
              <w:jc w:val="center"/>
              <w:rPr>
                <w:rFonts w:ascii="宋体" w:hAnsi="宋体" w:cs="宋体"/>
                <w:b/>
                <w:color w:val="auto"/>
                <w:sz w:val="28"/>
                <w:highlight w:val="none"/>
              </w:rPr>
            </w:pPr>
          </w:p>
        </w:tc>
      </w:tr>
      <w:tr w14:paraId="526B4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top"/>
          </w:tcPr>
          <w:p w14:paraId="0BFCDC8E">
            <w:pPr>
              <w:wordWrap w:val="0"/>
              <w:jc w:val="center"/>
              <w:rPr>
                <w:rFonts w:ascii="宋体" w:hAnsi="宋体" w:cs="宋体"/>
                <w:b/>
                <w:color w:val="auto"/>
                <w:sz w:val="28"/>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2AF69A75">
            <w:pPr>
              <w:wordWrap w:val="0"/>
              <w:jc w:val="center"/>
              <w:rPr>
                <w:rFonts w:ascii="宋体" w:hAnsi="宋体" w:cs="宋体"/>
                <w:b/>
                <w:color w:val="auto"/>
                <w:sz w:val="2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487AE470">
            <w:pPr>
              <w:wordWrap w:val="0"/>
              <w:jc w:val="center"/>
              <w:rPr>
                <w:rFonts w:ascii="宋体" w:hAnsi="宋体" w:cs="宋体"/>
                <w:b/>
                <w:color w:val="auto"/>
                <w:sz w:val="28"/>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6D805EF3">
            <w:pPr>
              <w:wordWrap w:val="0"/>
              <w:jc w:val="center"/>
              <w:rPr>
                <w:rFonts w:ascii="宋体" w:hAnsi="宋体" w:cs="宋体"/>
                <w:b/>
                <w:color w:val="auto"/>
                <w:sz w:val="28"/>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1258ED37">
            <w:pPr>
              <w:wordWrap w:val="0"/>
              <w:jc w:val="center"/>
              <w:rPr>
                <w:rFonts w:ascii="宋体" w:hAnsi="宋体" w:cs="宋体"/>
                <w:b/>
                <w:color w:val="auto"/>
                <w:sz w:val="28"/>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7F35D223">
            <w:pPr>
              <w:wordWrap w:val="0"/>
              <w:jc w:val="center"/>
              <w:rPr>
                <w:rFonts w:ascii="宋体" w:hAnsi="宋体" w:cs="宋体"/>
                <w:b/>
                <w:color w:val="auto"/>
                <w:sz w:val="28"/>
                <w:highlight w:val="none"/>
              </w:rPr>
            </w:pPr>
          </w:p>
        </w:tc>
        <w:tc>
          <w:tcPr>
            <w:tcW w:w="842" w:type="dxa"/>
            <w:tcBorders>
              <w:top w:val="single" w:color="auto" w:sz="4" w:space="0"/>
              <w:left w:val="single" w:color="auto" w:sz="4" w:space="0"/>
              <w:bottom w:val="single" w:color="auto" w:sz="4" w:space="0"/>
              <w:right w:val="single" w:color="auto" w:sz="4" w:space="0"/>
            </w:tcBorders>
            <w:noWrap w:val="0"/>
            <w:vAlign w:val="top"/>
          </w:tcPr>
          <w:p w14:paraId="30D25E48">
            <w:pPr>
              <w:wordWrap w:val="0"/>
              <w:jc w:val="center"/>
              <w:rPr>
                <w:rFonts w:ascii="宋体" w:hAnsi="宋体" w:cs="宋体"/>
                <w:b/>
                <w:color w:val="auto"/>
                <w:sz w:val="28"/>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top"/>
          </w:tcPr>
          <w:p w14:paraId="1819C5FC">
            <w:pPr>
              <w:wordWrap w:val="0"/>
              <w:jc w:val="center"/>
              <w:rPr>
                <w:rFonts w:ascii="宋体" w:hAnsi="宋体" w:cs="宋体"/>
                <w:b/>
                <w:color w:val="auto"/>
                <w:sz w:val="28"/>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top"/>
          </w:tcPr>
          <w:p w14:paraId="5ACC413F">
            <w:pPr>
              <w:wordWrap w:val="0"/>
              <w:jc w:val="center"/>
              <w:rPr>
                <w:rFonts w:ascii="宋体" w:hAnsi="宋体" w:cs="宋体"/>
                <w:b/>
                <w:color w:val="auto"/>
                <w:sz w:val="28"/>
                <w:highlight w:val="none"/>
              </w:rPr>
            </w:pPr>
          </w:p>
        </w:tc>
      </w:tr>
      <w:tr w14:paraId="327E5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top"/>
          </w:tcPr>
          <w:p w14:paraId="4F6B57AE">
            <w:pPr>
              <w:wordWrap w:val="0"/>
              <w:jc w:val="center"/>
              <w:rPr>
                <w:rFonts w:ascii="宋体" w:hAnsi="宋体" w:cs="宋体"/>
                <w:b/>
                <w:color w:val="auto"/>
                <w:sz w:val="28"/>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39A7F342">
            <w:pPr>
              <w:wordWrap w:val="0"/>
              <w:jc w:val="center"/>
              <w:rPr>
                <w:rFonts w:ascii="宋体" w:hAnsi="宋体" w:cs="宋体"/>
                <w:b/>
                <w:color w:val="auto"/>
                <w:sz w:val="28"/>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69FF36AD">
            <w:pPr>
              <w:wordWrap w:val="0"/>
              <w:jc w:val="center"/>
              <w:rPr>
                <w:rFonts w:ascii="宋体" w:hAnsi="宋体" w:cs="宋体"/>
                <w:b/>
                <w:color w:val="auto"/>
                <w:sz w:val="28"/>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709044E1">
            <w:pPr>
              <w:wordWrap w:val="0"/>
              <w:jc w:val="center"/>
              <w:rPr>
                <w:rFonts w:ascii="宋体" w:hAnsi="宋体" w:cs="宋体"/>
                <w:b/>
                <w:color w:val="auto"/>
                <w:sz w:val="28"/>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234451FB">
            <w:pPr>
              <w:wordWrap w:val="0"/>
              <w:jc w:val="center"/>
              <w:rPr>
                <w:rFonts w:ascii="宋体" w:hAnsi="宋体" w:cs="宋体"/>
                <w:b/>
                <w:color w:val="auto"/>
                <w:sz w:val="28"/>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7627CA9C">
            <w:pPr>
              <w:wordWrap w:val="0"/>
              <w:jc w:val="center"/>
              <w:rPr>
                <w:rFonts w:ascii="宋体" w:hAnsi="宋体" w:cs="宋体"/>
                <w:b/>
                <w:color w:val="auto"/>
                <w:sz w:val="28"/>
                <w:highlight w:val="none"/>
              </w:rPr>
            </w:pPr>
          </w:p>
        </w:tc>
        <w:tc>
          <w:tcPr>
            <w:tcW w:w="842" w:type="dxa"/>
            <w:tcBorders>
              <w:top w:val="single" w:color="auto" w:sz="4" w:space="0"/>
              <w:left w:val="single" w:color="auto" w:sz="4" w:space="0"/>
              <w:bottom w:val="single" w:color="auto" w:sz="4" w:space="0"/>
              <w:right w:val="single" w:color="auto" w:sz="4" w:space="0"/>
            </w:tcBorders>
            <w:noWrap w:val="0"/>
            <w:vAlign w:val="top"/>
          </w:tcPr>
          <w:p w14:paraId="793FA7A4">
            <w:pPr>
              <w:wordWrap w:val="0"/>
              <w:jc w:val="center"/>
              <w:rPr>
                <w:rFonts w:ascii="宋体" w:hAnsi="宋体" w:cs="宋体"/>
                <w:b/>
                <w:color w:val="auto"/>
                <w:sz w:val="28"/>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top"/>
          </w:tcPr>
          <w:p w14:paraId="2226D569">
            <w:pPr>
              <w:wordWrap w:val="0"/>
              <w:jc w:val="center"/>
              <w:rPr>
                <w:rFonts w:ascii="宋体" w:hAnsi="宋体" w:cs="宋体"/>
                <w:b/>
                <w:color w:val="auto"/>
                <w:sz w:val="28"/>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top"/>
          </w:tcPr>
          <w:p w14:paraId="4FFD6EFC">
            <w:pPr>
              <w:wordWrap w:val="0"/>
              <w:jc w:val="center"/>
              <w:rPr>
                <w:rFonts w:ascii="宋体" w:hAnsi="宋体" w:cs="宋体"/>
                <w:b/>
                <w:color w:val="auto"/>
                <w:sz w:val="28"/>
                <w:highlight w:val="none"/>
              </w:rPr>
            </w:pPr>
          </w:p>
        </w:tc>
      </w:tr>
      <w:tr w14:paraId="059BE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8718" w:type="dxa"/>
            <w:gridSpan w:val="9"/>
            <w:tcBorders>
              <w:top w:val="single" w:color="auto" w:sz="4" w:space="0"/>
              <w:left w:val="single" w:color="auto" w:sz="4" w:space="0"/>
              <w:bottom w:val="single" w:color="auto" w:sz="4" w:space="0"/>
              <w:right w:val="single" w:color="auto" w:sz="4" w:space="0"/>
            </w:tcBorders>
            <w:noWrap w:val="0"/>
            <w:vAlign w:val="center"/>
          </w:tcPr>
          <w:p w14:paraId="7095318D">
            <w:pPr>
              <w:wordWrap w:val="0"/>
              <w:ind w:firstLine="422" w:firstLineChars="200"/>
              <w:rPr>
                <w:rFonts w:ascii="宋体" w:hAnsi="宋体" w:cs="宋体"/>
                <w:b/>
                <w:color w:val="auto"/>
                <w:highlight w:val="none"/>
              </w:rPr>
            </w:pPr>
            <w:r>
              <w:rPr>
                <w:rFonts w:hint="eastAsia" w:ascii="宋体" w:hAnsi="宋体" w:cs="宋体"/>
                <w:b/>
                <w:color w:val="auto"/>
                <w:highlight w:val="none"/>
              </w:rPr>
              <w:t>一旦我方成交（中标），将实行项目经理负责制，并配备上述项目管理机构。我方保证上述填报内容真实，若不真实，愿按有关规定接受处理。项目管理班子机构设置、职责分工等情况另附资料说明。</w:t>
            </w:r>
          </w:p>
        </w:tc>
      </w:tr>
    </w:tbl>
    <w:p w14:paraId="6A562C44">
      <w:pPr>
        <w:wordWrap w:val="0"/>
        <w:spacing w:line="480" w:lineRule="exact"/>
        <w:rPr>
          <w:rFonts w:ascii="宋体" w:hAnsi="宋体" w:cs="宋体"/>
          <w:b/>
          <w:color w:val="auto"/>
          <w:highlight w:val="none"/>
        </w:rPr>
      </w:pPr>
      <w:r>
        <w:rPr>
          <w:rFonts w:hint="eastAsia" w:ascii="宋体" w:hAnsi="宋体" w:cs="宋体"/>
          <w:b/>
          <w:color w:val="auto"/>
          <w:highlight w:val="none"/>
        </w:rPr>
        <w:t>注：本表至少包括项目经理、项目技术负责人、施工员、质量员、安全员等关键岗位人员。</w:t>
      </w:r>
    </w:p>
    <w:p w14:paraId="6FAA0256">
      <w:pPr>
        <w:wordWrap w:val="0"/>
        <w:spacing w:line="480" w:lineRule="auto"/>
        <w:jc w:val="center"/>
        <w:rPr>
          <w:rFonts w:ascii="宋体" w:hAnsi="宋体" w:cs="宋体"/>
          <w:b/>
          <w:color w:val="auto"/>
          <w:sz w:val="28"/>
          <w:szCs w:val="28"/>
          <w:highlight w:val="none"/>
        </w:rPr>
      </w:pPr>
    </w:p>
    <w:p w14:paraId="0639F069">
      <w:pPr>
        <w:wordWrap w:val="0"/>
        <w:spacing w:line="480" w:lineRule="auto"/>
        <w:jc w:val="center"/>
        <w:rPr>
          <w:rFonts w:ascii="宋体" w:hAnsi="宋体" w:cs="宋体"/>
          <w:b/>
          <w:color w:val="auto"/>
          <w:sz w:val="28"/>
          <w:szCs w:val="28"/>
          <w:highlight w:val="none"/>
        </w:rPr>
      </w:pPr>
    </w:p>
    <w:p w14:paraId="5FE87AD9">
      <w:pPr>
        <w:wordWrap w:val="0"/>
        <w:spacing w:line="480" w:lineRule="auto"/>
        <w:jc w:val="center"/>
        <w:rPr>
          <w:rFonts w:ascii="宋体" w:hAnsi="宋体" w:cs="宋体"/>
          <w:b/>
          <w:color w:val="auto"/>
          <w:sz w:val="28"/>
          <w:szCs w:val="28"/>
          <w:highlight w:val="none"/>
        </w:rPr>
      </w:pPr>
    </w:p>
    <w:p w14:paraId="0AF79F5F">
      <w:pPr>
        <w:wordWrap w:val="0"/>
        <w:spacing w:line="480" w:lineRule="auto"/>
        <w:jc w:val="center"/>
        <w:rPr>
          <w:rFonts w:ascii="宋体" w:hAnsi="宋体" w:cs="宋体"/>
          <w:b/>
          <w:color w:val="auto"/>
          <w:sz w:val="28"/>
          <w:szCs w:val="28"/>
          <w:highlight w:val="none"/>
        </w:rPr>
      </w:pPr>
    </w:p>
    <w:p w14:paraId="7AE1B8C4">
      <w:pPr>
        <w:wordWrap w:val="0"/>
        <w:jc w:val="center"/>
        <w:rPr>
          <w:rFonts w:ascii="宋体" w:hAnsi="宋体" w:cs="宋体"/>
          <w:b/>
          <w:color w:val="auto"/>
          <w:sz w:val="27"/>
          <w:highlight w:val="none"/>
        </w:rPr>
      </w:pPr>
      <w:r>
        <w:rPr>
          <w:rFonts w:hint="eastAsia" w:ascii="宋体" w:hAnsi="宋体" w:cs="宋体"/>
          <w:b/>
          <w:color w:val="auto"/>
          <w:sz w:val="27"/>
          <w:highlight w:val="none"/>
        </w:rPr>
        <w:t>（2）主要人员简历表</w:t>
      </w:r>
    </w:p>
    <w:tbl>
      <w:tblPr>
        <w:tblStyle w:val="51"/>
        <w:tblpPr w:leftFromText="180" w:rightFromText="180" w:vertAnchor="text" w:tblpY="1"/>
        <w:tblOverlap w:val="never"/>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459"/>
        <w:gridCol w:w="540"/>
        <w:gridCol w:w="1602"/>
      </w:tblGrid>
      <w:tr w14:paraId="28BC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9" w:type="pct"/>
            <w:noWrap w:val="0"/>
            <w:vAlign w:val="center"/>
          </w:tcPr>
          <w:p w14:paraId="0D0D0840">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姓名</w:t>
            </w:r>
          </w:p>
        </w:tc>
        <w:tc>
          <w:tcPr>
            <w:tcW w:w="719" w:type="pct"/>
            <w:noWrap w:val="0"/>
            <w:vAlign w:val="center"/>
          </w:tcPr>
          <w:p w14:paraId="686BEEF1">
            <w:pPr>
              <w:spacing w:line="360" w:lineRule="auto"/>
              <w:jc w:val="center"/>
              <w:rPr>
                <w:rFonts w:ascii="宋体" w:hAnsi="宋体"/>
                <w:color w:val="auto"/>
                <w:sz w:val="24"/>
                <w:szCs w:val="24"/>
                <w:highlight w:val="none"/>
              </w:rPr>
            </w:pPr>
          </w:p>
        </w:tc>
        <w:tc>
          <w:tcPr>
            <w:tcW w:w="719" w:type="pct"/>
            <w:noWrap w:val="0"/>
            <w:vAlign w:val="center"/>
          </w:tcPr>
          <w:p w14:paraId="26A7F2A9">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年龄</w:t>
            </w:r>
          </w:p>
        </w:tc>
        <w:tc>
          <w:tcPr>
            <w:tcW w:w="719" w:type="pct"/>
            <w:noWrap w:val="0"/>
            <w:vAlign w:val="center"/>
          </w:tcPr>
          <w:p w14:paraId="2A6D1275">
            <w:pPr>
              <w:spacing w:line="360" w:lineRule="auto"/>
              <w:jc w:val="center"/>
              <w:rPr>
                <w:rFonts w:ascii="宋体" w:hAnsi="宋体"/>
                <w:color w:val="auto"/>
                <w:sz w:val="24"/>
                <w:szCs w:val="24"/>
                <w:highlight w:val="none"/>
              </w:rPr>
            </w:pPr>
          </w:p>
        </w:tc>
        <w:tc>
          <w:tcPr>
            <w:tcW w:w="1179" w:type="pct"/>
            <w:gridSpan w:val="2"/>
            <w:noWrap w:val="0"/>
            <w:vAlign w:val="center"/>
          </w:tcPr>
          <w:p w14:paraId="27DD8733">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学历</w:t>
            </w:r>
          </w:p>
        </w:tc>
        <w:tc>
          <w:tcPr>
            <w:tcW w:w="945" w:type="pct"/>
            <w:noWrap w:val="0"/>
            <w:vAlign w:val="center"/>
          </w:tcPr>
          <w:p w14:paraId="24B2C326">
            <w:pPr>
              <w:spacing w:line="360" w:lineRule="auto"/>
              <w:jc w:val="center"/>
              <w:rPr>
                <w:rFonts w:ascii="宋体" w:hAnsi="宋体"/>
                <w:color w:val="auto"/>
                <w:sz w:val="24"/>
                <w:szCs w:val="24"/>
                <w:highlight w:val="none"/>
              </w:rPr>
            </w:pPr>
          </w:p>
        </w:tc>
      </w:tr>
      <w:tr w14:paraId="023C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9" w:type="pct"/>
            <w:noWrap w:val="0"/>
            <w:vAlign w:val="center"/>
          </w:tcPr>
          <w:p w14:paraId="6D645F75">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职称</w:t>
            </w:r>
          </w:p>
        </w:tc>
        <w:tc>
          <w:tcPr>
            <w:tcW w:w="719" w:type="pct"/>
            <w:noWrap w:val="0"/>
            <w:vAlign w:val="center"/>
          </w:tcPr>
          <w:p w14:paraId="3E9036BB">
            <w:pPr>
              <w:rPr>
                <w:rFonts w:ascii="宋体" w:hAnsi="宋体"/>
                <w:color w:val="auto"/>
                <w:sz w:val="24"/>
                <w:szCs w:val="24"/>
                <w:highlight w:val="none"/>
              </w:rPr>
            </w:pPr>
          </w:p>
        </w:tc>
        <w:tc>
          <w:tcPr>
            <w:tcW w:w="719" w:type="pct"/>
            <w:noWrap w:val="0"/>
            <w:vAlign w:val="center"/>
          </w:tcPr>
          <w:p w14:paraId="65F66B65">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职务</w:t>
            </w:r>
          </w:p>
        </w:tc>
        <w:tc>
          <w:tcPr>
            <w:tcW w:w="719" w:type="pct"/>
            <w:noWrap w:val="0"/>
            <w:vAlign w:val="center"/>
          </w:tcPr>
          <w:p w14:paraId="27968EC7">
            <w:pPr>
              <w:spacing w:line="360" w:lineRule="auto"/>
              <w:jc w:val="center"/>
              <w:rPr>
                <w:rFonts w:ascii="宋体" w:hAnsi="宋体"/>
                <w:color w:val="auto"/>
                <w:sz w:val="24"/>
                <w:szCs w:val="24"/>
                <w:highlight w:val="none"/>
              </w:rPr>
            </w:pPr>
          </w:p>
        </w:tc>
        <w:tc>
          <w:tcPr>
            <w:tcW w:w="1179" w:type="pct"/>
            <w:gridSpan w:val="2"/>
            <w:noWrap w:val="0"/>
            <w:vAlign w:val="center"/>
          </w:tcPr>
          <w:p w14:paraId="5BA53716">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拟在本项目任职</w:t>
            </w:r>
          </w:p>
        </w:tc>
        <w:tc>
          <w:tcPr>
            <w:tcW w:w="945" w:type="pct"/>
            <w:noWrap w:val="0"/>
            <w:vAlign w:val="center"/>
          </w:tcPr>
          <w:p w14:paraId="075699FE">
            <w:pPr>
              <w:spacing w:line="360" w:lineRule="auto"/>
              <w:jc w:val="center"/>
              <w:rPr>
                <w:rFonts w:ascii="宋体" w:hAnsi="宋体"/>
                <w:color w:val="auto"/>
                <w:sz w:val="24"/>
                <w:szCs w:val="24"/>
                <w:highlight w:val="none"/>
              </w:rPr>
            </w:pPr>
          </w:p>
        </w:tc>
      </w:tr>
      <w:tr w14:paraId="58E1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9" w:type="pct"/>
            <w:noWrap w:val="0"/>
            <w:vAlign w:val="center"/>
          </w:tcPr>
          <w:p w14:paraId="3F11A3BA">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毕业学校</w:t>
            </w:r>
          </w:p>
        </w:tc>
        <w:tc>
          <w:tcPr>
            <w:tcW w:w="4281" w:type="pct"/>
            <w:gridSpan w:val="6"/>
            <w:noWrap w:val="0"/>
            <w:vAlign w:val="center"/>
          </w:tcPr>
          <w:p w14:paraId="7C011074">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年毕业于                  学校            专业</w:t>
            </w:r>
          </w:p>
        </w:tc>
      </w:tr>
      <w:tr w14:paraId="2746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7"/>
            <w:noWrap w:val="0"/>
            <w:vAlign w:val="center"/>
          </w:tcPr>
          <w:p w14:paraId="5067B512">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主要工作经历</w:t>
            </w:r>
          </w:p>
        </w:tc>
      </w:tr>
      <w:tr w14:paraId="2B92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9" w:type="pct"/>
            <w:noWrap w:val="0"/>
            <w:vAlign w:val="center"/>
          </w:tcPr>
          <w:p w14:paraId="198729DD">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时间</w:t>
            </w:r>
          </w:p>
        </w:tc>
        <w:tc>
          <w:tcPr>
            <w:tcW w:w="2157" w:type="pct"/>
            <w:gridSpan w:val="3"/>
            <w:noWrap w:val="0"/>
            <w:vAlign w:val="center"/>
          </w:tcPr>
          <w:p w14:paraId="374D47CD">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参加过的项目</w:t>
            </w:r>
          </w:p>
        </w:tc>
        <w:tc>
          <w:tcPr>
            <w:tcW w:w="861" w:type="pct"/>
            <w:noWrap w:val="0"/>
            <w:vAlign w:val="center"/>
          </w:tcPr>
          <w:p w14:paraId="723BED51">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担任职务</w:t>
            </w:r>
          </w:p>
        </w:tc>
        <w:tc>
          <w:tcPr>
            <w:tcW w:w="1263" w:type="pct"/>
            <w:gridSpan w:val="2"/>
            <w:noWrap w:val="0"/>
            <w:vAlign w:val="center"/>
          </w:tcPr>
          <w:p w14:paraId="04F4A8E3">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发包人及联系电话</w:t>
            </w:r>
          </w:p>
        </w:tc>
      </w:tr>
      <w:tr w14:paraId="2539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9" w:type="pct"/>
            <w:noWrap w:val="0"/>
            <w:vAlign w:val="center"/>
          </w:tcPr>
          <w:p w14:paraId="7AB23D94">
            <w:pPr>
              <w:spacing w:line="360" w:lineRule="auto"/>
              <w:jc w:val="center"/>
              <w:rPr>
                <w:rFonts w:ascii="宋体" w:hAnsi="宋体"/>
                <w:color w:val="auto"/>
                <w:sz w:val="24"/>
                <w:szCs w:val="24"/>
                <w:highlight w:val="none"/>
              </w:rPr>
            </w:pPr>
          </w:p>
        </w:tc>
        <w:tc>
          <w:tcPr>
            <w:tcW w:w="2157" w:type="pct"/>
            <w:gridSpan w:val="3"/>
            <w:noWrap w:val="0"/>
            <w:vAlign w:val="center"/>
          </w:tcPr>
          <w:p w14:paraId="0EA52A63">
            <w:pPr>
              <w:spacing w:line="360" w:lineRule="auto"/>
              <w:jc w:val="center"/>
              <w:rPr>
                <w:rFonts w:ascii="宋体" w:hAnsi="宋体"/>
                <w:color w:val="auto"/>
                <w:sz w:val="24"/>
                <w:szCs w:val="24"/>
                <w:highlight w:val="none"/>
              </w:rPr>
            </w:pPr>
          </w:p>
        </w:tc>
        <w:tc>
          <w:tcPr>
            <w:tcW w:w="861" w:type="pct"/>
            <w:noWrap w:val="0"/>
            <w:vAlign w:val="center"/>
          </w:tcPr>
          <w:p w14:paraId="39D215E3">
            <w:pPr>
              <w:spacing w:line="360" w:lineRule="auto"/>
              <w:jc w:val="center"/>
              <w:rPr>
                <w:rFonts w:ascii="宋体" w:hAnsi="宋体"/>
                <w:color w:val="auto"/>
                <w:sz w:val="24"/>
                <w:szCs w:val="24"/>
                <w:highlight w:val="none"/>
              </w:rPr>
            </w:pPr>
          </w:p>
        </w:tc>
        <w:tc>
          <w:tcPr>
            <w:tcW w:w="1263" w:type="pct"/>
            <w:gridSpan w:val="2"/>
            <w:noWrap w:val="0"/>
            <w:vAlign w:val="center"/>
          </w:tcPr>
          <w:p w14:paraId="7A6F37AB">
            <w:pPr>
              <w:spacing w:line="360" w:lineRule="auto"/>
              <w:jc w:val="center"/>
              <w:rPr>
                <w:rFonts w:ascii="宋体" w:hAnsi="宋体"/>
                <w:color w:val="auto"/>
                <w:sz w:val="24"/>
                <w:szCs w:val="24"/>
                <w:highlight w:val="none"/>
              </w:rPr>
            </w:pPr>
          </w:p>
        </w:tc>
      </w:tr>
      <w:tr w14:paraId="2793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9" w:type="pct"/>
            <w:noWrap w:val="0"/>
            <w:vAlign w:val="center"/>
          </w:tcPr>
          <w:p w14:paraId="74A9EC7A">
            <w:pPr>
              <w:spacing w:line="360" w:lineRule="auto"/>
              <w:jc w:val="center"/>
              <w:rPr>
                <w:rFonts w:ascii="宋体" w:hAnsi="宋体"/>
                <w:color w:val="auto"/>
                <w:sz w:val="24"/>
                <w:szCs w:val="24"/>
                <w:highlight w:val="none"/>
              </w:rPr>
            </w:pPr>
          </w:p>
        </w:tc>
        <w:tc>
          <w:tcPr>
            <w:tcW w:w="2157" w:type="pct"/>
            <w:gridSpan w:val="3"/>
            <w:noWrap w:val="0"/>
            <w:vAlign w:val="center"/>
          </w:tcPr>
          <w:p w14:paraId="2495819C">
            <w:pPr>
              <w:spacing w:line="360" w:lineRule="auto"/>
              <w:jc w:val="center"/>
              <w:rPr>
                <w:rFonts w:ascii="宋体" w:hAnsi="宋体"/>
                <w:color w:val="auto"/>
                <w:sz w:val="24"/>
                <w:szCs w:val="24"/>
                <w:highlight w:val="none"/>
              </w:rPr>
            </w:pPr>
          </w:p>
        </w:tc>
        <w:tc>
          <w:tcPr>
            <w:tcW w:w="861" w:type="pct"/>
            <w:noWrap w:val="0"/>
            <w:vAlign w:val="center"/>
          </w:tcPr>
          <w:p w14:paraId="0C1D59AA">
            <w:pPr>
              <w:spacing w:line="360" w:lineRule="auto"/>
              <w:jc w:val="center"/>
              <w:rPr>
                <w:rFonts w:ascii="宋体" w:hAnsi="宋体"/>
                <w:color w:val="auto"/>
                <w:sz w:val="24"/>
                <w:szCs w:val="24"/>
                <w:highlight w:val="none"/>
              </w:rPr>
            </w:pPr>
          </w:p>
        </w:tc>
        <w:tc>
          <w:tcPr>
            <w:tcW w:w="1263" w:type="pct"/>
            <w:gridSpan w:val="2"/>
            <w:noWrap w:val="0"/>
            <w:vAlign w:val="center"/>
          </w:tcPr>
          <w:p w14:paraId="292DF8CA">
            <w:pPr>
              <w:spacing w:line="360" w:lineRule="auto"/>
              <w:jc w:val="center"/>
              <w:rPr>
                <w:rFonts w:ascii="宋体" w:hAnsi="宋体"/>
                <w:color w:val="auto"/>
                <w:sz w:val="24"/>
                <w:szCs w:val="24"/>
                <w:highlight w:val="none"/>
              </w:rPr>
            </w:pPr>
          </w:p>
        </w:tc>
      </w:tr>
      <w:tr w14:paraId="5A90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9" w:type="pct"/>
            <w:noWrap w:val="0"/>
            <w:vAlign w:val="center"/>
          </w:tcPr>
          <w:p w14:paraId="271D2758">
            <w:pPr>
              <w:spacing w:line="360" w:lineRule="auto"/>
              <w:jc w:val="center"/>
              <w:rPr>
                <w:rFonts w:ascii="宋体" w:hAnsi="宋体"/>
                <w:color w:val="auto"/>
                <w:sz w:val="24"/>
                <w:szCs w:val="24"/>
                <w:highlight w:val="none"/>
              </w:rPr>
            </w:pPr>
          </w:p>
        </w:tc>
        <w:tc>
          <w:tcPr>
            <w:tcW w:w="2157" w:type="pct"/>
            <w:gridSpan w:val="3"/>
            <w:noWrap w:val="0"/>
            <w:vAlign w:val="center"/>
          </w:tcPr>
          <w:p w14:paraId="2F7930BD">
            <w:pPr>
              <w:spacing w:line="360" w:lineRule="auto"/>
              <w:jc w:val="center"/>
              <w:rPr>
                <w:rFonts w:ascii="宋体" w:hAnsi="宋体"/>
                <w:color w:val="auto"/>
                <w:sz w:val="24"/>
                <w:szCs w:val="24"/>
                <w:highlight w:val="none"/>
              </w:rPr>
            </w:pPr>
          </w:p>
        </w:tc>
        <w:tc>
          <w:tcPr>
            <w:tcW w:w="861" w:type="pct"/>
            <w:noWrap w:val="0"/>
            <w:vAlign w:val="center"/>
          </w:tcPr>
          <w:p w14:paraId="4874BBB2">
            <w:pPr>
              <w:spacing w:line="360" w:lineRule="auto"/>
              <w:jc w:val="center"/>
              <w:rPr>
                <w:rFonts w:ascii="宋体" w:hAnsi="宋体"/>
                <w:color w:val="auto"/>
                <w:sz w:val="24"/>
                <w:szCs w:val="24"/>
                <w:highlight w:val="none"/>
              </w:rPr>
            </w:pPr>
          </w:p>
        </w:tc>
        <w:tc>
          <w:tcPr>
            <w:tcW w:w="1263" w:type="pct"/>
            <w:gridSpan w:val="2"/>
            <w:noWrap w:val="0"/>
            <w:vAlign w:val="center"/>
          </w:tcPr>
          <w:p w14:paraId="0AE1DD25">
            <w:pPr>
              <w:spacing w:line="360" w:lineRule="auto"/>
              <w:jc w:val="center"/>
              <w:rPr>
                <w:rFonts w:ascii="宋体" w:hAnsi="宋体"/>
                <w:color w:val="auto"/>
                <w:sz w:val="24"/>
                <w:szCs w:val="24"/>
                <w:highlight w:val="none"/>
              </w:rPr>
            </w:pPr>
          </w:p>
        </w:tc>
      </w:tr>
      <w:tr w14:paraId="4C88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9" w:type="pct"/>
            <w:noWrap w:val="0"/>
            <w:vAlign w:val="center"/>
          </w:tcPr>
          <w:p w14:paraId="1925B4BE">
            <w:pPr>
              <w:spacing w:line="360" w:lineRule="auto"/>
              <w:jc w:val="center"/>
              <w:rPr>
                <w:rFonts w:ascii="宋体" w:hAnsi="宋体"/>
                <w:color w:val="auto"/>
                <w:sz w:val="24"/>
                <w:szCs w:val="24"/>
                <w:highlight w:val="none"/>
              </w:rPr>
            </w:pPr>
          </w:p>
        </w:tc>
        <w:tc>
          <w:tcPr>
            <w:tcW w:w="2157" w:type="pct"/>
            <w:gridSpan w:val="3"/>
            <w:noWrap w:val="0"/>
            <w:vAlign w:val="center"/>
          </w:tcPr>
          <w:p w14:paraId="0B555FF5">
            <w:pPr>
              <w:spacing w:line="360" w:lineRule="auto"/>
              <w:jc w:val="center"/>
              <w:rPr>
                <w:rFonts w:ascii="宋体" w:hAnsi="宋体"/>
                <w:color w:val="auto"/>
                <w:sz w:val="24"/>
                <w:szCs w:val="24"/>
                <w:highlight w:val="none"/>
              </w:rPr>
            </w:pPr>
          </w:p>
        </w:tc>
        <w:tc>
          <w:tcPr>
            <w:tcW w:w="861" w:type="pct"/>
            <w:noWrap w:val="0"/>
            <w:vAlign w:val="center"/>
          </w:tcPr>
          <w:p w14:paraId="703000EE">
            <w:pPr>
              <w:spacing w:line="360" w:lineRule="auto"/>
              <w:jc w:val="center"/>
              <w:rPr>
                <w:rFonts w:ascii="宋体" w:hAnsi="宋体"/>
                <w:color w:val="auto"/>
                <w:sz w:val="24"/>
                <w:szCs w:val="24"/>
                <w:highlight w:val="none"/>
              </w:rPr>
            </w:pPr>
          </w:p>
        </w:tc>
        <w:tc>
          <w:tcPr>
            <w:tcW w:w="1263" w:type="pct"/>
            <w:gridSpan w:val="2"/>
            <w:noWrap w:val="0"/>
            <w:vAlign w:val="center"/>
          </w:tcPr>
          <w:p w14:paraId="7E4F3B5B">
            <w:pPr>
              <w:spacing w:line="360" w:lineRule="auto"/>
              <w:jc w:val="center"/>
              <w:rPr>
                <w:rFonts w:ascii="宋体" w:hAnsi="宋体"/>
                <w:color w:val="auto"/>
                <w:sz w:val="24"/>
                <w:szCs w:val="24"/>
                <w:highlight w:val="none"/>
              </w:rPr>
            </w:pPr>
          </w:p>
        </w:tc>
      </w:tr>
      <w:tr w14:paraId="76E1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9" w:type="pct"/>
            <w:noWrap w:val="0"/>
            <w:vAlign w:val="center"/>
          </w:tcPr>
          <w:p w14:paraId="0B41A823">
            <w:pPr>
              <w:spacing w:line="360" w:lineRule="auto"/>
              <w:jc w:val="center"/>
              <w:rPr>
                <w:rFonts w:ascii="宋体" w:hAnsi="宋体"/>
                <w:color w:val="auto"/>
                <w:sz w:val="24"/>
                <w:szCs w:val="24"/>
                <w:highlight w:val="none"/>
              </w:rPr>
            </w:pPr>
          </w:p>
        </w:tc>
        <w:tc>
          <w:tcPr>
            <w:tcW w:w="2157" w:type="pct"/>
            <w:gridSpan w:val="3"/>
            <w:noWrap w:val="0"/>
            <w:vAlign w:val="center"/>
          </w:tcPr>
          <w:p w14:paraId="1ACEE28D">
            <w:pPr>
              <w:spacing w:line="360" w:lineRule="auto"/>
              <w:jc w:val="center"/>
              <w:rPr>
                <w:rFonts w:ascii="宋体" w:hAnsi="宋体"/>
                <w:color w:val="auto"/>
                <w:sz w:val="24"/>
                <w:szCs w:val="24"/>
                <w:highlight w:val="none"/>
              </w:rPr>
            </w:pPr>
          </w:p>
        </w:tc>
        <w:tc>
          <w:tcPr>
            <w:tcW w:w="861" w:type="pct"/>
            <w:noWrap w:val="0"/>
            <w:vAlign w:val="center"/>
          </w:tcPr>
          <w:p w14:paraId="7BC058E4">
            <w:pPr>
              <w:spacing w:line="360" w:lineRule="auto"/>
              <w:jc w:val="center"/>
              <w:rPr>
                <w:rFonts w:ascii="宋体" w:hAnsi="宋体"/>
                <w:color w:val="auto"/>
                <w:sz w:val="24"/>
                <w:szCs w:val="24"/>
                <w:highlight w:val="none"/>
              </w:rPr>
            </w:pPr>
          </w:p>
        </w:tc>
        <w:tc>
          <w:tcPr>
            <w:tcW w:w="1263" w:type="pct"/>
            <w:gridSpan w:val="2"/>
            <w:noWrap w:val="0"/>
            <w:vAlign w:val="center"/>
          </w:tcPr>
          <w:p w14:paraId="28F68A36">
            <w:pPr>
              <w:spacing w:line="360" w:lineRule="auto"/>
              <w:jc w:val="center"/>
              <w:rPr>
                <w:rFonts w:ascii="宋体" w:hAnsi="宋体"/>
                <w:color w:val="auto"/>
                <w:sz w:val="24"/>
                <w:szCs w:val="24"/>
                <w:highlight w:val="none"/>
              </w:rPr>
            </w:pPr>
          </w:p>
        </w:tc>
      </w:tr>
      <w:tr w14:paraId="2570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9" w:type="pct"/>
            <w:noWrap w:val="0"/>
            <w:vAlign w:val="center"/>
          </w:tcPr>
          <w:p w14:paraId="345495D0">
            <w:pPr>
              <w:spacing w:line="360" w:lineRule="auto"/>
              <w:jc w:val="center"/>
              <w:rPr>
                <w:rFonts w:ascii="宋体" w:hAnsi="宋体"/>
                <w:color w:val="auto"/>
                <w:sz w:val="24"/>
                <w:szCs w:val="24"/>
                <w:highlight w:val="none"/>
              </w:rPr>
            </w:pPr>
          </w:p>
        </w:tc>
        <w:tc>
          <w:tcPr>
            <w:tcW w:w="2157" w:type="pct"/>
            <w:gridSpan w:val="3"/>
            <w:noWrap w:val="0"/>
            <w:vAlign w:val="center"/>
          </w:tcPr>
          <w:p w14:paraId="0FB960B0">
            <w:pPr>
              <w:spacing w:line="360" w:lineRule="auto"/>
              <w:jc w:val="center"/>
              <w:rPr>
                <w:rFonts w:ascii="宋体" w:hAnsi="宋体"/>
                <w:color w:val="auto"/>
                <w:sz w:val="24"/>
                <w:szCs w:val="24"/>
                <w:highlight w:val="none"/>
              </w:rPr>
            </w:pPr>
          </w:p>
        </w:tc>
        <w:tc>
          <w:tcPr>
            <w:tcW w:w="861" w:type="pct"/>
            <w:noWrap w:val="0"/>
            <w:vAlign w:val="center"/>
          </w:tcPr>
          <w:p w14:paraId="6E09BF83">
            <w:pPr>
              <w:spacing w:line="360" w:lineRule="auto"/>
              <w:jc w:val="center"/>
              <w:rPr>
                <w:rFonts w:ascii="宋体" w:hAnsi="宋体"/>
                <w:color w:val="auto"/>
                <w:sz w:val="24"/>
                <w:szCs w:val="24"/>
                <w:highlight w:val="none"/>
              </w:rPr>
            </w:pPr>
          </w:p>
        </w:tc>
        <w:tc>
          <w:tcPr>
            <w:tcW w:w="1263" w:type="pct"/>
            <w:gridSpan w:val="2"/>
            <w:noWrap w:val="0"/>
            <w:vAlign w:val="center"/>
          </w:tcPr>
          <w:p w14:paraId="12C794B1">
            <w:pPr>
              <w:spacing w:line="360" w:lineRule="auto"/>
              <w:jc w:val="center"/>
              <w:rPr>
                <w:rFonts w:ascii="宋体" w:hAnsi="宋体"/>
                <w:color w:val="auto"/>
                <w:sz w:val="24"/>
                <w:szCs w:val="24"/>
                <w:highlight w:val="none"/>
              </w:rPr>
            </w:pPr>
          </w:p>
        </w:tc>
      </w:tr>
      <w:tr w14:paraId="36EF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9" w:type="pct"/>
            <w:noWrap w:val="0"/>
            <w:vAlign w:val="center"/>
          </w:tcPr>
          <w:p w14:paraId="4ADD0270">
            <w:pPr>
              <w:spacing w:line="360" w:lineRule="auto"/>
              <w:jc w:val="center"/>
              <w:rPr>
                <w:rFonts w:ascii="宋体" w:hAnsi="宋体"/>
                <w:color w:val="auto"/>
                <w:sz w:val="24"/>
                <w:szCs w:val="24"/>
                <w:highlight w:val="none"/>
              </w:rPr>
            </w:pPr>
          </w:p>
        </w:tc>
        <w:tc>
          <w:tcPr>
            <w:tcW w:w="2157" w:type="pct"/>
            <w:gridSpan w:val="3"/>
            <w:noWrap w:val="0"/>
            <w:vAlign w:val="center"/>
          </w:tcPr>
          <w:p w14:paraId="31E58B9D">
            <w:pPr>
              <w:spacing w:line="360" w:lineRule="auto"/>
              <w:jc w:val="center"/>
              <w:rPr>
                <w:rFonts w:ascii="宋体" w:hAnsi="宋体"/>
                <w:color w:val="auto"/>
                <w:sz w:val="24"/>
                <w:szCs w:val="24"/>
                <w:highlight w:val="none"/>
              </w:rPr>
            </w:pPr>
          </w:p>
        </w:tc>
        <w:tc>
          <w:tcPr>
            <w:tcW w:w="861" w:type="pct"/>
            <w:noWrap w:val="0"/>
            <w:vAlign w:val="center"/>
          </w:tcPr>
          <w:p w14:paraId="68278F23">
            <w:pPr>
              <w:spacing w:line="360" w:lineRule="auto"/>
              <w:jc w:val="center"/>
              <w:rPr>
                <w:rFonts w:ascii="宋体" w:hAnsi="宋体"/>
                <w:color w:val="auto"/>
                <w:sz w:val="24"/>
                <w:szCs w:val="24"/>
                <w:highlight w:val="none"/>
              </w:rPr>
            </w:pPr>
          </w:p>
        </w:tc>
        <w:tc>
          <w:tcPr>
            <w:tcW w:w="1263" w:type="pct"/>
            <w:gridSpan w:val="2"/>
            <w:noWrap w:val="0"/>
            <w:vAlign w:val="center"/>
          </w:tcPr>
          <w:p w14:paraId="3A5D2105">
            <w:pPr>
              <w:spacing w:line="360" w:lineRule="auto"/>
              <w:jc w:val="center"/>
              <w:rPr>
                <w:rFonts w:ascii="宋体" w:hAnsi="宋体"/>
                <w:color w:val="auto"/>
                <w:sz w:val="24"/>
                <w:szCs w:val="24"/>
                <w:highlight w:val="none"/>
              </w:rPr>
            </w:pPr>
          </w:p>
        </w:tc>
      </w:tr>
      <w:tr w14:paraId="2C3B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9" w:type="pct"/>
            <w:noWrap w:val="0"/>
            <w:vAlign w:val="center"/>
          </w:tcPr>
          <w:p w14:paraId="19DAE192">
            <w:pPr>
              <w:spacing w:line="360" w:lineRule="auto"/>
              <w:jc w:val="center"/>
              <w:rPr>
                <w:rFonts w:ascii="宋体" w:hAnsi="宋体"/>
                <w:color w:val="auto"/>
                <w:sz w:val="24"/>
                <w:szCs w:val="24"/>
                <w:highlight w:val="none"/>
              </w:rPr>
            </w:pPr>
          </w:p>
        </w:tc>
        <w:tc>
          <w:tcPr>
            <w:tcW w:w="2157" w:type="pct"/>
            <w:gridSpan w:val="3"/>
            <w:noWrap w:val="0"/>
            <w:vAlign w:val="center"/>
          </w:tcPr>
          <w:p w14:paraId="7C6C7CE1">
            <w:pPr>
              <w:spacing w:line="360" w:lineRule="auto"/>
              <w:jc w:val="center"/>
              <w:rPr>
                <w:rFonts w:ascii="宋体" w:hAnsi="宋体"/>
                <w:color w:val="auto"/>
                <w:sz w:val="24"/>
                <w:szCs w:val="24"/>
                <w:highlight w:val="none"/>
              </w:rPr>
            </w:pPr>
          </w:p>
        </w:tc>
        <w:tc>
          <w:tcPr>
            <w:tcW w:w="861" w:type="pct"/>
            <w:noWrap w:val="0"/>
            <w:vAlign w:val="center"/>
          </w:tcPr>
          <w:p w14:paraId="14EC2893">
            <w:pPr>
              <w:spacing w:line="360" w:lineRule="auto"/>
              <w:jc w:val="center"/>
              <w:rPr>
                <w:rFonts w:ascii="宋体" w:hAnsi="宋体"/>
                <w:color w:val="auto"/>
                <w:sz w:val="24"/>
                <w:szCs w:val="24"/>
                <w:highlight w:val="none"/>
              </w:rPr>
            </w:pPr>
          </w:p>
        </w:tc>
        <w:tc>
          <w:tcPr>
            <w:tcW w:w="1263" w:type="pct"/>
            <w:gridSpan w:val="2"/>
            <w:noWrap w:val="0"/>
            <w:vAlign w:val="center"/>
          </w:tcPr>
          <w:p w14:paraId="5AD361FD">
            <w:pPr>
              <w:spacing w:line="360" w:lineRule="auto"/>
              <w:jc w:val="center"/>
              <w:rPr>
                <w:rFonts w:ascii="宋体" w:hAnsi="宋体"/>
                <w:color w:val="auto"/>
                <w:sz w:val="24"/>
                <w:szCs w:val="24"/>
                <w:highlight w:val="none"/>
              </w:rPr>
            </w:pPr>
          </w:p>
        </w:tc>
      </w:tr>
      <w:tr w14:paraId="1A39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9" w:type="pct"/>
            <w:noWrap w:val="0"/>
            <w:vAlign w:val="center"/>
          </w:tcPr>
          <w:p w14:paraId="5A9A79C6">
            <w:pPr>
              <w:spacing w:line="360" w:lineRule="auto"/>
              <w:jc w:val="center"/>
              <w:rPr>
                <w:rFonts w:ascii="宋体" w:hAnsi="宋体"/>
                <w:color w:val="auto"/>
                <w:sz w:val="24"/>
                <w:szCs w:val="24"/>
                <w:highlight w:val="none"/>
              </w:rPr>
            </w:pPr>
          </w:p>
        </w:tc>
        <w:tc>
          <w:tcPr>
            <w:tcW w:w="2157" w:type="pct"/>
            <w:gridSpan w:val="3"/>
            <w:noWrap w:val="0"/>
            <w:vAlign w:val="center"/>
          </w:tcPr>
          <w:p w14:paraId="23C1CD2B">
            <w:pPr>
              <w:spacing w:line="360" w:lineRule="auto"/>
              <w:jc w:val="center"/>
              <w:rPr>
                <w:rFonts w:ascii="宋体" w:hAnsi="宋体"/>
                <w:color w:val="auto"/>
                <w:sz w:val="24"/>
                <w:szCs w:val="24"/>
                <w:highlight w:val="none"/>
              </w:rPr>
            </w:pPr>
          </w:p>
        </w:tc>
        <w:tc>
          <w:tcPr>
            <w:tcW w:w="861" w:type="pct"/>
            <w:noWrap w:val="0"/>
            <w:vAlign w:val="center"/>
          </w:tcPr>
          <w:p w14:paraId="22BC22F7">
            <w:pPr>
              <w:spacing w:line="360" w:lineRule="auto"/>
              <w:jc w:val="center"/>
              <w:rPr>
                <w:rFonts w:ascii="宋体" w:hAnsi="宋体"/>
                <w:color w:val="auto"/>
                <w:sz w:val="24"/>
                <w:szCs w:val="24"/>
                <w:highlight w:val="none"/>
              </w:rPr>
            </w:pPr>
          </w:p>
        </w:tc>
        <w:tc>
          <w:tcPr>
            <w:tcW w:w="1263" w:type="pct"/>
            <w:gridSpan w:val="2"/>
            <w:noWrap w:val="0"/>
            <w:vAlign w:val="center"/>
          </w:tcPr>
          <w:p w14:paraId="0EA86B54">
            <w:pPr>
              <w:spacing w:line="360" w:lineRule="auto"/>
              <w:jc w:val="center"/>
              <w:rPr>
                <w:rFonts w:ascii="宋体" w:hAnsi="宋体"/>
                <w:color w:val="auto"/>
                <w:sz w:val="24"/>
                <w:szCs w:val="24"/>
                <w:highlight w:val="none"/>
              </w:rPr>
            </w:pPr>
          </w:p>
        </w:tc>
      </w:tr>
      <w:tr w14:paraId="3C5D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9" w:type="pct"/>
            <w:noWrap w:val="0"/>
            <w:vAlign w:val="center"/>
          </w:tcPr>
          <w:p w14:paraId="7A2C8EF0">
            <w:pPr>
              <w:spacing w:line="360" w:lineRule="auto"/>
              <w:jc w:val="center"/>
              <w:rPr>
                <w:rFonts w:ascii="宋体" w:hAnsi="宋体"/>
                <w:color w:val="auto"/>
                <w:sz w:val="24"/>
                <w:szCs w:val="24"/>
                <w:highlight w:val="none"/>
              </w:rPr>
            </w:pPr>
          </w:p>
        </w:tc>
        <w:tc>
          <w:tcPr>
            <w:tcW w:w="2157" w:type="pct"/>
            <w:gridSpan w:val="3"/>
            <w:noWrap w:val="0"/>
            <w:vAlign w:val="center"/>
          </w:tcPr>
          <w:p w14:paraId="3B73721C">
            <w:pPr>
              <w:spacing w:line="360" w:lineRule="auto"/>
              <w:jc w:val="center"/>
              <w:rPr>
                <w:rFonts w:ascii="宋体" w:hAnsi="宋体"/>
                <w:color w:val="auto"/>
                <w:sz w:val="24"/>
                <w:szCs w:val="24"/>
                <w:highlight w:val="none"/>
              </w:rPr>
            </w:pPr>
          </w:p>
        </w:tc>
        <w:tc>
          <w:tcPr>
            <w:tcW w:w="861" w:type="pct"/>
            <w:noWrap w:val="0"/>
            <w:vAlign w:val="center"/>
          </w:tcPr>
          <w:p w14:paraId="2F3072F5">
            <w:pPr>
              <w:spacing w:line="360" w:lineRule="auto"/>
              <w:jc w:val="center"/>
              <w:rPr>
                <w:rFonts w:ascii="宋体" w:hAnsi="宋体"/>
                <w:color w:val="auto"/>
                <w:sz w:val="24"/>
                <w:szCs w:val="24"/>
                <w:highlight w:val="none"/>
              </w:rPr>
            </w:pPr>
          </w:p>
        </w:tc>
        <w:tc>
          <w:tcPr>
            <w:tcW w:w="1263" w:type="pct"/>
            <w:gridSpan w:val="2"/>
            <w:noWrap w:val="0"/>
            <w:vAlign w:val="center"/>
          </w:tcPr>
          <w:p w14:paraId="19E9EE9F">
            <w:pPr>
              <w:spacing w:line="360" w:lineRule="auto"/>
              <w:jc w:val="center"/>
              <w:rPr>
                <w:rFonts w:ascii="宋体" w:hAnsi="宋体"/>
                <w:color w:val="auto"/>
                <w:sz w:val="24"/>
                <w:szCs w:val="24"/>
                <w:highlight w:val="none"/>
              </w:rPr>
            </w:pPr>
          </w:p>
        </w:tc>
      </w:tr>
      <w:tr w14:paraId="2B01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9" w:type="pct"/>
            <w:noWrap w:val="0"/>
            <w:vAlign w:val="center"/>
          </w:tcPr>
          <w:p w14:paraId="45082A73">
            <w:pPr>
              <w:spacing w:line="360" w:lineRule="auto"/>
              <w:jc w:val="center"/>
              <w:rPr>
                <w:rFonts w:ascii="宋体" w:hAnsi="宋体"/>
                <w:color w:val="auto"/>
                <w:sz w:val="24"/>
                <w:szCs w:val="24"/>
                <w:highlight w:val="none"/>
              </w:rPr>
            </w:pPr>
          </w:p>
        </w:tc>
        <w:tc>
          <w:tcPr>
            <w:tcW w:w="2157" w:type="pct"/>
            <w:gridSpan w:val="3"/>
            <w:noWrap w:val="0"/>
            <w:vAlign w:val="center"/>
          </w:tcPr>
          <w:p w14:paraId="62F45509">
            <w:pPr>
              <w:spacing w:line="360" w:lineRule="auto"/>
              <w:jc w:val="center"/>
              <w:rPr>
                <w:rFonts w:ascii="宋体" w:hAnsi="宋体"/>
                <w:color w:val="auto"/>
                <w:sz w:val="24"/>
                <w:szCs w:val="24"/>
                <w:highlight w:val="none"/>
              </w:rPr>
            </w:pPr>
          </w:p>
        </w:tc>
        <w:tc>
          <w:tcPr>
            <w:tcW w:w="861" w:type="pct"/>
            <w:noWrap w:val="0"/>
            <w:vAlign w:val="center"/>
          </w:tcPr>
          <w:p w14:paraId="2A519E95">
            <w:pPr>
              <w:spacing w:line="360" w:lineRule="auto"/>
              <w:jc w:val="center"/>
              <w:rPr>
                <w:rFonts w:ascii="宋体" w:hAnsi="宋体"/>
                <w:color w:val="auto"/>
                <w:sz w:val="24"/>
                <w:szCs w:val="24"/>
                <w:highlight w:val="none"/>
              </w:rPr>
            </w:pPr>
          </w:p>
        </w:tc>
        <w:tc>
          <w:tcPr>
            <w:tcW w:w="1263" w:type="pct"/>
            <w:gridSpan w:val="2"/>
            <w:noWrap w:val="0"/>
            <w:vAlign w:val="center"/>
          </w:tcPr>
          <w:p w14:paraId="74C94918">
            <w:pPr>
              <w:spacing w:line="360" w:lineRule="auto"/>
              <w:jc w:val="center"/>
              <w:rPr>
                <w:rFonts w:ascii="宋体" w:hAnsi="宋体"/>
                <w:color w:val="auto"/>
                <w:sz w:val="24"/>
                <w:szCs w:val="24"/>
                <w:highlight w:val="none"/>
              </w:rPr>
            </w:pPr>
          </w:p>
        </w:tc>
      </w:tr>
    </w:tbl>
    <w:p w14:paraId="42393AD1">
      <w:pPr>
        <w:wordWrap w:val="0"/>
        <w:spacing w:line="480" w:lineRule="exact"/>
        <w:rPr>
          <w:rFonts w:ascii="宋体" w:hAnsi="宋体" w:cs="宋体"/>
          <w:b/>
          <w:color w:val="auto"/>
          <w:szCs w:val="21"/>
          <w:highlight w:val="none"/>
        </w:rPr>
      </w:pPr>
      <w:r>
        <w:rPr>
          <w:rFonts w:hint="eastAsia"/>
          <w:b/>
          <w:color w:val="auto"/>
          <w:highlight w:val="none"/>
        </w:rPr>
        <w:t>注：“主要人员简历表”中的项目经理应附建造师注册证、安全生产考核合格证书（B证）、身份证等；技术负责人应附身份证、职称证等；其他主要人员（施工员、质量员、安全员等）应附执业证或上岗证书、身份证等。</w:t>
      </w:r>
    </w:p>
    <w:p w14:paraId="10969397">
      <w:pPr>
        <w:wordWrap w:val="0"/>
        <w:spacing w:line="480" w:lineRule="exact"/>
        <w:jc w:val="center"/>
        <w:rPr>
          <w:rFonts w:ascii="宋体" w:hAnsi="宋体" w:cs="宋体"/>
          <w:b/>
          <w:color w:val="auto"/>
          <w:sz w:val="30"/>
          <w:highlight w:val="none"/>
        </w:rPr>
      </w:pPr>
    </w:p>
    <w:p w14:paraId="1510DE23">
      <w:pPr>
        <w:wordWrap w:val="0"/>
        <w:jc w:val="center"/>
        <w:rPr>
          <w:rFonts w:ascii="宋体" w:hAnsi="宋体" w:cs="宋体"/>
          <w:b/>
          <w:color w:val="auto"/>
          <w:sz w:val="27"/>
          <w:highlight w:val="none"/>
        </w:rPr>
      </w:pPr>
      <w:r>
        <w:rPr>
          <w:rFonts w:hint="eastAsia" w:ascii="宋体" w:hAnsi="宋体" w:cs="宋体"/>
          <w:b/>
          <w:color w:val="auto"/>
          <w:sz w:val="28"/>
          <w:szCs w:val="28"/>
          <w:highlight w:val="none"/>
        </w:rPr>
        <w:br w:type="page"/>
      </w:r>
      <w:r>
        <w:rPr>
          <w:rFonts w:hint="eastAsia" w:ascii="宋体" w:hAnsi="宋体" w:cs="宋体"/>
          <w:b/>
          <w:color w:val="auto"/>
          <w:sz w:val="27"/>
          <w:highlight w:val="none"/>
        </w:rPr>
        <w:t>（3）项目管理机构配备情况辅助说明资料</w:t>
      </w:r>
    </w:p>
    <w:p w14:paraId="60737242">
      <w:pPr>
        <w:pStyle w:val="29"/>
        <w:wordWrap w:val="0"/>
        <w:spacing w:line="0" w:lineRule="atLeast"/>
        <w:ind w:left="5250"/>
        <w:rPr>
          <w:rFonts w:hAnsi="宋体" w:cs="宋体"/>
          <w:b/>
          <w:color w:val="auto"/>
          <w:sz w:val="30"/>
          <w:highlight w:val="none"/>
        </w:rPr>
      </w:pPr>
    </w:p>
    <w:p w14:paraId="5128A8F4">
      <w:pPr>
        <w:wordWrap w:val="0"/>
        <w:rPr>
          <w:rFonts w:ascii="宋体" w:hAnsi="宋体" w:cs="宋体"/>
          <w:color w:val="auto"/>
          <w:highlight w:val="none"/>
        </w:rPr>
      </w:pPr>
    </w:p>
    <w:p w14:paraId="66948A58">
      <w:pPr>
        <w:pStyle w:val="29"/>
        <w:wordWrap w:val="0"/>
        <w:spacing w:line="700" w:lineRule="exact"/>
        <w:ind w:left="99" w:leftChars="47" w:firstLine="420" w:firstLineChars="200"/>
        <w:jc w:val="left"/>
        <w:rPr>
          <w:rFonts w:hAnsi="宋体" w:cs="宋体"/>
          <w:bCs/>
          <w:color w:val="auto"/>
          <w:sz w:val="21"/>
          <w:szCs w:val="21"/>
          <w:highlight w:val="none"/>
        </w:rPr>
      </w:pPr>
      <w:r>
        <w:rPr>
          <w:rFonts w:hint="eastAsia" w:hAnsi="宋体" w:cs="宋体"/>
          <w:bCs/>
          <w:color w:val="auto"/>
          <w:sz w:val="21"/>
          <w:szCs w:val="21"/>
          <w:highlight w:val="none"/>
        </w:rPr>
        <w:t>辅助说明资料主要包括管理机构的设置、职责分工、有关复印证明资料以及供应商认为有必要提供的资料。</w:t>
      </w:r>
    </w:p>
    <w:p w14:paraId="67898AC0">
      <w:pPr>
        <w:pStyle w:val="27"/>
        <w:wordWrap w:val="0"/>
        <w:ind w:right="-10" w:rightChars="-5"/>
        <w:jc w:val="left"/>
        <w:rPr>
          <w:rFonts w:hAnsi="宋体" w:cs="宋体"/>
          <w:b/>
          <w:color w:val="auto"/>
          <w:sz w:val="24"/>
          <w:szCs w:val="24"/>
          <w:highlight w:val="none"/>
        </w:rPr>
      </w:pPr>
      <w:r>
        <w:rPr>
          <w:rFonts w:hint="eastAsia" w:hAnsi="宋体" w:cs="宋体"/>
          <w:color w:val="auto"/>
          <w:highlight w:val="none"/>
        </w:rPr>
        <w:br w:type="page"/>
      </w:r>
    </w:p>
    <w:p w14:paraId="1C28AC38">
      <w:pPr>
        <w:pStyle w:val="27"/>
        <w:wordWrap w:val="0"/>
        <w:ind w:right="-10" w:rightChars="-5"/>
        <w:jc w:val="center"/>
        <w:rPr>
          <w:rFonts w:hAnsi="宋体" w:cs="宋体"/>
          <w:bCs/>
          <w:color w:val="auto"/>
          <w:highlight w:val="none"/>
        </w:rPr>
      </w:pPr>
      <w:r>
        <w:rPr>
          <w:rFonts w:hint="eastAsia" w:hAnsi="宋体" w:cs="宋体"/>
          <w:b/>
          <w:color w:val="auto"/>
          <w:highlight w:val="none"/>
        </w:rPr>
        <w:t>拟投入本项目的主要施工设备表</w:t>
      </w:r>
    </w:p>
    <w:p w14:paraId="591E3A40">
      <w:pPr>
        <w:wordWrap w:val="0"/>
        <w:spacing w:line="0" w:lineRule="atLeast"/>
        <w:rPr>
          <w:rFonts w:ascii="宋体" w:hAnsi="宋体" w:cs="宋体"/>
          <w:color w:val="auto"/>
          <w:szCs w:val="21"/>
          <w:highlight w:val="none"/>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36"/>
        <w:gridCol w:w="1985"/>
        <w:gridCol w:w="870"/>
        <w:gridCol w:w="572"/>
        <w:gridCol w:w="870"/>
        <w:gridCol w:w="870"/>
        <w:gridCol w:w="865"/>
        <w:gridCol w:w="870"/>
        <w:gridCol w:w="1216"/>
      </w:tblGrid>
      <w:tr w14:paraId="46D197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c>
          <w:tcPr>
            <w:tcW w:w="436" w:type="dxa"/>
            <w:tcBorders>
              <w:bottom w:val="single" w:color="auto" w:sz="4" w:space="0"/>
            </w:tcBorders>
            <w:noWrap w:val="0"/>
            <w:tcMar>
              <w:left w:w="28" w:type="dxa"/>
              <w:right w:w="28" w:type="dxa"/>
            </w:tcMar>
            <w:vAlign w:val="center"/>
          </w:tcPr>
          <w:p w14:paraId="365EEF8A">
            <w:pPr>
              <w:wordWrap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985" w:type="dxa"/>
            <w:tcBorders>
              <w:bottom w:val="single" w:color="auto" w:sz="4" w:space="0"/>
            </w:tcBorders>
            <w:noWrap w:val="0"/>
            <w:tcMar>
              <w:left w:w="28" w:type="dxa"/>
              <w:right w:w="28" w:type="dxa"/>
            </w:tcMar>
            <w:vAlign w:val="center"/>
          </w:tcPr>
          <w:p w14:paraId="79BF9694">
            <w:pPr>
              <w:wordWrap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机械或设备名称</w:t>
            </w:r>
          </w:p>
        </w:tc>
        <w:tc>
          <w:tcPr>
            <w:tcW w:w="870" w:type="dxa"/>
            <w:tcBorders>
              <w:bottom w:val="single" w:color="auto" w:sz="4" w:space="0"/>
            </w:tcBorders>
            <w:noWrap w:val="0"/>
            <w:tcMar>
              <w:left w:w="28" w:type="dxa"/>
              <w:right w:w="28" w:type="dxa"/>
            </w:tcMar>
            <w:vAlign w:val="center"/>
          </w:tcPr>
          <w:p w14:paraId="43C7791A">
            <w:pPr>
              <w:wordWrap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型号</w:t>
            </w:r>
          </w:p>
          <w:p w14:paraId="261EB11F">
            <w:pPr>
              <w:wordWrap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规格</w:t>
            </w:r>
          </w:p>
        </w:tc>
        <w:tc>
          <w:tcPr>
            <w:tcW w:w="572" w:type="dxa"/>
            <w:tcBorders>
              <w:bottom w:val="single" w:color="auto" w:sz="4" w:space="0"/>
            </w:tcBorders>
            <w:noWrap w:val="0"/>
            <w:tcMar>
              <w:left w:w="28" w:type="dxa"/>
              <w:right w:w="28" w:type="dxa"/>
            </w:tcMar>
            <w:vAlign w:val="center"/>
          </w:tcPr>
          <w:p w14:paraId="355E0E5A">
            <w:pPr>
              <w:wordWrap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870" w:type="dxa"/>
            <w:tcBorders>
              <w:bottom w:val="single" w:color="auto" w:sz="4" w:space="0"/>
            </w:tcBorders>
            <w:noWrap w:val="0"/>
            <w:tcMar>
              <w:left w:w="28" w:type="dxa"/>
              <w:right w:w="28" w:type="dxa"/>
            </w:tcMar>
            <w:vAlign w:val="center"/>
          </w:tcPr>
          <w:p w14:paraId="4B04D513">
            <w:pPr>
              <w:wordWrap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国别</w:t>
            </w:r>
          </w:p>
          <w:p w14:paraId="0AFA2345">
            <w:pPr>
              <w:wordWrap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产地</w:t>
            </w:r>
          </w:p>
        </w:tc>
        <w:tc>
          <w:tcPr>
            <w:tcW w:w="870" w:type="dxa"/>
            <w:tcBorders>
              <w:bottom w:val="single" w:color="auto" w:sz="4" w:space="0"/>
            </w:tcBorders>
            <w:noWrap w:val="0"/>
            <w:tcMar>
              <w:left w:w="28" w:type="dxa"/>
              <w:right w:w="28" w:type="dxa"/>
            </w:tcMar>
            <w:vAlign w:val="center"/>
          </w:tcPr>
          <w:p w14:paraId="445A6858">
            <w:pPr>
              <w:wordWrap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制造</w:t>
            </w:r>
          </w:p>
          <w:p w14:paraId="5FFB4E56">
            <w:pPr>
              <w:wordWrap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年份</w:t>
            </w:r>
          </w:p>
        </w:tc>
        <w:tc>
          <w:tcPr>
            <w:tcW w:w="865" w:type="dxa"/>
            <w:tcBorders>
              <w:bottom w:val="single" w:color="auto" w:sz="4" w:space="0"/>
            </w:tcBorders>
            <w:noWrap w:val="0"/>
            <w:tcMar>
              <w:left w:w="28" w:type="dxa"/>
              <w:right w:w="28" w:type="dxa"/>
            </w:tcMar>
            <w:vAlign w:val="center"/>
          </w:tcPr>
          <w:p w14:paraId="4D0DD6F7">
            <w:pPr>
              <w:wordWrap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额定功率</w:t>
            </w:r>
          </w:p>
          <w:p w14:paraId="6924B74D">
            <w:pPr>
              <w:wordWrap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（KW）</w:t>
            </w:r>
          </w:p>
        </w:tc>
        <w:tc>
          <w:tcPr>
            <w:tcW w:w="870" w:type="dxa"/>
            <w:tcBorders>
              <w:bottom w:val="single" w:color="auto" w:sz="4" w:space="0"/>
            </w:tcBorders>
            <w:noWrap w:val="0"/>
            <w:tcMar>
              <w:left w:w="28" w:type="dxa"/>
              <w:right w:w="28" w:type="dxa"/>
            </w:tcMar>
            <w:vAlign w:val="center"/>
          </w:tcPr>
          <w:p w14:paraId="1E734F24">
            <w:pPr>
              <w:wordWrap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生产</w:t>
            </w:r>
          </w:p>
          <w:p w14:paraId="32A7DD63">
            <w:pPr>
              <w:wordWrap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能力</w:t>
            </w:r>
          </w:p>
        </w:tc>
        <w:tc>
          <w:tcPr>
            <w:tcW w:w="1216" w:type="dxa"/>
            <w:tcBorders>
              <w:bottom w:val="single" w:color="auto" w:sz="4" w:space="0"/>
            </w:tcBorders>
            <w:noWrap w:val="0"/>
            <w:tcMar>
              <w:left w:w="28" w:type="dxa"/>
              <w:right w:w="28" w:type="dxa"/>
            </w:tcMar>
            <w:vAlign w:val="center"/>
          </w:tcPr>
          <w:p w14:paraId="1E30AAD6">
            <w:pPr>
              <w:wordWrap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用于施工部位</w:t>
            </w:r>
          </w:p>
          <w:p w14:paraId="34C2E310">
            <w:pPr>
              <w:wordWrap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7F86F0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436" w:type="dxa"/>
            <w:tcBorders>
              <w:top w:val="single" w:color="auto" w:sz="4" w:space="0"/>
              <w:bottom w:val="single" w:color="auto" w:sz="2" w:space="0"/>
            </w:tcBorders>
            <w:noWrap w:val="0"/>
            <w:tcMar>
              <w:left w:w="28" w:type="dxa"/>
              <w:right w:w="28" w:type="dxa"/>
            </w:tcMar>
            <w:vAlign w:val="center"/>
          </w:tcPr>
          <w:p w14:paraId="422AC986">
            <w:pPr>
              <w:wordWrap w:val="0"/>
              <w:jc w:val="center"/>
              <w:rPr>
                <w:rFonts w:ascii="宋体" w:hAnsi="宋体" w:cs="宋体"/>
                <w:color w:val="auto"/>
                <w:szCs w:val="21"/>
                <w:highlight w:val="none"/>
              </w:rPr>
            </w:pPr>
          </w:p>
        </w:tc>
        <w:tc>
          <w:tcPr>
            <w:tcW w:w="1985" w:type="dxa"/>
            <w:tcBorders>
              <w:top w:val="single" w:color="auto" w:sz="4" w:space="0"/>
              <w:bottom w:val="single" w:color="auto" w:sz="2" w:space="0"/>
            </w:tcBorders>
            <w:noWrap w:val="0"/>
            <w:tcMar>
              <w:left w:w="28" w:type="dxa"/>
              <w:right w:w="28" w:type="dxa"/>
            </w:tcMar>
            <w:vAlign w:val="center"/>
          </w:tcPr>
          <w:p w14:paraId="2A92909F">
            <w:pPr>
              <w:wordWrap w:val="0"/>
              <w:jc w:val="center"/>
              <w:rPr>
                <w:rFonts w:ascii="宋体" w:hAnsi="宋体" w:cs="宋体"/>
                <w:color w:val="auto"/>
                <w:szCs w:val="21"/>
                <w:highlight w:val="none"/>
              </w:rPr>
            </w:pPr>
          </w:p>
        </w:tc>
        <w:tc>
          <w:tcPr>
            <w:tcW w:w="870" w:type="dxa"/>
            <w:tcBorders>
              <w:top w:val="single" w:color="auto" w:sz="4" w:space="0"/>
              <w:bottom w:val="single" w:color="auto" w:sz="2" w:space="0"/>
            </w:tcBorders>
            <w:noWrap w:val="0"/>
            <w:tcMar>
              <w:left w:w="28" w:type="dxa"/>
              <w:right w:w="28" w:type="dxa"/>
            </w:tcMar>
            <w:vAlign w:val="center"/>
          </w:tcPr>
          <w:p w14:paraId="009E88B9">
            <w:pPr>
              <w:wordWrap w:val="0"/>
              <w:jc w:val="center"/>
              <w:rPr>
                <w:rFonts w:ascii="宋体" w:hAnsi="宋体" w:cs="宋体"/>
                <w:color w:val="auto"/>
                <w:szCs w:val="21"/>
                <w:highlight w:val="none"/>
              </w:rPr>
            </w:pPr>
          </w:p>
        </w:tc>
        <w:tc>
          <w:tcPr>
            <w:tcW w:w="572" w:type="dxa"/>
            <w:tcBorders>
              <w:top w:val="single" w:color="auto" w:sz="4" w:space="0"/>
              <w:bottom w:val="single" w:color="auto" w:sz="2" w:space="0"/>
            </w:tcBorders>
            <w:noWrap w:val="0"/>
            <w:tcMar>
              <w:left w:w="28" w:type="dxa"/>
              <w:right w:w="28" w:type="dxa"/>
            </w:tcMar>
            <w:vAlign w:val="center"/>
          </w:tcPr>
          <w:p w14:paraId="7D208890">
            <w:pPr>
              <w:wordWrap w:val="0"/>
              <w:jc w:val="center"/>
              <w:rPr>
                <w:rFonts w:ascii="宋体" w:hAnsi="宋体" w:cs="宋体"/>
                <w:color w:val="auto"/>
                <w:szCs w:val="21"/>
                <w:highlight w:val="none"/>
              </w:rPr>
            </w:pPr>
          </w:p>
        </w:tc>
        <w:tc>
          <w:tcPr>
            <w:tcW w:w="870" w:type="dxa"/>
            <w:tcBorders>
              <w:top w:val="single" w:color="auto" w:sz="4" w:space="0"/>
              <w:bottom w:val="single" w:color="auto" w:sz="2" w:space="0"/>
            </w:tcBorders>
            <w:noWrap w:val="0"/>
            <w:tcMar>
              <w:left w:w="28" w:type="dxa"/>
              <w:right w:w="28" w:type="dxa"/>
            </w:tcMar>
            <w:vAlign w:val="center"/>
          </w:tcPr>
          <w:p w14:paraId="23E725E1">
            <w:pPr>
              <w:wordWrap w:val="0"/>
              <w:jc w:val="center"/>
              <w:rPr>
                <w:rFonts w:ascii="宋体" w:hAnsi="宋体" w:cs="宋体"/>
                <w:color w:val="auto"/>
                <w:szCs w:val="21"/>
                <w:highlight w:val="none"/>
              </w:rPr>
            </w:pPr>
          </w:p>
        </w:tc>
        <w:tc>
          <w:tcPr>
            <w:tcW w:w="870" w:type="dxa"/>
            <w:tcBorders>
              <w:top w:val="single" w:color="auto" w:sz="4" w:space="0"/>
              <w:bottom w:val="single" w:color="auto" w:sz="2" w:space="0"/>
            </w:tcBorders>
            <w:noWrap w:val="0"/>
            <w:tcMar>
              <w:left w:w="28" w:type="dxa"/>
              <w:right w:w="28" w:type="dxa"/>
            </w:tcMar>
            <w:vAlign w:val="center"/>
          </w:tcPr>
          <w:p w14:paraId="12EBE6BE">
            <w:pPr>
              <w:wordWrap w:val="0"/>
              <w:jc w:val="center"/>
              <w:rPr>
                <w:rFonts w:ascii="宋体" w:hAnsi="宋体" w:cs="宋体"/>
                <w:color w:val="auto"/>
                <w:szCs w:val="21"/>
                <w:highlight w:val="none"/>
              </w:rPr>
            </w:pPr>
          </w:p>
        </w:tc>
        <w:tc>
          <w:tcPr>
            <w:tcW w:w="865" w:type="dxa"/>
            <w:tcBorders>
              <w:top w:val="single" w:color="auto" w:sz="4" w:space="0"/>
              <w:bottom w:val="single" w:color="auto" w:sz="2" w:space="0"/>
            </w:tcBorders>
            <w:noWrap w:val="0"/>
            <w:tcMar>
              <w:left w:w="28" w:type="dxa"/>
              <w:right w:w="28" w:type="dxa"/>
            </w:tcMar>
            <w:vAlign w:val="center"/>
          </w:tcPr>
          <w:p w14:paraId="53B48C18">
            <w:pPr>
              <w:wordWrap w:val="0"/>
              <w:jc w:val="center"/>
              <w:rPr>
                <w:rFonts w:ascii="宋体" w:hAnsi="宋体" w:cs="宋体"/>
                <w:color w:val="auto"/>
                <w:szCs w:val="21"/>
                <w:highlight w:val="none"/>
              </w:rPr>
            </w:pPr>
          </w:p>
        </w:tc>
        <w:tc>
          <w:tcPr>
            <w:tcW w:w="870" w:type="dxa"/>
            <w:tcBorders>
              <w:top w:val="single" w:color="auto" w:sz="4" w:space="0"/>
              <w:bottom w:val="single" w:color="auto" w:sz="2" w:space="0"/>
            </w:tcBorders>
            <w:noWrap w:val="0"/>
            <w:tcMar>
              <w:left w:w="28" w:type="dxa"/>
              <w:right w:w="28" w:type="dxa"/>
            </w:tcMar>
            <w:vAlign w:val="center"/>
          </w:tcPr>
          <w:p w14:paraId="6816B46F">
            <w:pPr>
              <w:wordWrap w:val="0"/>
              <w:jc w:val="center"/>
              <w:rPr>
                <w:rFonts w:ascii="宋体" w:hAnsi="宋体" w:cs="宋体"/>
                <w:color w:val="auto"/>
                <w:szCs w:val="21"/>
                <w:highlight w:val="none"/>
              </w:rPr>
            </w:pPr>
          </w:p>
        </w:tc>
        <w:tc>
          <w:tcPr>
            <w:tcW w:w="1216" w:type="dxa"/>
            <w:tcBorders>
              <w:top w:val="single" w:color="auto" w:sz="4" w:space="0"/>
              <w:bottom w:val="single" w:color="auto" w:sz="2" w:space="0"/>
            </w:tcBorders>
            <w:noWrap w:val="0"/>
            <w:tcMar>
              <w:left w:w="28" w:type="dxa"/>
              <w:right w:w="28" w:type="dxa"/>
            </w:tcMar>
            <w:vAlign w:val="center"/>
          </w:tcPr>
          <w:p w14:paraId="5D780E4A">
            <w:pPr>
              <w:wordWrap w:val="0"/>
              <w:jc w:val="center"/>
              <w:rPr>
                <w:rFonts w:ascii="宋体" w:hAnsi="宋体" w:cs="宋体"/>
                <w:color w:val="auto"/>
                <w:szCs w:val="21"/>
                <w:highlight w:val="none"/>
              </w:rPr>
            </w:pPr>
          </w:p>
        </w:tc>
      </w:tr>
      <w:tr w14:paraId="6DF290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436" w:type="dxa"/>
            <w:tcBorders>
              <w:top w:val="single" w:color="auto" w:sz="2" w:space="0"/>
            </w:tcBorders>
            <w:noWrap w:val="0"/>
            <w:tcMar>
              <w:left w:w="28" w:type="dxa"/>
              <w:right w:w="28" w:type="dxa"/>
            </w:tcMar>
            <w:vAlign w:val="center"/>
          </w:tcPr>
          <w:p w14:paraId="743E52C0">
            <w:pPr>
              <w:wordWrap w:val="0"/>
              <w:jc w:val="center"/>
              <w:rPr>
                <w:rFonts w:ascii="宋体" w:hAnsi="宋体" w:cs="宋体"/>
                <w:color w:val="auto"/>
                <w:szCs w:val="21"/>
                <w:highlight w:val="none"/>
              </w:rPr>
            </w:pPr>
          </w:p>
        </w:tc>
        <w:tc>
          <w:tcPr>
            <w:tcW w:w="1985" w:type="dxa"/>
            <w:tcBorders>
              <w:top w:val="single" w:color="auto" w:sz="2" w:space="0"/>
            </w:tcBorders>
            <w:noWrap w:val="0"/>
            <w:tcMar>
              <w:left w:w="28" w:type="dxa"/>
              <w:right w:w="28" w:type="dxa"/>
            </w:tcMar>
            <w:vAlign w:val="center"/>
          </w:tcPr>
          <w:p w14:paraId="7CB3396A">
            <w:pPr>
              <w:wordWrap w:val="0"/>
              <w:jc w:val="center"/>
              <w:rPr>
                <w:rFonts w:ascii="宋体" w:hAnsi="宋体" w:cs="宋体"/>
                <w:color w:val="auto"/>
                <w:szCs w:val="21"/>
                <w:highlight w:val="none"/>
              </w:rPr>
            </w:pPr>
          </w:p>
        </w:tc>
        <w:tc>
          <w:tcPr>
            <w:tcW w:w="870" w:type="dxa"/>
            <w:tcBorders>
              <w:top w:val="single" w:color="auto" w:sz="2" w:space="0"/>
            </w:tcBorders>
            <w:noWrap w:val="0"/>
            <w:tcMar>
              <w:left w:w="28" w:type="dxa"/>
              <w:right w:w="28" w:type="dxa"/>
            </w:tcMar>
            <w:vAlign w:val="center"/>
          </w:tcPr>
          <w:p w14:paraId="5B73906A">
            <w:pPr>
              <w:wordWrap w:val="0"/>
              <w:jc w:val="center"/>
              <w:rPr>
                <w:rFonts w:ascii="宋体" w:hAnsi="宋体" w:cs="宋体"/>
                <w:color w:val="auto"/>
                <w:szCs w:val="21"/>
                <w:highlight w:val="none"/>
              </w:rPr>
            </w:pPr>
          </w:p>
        </w:tc>
        <w:tc>
          <w:tcPr>
            <w:tcW w:w="572" w:type="dxa"/>
            <w:tcBorders>
              <w:top w:val="single" w:color="auto" w:sz="2" w:space="0"/>
            </w:tcBorders>
            <w:noWrap w:val="0"/>
            <w:tcMar>
              <w:left w:w="28" w:type="dxa"/>
              <w:right w:w="28" w:type="dxa"/>
            </w:tcMar>
            <w:vAlign w:val="center"/>
          </w:tcPr>
          <w:p w14:paraId="473009C3">
            <w:pPr>
              <w:wordWrap w:val="0"/>
              <w:jc w:val="center"/>
              <w:rPr>
                <w:rFonts w:ascii="宋体" w:hAnsi="宋体" w:cs="宋体"/>
                <w:color w:val="auto"/>
                <w:szCs w:val="21"/>
                <w:highlight w:val="none"/>
              </w:rPr>
            </w:pPr>
          </w:p>
        </w:tc>
        <w:tc>
          <w:tcPr>
            <w:tcW w:w="870" w:type="dxa"/>
            <w:tcBorders>
              <w:top w:val="single" w:color="auto" w:sz="2" w:space="0"/>
            </w:tcBorders>
            <w:noWrap w:val="0"/>
            <w:tcMar>
              <w:left w:w="28" w:type="dxa"/>
              <w:right w:w="28" w:type="dxa"/>
            </w:tcMar>
            <w:vAlign w:val="center"/>
          </w:tcPr>
          <w:p w14:paraId="5F2854A8">
            <w:pPr>
              <w:wordWrap w:val="0"/>
              <w:jc w:val="center"/>
              <w:rPr>
                <w:rFonts w:ascii="宋体" w:hAnsi="宋体" w:cs="宋体"/>
                <w:color w:val="auto"/>
                <w:szCs w:val="21"/>
                <w:highlight w:val="none"/>
              </w:rPr>
            </w:pPr>
          </w:p>
        </w:tc>
        <w:tc>
          <w:tcPr>
            <w:tcW w:w="870" w:type="dxa"/>
            <w:tcBorders>
              <w:top w:val="single" w:color="auto" w:sz="2" w:space="0"/>
            </w:tcBorders>
            <w:noWrap w:val="0"/>
            <w:tcMar>
              <w:left w:w="28" w:type="dxa"/>
              <w:right w:w="28" w:type="dxa"/>
            </w:tcMar>
            <w:vAlign w:val="center"/>
          </w:tcPr>
          <w:p w14:paraId="32F193EA">
            <w:pPr>
              <w:wordWrap w:val="0"/>
              <w:jc w:val="center"/>
              <w:rPr>
                <w:rFonts w:ascii="宋体" w:hAnsi="宋体" w:cs="宋体"/>
                <w:color w:val="auto"/>
                <w:szCs w:val="21"/>
                <w:highlight w:val="none"/>
              </w:rPr>
            </w:pPr>
          </w:p>
        </w:tc>
        <w:tc>
          <w:tcPr>
            <w:tcW w:w="865" w:type="dxa"/>
            <w:tcBorders>
              <w:top w:val="single" w:color="auto" w:sz="2" w:space="0"/>
            </w:tcBorders>
            <w:noWrap w:val="0"/>
            <w:tcMar>
              <w:left w:w="28" w:type="dxa"/>
              <w:right w:w="28" w:type="dxa"/>
            </w:tcMar>
            <w:vAlign w:val="center"/>
          </w:tcPr>
          <w:p w14:paraId="783874A3">
            <w:pPr>
              <w:wordWrap w:val="0"/>
              <w:jc w:val="center"/>
              <w:rPr>
                <w:rFonts w:ascii="宋体" w:hAnsi="宋体" w:cs="宋体"/>
                <w:color w:val="auto"/>
                <w:szCs w:val="21"/>
                <w:highlight w:val="none"/>
              </w:rPr>
            </w:pPr>
          </w:p>
        </w:tc>
        <w:tc>
          <w:tcPr>
            <w:tcW w:w="870" w:type="dxa"/>
            <w:tcBorders>
              <w:top w:val="single" w:color="auto" w:sz="2" w:space="0"/>
            </w:tcBorders>
            <w:noWrap w:val="0"/>
            <w:tcMar>
              <w:left w:w="28" w:type="dxa"/>
              <w:right w:w="28" w:type="dxa"/>
            </w:tcMar>
            <w:vAlign w:val="center"/>
          </w:tcPr>
          <w:p w14:paraId="0E8784EC">
            <w:pPr>
              <w:wordWrap w:val="0"/>
              <w:jc w:val="center"/>
              <w:rPr>
                <w:rFonts w:ascii="宋体" w:hAnsi="宋体" w:cs="宋体"/>
                <w:color w:val="auto"/>
                <w:szCs w:val="21"/>
                <w:highlight w:val="none"/>
              </w:rPr>
            </w:pPr>
          </w:p>
        </w:tc>
        <w:tc>
          <w:tcPr>
            <w:tcW w:w="1216" w:type="dxa"/>
            <w:tcBorders>
              <w:top w:val="single" w:color="auto" w:sz="2" w:space="0"/>
            </w:tcBorders>
            <w:noWrap w:val="0"/>
            <w:tcMar>
              <w:left w:w="28" w:type="dxa"/>
              <w:right w:w="28" w:type="dxa"/>
            </w:tcMar>
            <w:vAlign w:val="center"/>
          </w:tcPr>
          <w:p w14:paraId="1E20EE3E">
            <w:pPr>
              <w:wordWrap w:val="0"/>
              <w:jc w:val="center"/>
              <w:rPr>
                <w:rFonts w:ascii="宋体" w:hAnsi="宋体" w:cs="宋体"/>
                <w:color w:val="auto"/>
                <w:szCs w:val="21"/>
                <w:highlight w:val="none"/>
              </w:rPr>
            </w:pPr>
          </w:p>
        </w:tc>
      </w:tr>
      <w:tr w14:paraId="188F9F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436" w:type="dxa"/>
            <w:noWrap w:val="0"/>
            <w:tcMar>
              <w:left w:w="28" w:type="dxa"/>
              <w:right w:w="28" w:type="dxa"/>
            </w:tcMar>
            <w:vAlign w:val="center"/>
          </w:tcPr>
          <w:p w14:paraId="70BD7462">
            <w:pPr>
              <w:wordWrap w:val="0"/>
              <w:jc w:val="center"/>
              <w:rPr>
                <w:rFonts w:ascii="宋体" w:hAnsi="宋体" w:cs="宋体"/>
                <w:color w:val="auto"/>
                <w:szCs w:val="21"/>
                <w:highlight w:val="none"/>
              </w:rPr>
            </w:pPr>
          </w:p>
        </w:tc>
        <w:tc>
          <w:tcPr>
            <w:tcW w:w="1985" w:type="dxa"/>
            <w:noWrap w:val="0"/>
            <w:tcMar>
              <w:left w:w="28" w:type="dxa"/>
              <w:right w:w="28" w:type="dxa"/>
            </w:tcMar>
            <w:vAlign w:val="center"/>
          </w:tcPr>
          <w:p w14:paraId="6EE07531">
            <w:pPr>
              <w:wordWrap w:val="0"/>
              <w:jc w:val="center"/>
              <w:rPr>
                <w:rFonts w:ascii="宋体" w:hAnsi="宋体" w:cs="宋体"/>
                <w:color w:val="auto"/>
                <w:szCs w:val="21"/>
                <w:highlight w:val="none"/>
              </w:rPr>
            </w:pPr>
          </w:p>
        </w:tc>
        <w:tc>
          <w:tcPr>
            <w:tcW w:w="870" w:type="dxa"/>
            <w:noWrap w:val="0"/>
            <w:tcMar>
              <w:left w:w="28" w:type="dxa"/>
              <w:right w:w="28" w:type="dxa"/>
            </w:tcMar>
            <w:vAlign w:val="center"/>
          </w:tcPr>
          <w:p w14:paraId="0A997843">
            <w:pPr>
              <w:wordWrap w:val="0"/>
              <w:jc w:val="center"/>
              <w:rPr>
                <w:rFonts w:ascii="宋体" w:hAnsi="宋体" w:cs="宋体"/>
                <w:color w:val="auto"/>
                <w:szCs w:val="21"/>
                <w:highlight w:val="none"/>
              </w:rPr>
            </w:pPr>
          </w:p>
        </w:tc>
        <w:tc>
          <w:tcPr>
            <w:tcW w:w="572" w:type="dxa"/>
            <w:noWrap w:val="0"/>
            <w:tcMar>
              <w:left w:w="28" w:type="dxa"/>
              <w:right w:w="28" w:type="dxa"/>
            </w:tcMar>
            <w:vAlign w:val="center"/>
          </w:tcPr>
          <w:p w14:paraId="72F5EAB1">
            <w:pPr>
              <w:wordWrap w:val="0"/>
              <w:jc w:val="center"/>
              <w:rPr>
                <w:rFonts w:ascii="宋体" w:hAnsi="宋体" w:cs="宋体"/>
                <w:color w:val="auto"/>
                <w:szCs w:val="21"/>
                <w:highlight w:val="none"/>
              </w:rPr>
            </w:pPr>
          </w:p>
        </w:tc>
        <w:tc>
          <w:tcPr>
            <w:tcW w:w="870" w:type="dxa"/>
            <w:noWrap w:val="0"/>
            <w:tcMar>
              <w:left w:w="28" w:type="dxa"/>
              <w:right w:w="28" w:type="dxa"/>
            </w:tcMar>
            <w:vAlign w:val="center"/>
          </w:tcPr>
          <w:p w14:paraId="06E57C5F">
            <w:pPr>
              <w:wordWrap w:val="0"/>
              <w:jc w:val="center"/>
              <w:rPr>
                <w:rFonts w:ascii="宋体" w:hAnsi="宋体" w:cs="宋体"/>
                <w:color w:val="auto"/>
                <w:szCs w:val="21"/>
                <w:highlight w:val="none"/>
              </w:rPr>
            </w:pPr>
          </w:p>
        </w:tc>
        <w:tc>
          <w:tcPr>
            <w:tcW w:w="870" w:type="dxa"/>
            <w:noWrap w:val="0"/>
            <w:tcMar>
              <w:left w:w="28" w:type="dxa"/>
              <w:right w:w="28" w:type="dxa"/>
            </w:tcMar>
            <w:vAlign w:val="center"/>
          </w:tcPr>
          <w:p w14:paraId="708EFAA4">
            <w:pPr>
              <w:wordWrap w:val="0"/>
              <w:jc w:val="center"/>
              <w:rPr>
                <w:rFonts w:ascii="宋体" w:hAnsi="宋体" w:cs="宋体"/>
                <w:color w:val="auto"/>
                <w:szCs w:val="21"/>
                <w:highlight w:val="none"/>
              </w:rPr>
            </w:pPr>
          </w:p>
        </w:tc>
        <w:tc>
          <w:tcPr>
            <w:tcW w:w="865" w:type="dxa"/>
            <w:noWrap w:val="0"/>
            <w:tcMar>
              <w:left w:w="28" w:type="dxa"/>
              <w:right w:w="28" w:type="dxa"/>
            </w:tcMar>
            <w:vAlign w:val="center"/>
          </w:tcPr>
          <w:p w14:paraId="2582D081">
            <w:pPr>
              <w:wordWrap w:val="0"/>
              <w:jc w:val="center"/>
              <w:rPr>
                <w:rFonts w:ascii="宋体" w:hAnsi="宋体" w:cs="宋体"/>
                <w:color w:val="auto"/>
                <w:szCs w:val="21"/>
                <w:highlight w:val="none"/>
              </w:rPr>
            </w:pPr>
          </w:p>
        </w:tc>
        <w:tc>
          <w:tcPr>
            <w:tcW w:w="870" w:type="dxa"/>
            <w:noWrap w:val="0"/>
            <w:tcMar>
              <w:left w:w="28" w:type="dxa"/>
              <w:right w:w="28" w:type="dxa"/>
            </w:tcMar>
            <w:vAlign w:val="center"/>
          </w:tcPr>
          <w:p w14:paraId="72F850E4">
            <w:pPr>
              <w:wordWrap w:val="0"/>
              <w:jc w:val="center"/>
              <w:rPr>
                <w:rFonts w:ascii="宋体" w:hAnsi="宋体" w:cs="宋体"/>
                <w:color w:val="auto"/>
                <w:szCs w:val="21"/>
                <w:highlight w:val="none"/>
              </w:rPr>
            </w:pPr>
          </w:p>
        </w:tc>
        <w:tc>
          <w:tcPr>
            <w:tcW w:w="1216" w:type="dxa"/>
            <w:noWrap w:val="0"/>
            <w:tcMar>
              <w:left w:w="28" w:type="dxa"/>
              <w:right w:w="28" w:type="dxa"/>
            </w:tcMar>
            <w:vAlign w:val="center"/>
          </w:tcPr>
          <w:p w14:paraId="651643F2">
            <w:pPr>
              <w:wordWrap w:val="0"/>
              <w:jc w:val="center"/>
              <w:rPr>
                <w:rFonts w:ascii="宋体" w:hAnsi="宋体" w:cs="宋体"/>
                <w:color w:val="auto"/>
                <w:szCs w:val="21"/>
                <w:highlight w:val="none"/>
              </w:rPr>
            </w:pPr>
          </w:p>
        </w:tc>
      </w:tr>
      <w:tr w14:paraId="71482F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436" w:type="dxa"/>
            <w:noWrap w:val="0"/>
            <w:tcMar>
              <w:left w:w="28" w:type="dxa"/>
              <w:right w:w="28" w:type="dxa"/>
            </w:tcMar>
            <w:vAlign w:val="center"/>
          </w:tcPr>
          <w:p w14:paraId="7795B9D9">
            <w:pPr>
              <w:wordWrap w:val="0"/>
              <w:jc w:val="center"/>
              <w:rPr>
                <w:rFonts w:ascii="宋体" w:hAnsi="宋体" w:cs="宋体"/>
                <w:color w:val="auto"/>
                <w:szCs w:val="21"/>
                <w:highlight w:val="none"/>
              </w:rPr>
            </w:pPr>
          </w:p>
        </w:tc>
        <w:tc>
          <w:tcPr>
            <w:tcW w:w="1985" w:type="dxa"/>
            <w:noWrap w:val="0"/>
            <w:tcMar>
              <w:left w:w="28" w:type="dxa"/>
              <w:right w:w="28" w:type="dxa"/>
            </w:tcMar>
            <w:vAlign w:val="center"/>
          </w:tcPr>
          <w:p w14:paraId="1298CA4D">
            <w:pPr>
              <w:wordWrap w:val="0"/>
              <w:jc w:val="center"/>
              <w:rPr>
                <w:rFonts w:ascii="宋体" w:hAnsi="宋体" w:cs="宋体"/>
                <w:color w:val="auto"/>
                <w:szCs w:val="21"/>
                <w:highlight w:val="none"/>
              </w:rPr>
            </w:pPr>
          </w:p>
        </w:tc>
        <w:tc>
          <w:tcPr>
            <w:tcW w:w="870" w:type="dxa"/>
            <w:noWrap w:val="0"/>
            <w:tcMar>
              <w:left w:w="28" w:type="dxa"/>
              <w:right w:w="28" w:type="dxa"/>
            </w:tcMar>
            <w:vAlign w:val="center"/>
          </w:tcPr>
          <w:p w14:paraId="645EEB2A">
            <w:pPr>
              <w:wordWrap w:val="0"/>
              <w:jc w:val="center"/>
              <w:rPr>
                <w:rFonts w:ascii="宋体" w:hAnsi="宋体" w:cs="宋体"/>
                <w:color w:val="auto"/>
                <w:szCs w:val="21"/>
                <w:highlight w:val="none"/>
              </w:rPr>
            </w:pPr>
          </w:p>
        </w:tc>
        <w:tc>
          <w:tcPr>
            <w:tcW w:w="572" w:type="dxa"/>
            <w:noWrap w:val="0"/>
            <w:tcMar>
              <w:left w:w="28" w:type="dxa"/>
              <w:right w:w="28" w:type="dxa"/>
            </w:tcMar>
            <w:vAlign w:val="center"/>
          </w:tcPr>
          <w:p w14:paraId="046ED5D6">
            <w:pPr>
              <w:wordWrap w:val="0"/>
              <w:jc w:val="center"/>
              <w:rPr>
                <w:rFonts w:ascii="宋体" w:hAnsi="宋体" w:cs="宋体"/>
                <w:color w:val="auto"/>
                <w:szCs w:val="21"/>
                <w:highlight w:val="none"/>
              </w:rPr>
            </w:pPr>
          </w:p>
        </w:tc>
        <w:tc>
          <w:tcPr>
            <w:tcW w:w="870" w:type="dxa"/>
            <w:noWrap w:val="0"/>
            <w:tcMar>
              <w:left w:w="28" w:type="dxa"/>
              <w:right w:w="28" w:type="dxa"/>
            </w:tcMar>
            <w:vAlign w:val="center"/>
          </w:tcPr>
          <w:p w14:paraId="098ED686">
            <w:pPr>
              <w:wordWrap w:val="0"/>
              <w:jc w:val="center"/>
              <w:rPr>
                <w:rFonts w:ascii="宋体" w:hAnsi="宋体" w:cs="宋体"/>
                <w:color w:val="auto"/>
                <w:szCs w:val="21"/>
                <w:highlight w:val="none"/>
              </w:rPr>
            </w:pPr>
          </w:p>
        </w:tc>
        <w:tc>
          <w:tcPr>
            <w:tcW w:w="870" w:type="dxa"/>
            <w:noWrap w:val="0"/>
            <w:tcMar>
              <w:left w:w="28" w:type="dxa"/>
              <w:right w:w="28" w:type="dxa"/>
            </w:tcMar>
            <w:vAlign w:val="center"/>
          </w:tcPr>
          <w:p w14:paraId="7482397C">
            <w:pPr>
              <w:wordWrap w:val="0"/>
              <w:jc w:val="center"/>
              <w:rPr>
                <w:rFonts w:ascii="宋体" w:hAnsi="宋体" w:cs="宋体"/>
                <w:color w:val="auto"/>
                <w:szCs w:val="21"/>
                <w:highlight w:val="none"/>
              </w:rPr>
            </w:pPr>
          </w:p>
        </w:tc>
        <w:tc>
          <w:tcPr>
            <w:tcW w:w="865" w:type="dxa"/>
            <w:noWrap w:val="0"/>
            <w:tcMar>
              <w:left w:w="28" w:type="dxa"/>
              <w:right w:w="28" w:type="dxa"/>
            </w:tcMar>
            <w:vAlign w:val="center"/>
          </w:tcPr>
          <w:p w14:paraId="0EDA6A01">
            <w:pPr>
              <w:wordWrap w:val="0"/>
              <w:jc w:val="center"/>
              <w:rPr>
                <w:rFonts w:ascii="宋体" w:hAnsi="宋体" w:cs="宋体"/>
                <w:color w:val="auto"/>
                <w:szCs w:val="21"/>
                <w:highlight w:val="none"/>
              </w:rPr>
            </w:pPr>
          </w:p>
        </w:tc>
        <w:tc>
          <w:tcPr>
            <w:tcW w:w="870" w:type="dxa"/>
            <w:noWrap w:val="0"/>
            <w:tcMar>
              <w:left w:w="28" w:type="dxa"/>
              <w:right w:w="28" w:type="dxa"/>
            </w:tcMar>
            <w:vAlign w:val="center"/>
          </w:tcPr>
          <w:p w14:paraId="1A97C571">
            <w:pPr>
              <w:wordWrap w:val="0"/>
              <w:jc w:val="center"/>
              <w:rPr>
                <w:rFonts w:ascii="宋体" w:hAnsi="宋体" w:cs="宋体"/>
                <w:color w:val="auto"/>
                <w:szCs w:val="21"/>
                <w:highlight w:val="none"/>
              </w:rPr>
            </w:pPr>
          </w:p>
        </w:tc>
        <w:tc>
          <w:tcPr>
            <w:tcW w:w="1216" w:type="dxa"/>
            <w:noWrap w:val="0"/>
            <w:tcMar>
              <w:left w:w="28" w:type="dxa"/>
              <w:right w:w="28" w:type="dxa"/>
            </w:tcMar>
            <w:vAlign w:val="center"/>
          </w:tcPr>
          <w:p w14:paraId="1712FD6A">
            <w:pPr>
              <w:wordWrap w:val="0"/>
              <w:jc w:val="center"/>
              <w:rPr>
                <w:rFonts w:ascii="宋体" w:hAnsi="宋体" w:cs="宋体"/>
                <w:color w:val="auto"/>
                <w:szCs w:val="21"/>
                <w:highlight w:val="none"/>
              </w:rPr>
            </w:pPr>
          </w:p>
        </w:tc>
      </w:tr>
      <w:tr w14:paraId="24CD55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436" w:type="dxa"/>
            <w:noWrap w:val="0"/>
            <w:tcMar>
              <w:left w:w="28" w:type="dxa"/>
              <w:right w:w="28" w:type="dxa"/>
            </w:tcMar>
            <w:vAlign w:val="center"/>
          </w:tcPr>
          <w:p w14:paraId="34E00EA3">
            <w:pPr>
              <w:wordWrap w:val="0"/>
              <w:jc w:val="center"/>
              <w:rPr>
                <w:rFonts w:ascii="宋体" w:hAnsi="宋体" w:cs="宋体"/>
                <w:color w:val="auto"/>
                <w:szCs w:val="21"/>
                <w:highlight w:val="none"/>
              </w:rPr>
            </w:pPr>
          </w:p>
        </w:tc>
        <w:tc>
          <w:tcPr>
            <w:tcW w:w="1985" w:type="dxa"/>
            <w:noWrap w:val="0"/>
            <w:tcMar>
              <w:left w:w="28" w:type="dxa"/>
              <w:right w:w="28" w:type="dxa"/>
            </w:tcMar>
            <w:vAlign w:val="center"/>
          </w:tcPr>
          <w:p w14:paraId="621C5D88">
            <w:pPr>
              <w:wordWrap w:val="0"/>
              <w:jc w:val="center"/>
              <w:rPr>
                <w:rFonts w:ascii="宋体" w:hAnsi="宋体" w:cs="宋体"/>
                <w:color w:val="auto"/>
                <w:szCs w:val="21"/>
                <w:highlight w:val="none"/>
              </w:rPr>
            </w:pPr>
          </w:p>
        </w:tc>
        <w:tc>
          <w:tcPr>
            <w:tcW w:w="870" w:type="dxa"/>
            <w:noWrap w:val="0"/>
            <w:tcMar>
              <w:left w:w="28" w:type="dxa"/>
              <w:right w:w="28" w:type="dxa"/>
            </w:tcMar>
            <w:vAlign w:val="center"/>
          </w:tcPr>
          <w:p w14:paraId="2B4D0132">
            <w:pPr>
              <w:wordWrap w:val="0"/>
              <w:jc w:val="center"/>
              <w:rPr>
                <w:rFonts w:ascii="宋体" w:hAnsi="宋体" w:cs="宋体"/>
                <w:color w:val="auto"/>
                <w:szCs w:val="21"/>
                <w:highlight w:val="none"/>
              </w:rPr>
            </w:pPr>
          </w:p>
        </w:tc>
        <w:tc>
          <w:tcPr>
            <w:tcW w:w="572" w:type="dxa"/>
            <w:noWrap w:val="0"/>
            <w:tcMar>
              <w:left w:w="28" w:type="dxa"/>
              <w:right w:w="28" w:type="dxa"/>
            </w:tcMar>
            <w:vAlign w:val="center"/>
          </w:tcPr>
          <w:p w14:paraId="0682921D">
            <w:pPr>
              <w:wordWrap w:val="0"/>
              <w:jc w:val="center"/>
              <w:rPr>
                <w:rFonts w:ascii="宋体" w:hAnsi="宋体" w:cs="宋体"/>
                <w:color w:val="auto"/>
                <w:szCs w:val="21"/>
                <w:highlight w:val="none"/>
              </w:rPr>
            </w:pPr>
          </w:p>
        </w:tc>
        <w:tc>
          <w:tcPr>
            <w:tcW w:w="870" w:type="dxa"/>
            <w:noWrap w:val="0"/>
            <w:tcMar>
              <w:left w:w="28" w:type="dxa"/>
              <w:right w:w="28" w:type="dxa"/>
            </w:tcMar>
            <w:vAlign w:val="center"/>
          </w:tcPr>
          <w:p w14:paraId="7F4A2297">
            <w:pPr>
              <w:wordWrap w:val="0"/>
              <w:jc w:val="center"/>
              <w:rPr>
                <w:rFonts w:ascii="宋体" w:hAnsi="宋体" w:cs="宋体"/>
                <w:color w:val="auto"/>
                <w:szCs w:val="21"/>
                <w:highlight w:val="none"/>
              </w:rPr>
            </w:pPr>
          </w:p>
        </w:tc>
        <w:tc>
          <w:tcPr>
            <w:tcW w:w="870" w:type="dxa"/>
            <w:noWrap w:val="0"/>
            <w:tcMar>
              <w:left w:w="28" w:type="dxa"/>
              <w:right w:w="28" w:type="dxa"/>
            </w:tcMar>
            <w:vAlign w:val="center"/>
          </w:tcPr>
          <w:p w14:paraId="3ED1319D">
            <w:pPr>
              <w:wordWrap w:val="0"/>
              <w:jc w:val="center"/>
              <w:rPr>
                <w:rFonts w:ascii="宋体" w:hAnsi="宋体" w:cs="宋体"/>
                <w:color w:val="auto"/>
                <w:szCs w:val="21"/>
                <w:highlight w:val="none"/>
              </w:rPr>
            </w:pPr>
          </w:p>
        </w:tc>
        <w:tc>
          <w:tcPr>
            <w:tcW w:w="865" w:type="dxa"/>
            <w:noWrap w:val="0"/>
            <w:tcMar>
              <w:left w:w="28" w:type="dxa"/>
              <w:right w:w="28" w:type="dxa"/>
            </w:tcMar>
            <w:vAlign w:val="center"/>
          </w:tcPr>
          <w:p w14:paraId="3A18F271">
            <w:pPr>
              <w:wordWrap w:val="0"/>
              <w:jc w:val="center"/>
              <w:rPr>
                <w:rFonts w:ascii="宋体" w:hAnsi="宋体" w:cs="宋体"/>
                <w:color w:val="auto"/>
                <w:szCs w:val="21"/>
                <w:highlight w:val="none"/>
              </w:rPr>
            </w:pPr>
          </w:p>
        </w:tc>
        <w:tc>
          <w:tcPr>
            <w:tcW w:w="870" w:type="dxa"/>
            <w:noWrap w:val="0"/>
            <w:tcMar>
              <w:left w:w="28" w:type="dxa"/>
              <w:right w:w="28" w:type="dxa"/>
            </w:tcMar>
            <w:vAlign w:val="center"/>
          </w:tcPr>
          <w:p w14:paraId="0844D445">
            <w:pPr>
              <w:wordWrap w:val="0"/>
              <w:jc w:val="center"/>
              <w:rPr>
                <w:rFonts w:ascii="宋体" w:hAnsi="宋体" w:cs="宋体"/>
                <w:color w:val="auto"/>
                <w:szCs w:val="21"/>
                <w:highlight w:val="none"/>
              </w:rPr>
            </w:pPr>
          </w:p>
        </w:tc>
        <w:tc>
          <w:tcPr>
            <w:tcW w:w="1216" w:type="dxa"/>
            <w:noWrap w:val="0"/>
            <w:tcMar>
              <w:left w:w="28" w:type="dxa"/>
              <w:right w:w="28" w:type="dxa"/>
            </w:tcMar>
            <w:vAlign w:val="center"/>
          </w:tcPr>
          <w:p w14:paraId="0728AC29">
            <w:pPr>
              <w:wordWrap w:val="0"/>
              <w:jc w:val="center"/>
              <w:rPr>
                <w:rFonts w:ascii="宋体" w:hAnsi="宋体" w:cs="宋体"/>
                <w:color w:val="auto"/>
                <w:szCs w:val="21"/>
                <w:highlight w:val="none"/>
              </w:rPr>
            </w:pPr>
          </w:p>
        </w:tc>
      </w:tr>
      <w:tr w14:paraId="43CB09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436" w:type="dxa"/>
            <w:noWrap w:val="0"/>
            <w:tcMar>
              <w:left w:w="28" w:type="dxa"/>
              <w:right w:w="28" w:type="dxa"/>
            </w:tcMar>
            <w:vAlign w:val="center"/>
          </w:tcPr>
          <w:p w14:paraId="56FBE037">
            <w:pPr>
              <w:wordWrap w:val="0"/>
              <w:jc w:val="center"/>
              <w:rPr>
                <w:rFonts w:ascii="宋体" w:hAnsi="宋体" w:cs="宋体"/>
                <w:color w:val="auto"/>
                <w:szCs w:val="21"/>
                <w:highlight w:val="none"/>
              </w:rPr>
            </w:pPr>
          </w:p>
        </w:tc>
        <w:tc>
          <w:tcPr>
            <w:tcW w:w="1985" w:type="dxa"/>
            <w:noWrap w:val="0"/>
            <w:tcMar>
              <w:left w:w="28" w:type="dxa"/>
              <w:right w:w="28" w:type="dxa"/>
            </w:tcMar>
            <w:vAlign w:val="center"/>
          </w:tcPr>
          <w:p w14:paraId="53D2C8B3">
            <w:pPr>
              <w:wordWrap w:val="0"/>
              <w:jc w:val="center"/>
              <w:rPr>
                <w:rFonts w:ascii="宋体" w:hAnsi="宋体" w:cs="宋体"/>
                <w:color w:val="auto"/>
                <w:szCs w:val="21"/>
                <w:highlight w:val="none"/>
              </w:rPr>
            </w:pPr>
          </w:p>
        </w:tc>
        <w:tc>
          <w:tcPr>
            <w:tcW w:w="870" w:type="dxa"/>
            <w:noWrap w:val="0"/>
            <w:tcMar>
              <w:left w:w="28" w:type="dxa"/>
              <w:right w:w="28" w:type="dxa"/>
            </w:tcMar>
            <w:vAlign w:val="center"/>
          </w:tcPr>
          <w:p w14:paraId="7B625CF4">
            <w:pPr>
              <w:wordWrap w:val="0"/>
              <w:jc w:val="center"/>
              <w:rPr>
                <w:rFonts w:ascii="宋体" w:hAnsi="宋体" w:cs="宋体"/>
                <w:color w:val="auto"/>
                <w:szCs w:val="21"/>
                <w:highlight w:val="none"/>
              </w:rPr>
            </w:pPr>
          </w:p>
        </w:tc>
        <w:tc>
          <w:tcPr>
            <w:tcW w:w="572" w:type="dxa"/>
            <w:noWrap w:val="0"/>
            <w:tcMar>
              <w:left w:w="28" w:type="dxa"/>
              <w:right w:w="28" w:type="dxa"/>
            </w:tcMar>
            <w:vAlign w:val="center"/>
          </w:tcPr>
          <w:p w14:paraId="69FEB961">
            <w:pPr>
              <w:wordWrap w:val="0"/>
              <w:jc w:val="center"/>
              <w:rPr>
                <w:rFonts w:ascii="宋体" w:hAnsi="宋体" w:cs="宋体"/>
                <w:color w:val="auto"/>
                <w:szCs w:val="21"/>
                <w:highlight w:val="none"/>
              </w:rPr>
            </w:pPr>
          </w:p>
        </w:tc>
        <w:tc>
          <w:tcPr>
            <w:tcW w:w="870" w:type="dxa"/>
            <w:noWrap w:val="0"/>
            <w:tcMar>
              <w:left w:w="28" w:type="dxa"/>
              <w:right w:w="28" w:type="dxa"/>
            </w:tcMar>
            <w:vAlign w:val="center"/>
          </w:tcPr>
          <w:p w14:paraId="6B795B65">
            <w:pPr>
              <w:wordWrap w:val="0"/>
              <w:jc w:val="center"/>
              <w:rPr>
                <w:rFonts w:ascii="宋体" w:hAnsi="宋体" w:cs="宋体"/>
                <w:color w:val="auto"/>
                <w:szCs w:val="21"/>
                <w:highlight w:val="none"/>
              </w:rPr>
            </w:pPr>
          </w:p>
        </w:tc>
        <w:tc>
          <w:tcPr>
            <w:tcW w:w="870" w:type="dxa"/>
            <w:noWrap w:val="0"/>
            <w:tcMar>
              <w:left w:w="28" w:type="dxa"/>
              <w:right w:w="28" w:type="dxa"/>
            </w:tcMar>
            <w:vAlign w:val="center"/>
          </w:tcPr>
          <w:p w14:paraId="45501998">
            <w:pPr>
              <w:wordWrap w:val="0"/>
              <w:jc w:val="center"/>
              <w:rPr>
                <w:rFonts w:ascii="宋体" w:hAnsi="宋体" w:cs="宋体"/>
                <w:color w:val="auto"/>
                <w:szCs w:val="21"/>
                <w:highlight w:val="none"/>
              </w:rPr>
            </w:pPr>
          </w:p>
        </w:tc>
        <w:tc>
          <w:tcPr>
            <w:tcW w:w="865" w:type="dxa"/>
            <w:noWrap w:val="0"/>
            <w:tcMar>
              <w:left w:w="28" w:type="dxa"/>
              <w:right w:w="28" w:type="dxa"/>
            </w:tcMar>
            <w:vAlign w:val="center"/>
          </w:tcPr>
          <w:p w14:paraId="7383EA29">
            <w:pPr>
              <w:wordWrap w:val="0"/>
              <w:jc w:val="center"/>
              <w:rPr>
                <w:rFonts w:ascii="宋体" w:hAnsi="宋体" w:cs="宋体"/>
                <w:color w:val="auto"/>
                <w:szCs w:val="21"/>
                <w:highlight w:val="none"/>
              </w:rPr>
            </w:pPr>
          </w:p>
        </w:tc>
        <w:tc>
          <w:tcPr>
            <w:tcW w:w="870" w:type="dxa"/>
            <w:noWrap w:val="0"/>
            <w:tcMar>
              <w:left w:w="28" w:type="dxa"/>
              <w:right w:w="28" w:type="dxa"/>
            </w:tcMar>
            <w:vAlign w:val="center"/>
          </w:tcPr>
          <w:p w14:paraId="69AB80DC">
            <w:pPr>
              <w:wordWrap w:val="0"/>
              <w:jc w:val="center"/>
              <w:rPr>
                <w:rFonts w:ascii="宋体" w:hAnsi="宋体" w:cs="宋体"/>
                <w:color w:val="auto"/>
                <w:szCs w:val="21"/>
                <w:highlight w:val="none"/>
              </w:rPr>
            </w:pPr>
          </w:p>
        </w:tc>
        <w:tc>
          <w:tcPr>
            <w:tcW w:w="1216" w:type="dxa"/>
            <w:noWrap w:val="0"/>
            <w:tcMar>
              <w:left w:w="28" w:type="dxa"/>
              <w:right w:w="28" w:type="dxa"/>
            </w:tcMar>
            <w:vAlign w:val="center"/>
          </w:tcPr>
          <w:p w14:paraId="1D1FCDFA">
            <w:pPr>
              <w:wordWrap w:val="0"/>
              <w:jc w:val="center"/>
              <w:rPr>
                <w:rFonts w:ascii="宋体" w:hAnsi="宋体" w:cs="宋体"/>
                <w:color w:val="auto"/>
                <w:szCs w:val="21"/>
                <w:highlight w:val="none"/>
              </w:rPr>
            </w:pPr>
          </w:p>
        </w:tc>
      </w:tr>
      <w:tr w14:paraId="793616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436" w:type="dxa"/>
            <w:noWrap w:val="0"/>
            <w:tcMar>
              <w:left w:w="28" w:type="dxa"/>
              <w:right w:w="28" w:type="dxa"/>
            </w:tcMar>
            <w:vAlign w:val="center"/>
          </w:tcPr>
          <w:p w14:paraId="738AC450">
            <w:pPr>
              <w:wordWrap w:val="0"/>
              <w:jc w:val="center"/>
              <w:rPr>
                <w:rFonts w:ascii="宋体" w:hAnsi="宋体" w:cs="宋体"/>
                <w:color w:val="auto"/>
                <w:szCs w:val="21"/>
                <w:highlight w:val="none"/>
              </w:rPr>
            </w:pPr>
          </w:p>
        </w:tc>
        <w:tc>
          <w:tcPr>
            <w:tcW w:w="1985" w:type="dxa"/>
            <w:noWrap w:val="0"/>
            <w:tcMar>
              <w:left w:w="28" w:type="dxa"/>
              <w:right w:w="28" w:type="dxa"/>
            </w:tcMar>
            <w:vAlign w:val="center"/>
          </w:tcPr>
          <w:p w14:paraId="31444276">
            <w:pPr>
              <w:wordWrap w:val="0"/>
              <w:jc w:val="center"/>
              <w:rPr>
                <w:rFonts w:ascii="宋体" w:hAnsi="宋体" w:cs="宋体"/>
                <w:color w:val="auto"/>
                <w:szCs w:val="21"/>
                <w:highlight w:val="none"/>
              </w:rPr>
            </w:pPr>
          </w:p>
        </w:tc>
        <w:tc>
          <w:tcPr>
            <w:tcW w:w="870" w:type="dxa"/>
            <w:noWrap w:val="0"/>
            <w:tcMar>
              <w:left w:w="28" w:type="dxa"/>
              <w:right w:w="28" w:type="dxa"/>
            </w:tcMar>
            <w:vAlign w:val="center"/>
          </w:tcPr>
          <w:p w14:paraId="3A8276CB">
            <w:pPr>
              <w:wordWrap w:val="0"/>
              <w:jc w:val="center"/>
              <w:rPr>
                <w:rFonts w:ascii="宋体" w:hAnsi="宋体" w:cs="宋体"/>
                <w:color w:val="auto"/>
                <w:szCs w:val="21"/>
                <w:highlight w:val="none"/>
              </w:rPr>
            </w:pPr>
          </w:p>
        </w:tc>
        <w:tc>
          <w:tcPr>
            <w:tcW w:w="572" w:type="dxa"/>
            <w:noWrap w:val="0"/>
            <w:tcMar>
              <w:left w:w="28" w:type="dxa"/>
              <w:right w:w="28" w:type="dxa"/>
            </w:tcMar>
            <w:vAlign w:val="center"/>
          </w:tcPr>
          <w:p w14:paraId="0F0C62DA">
            <w:pPr>
              <w:wordWrap w:val="0"/>
              <w:jc w:val="center"/>
              <w:rPr>
                <w:rFonts w:ascii="宋体" w:hAnsi="宋体" w:cs="宋体"/>
                <w:color w:val="auto"/>
                <w:szCs w:val="21"/>
                <w:highlight w:val="none"/>
              </w:rPr>
            </w:pPr>
          </w:p>
        </w:tc>
        <w:tc>
          <w:tcPr>
            <w:tcW w:w="870" w:type="dxa"/>
            <w:noWrap w:val="0"/>
            <w:tcMar>
              <w:left w:w="28" w:type="dxa"/>
              <w:right w:w="28" w:type="dxa"/>
            </w:tcMar>
            <w:vAlign w:val="center"/>
          </w:tcPr>
          <w:p w14:paraId="6A40DEC8">
            <w:pPr>
              <w:wordWrap w:val="0"/>
              <w:jc w:val="center"/>
              <w:rPr>
                <w:rFonts w:ascii="宋体" w:hAnsi="宋体" w:cs="宋体"/>
                <w:color w:val="auto"/>
                <w:szCs w:val="21"/>
                <w:highlight w:val="none"/>
              </w:rPr>
            </w:pPr>
          </w:p>
        </w:tc>
        <w:tc>
          <w:tcPr>
            <w:tcW w:w="870" w:type="dxa"/>
            <w:noWrap w:val="0"/>
            <w:tcMar>
              <w:left w:w="28" w:type="dxa"/>
              <w:right w:w="28" w:type="dxa"/>
            </w:tcMar>
            <w:vAlign w:val="center"/>
          </w:tcPr>
          <w:p w14:paraId="3F0B8031">
            <w:pPr>
              <w:wordWrap w:val="0"/>
              <w:jc w:val="center"/>
              <w:rPr>
                <w:rFonts w:ascii="宋体" w:hAnsi="宋体" w:cs="宋体"/>
                <w:color w:val="auto"/>
                <w:szCs w:val="21"/>
                <w:highlight w:val="none"/>
              </w:rPr>
            </w:pPr>
          </w:p>
        </w:tc>
        <w:tc>
          <w:tcPr>
            <w:tcW w:w="865" w:type="dxa"/>
            <w:noWrap w:val="0"/>
            <w:tcMar>
              <w:left w:w="28" w:type="dxa"/>
              <w:right w:w="28" w:type="dxa"/>
            </w:tcMar>
            <w:vAlign w:val="center"/>
          </w:tcPr>
          <w:p w14:paraId="0A62F09F">
            <w:pPr>
              <w:wordWrap w:val="0"/>
              <w:jc w:val="center"/>
              <w:rPr>
                <w:rFonts w:ascii="宋体" w:hAnsi="宋体" w:cs="宋体"/>
                <w:color w:val="auto"/>
                <w:szCs w:val="21"/>
                <w:highlight w:val="none"/>
              </w:rPr>
            </w:pPr>
          </w:p>
        </w:tc>
        <w:tc>
          <w:tcPr>
            <w:tcW w:w="870" w:type="dxa"/>
            <w:noWrap w:val="0"/>
            <w:tcMar>
              <w:left w:w="28" w:type="dxa"/>
              <w:right w:w="28" w:type="dxa"/>
            </w:tcMar>
            <w:vAlign w:val="center"/>
          </w:tcPr>
          <w:p w14:paraId="4D25D6AB">
            <w:pPr>
              <w:wordWrap w:val="0"/>
              <w:jc w:val="center"/>
              <w:rPr>
                <w:rFonts w:ascii="宋体" w:hAnsi="宋体" w:cs="宋体"/>
                <w:color w:val="auto"/>
                <w:szCs w:val="21"/>
                <w:highlight w:val="none"/>
              </w:rPr>
            </w:pPr>
          </w:p>
        </w:tc>
        <w:tc>
          <w:tcPr>
            <w:tcW w:w="1216" w:type="dxa"/>
            <w:noWrap w:val="0"/>
            <w:tcMar>
              <w:left w:w="28" w:type="dxa"/>
              <w:right w:w="28" w:type="dxa"/>
            </w:tcMar>
            <w:vAlign w:val="center"/>
          </w:tcPr>
          <w:p w14:paraId="76EDB04F">
            <w:pPr>
              <w:wordWrap w:val="0"/>
              <w:jc w:val="center"/>
              <w:rPr>
                <w:rFonts w:ascii="宋体" w:hAnsi="宋体" w:cs="宋体"/>
                <w:color w:val="auto"/>
                <w:szCs w:val="21"/>
                <w:highlight w:val="none"/>
              </w:rPr>
            </w:pPr>
          </w:p>
        </w:tc>
      </w:tr>
      <w:tr w14:paraId="40DD44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436" w:type="dxa"/>
            <w:noWrap w:val="0"/>
            <w:tcMar>
              <w:left w:w="28" w:type="dxa"/>
              <w:right w:w="28" w:type="dxa"/>
            </w:tcMar>
            <w:vAlign w:val="center"/>
          </w:tcPr>
          <w:p w14:paraId="7D683C78">
            <w:pPr>
              <w:wordWrap w:val="0"/>
              <w:jc w:val="center"/>
              <w:rPr>
                <w:rFonts w:ascii="宋体" w:hAnsi="宋体" w:cs="宋体"/>
                <w:color w:val="auto"/>
                <w:szCs w:val="21"/>
                <w:highlight w:val="none"/>
              </w:rPr>
            </w:pPr>
          </w:p>
        </w:tc>
        <w:tc>
          <w:tcPr>
            <w:tcW w:w="1985" w:type="dxa"/>
            <w:noWrap w:val="0"/>
            <w:tcMar>
              <w:left w:w="28" w:type="dxa"/>
              <w:right w:w="28" w:type="dxa"/>
            </w:tcMar>
            <w:vAlign w:val="center"/>
          </w:tcPr>
          <w:p w14:paraId="5E647606">
            <w:pPr>
              <w:wordWrap w:val="0"/>
              <w:jc w:val="center"/>
              <w:rPr>
                <w:rFonts w:ascii="宋体" w:hAnsi="宋体" w:cs="宋体"/>
                <w:color w:val="auto"/>
                <w:szCs w:val="21"/>
                <w:highlight w:val="none"/>
              </w:rPr>
            </w:pPr>
          </w:p>
        </w:tc>
        <w:tc>
          <w:tcPr>
            <w:tcW w:w="870" w:type="dxa"/>
            <w:noWrap w:val="0"/>
            <w:tcMar>
              <w:left w:w="28" w:type="dxa"/>
              <w:right w:w="28" w:type="dxa"/>
            </w:tcMar>
            <w:vAlign w:val="center"/>
          </w:tcPr>
          <w:p w14:paraId="2C3745F7">
            <w:pPr>
              <w:wordWrap w:val="0"/>
              <w:jc w:val="center"/>
              <w:rPr>
                <w:rFonts w:ascii="宋体" w:hAnsi="宋体" w:cs="宋体"/>
                <w:color w:val="auto"/>
                <w:szCs w:val="21"/>
                <w:highlight w:val="none"/>
              </w:rPr>
            </w:pPr>
          </w:p>
        </w:tc>
        <w:tc>
          <w:tcPr>
            <w:tcW w:w="572" w:type="dxa"/>
            <w:noWrap w:val="0"/>
            <w:tcMar>
              <w:left w:w="28" w:type="dxa"/>
              <w:right w:w="28" w:type="dxa"/>
            </w:tcMar>
            <w:vAlign w:val="center"/>
          </w:tcPr>
          <w:p w14:paraId="0C697962">
            <w:pPr>
              <w:wordWrap w:val="0"/>
              <w:jc w:val="center"/>
              <w:rPr>
                <w:rFonts w:ascii="宋体" w:hAnsi="宋体" w:cs="宋体"/>
                <w:color w:val="auto"/>
                <w:szCs w:val="21"/>
                <w:highlight w:val="none"/>
              </w:rPr>
            </w:pPr>
          </w:p>
        </w:tc>
        <w:tc>
          <w:tcPr>
            <w:tcW w:w="870" w:type="dxa"/>
            <w:noWrap w:val="0"/>
            <w:tcMar>
              <w:left w:w="28" w:type="dxa"/>
              <w:right w:w="28" w:type="dxa"/>
            </w:tcMar>
            <w:vAlign w:val="center"/>
          </w:tcPr>
          <w:p w14:paraId="1F464977">
            <w:pPr>
              <w:wordWrap w:val="0"/>
              <w:jc w:val="center"/>
              <w:rPr>
                <w:rFonts w:ascii="宋体" w:hAnsi="宋体" w:cs="宋体"/>
                <w:color w:val="auto"/>
                <w:szCs w:val="21"/>
                <w:highlight w:val="none"/>
              </w:rPr>
            </w:pPr>
          </w:p>
        </w:tc>
        <w:tc>
          <w:tcPr>
            <w:tcW w:w="870" w:type="dxa"/>
            <w:noWrap w:val="0"/>
            <w:tcMar>
              <w:left w:w="28" w:type="dxa"/>
              <w:right w:w="28" w:type="dxa"/>
            </w:tcMar>
            <w:vAlign w:val="center"/>
          </w:tcPr>
          <w:p w14:paraId="77C8AC21">
            <w:pPr>
              <w:wordWrap w:val="0"/>
              <w:jc w:val="center"/>
              <w:rPr>
                <w:rFonts w:ascii="宋体" w:hAnsi="宋体" w:cs="宋体"/>
                <w:color w:val="auto"/>
                <w:szCs w:val="21"/>
                <w:highlight w:val="none"/>
              </w:rPr>
            </w:pPr>
          </w:p>
        </w:tc>
        <w:tc>
          <w:tcPr>
            <w:tcW w:w="865" w:type="dxa"/>
            <w:noWrap w:val="0"/>
            <w:tcMar>
              <w:left w:w="28" w:type="dxa"/>
              <w:right w:w="28" w:type="dxa"/>
            </w:tcMar>
            <w:vAlign w:val="center"/>
          </w:tcPr>
          <w:p w14:paraId="19679B49">
            <w:pPr>
              <w:wordWrap w:val="0"/>
              <w:jc w:val="center"/>
              <w:rPr>
                <w:rFonts w:ascii="宋体" w:hAnsi="宋体" w:cs="宋体"/>
                <w:color w:val="auto"/>
                <w:szCs w:val="21"/>
                <w:highlight w:val="none"/>
              </w:rPr>
            </w:pPr>
          </w:p>
        </w:tc>
        <w:tc>
          <w:tcPr>
            <w:tcW w:w="870" w:type="dxa"/>
            <w:noWrap w:val="0"/>
            <w:tcMar>
              <w:left w:w="28" w:type="dxa"/>
              <w:right w:w="28" w:type="dxa"/>
            </w:tcMar>
            <w:vAlign w:val="center"/>
          </w:tcPr>
          <w:p w14:paraId="7FD8C668">
            <w:pPr>
              <w:wordWrap w:val="0"/>
              <w:jc w:val="center"/>
              <w:rPr>
                <w:rFonts w:ascii="宋体" w:hAnsi="宋体" w:cs="宋体"/>
                <w:color w:val="auto"/>
                <w:szCs w:val="21"/>
                <w:highlight w:val="none"/>
              </w:rPr>
            </w:pPr>
          </w:p>
        </w:tc>
        <w:tc>
          <w:tcPr>
            <w:tcW w:w="1216" w:type="dxa"/>
            <w:noWrap w:val="0"/>
            <w:tcMar>
              <w:left w:w="28" w:type="dxa"/>
              <w:right w:w="28" w:type="dxa"/>
            </w:tcMar>
            <w:vAlign w:val="center"/>
          </w:tcPr>
          <w:p w14:paraId="1DAFD5B2">
            <w:pPr>
              <w:wordWrap w:val="0"/>
              <w:jc w:val="center"/>
              <w:rPr>
                <w:rFonts w:ascii="宋体" w:hAnsi="宋体" w:cs="宋体"/>
                <w:color w:val="auto"/>
                <w:szCs w:val="21"/>
                <w:highlight w:val="none"/>
              </w:rPr>
            </w:pPr>
          </w:p>
        </w:tc>
      </w:tr>
      <w:tr w14:paraId="5D4BE4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436" w:type="dxa"/>
            <w:noWrap w:val="0"/>
            <w:tcMar>
              <w:left w:w="28" w:type="dxa"/>
              <w:right w:w="28" w:type="dxa"/>
            </w:tcMar>
            <w:vAlign w:val="center"/>
          </w:tcPr>
          <w:p w14:paraId="40AB69DE">
            <w:pPr>
              <w:wordWrap w:val="0"/>
              <w:jc w:val="center"/>
              <w:rPr>
                <w:rFonts w:ascii="宋体" w:hAnsi="宋体" w:cs="宋体"/>
                <w:color w:val="auto"/>
                <w:szCs w:val="21"/>
                <w:highlight w:val="none"/>
              </w:rPr>
            </w:pPr>
          </w:p>
        </w:tc>
        <w:tc>
          <w:tcPr>
            <w:tcW w:w="1985" w:type="dxa"/>
            <w:noWrap w:val="0"/>
            <w:tcMar>
              <w:left w:w="28" w:type="dxa"/>
              <w:right w:w="28" w:type="dxa"/>
            </w:tcMar>
            <w:vAlign w:val="center"/>
          </w:tcPr>
          <w:p w14:paraId="7E06849D">
            <w:pPr>
              <w:wordWrap w:val="0"/>
              <w:jc w:val="center"/>
              <w:rPr>
                <w:rFonts w:ascii="宋体" w:hAnsi="宋体" w:cs="宋体"/>
                <w:color w:val="auto"/>
                <w:szCs w:val="21"/>
                <w:highlight w:val="none"/>
              </w:rPr>
            </w:pPr>
          </w:p>
        </w:tc>
        <w:tc>
          <w:tcPr>
            <w:tcW w:w="870" w:type="dxa"/>
            <w:noWrap w:val="0"/>
            <w:tcMar>
              <w:left w:w="28" w:type="dxa"/>
              <w:right w:w="28" w:type="dxa"/>
            </w:tcMar>
            <w:vAlign w:val="center"/>
          </w:tcPr>
          <w:p w14:paraId="10DD1539">
            <w:pPr>
              <w:wordWrap w:val="0"/>
              <w:jc w:val="center"/>
              <w:rPr>
                <w:rFonts w:ascii="宋体" w:hAnsi="宋体" w:cs="宋体"/>
                <w:color w:val="auto"/>
                <w:szCs w:val="21"/>
                <w:highlight w:val="none"/>
              </w:rPr>
            </w:pPr>
          </w:p>
        </w:tc>
        <w:tc>
          <w:tcPr>
            <w:tcW w:w="572" w:type="dxa"/>
            <w:noWrap w:val="0"/>
            <w:tcMar>
              <w:left w:w="28" w:type="dxa"/>
              <w:right w:w="28" w:type="dxa"/>
            </w:tcMar>
            <w:vAlign w:val="center"/>
          </w:tcPr>
          <w:p w14:paraId="5D3D9835">
            <w:pPr>
              <w:wordWrap w:val="0"/>
              <w:jc w:val="center"/>
              <w:rPr>
                <w:rFonts w:ascii="宋体" w:hAnsi="宋体" w:cs="宋体"/>
                <w:color w:val="auto"/>
                <w:szCs w:val="21"/>
                <w:highlight w:val="none"/>
              </w:rPr>
            </w:pPr>
          </w:p>
        </w:tc>
        <w:tc>
          <w:tcPr>
            <w:tcW w:w="870" w:type="dxa"/>
            <w:noWrap w:val="0"/>
            <w:tcMar>
              <w:left w:w="28" w:type="dxa"/>
              <w:right w:w="28" w:type="dxa"/>
            </w:tcMar>
            <w:vAlign w:val="center"/>
          </w:tcPr>
          <w:p w14:paraId="6594913A">
            <w:pPr>
              <w:wordWrap w:val="0"/>
              <w:jc w:val="center"/>
              <w:rPr>
                <w:rFonts w:ascii="宋体" w:hAnsi="宋体" w:cs="宋体"/>
                <w:color w:val="auto"/>
                <w:szCs w:val="21"/>
                <w:highlight w:val="none"/>
              </w:rPr>
            </w:pPr>
          </w:p>
        </w:tc>
        <w:tc>
          <w:tcPr>
            <w:tcW w:w="870" w:type="dxa"/>
            <w:noWrap w:val="0"/>
            <w:tcMar>
              <w:left w:w="28" w:type="dxa"/>
              <w:right w:w="28" w:type="dxa"/>
            </w:tcMar>
            <w:vAlign w:val="center"/>
          </w:tcPr>
          <w:p w14:paraId="6F8512BC">
            <w:pPr>
              <w:wordWrap w:val="0"/>
              <w:jc w:val="center"/>
              <w:rPr>
                <w:rFonts w:ascii="宋体" w:hAnsi="宋体" w:cs="宋体"/>
                <w:color w:val="auto"/>
                <w:szCs w:val="21"/>
                <w:highlight w:val="none"/>
              </w:rPr>
            </w:pPr>
          </w:p>
        </w:tc>
        <w:tc>
          <w:tcPr>
            <w:tcW w:w="865" w:type="dxa"/>
            <w:noWrap w:val="0"/>
            <w:tcMar>
              <w:left w:w="28" w:type="dxa"/>
              <w:right w:w="28" w:type="dxa"/>
            </w:tcMar>
            <w:vAlign w:val="center"/>
          </w:tcPr>
          <w:p w14:paraId="2D083D72">
            <w:pPr>
              <w:wordWrap w:val="0"/>
              <w:jc w:val="center"/>
              <w:rPr>
                <w:rFonts w:ascii="宋体" w:hAnsi="宋体" w:cs="宋体"/>
                <w:color w:val="auto"/>
                <w:szCs w:val="21"/>
                <w:highlight w:val="none"/>
              </w:rPr>
            </w:pPr>
          </w:p>
        </w:tc>
        <w:tc>
          <w:tcPr>
            <w:tcW w:w="870" w:type="dxa"/>
            <w:noWrap w:val="0"/>
            <w:tcMar>
              <w:left w:w="28" w:type="dxa"/>
              <w:right w:w="28" w:type="dxa"/>
            </w:tcMar>
            <w:vAlign w:val="center"/>
          </w:tcPr>
          <w:p w14:paraId="0954617D">
            <w:pPr>
              <w:wordWrap w:val="0"/>
              <w:jc w:val="center"/>
              <w:rPr>
                <w:rFonts w:ascii="宋体" w:hAnsi="宋体" w:cs="宋体"/>
                <w:color w:val="auto"/>
                <w:szCs w:val="21"/>
                <w:highlight w:val="none"/>
              </w:rPr>
            </w:pPr>
          </w:p>
        </w:tc>
        <w:tc>
          <w:tcPr>
            <w:tcW w:w="1216" w:type="dxa"/>
            <w:noWrap w:val="0"/>
            <w:tcMar>
              <w:left w:w="28" w:type="dxa"/>
              <w:right w:w="28" w:type="dxa"/>
            </w:tcMar>
            <w:vAlign w:val="center"/>
          </w:tcPr>
          <w:p w14:paraId="27789E40">
            <w:pPr>
              <w:wordWrap w:val="0"/>
              <w:jc w:val="center"/>
              <w:rPr>
                <w:rFonts w:ascii="宋体" w:hAnsi="宋体" w:cs="宋体"/>
                <w:color w:val="auto"/>
                <w:szCs w:val="21"/>
                <w:highlight w:val="none"/>
              </w:rPr>
            </w:pPr>
          </w:p>
        </w:tc>
      </w:tr>
      <w:tr w14:paraId="09C130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436" w:type="dxa"/>
            <w:noWrap w:val="0"/>
            <w:tcMar>
              <w:left w:w="28" w:type="dxa"/>
              <w:right w:w="28" w:type="dxa"/>
            </w:tcMar>
            <w:vAlign w:val="center"/>
          </w:tcPr>
          <w:p w14:paraId="7D79E544">
            <w:pPr>
              <w:wordWrap w:val="0"/>
              <w:jc w:val="center"/>
              <w:rPr>
                <w:rFonts w:ascii="宋体" w:hAnsi="宋体" w:cs="宋体"/>
                <w:color w:val="auto"/>
                <w:szCs w:val="21"/>
                <w:highlight w:val="none"/>
              </w:rPr>
            </w:pPr>
          </w:p>
        </w:tc>
        <w:tc>
          <w:tcPr>
            <w:tcW w:w="1985" w:type="dxa"/>
            <w:noWrap w:val="0"/>
            <w:tcMar>
              <w:left w:w="28" w:type="dxa"/>
              <w:right w:w="28" w:type="dxa"/>
            </w:tcMar>
            <w:vAlign w:val="center"/>
          </w:tcPr>
          <w:p w14:paraId="132B9991">
            <w:pPr>
              <w:wordWrap w:val="0"/>
              <w:jc w:val="center"/>
              <w:rPr>
                <w:rFonts w:ascii="宋体" w:hAnsi="宋体" w:cs="宋体"/>
                <w:color w:val="auto"/>
                <w:szCs w:val="21"/>
                <w:highlight w:val="none"/>
              </w:rPr>
            </w:pPr>
          </w:p>
        </w:tc>
        <w:tc>
          <w:tcPr>
            <w:tcW w:w="870" w:type="dxa"/>
            <w:noWrap w:val="0"/>
            <w:tcMar>
              <w:left w:w="28" w:type="dxa"/>
              <w:right w:w="28" w:type="dxa"/>
            </w:tcMar>
            <w:vAlign w:val="center"/>
          </w:tcPr>
          <w:p w14:paraId="01A0A07F">
            <w:pPr>
              <w:wordWrap w:val="0"/>
              <w:jc w:val="center"/>
              <w:rPr>
                <w:rFonts w:ascii="宋体" w:hAnsi="宋体" w:cs="宋体"/>
                <w:color w:val="auto"/>
                <w:szCs w:val="21"/>
                <w:highlight w:val="none"/>
              </w:rPr>
            </w:pPr>
          </w:p>
        </w:tc>
        <w:tc>
          <w:tcPr>
            <w:tcW w:w="572" w:type="dxa"/>
            <w:noWrap w:val="0"/>
            <w:tcMar>
              <w:left w:w="28" w:type="dxa"/>
              <w:right w:w="28" w:type="dxa"/>
            </w:tcMar>
            <w:vAlign w:val="center"/>
          </w:tcPr>
          <w:p w14:paraId="3BE06652">
            <w:pPr>
              <w:wordWrap w:val="0"/>
              <w:jc w:val="center"/>
              <w:rPr>
                <w:rFonts w:ascii="宋体" w:hAnsi="宋体" w:cs="宋体"/>
                <w:color w:val="auto"/>
                <w:szCs w:val="21"/>
                <w:highlight w:val="none"/>
              </w:rPr>
            </w:pPr>
          </w:p>
        </w:tc>
        <w:tc>
          <w:tcPr>
            <w:tcW w:w="870" w:type="dxa"/>
            <w:noWrap w:val="0"/>
            <w:tcMar>
              <w:left w:w="28" w:type="dxa"/>
              <w:right w:w="28" w:type="dxa"/>
            </w:tcMar>
            <w:vAlign w:val="center"/>
          </w:tcPr>
          <w:p w14:paraId="1FF74769">
            <w:pPr>
              <w:wordWrap w:val="0"/>
              <w:jc w:val="center"/>
              <w:rPr>
                <w:rFonts w:ascii="宋体" w:hAnsi="宋体" w:cs="宋体"/>
                <w:color w:val="auto"/>
                <w:szCs w:val="21"/>
                <w:highlight w:val="none"/>
              </w:rPr>
            </w:pPr>
          </w:p>
        </w:tc>
        <w:tc>
          <w:tcPr>
            <w:tcW w:w="870" w:type="dxa"/>
            <w:noWrap w:val="0"/>
            <w:tcMar>
              <w:left w:w="28" w:type="dxa"/>
              <w:right w:w="28" w:type="dxa"/>
            </w:tcMar>
            <w:vAlign w:val="center"/>
          </w:tcPr>
          <w:p w14:paraId="6F8C23B8">
            <w:pPr>
              <w:wordWrap w:val="0"/>
              <w:jc w:val="center"/>
              <w:rPr>
                <w:rFonts w:ascii="宋体" w:hAnsi="宋体" w:cs="宋体"/>
                <w:color w:val="auto"/>
                <w:szCs w:val="21"/>
                <w:highlight w:val="none"/>
              </w:rPr>
            </w:pPr>
          </w:p>
        </w:tc>
        <w:tc>
          <w:tcPr>
            <w:tcW w:w="865" w:type="dxa"/>
            <w:noWrap w:val="0"/>
            <w:tcMar>
              <w:left w:w="28" w:type="dxa"/>
              <w:right w:w="28" w:type="dxa"/>
            </w:tcMar>
            <w:vAlign w:val="center"/>
          </w:tcPr>
          <w:p w14:paraId="7FDBC731">
            <w:pPr>
              <w:wordWrap w:val="0"/>
              <w:jc w:val="center"/>
              <w:rPr>
                <w:rFonts w:ascii="宋体" w:hAnsi="宋体" w:cs="宋体"/>
                <w:color w:val="auto"/>
                <w:szCs w:val="21"/>
                <w:highlight w:val="none"/>
              </w:rPr>
            </w:pPr>
          </w:p>
        </w:tc>
        <w:tc>
          <w:tcPr>
            <w:tcW w:w="870" w:type="dxa"/>
            <w:noWrap w:val="0"/>
            <w:tcMar>
              <w:left w:w="28" w:type="dxa"/>
              <w:right w:w="28" w:type="dxa"/>
            </w:tcMar>
            <w:vAlign w:val="center"/>
          </w:tcPr>
          <w:p w14:paraId="47F05664">
            <w:pPr>
              <w:wordWrap w:val="0"/>
              <w:jc w:val="center"/>
              <w:rPr>
                <w:rFonts w:ascii="宋体" w:hAnsi="宋体" w:cs="宋体"/>
                <w:color w:val="auto"/>
                <w:szCs w:val="21"/>
                <w:highlight w:val="none"/>
              </w:rPr>
            </w:pPr>
          </w:p>
        </w:tc>
        <w:tc>
          <w:tcPr>
            <w:tcW w:w="1216" w:type="dxa"/>
            <w:noWrap w:val="0"/>
            <w:tcMar>
              <w:left w:w="28" w:type="dxa"/>
              <w:right w:w="28" w:type="dxa"/>
            </w:tcMar>
            <w:vAlign w:val="center"/>
          </w:tcPr>
          <w:p w14:paraId="014E986F">
            <w:pPr>
              <w:wordWrap w:val="0"/>
              <w:jc w:val="center"/>
              <w:rPr>
                <w:rFonts w:ascii="宋体" w:hAnsi="宋体" w:cs="宋体"/>
                <w:color w:val="auto"/>
                <w:szCs w:val="21"/>
                <w:highlight w:val="none"/>
              </w:rPr>
            </w:pPr>
          </w:p>
        </w:tc>
      </w:tr>
    </w:tbl>
    <w:p w14:paraId="72F5933C">
      <w:pPr>
        <w:wordWrap w:val="0"/>
        <w:spacing w:line="0" w:lineRule="atLeast"/>
        <w:rPr>
          <w:rFonts w:ascii="宋体" w:hAnsi="宋体" w:cs="宋体"/>
          <w:color w:val="auto"/>
          <w:szCs w:val="21"/>
          <w:highlight w:val="none"/>
        </w:rPr>
      </w:pPr>
    </w:p>
    <w:p w14:paraId="1BC26EF1">
      <w:pPr>
        <w:wordWrap w:val="0"/>
        <w:spacing w:line="0" w:lineRule="atLeast"/>
        <w:rPr>
          <w:rFonts w:ascii="宋体" w:hAnsi="宋体" w:cs="宋体"/>
          <w:b/>
          <w:bCs/>
          <w:color w:val="auto"/>
          <w:szCs w:val="21"/>
          <w:highlight w:val="none"/>
        </w:rPr>
      </w:pPr>
    </w:p>
    <w:p w14:paraId="7C0FB852">
      <w:pPr>
        <w:pStyle w:val="27"/>
        <w:wordWrap w:val="0"/>
        <w:ind w:right="-10" w:rightChars="-5"/>
        <w:jc w:val="center"/>
        <w:rPr>
          <w:rFonts w:hAnsi="宋体" w:cs="宋体"/>
          <w:b/>
          <w:bCs/>
          <w:color w:val="auto"/>
          <w:highlight w:val="none"/>
        </w:rPr>
      </w:pPr>
      <w:bookmarkStart w:id="142" w:name="_Toc247085884"/>
      <w:bookmarkStart w:id="143" w:name="_Toc246996366"/>
      <w:bookmarkStart w:id="144" w:name="_Toc144974867"/>
      <w:bookmarkStart w:id="145" w:name="_Toc179632819"/>
      <w:bookmarkStart w:id="146" w:name="_Toc246997109"/>
      <w:bookmarkStart w:id="147" w:name="_Toc152045799"/>
      <w:bookmarkStart w:id="148" w:name="_Toc152042588"/>
      <w:r>
        <w:rPr>
          <w:rFonts w:hint="eastAsia" w:hAnsi="宋体" w:cs="宋体"/>
          <w:b/>
          <w:bCs/>
          <w:color w:val="auto"/>
          <w:highlight w:val="none"/>
        </w:rPr>
        <w:t>劳动力计划表</w:t>
      </w:r>
      <w:bookmarkEnd w:id="142"/>
      <w:bookmarkEnd w:id="143"/>
      <w:bookmarkEnd w:id="144"/>
      <w:bookmarkEnd w:id="145"/>
      <w:bookmarkEnd w:id="146"/>
      <w:bookmarkEnd w:id="147"/>
      <w:bookmarkEnd w:id="148"/>
    </w:p>
    <w:p w14:paraId="4C6BAE8A">
      <w:pPr>
        <w:wordWrap w:val="0"/>
        <w:jc w:val="right"/>
        <w:rPr>
          <w:rFonts w:ascii="宋体" w:hAnsi="宋体" w:cs="宋体"/>
          <w:color w:val="auto"/>
          <w:szCs w:val="21"/>
          <w:highlight w:val="none"/>
        </w:rPr>
      </w:pPr>
      <w:r>
        <w:rPr>
          <w:rFonts w:hint="eastAsia" w:ascii="宋体" w:hAnsi="宋体" w:cs="宋体"/>
          <w:color w:val="auto"/>
          <w:szCs w:val="21"/>
          <w:highlight w:val="none"/>
        </w:rPr>
        <w:t>单位：人</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369"/>
        <w:gridCol w:w="1023"/>
        <w:gridCol w:w="1025"/>
        <w:gridCol w:w="1026"/>
        <w:gridCol w:w="1026"/>
        <w:gridCol w:w="1026"/>
        <w:gridCol w:w="1026"/>
        <w:gridCol w:w="1038"/>
      </w:tblGrid>
      <w:tr w14:paraId="073917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95" w:hRule="atLeast"/>
        </w:trPr>
        <w:tc>
          <w:tcPr>
            <w:tcW w:w="1369" w:type="dxa"/>
            <w:vMerge w:val="restart"/>
            <w:noWrap w:val="0"/>
            <w:tcMar>
              <w:left w:w="28" w:type="dxa"/>
              <w:right w:w="28" w:type="dxa"/>
            </w:tcMar>
            <w:vAlign w:val="center"/>
          </w:tcPr>
          <w:p w14:paraId="23A84CEE">
            <w:pPr>
              <w:wordWrap w:val="0"/>
              <w:jc w:val="center"/>
              <w:rPr>
                <w:rFonts w:ascii="宋体" w:hAnsi="宋体" w:cs="宋体"/>
                <w:color w:val="auto"/>
                <w:szCs w:val="21"/>
                <w:highlight w:val="none"/>
              </w:rPr>
            </w:pPr>
            <w:r>
              <w:rPr>
                <w:rFonts w:hint="eastAsia" w:ascii="宋体" w:hAnsi="宋体" w:cs="宋体"/>
                <w:color w:val="auto"/>
                <w:szCs w:val="21"/>
                <w:highlight w:val="none"/>
              </w:rPr>
              <w:t>工种</w:t>
            </w:r>
          </w:p>
        </w:tc>
        <w:tc>
          <w:tcPr>
            <w:tcW w:w="7190" w:type="dxa"/>
            <w:gridSpan w:val="7"/>
            <w:noWrap w:val="0"/>
            <w:tcMar>
              <w:left w:w="28" w:type="dxa"/>
              <w:right w:w="28" w:type="dxa"/>
            </w:tcMar>
            <w:vAlign w:val="center"/>
          </w:tcPr>
          <w:p w14:paraId="269538A8">
            <w:pPr>
              <w:wordWrap w:val="0"/>
              <w:jc w:val="center"/>
              <w:rPr>
                <w:rFonts w:ascii="宋体" w:hAnsi="宋体" w:cs="宋体"/>
                <w:color w:val="auto"/>
                <w:szCs w:val="21"/>
                <w:highlight w:val="none"/>
              </w:rPr>
            </w:pPr>
            <w:r>
              <w:rPr>
                <w:rFonts w:hint="eastAsia" w:ascii="宋体" w:hAnsi="宋体" w:cs="宋体"/>
                <w:color w:val="auto"/>
                <w:szCs w:val="21"/>
                <w:highlight w:val="none"/>
              </w:rPr>
              <w:t>按工程施工阶段投入劳动力情况</w:t>
            </w:r>
          </w:p>
        </w:tc>
      </w:tr>
      <w:tr w14:paraId="474E49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95" w:hRule="atLeast"/>
        </w:trPr>
        <w:tc>
          <w:tcPr>
            <w:tcW w:w="1369" w:type="dxa"/>
            <w:vMerge w:val="continue"/>
            <w:tcBorders>
              <w:bottom w:val="single" w:color="auto" w:sz="4" w:space="0"/>
            </w:tcBorders>
            <w:noWrap w:val="0"/>
            <w:tcMar>
              <w:left w:w="28" w:type="dxa"/>
              <w:right w:w="28" w:type="dxa"/>
            </w:tcMar>
            <w:vAlign w:val="center"/>
          </w:tcPr>
          <w:p w14:paraId="40A48B3A">
            <w:pPr>
              <w:wordWrap w:val="0"/>
              <w:jc w:val="center"/>
              <w:rPr>
                <w:rFonts w:ascii="宋体" w:hAnsi="宋体" w:cs="宋体"/>
                <w:color w:val="auto"/>
                <w:szCs w:val="21"/>
                <w:highlight w:val="none"/>
              </w:rPr>
            </w:pPr>
          </w:p>
        </w:tc>
        <w:tc>
          <w:tcPr>
            <w:tcW w:w="1023" w:type="dxa"/>
            <w:tcBorders>
              <w:bottom w:val="single" w:color="auto" w:sz="4" w:space="0"/>
            </w:tcBorders>
            <w:noWrap w:val="0"/>
            <w:tcMar>
              <w:left w:w="28" w:type="dxa"/>
              <w:right w:w="28" w:type="dxa"/>
            </w:tcMar>
            <w:vAlign w:val="center"/>
          </w:tcPr>
          <w:p w14:paraId="1C380ADD">
            <w:pPr>
              <w:wordWrap w:val="0"/>
              <w:jc w:val="center"/>
              <w:rPr>
                <w:rFonts w:ascii="宋体" w:hAnsi="宋体" w:cs="宋体"/>
                <w:color w:val="auto"/>
                <w:szCs w:val="21"/>
                <w:highlight w:val="none"/>
              </w:rPr>
            </w:pPr>
          </w:p>
        </w:tc>
        <w:tc>
          <w:tcPr>
            <w:tcW w:w="1025" w:type="dxa"/>
            <w:tcBorders>
              <w:bottom w:val="single" w:color="auto" w:sz="4" w:space="0"/>
            </w:tcBorders>
            <w:noWrap w:val="0"/>
            <w:tcMar>
              <w:left w:w="28" w:type="dxa"/>
              <w:right w:w="28" w:type="dxa"/>
            </w:tcMar>
            <w:vAlign w:val="center"/>
          </w:tcPr>
          <w:p w14:paraId="5F671002">
            <w:pPr>
              <w:wordWrap w:val="0"/>
              <w:jc w:val="center"/>
              <w:rPr>
                <w:rFonts w:ascii="宋体" w:hAnsi="宋体" w:cs="宋体"/>
                <w:color w:val="auto"/>
                <w:szCs w:val="21"/>
                <w:highlight w:val="none"/>
              </w:rPr>
            </w:pPr>
          </w:p>
        </w:tc>
        <w:tc>
          <w:tcPr>
            <w:tcW w:w="1026" w:type="dxa"/>
            <w:tcBorders>
              <w:bottom w:val="single" w:color="auto" w:sz="4" w:space="0"/>
            </w:tcBorders>
            <w:noWrap w:val="0"/>
            <w:tcMar>
              <w:left w:w="28" w:type="dxa"/>
              <w:right w:w="28" w:type="dxa"/>
            </w:tcMar>
            <w:vAlign w:val="center"/>
          </w:tcPr>
          <w:p w14:paraId="792D5E73">
            <w:pPr>
              <w:wordWrap w:val="0"/>
              <w:jc w:val="center"/>
              <w:rPr>
                <w:rFonts w:ascii="宋体" w:hAnsi="宋体" w:cs="宋体"/>
                <w:color w:val="auto"/>
                <w:szCs w:val="21"/>
                <w:highlight w:val="none"/>
              </w:rPr>
            </w:pPr>
          </w:p>
        </w:tc>
        <w:tc>
          <w:tcPr>
            <w:tcW w:w="1026" w:type="dxa"/>
            <w:tcBorders>
              <w:bottom w:val="single" w:color="auto" w:sz="4" w:space="0"/>
            </w:tcBorders>
            <w:noWrap w:val="0"/>
            <w:tcMar>
              <w:left w:w="28" w:type="dxa"/>
              <w:right w:w="28" w:type="dxa"/>
            </w:tcMar>
            <w:vAlign w:val="center"/>
          </w:tcPr>
          <w:p w14:paraId="2A1A8200">
            <w:pPr>
              <w:wordWrap w:val="0"/>
              <w:jc w:val="center"/>
              <w:rPr>
                <w:rFonts w:ascii="宋体" w:hAnsi="宋体" w:cs="宋体"/>
                <w:color w:val="auto"/>
                <w:szCs w:val="21"/>
                <w:highlight w:val="none"/>
              </w:rPr>
            </w:pPr>
          </w:p>
        </w:tc>
        <w:tc>
          <w:tcPr>
            <w:tcW w:w="1026" w:type="dxa"/>
            <w:tcBorders>
              <w:bottom w:val="single" w:color="auto" w:sz="4" w:space="0"/>
            </w:tcBorders>
            <w:noWrap w:val="0"/>
            <w:tcMar>
              <w:left w:w="28" w:type="dxa"/>
              <w:right w:w="28" w:type="dxa"/>
            </w:tcMar>
            <w:vAlign w:val="center"/>
          </w:tcPr>
          <w:p w14:paraId="5F08A9D8">
            <w:pPr>
              <w:wordWrap w:val="0"/>
              <w:jc w:val="center"/>
              <w:rPr>
                <w:rFonts w:ascii="宋体" w:hAnsi="宋体" w:cs="宋体"/>
                <w:color w:val="auto"/>
                <w:szCs w:val="21"/>
                <w:highlight w:val="none"/>
              </w:rPr>
            </w:pPr>
          </w:p>
        </w:tc>
        <w:tc>
          <w:tcPr>
            <w:tcW w:w="1026" w:type="dxa"/>
            <w:tcBorders>
              <w:bottom w:val="single" w:color="auto" w:sz="4" w:space="0"/>
            </w:tcBorders>
            <w:noWrap w:val="0"/>
            <w:tcMar>
              <w:left w:w="28" w:type="dxa"/>
              <w:right w:w="28" w:type="dxa"/>
            </w:tcMar>
            <w:vAlign w:val="center"/>
          </w:tcPr>
          <w:p w14:paraId="49EF9706">
            <w:pPr>
              <w:wordWrap w:val="0"/>
              <w:jc w:val="center"/>
              <w:rPr>
                <w:rFonts w:ascii="宋体" w:hAnsi="宋体" w:cs="宋体"/>
                <w:color w:val="auto"/>
                <w:szCs w:val="21"/>
                <w:highlight w:val="none"/>
              </w:rPr>
            </w:pPr>
          </w:p>
        </w:tc>
        <w:tc>
          <w:tcPr>
            <w:tcW w:w="1038" w:type="dxa"/>
            <w:tcBorders>
              <w:bottom w:val="single" w:color="auto" w:sz="4" w:space="0"/>
            </w:tcBorders>
            <w:noWrap w:val="0"/>
            <w:tcMar>
              <w:left w:w="28" w:type="dxa"/>
              <w:right w:w="28" w:type="dxa"/>
            </w:tcMar>
            <w:vAlign w:val="center"/>
          </w:tcPr>
          <w:p w14:paraId="58764039">
            <w:pPr>
              <w:wordWrap w:val="0"/>
              <w:jc w:val="center"/>
              <w:rPr>
                <w:rFonts w:ascii="宋体" w:hAnsi="宋体" w:cs="宋体"/>
                <w:color w:val="auto"/>
                <w:szCs w:val="21"/>
                <w:highlight w:val="none"/>
              </w:rPr>
            </w:pPr>
          </w:p>
        </w:tc>
      </w:tr>
      <w:tr w14:paraId="343EB6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69" w:type="dxa"/>
            <w:tcBorders>
              <w:top w:val="single" w:color="auto" w:sz="4" w:space="0"/>
              <w:bottom w:val="single" w:color="auto" w:sz="2" w:space="0"/>
            </w:tcBorders>
            <w:noWrap w:val="0"/>
            <w:tcMar>
              <w:left w:w="28" w:type="dxa"/>
              <w:right w:w="28" w:type="dxa"/>
            </w:tcMar>
            <w:vAlign w:val="center"/>
          </w:tcPr>
          <w:p w14:paraId="3CD91B85">
            <w:pPr>
              <w:wordWrap w:val="0"/>
              <w:jc w:val="center"/>
              <w:rPr>
                <w:rFonts w:ascii="宋体" w:hAnsi="宋体" w:cs="宋体"/>
                <w:color w:val="auto"/>
                <w:szCs w:val="21"/>
                <w:highlight w:val="none"/>
              </w:rPr>
            </w:pPr>
          </w:p>
        </w:tc>
        <w:tc>
          <w:tcPr>
            <w:tcW w:w="1023" w:type="dxa"/>
            <w:tcBorders>
              <w:top w:val="single" w:color="auto" w:sz="4" w:space="0"/>
              <w:bottom w:val="single" w:color="auto" w:sz="2" w:space="0"/>
            </w:tcBorders>
            <w:noWrap w:val="0"/>
            <w:tcMar>
              <w:left w:w="28" w:type="dxa"/>
              <w:right w:w="28" w:type="dxa"/>
            </w:tcMar>
            <w:vAlign w:val="center"/>
          </w:tcPr>
          <w:p w14:paraId="2BB41305">
            <w:pPr>
              <w:wordWrap w:val="0"/>
              <w:jc w:val="center"/>
              <w:rPr>
                <w:rFonts w:ascii="宋体" w:hAnsi="宋体" w:cs="宋体"/>
                <w:color w:val="auto"/>
                <w:szCs w:val="21"/>
                <w:highlight w:val="none"/>
              </w:rPr>
            </w:pPr>
          </w:p>
        </w:tc>
        <w:tc>
          <w:tcPr>
            <w:tcW w:w="1025" w:type="dxa"/>
            <w:tcBorders>
              <w:top w:val="single" w:color="auto" w:sz="4" w:space="0"/>
              <w:bottom w:val="single" w:color="auto" w:sz="2" w:space="0"/>
            </w:tcBorders>
            <w:noWrap w:val="0"/>
            <w:tcMar>
              <w:left w:w="28" w:type="dxa"/>
              <w:right w:w="28" w:type="dxa"/>
            </w:tcMar>
            <w:vAlign w:val="center"/>
          </w:tcPr>
          <w:p w14:paraId="2068F6BB">
            <w:pPr>
              <w:wordWrap w:val="0"/>
              <w:jc w:val="center"/>
              <w:rPr>
                <w:rFonts w:ascii="宋体" w:hAnsi="宋体" w:cs="宋体"/>
                <w:color w:val="auto"/>
                <w:szCs w:val="21"/>
                <w:highlight w:val="none"/>
              </w:rPr>
            </w:pPr>
          </w:p>
        </w:tc>
        <w:tc>
          <w:tcPr>
            <w:tcW w:w="1026" w:type="dxa"/>
            <w:tcBorders>
              <w:top w:val="single" w:color="auto" w:sz="4" w:space="0"/>
              <w:bottom w:val="single" w:color="auto" w:sz="2" w:space="0"/>
            </w:tcBorders>
            <w:noWrap w:val="0"/>
            <w:tcMar>
              <w:left w:w="28" w:type="dxa"/>
              <w:right w:w="28" w:type="dxa"/>
            </w:tcMar>
            <w:vAlign w:val="center"/>
          </w:tcPr>
          <w:p w14:paraId="5718AB87">
            <w:pPr>
              <w:wordWrap w:val="0"/>
              <w:jc w:val="center"/>
              <w:rPr>
                <w:rFonts w:ascii="宋体" w:hAnsi="宋体" w:cs="宋体"/>
                <w:color w:val="auto"/>
                <w:szCs w:val="21"/>
                <w:highlight w:val="none"/>
              </w:rPr>
            </w:pPr>
          </w:p>
        </w:tc>
        <w:tc>
          <w:tcPr>
            <w:tcW w:w="1026" w:type="dxa"/>
            <w:tcBorders>
              <w:top w:val="single" w:color="auto" w:sz="4" w:space="0"/>
              <w:bottom w:val="single" w:color="auto" w:sz="2" w:space="0"/>
            </w:tcBorders>
            <w:noWrap w:val="0"/>
            <w:tcMar>
              <w:left w:w="28" w:type="dxa"/>
              <w:right w:w="28" w:type="dxa"/>
            </w:tcMar>
            <w:vAlign w:val="center"/>
          </w:tcPr>
          <w:p w14:paraId="661910A1">
            <w:pPr>
              <w:wordWrap w:val="0"/>
              <w:jc w:val="center"/>
              <w:rPr>
                <w:rFonts w:ascii="宋体" w:hAnsi="宋体" w:cs="宋体"/>
                <w:color w:val="auto"/>
                <w:szCs w:val="21"/>
                <w:highlight w:val="none"/>
              </w:rPr>
            </w:pPr>
          </w:p>
        </w:tc>
        <w:tc>
          <w:tcPr>
            <w:tcW w:w="1026" w:type="dxa"/>
            <w:tcBorders>
              <w:top w:val="single" w:color="auto" w:sz="4" w:space="0"/>
              <w:bottom w:val="single" w:color="auto" w:sz="2" w:space="0"/>
            </w:tcBorders>
            <w:noWrap w:val="0"/>
            <w:tcMar>
              <w:left w:w="28" w:type="dxa"/>
              <w:right w:w="28" w:type="dxa"/>
            </w:tcMar>
            <w:vAlign w:val="center"/>
          </w:tcPr>
          <w:p w14:paraId="49B42F8B">
            <w:pPr>
              <w:wordWrap w:val="0"/>
              <w:jc w:val="center"/>
              <w:rPr>
                <w:rFonts w:ascii="宋体" w:hAnsi="宋体" w:cs="宋体"/>
                <w:color w:val="auto"/>
                <w:szCs w:val="21"/>
                <w:highlight w:val="none"/>
              </w:rPr>
            </w:pPr>
          </w:p>
        </w:tc>
        <w:tc>
          <w:tcPr>
            <w:tcW w:w="1026" w:type="dxa"/>
            <w:tcBorders>
              <w:top w:val="single" w:color="auto" w:sz="4" w:space="0"/>
              <w:bottom w:val="single" w:color="auto" w:sz="2" w:space="0"/>
            </w:tcBorders>
            <w:noWrap w:val="0"/>
            <w:tcMar>
              <w:left w:w="28" w:type="dxa"/>
              <w:right w:w="28" w:type="dxa"/>
            </w:tcMar>
            <w:vAlign w:val="center"/>
          </w:tcPr>
          <w:p w14:paraId="2DECCDF2">
            <w:pPr>
              <w:wordWrap w:val="0"/>
              <w:jc w:val="center"/>
              <w:rPr>
                <w:rFonts w:ascii="宋体" w:hAnsi="宋体" w:cs="宋体"/>
                <w:color w:val="auto"/>
                <w:szCs w:val="21"/>
                <w:highlight w:val="none"/>
              </w:rPr>
            </w:pPr>
          </w:p>
        </w:tc>
        <w:tc>
          <w:tcPr>
            <w:tcW w:w="1038" w:type="dxa"/>
            <w:tcBorders>
              <w:top w:val="single" w:color="auto" w:sz="4" w:space="0"/>
              <w:bottom w:val="single" w:color="auto" w:sz="2" w:space="0"/>
            </w:tcBorders>
            <w:noWrap w:val="0"/>
            <w:tcMar>
              <w:left w:w="28" w:type="dxa"/>
              <w:right w:w="28" w:type="dxa"/>
            </w:tcMar>
            <w:vAlign w:val="center"/>
          </w:tcPr>
          <w:p w14:paraId="2F7FC7AC">
            <w:pPr>
              <w:wordWrap w:val="0"/>
              <w:jc w:val="center"/>
              <w:rPr>
                <w:rFonts w:ascii="宋体" w:hAnsi="宋体" w:cs="宋体"/>
                <w:color w:val="auto"/>
                <w:szCs w:val="21"/>
                <w:highlight w:val="none"/>
              </w:rPr>
            </w:pPr>
          </w:p>
        </w:tc>
      </w:tr>
      <w:tr w14:paraId="3F9C29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69" w:type="dxa"/>
            <w:tcBorders>
              <w:top w:val="single" w:color="auto" w:sz="2" w:space="0"/>
            </w:tcBorders>
            <w:noWrap w:val="0"/>
            <w:tcMar>
              <w:left w:w="28" w:type="dxa"/>
              <w:right w:w="28" w:type="dxa"/>
            </w:tcMar>
            <w:vAlign w:val="center"/>
          </w:tcPr>
          <w:p w14:paraId="5C523C62">
            <w:pPr>
              <w:wordWrap w:val="0"/>
              <w:jc w:val="center"/>
              <w:rPr>
                <w:rFonts w:ascii="宋体" w:hAnsi="宋体" w:cs="宋体"/>
                <w:color w:val="auto"/>
                <w:szCs w:val="21"/>
                <w:highlight w:val="none"/>
              </w:rPr>
            </w:pPr>
          </w:p>
        </w:tc>
        <w:tc>
          <w:tcPr>
            <w:tcW w:w="1023" w:type="dxa"/>
            <w:tcBorders>
              <w:top w:val="single" w:color="auto" w:sz="2" w:space="0"/>
            </w:tcBorders>
            <w:noWrap w:val="0"/>
            <w:tcMar>
              <w:left w:w="28" w:type="dxa"/>
              <w:right w:w="28" w:type="dxa"/>
            </w:tcMar>
            <w:vAlign w:val="center"/>
          </w:tcPr>
          <w:p w14:paraId="22C2E239">
            <w:pPr>
              <w:wordWrap w:val="0"/>
              <w:jc w:val="center"/>
              <w:rPr>
                <w:rFonts w:ascii="宋体" w:hAnsi="宋体" w:cs="宋体"/>
                <w:color w:val="auto"/>
                <w:szCs w:val="21"/>
                <w:highlight w:val="none"/>
              </w:rPr>
            </w:pPr>
          </w:p>
        </w:tc>
        <w:tc>
          <w:tcPr>
            <w:tcW w:w="1025" w:type="dxa"/>
            <w:tcBorders>
              <w:top w:val="single" w:color="auto" w:sz="2" w:space="0"/>
            </w:tcBorders>
            <w:noWrap w:val="0"/>
            <w:tcMar>
              <w:left w:w="28" w:type="dxa"/>
              <w:right w:w="28" w:type="dxa"/>
            </w:tcMar>
            <w:vAlign w:val="center"/>
          </w:tcPr>
          <w:p w14:paraId="3E62FA0A">
            <w:pPr>
              <w:wordWrap w:val="0"/>
              <w:jc w:val="center"/>
              <w:rPr>
                <w:rFonts w:ascii="宋体" w:hAnsi="宋体" w:cs="宋体"/>
                <w:color w:val="auto"/>
                <w:szCs w:val="21"/>
                <w:highlight w:val="none"/>
              </w:rPr>
            </w:pPr>
          </w:p>
        </w:tc>
        <w:tc>
          <w:tcPr>
            <w:tcW w:w="1026" w:type="dxa"/>
            <w:tcBorders>
              <w:top w:val="single" w:color="auto" w:sz="2" w:space="0"/>
            </w:tcBorders>
            <w:noWrap w:val="0"/>
            <w:tcMar>
              <w:left w:w="28" w:type="dxa"/>
              <w:right w:w="28" w:type="dxa"/>
            </w:tcMar>
            <w:vAlign w:val="center"/>
          </w:tcPr>
          <w:p w14:paraId="781EF24C">
            <w:pPr>
              <w:wordWrap w:val="0"/>
              <w:jc w:val="center"/>
              <w:rPr>
                <w:rFonts w:ascii="宋体" w:hAnsi="宋体" w:cs="宋体"/>
                <w:color w:val="auto"/>
                <w:szCs w:val="21"/>
                <w:highlight w:val="none"/>
              </w:rPr>
            </w:pPr>
          </w:p>
        </w:tc>
        <w:tc>
          <w:tcPr>
            <w:tcW w:w="1026" w:type="dxa"/>
            <w:tcBorders>
              <w:top w:val="single" w:color="auto" w:sz="2" w:space="0"/>
            </w:tcBorders>
            <w:noWrap w:val="0"/>
            <w:tcMar>
              <w:left w:w="28" w:type="dxa"/>
              <w:right w:w="28" w:type="dxa"/>
            </w:tcMar>
            <w:vAlign w:val="center"/>
          </w:tcPr>
          <w:p w14:paraId="4DCBA6B7">
            <w:pPr>
              <w:wordWrap w:val="0"/>
              <w:jc w:val="center"/>
              <w:rPr>
                <w:rFonts w:ascii="宋体" w:hAnsi="宋体" w:cs="宋体"/>
                <w:color w:val="auto"/>
                <w:szCs w:val="21"/>
                <w:highlight w:val="none"/>
              </w:rPr>
            </w:pPr>
          </w:p>
        </w:tc>
        <w:tc>
          <w:tcPr>
            <w:tcW w:w="1026" w:type="dxa"/>
            <w:tcBorders>
              <w:top w:val="single" w:color="auto" w:sz="2" w:space="0"/>
            </w:tcBorders>
            <w:noWrap w:val="0"/>
            <w:tcMar>
              <w:left w:w="28" w:type="dxa"/>
              <w:right w:w="28" w:type="dxa"/>
            </w:tcMar>
            <w:vAlign w:val="center"/>
          </w:tcPr>
          <w:p w14:paraId="1F0E4E69">
            <w:pPr>
              <w:wordWrap w:val="0"/>
              <w:jc w:val="center"/>
              <w:rPr>
                <w:rFonts w:ascii="宋体" w:hAnsi="宋体" w:cs="宋体"/>
                <w:color w:val="auto"/>
                <w:szCs w:val="21"/>
                <w:highlight w:val="none"/>
              </w:rPr>
            </w:pPr>
          </w:p>
        </w:tc>
        <w:tc>
          <w:tcPr>
            <w:tcW w:w="1026" w:type="dxa"/>
            <w:tcBorders>
              <w:top w:val="single" w:color="auto" w:sz="2" w:space="0"/>
            </w:tcBorders>
            <w:noWrap w:val="0"/>
            <w:tcMar>
              <w:left w:w="28" w:type="dxa"/>
              <w:right w:w="28" w:type="dxa"/>
            </w:tcMar>
            <w:vAlign w:val="center"/>
          </w:tcPr>
          <w:p w14:paraId="5D775066">
            <w:pPr>
              <w:wordWrap w:val="0"/>
              <w:jc w:val="center"/>
              <w:rPr>
                <w:rFonts w:ascii="宋体" w:hAnsi="宋体" w:cs="宋体"/>
                <w:color w:val="auto"/>
                <w:szCs w:val="21"/>
                <w:highlight w:val="none"/>
              </w:rPr>
            </w:pPr>
          </w:p>
        </w:tc>
        <w:tc>
          <w:tcPr>
            <w:tcW w:w="1038" w:type="dxa"/>
            <w:tcBorders>
              <w:top w:val="single" w:color="auto" w:sz="2" w:space="0"/>
            </w:tcBorders>
            <w:noWrap w:val="0"/>
            <w:tcMar>
              <w:left w:w="28" w:type="dxa"/>
              <w:right w:w="28" w:type="dxa"/>
            </w:tcMar>
            <w:vAlign w:val="center"/>
          </w:tcPr>
          <w:p w14:paraId="76B83BFF">
            <w:pPr>
              <w:wordWrap w:val="0"/>
              <w:jc w:val="center"/>
              <w:rPr>
                <w:rFonts w:ascii="宋体" w:hAnsi="宋体" w:cs="宋体"/>
                <w:color w:val="auto"/>
                <w:szCs w:val="21"/>
                <w:highlight w:val="none"/>
              </w:rPr>
            </w:pPr>
          </w:p>
        </w:tc>
      </w:tr>
      <w:tr w14:paraId="14C232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69" w:type="dxa"/>
            <w:noWrap w:val="0"/>
            <w:tcMar>
              <w:left w:w="28" w:type="dxa"/>
              <w:right w:w="28" w:type="dxa"/>
            </w:tcMar>
            <w:vAlign w:val="center"/>
          </w:tcPr>
          <w:p w14:paraId="622A42F9">
            <w:pPr>
              <w:wordWrap w:val="0"/>
              <w:jc w:val="center"/>
              <w:rPr>
                <w:rFonts w:ascii="宋体" w:hAnsi="宋体" w:cs="宋体"/>
                <w:color w:val="auto"/>
                <w:szCs w:val="21"/>
                <w:highlight w:val="none"/>
              </w:rPr>
            </w:pPr>
          </w:p>
        </w:tc>
        <w:tc>
          <w:tcPr>
            <w:tcW w:w="1023" w:type="dxa"/>
            <w:noWrap w:val="0"/>
            <w:tcMar>
              <w:left w:w="28" w:type="dxa"/>
              <w:right w:w="28" w:type="dxa"/>
            </w:tcMar>
            <w:vAlign w:val="center"/>
          </w:tcPr>
          <w:p w14:paraId="3B7CCE73">
            <w:pPr>
              <w:wordWrap w:val="0"/>
              <w:jc w:val="center"/>
              <w:rPr>
                <w:rFonts w:ascii="宋体" w:hAnsi="宋体" w:cs="宋体"/>
                <w:color w:val="auto"/>
                <w:szCs w:val="21"/>
                <w:highlight w:val="none"/>
              </w:rPr>
            </w:pPr>
          </w:p>
        </w:tc>
        <w:tc>
          <w:tcPr>
            <w:tcW w:w="1025" w:type="dxa"/>
            <w:noWrap w:val="0"/>
            <w:tcMar>
              <w:left w:w="28" w:type="dxa"/>
              <w:right w:w="28" w:type="dxa"/>
            </w:tcMar>
            <w:vAlign w:val="center"/>
          </w:tcPr>
          <w:p w14:paraId="57DFC750">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546C10A1">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1A8DA103">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6E01D32A">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610BF2A0">
            <w:pPr>
              <w:wordWrap w:val="0"/>
              <w:jc w:val="center"/>
              <w:rPr>
                <w:rFonts w:ascii="宋体" w:hAnsi="宋体" w:cs="宋体"/>
                <w:color w:val="auto"/>
                <w:szCs w:val="21"/>
                <w:highlight w:val="none"/>
              </w:rPr>
            </w:pPr>
          </w:p>
        </w:tc>
        <w:tc>
          <w:tcPr>
            <w:tcW w:w="1038" w:type="dxa"/>
            <w:noWrap w:val="0"/>
            <w:tcMar>
              <w:left w:w="28" w:type="dxa"/>
              <w:right w:w="28" w:type="dxa"/>
            </w:tcMar>
            <w:vAlign w:val="center"/>
          </w:tcPr>
          <w:p w14:paraId="3C814A7A">
            <w:pPr>
              <w:wordWrap w:val="0"/>
              <w:jc w:val="center"/>
              <w:rPr>
                <w:rFonts w:ascii="宋体" w:hAnsi="宋体" w:cs="宋体"/>
                <w:color w:val="auto"/>
                <w:szCs w:val="21"/>
                <w:highlight w:val="none"/>
              </w:rPr>
            </w:pPr>
          </w:p>
        </w:tc>
      </w:tr>
      <w:tr w14:paraId="50C127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69" w:type="dxa"/>
            <w:noWrap w:val="0"/>
            <w:tcMar>
              <w:left w:w="28" w:type="dxa"/>
              <w:right w:w="28" w:type="dxa"/>
            </w:tcMar>
            <w:vAlign w:val="center"/>
          </w:tcPr>
          <w:p w14:paraId="6396D861">
            <w:pPr>
              <w:wordWrap w:val="0"/>
              <w:jc w:val="center"/>
              <w:rPr>
                <w:rFonts w:ascii="宋体" w:hAnsi="宋体" w:cs="宋体"/>
                <w:color w:val="auto"/>
                <w:szCs w:val="21"/>
                <w:highlight w:val="none"/>
              </w:rPr>
            </w:pPr>
          </w:p>
        </w:tc>
        <w:tc>
          <w:tcPr>
            <w:tcW w:w="1023" w:type="dxa"/>
            <w:noWrap w:val="0"/>
            <w:tcMar>
              <w:left w:w="28" w:type="dxa"/>
              <w:right w:w="28" w:type="dxa"/>
            </w:tcMar>
            <w:vAlign w:val="center"/>
          </w:tcPr>
          <w:p w14:paraId="60203112">
            <w:pPr>
              <w:wordWrap w:val="0"/>
              <w:jc w:val="center"/>
              <w:rPr>
                <w:rFonts w:ascii="宋体" w:hAnsi="宋体" w:cs="宋体"/>
                <w:color w:val="auto"/>
                <w:szCs w:val="21"/>
                <w:highlight w:val="none"/>
              </w:rPr>
            </w:pPr>
          </w:p>
        </w:tc>
        <w:tc>
          <w:tcPr>
            <w:tcW w:w="1025" w:type="dxa"/>
            <w:noWrap w:val="0"/>
            <w:tcMar>
              <w:left w:w="28" w:type="dxa"/>
              <w:right w:w="28" w:type="dxa"/>
            </w:tcMar>
            <w:vAlign w:val="center"/>
          </w:tcPr>
          <w:p w14:paraId="5C24503B">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7449A0A9">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0A1FE253">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407C25F5">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12F5954B">
            <w:pPr>
              <w:wordWrap w:val="0"/>
              <w:jc w:val="center"/>
              <w:rPr>
                <w:rFonts w:ascii="宋体" w:hAnsi="宋体" w:cs="宋体"/>
                <w:color w:val="auto"/>
                <w:szCs w:val="21"/>
                <w:highlight w:val="none"/>
              </w:rPr>
            </w:pPr>
          </w:p>
        </w:tc>
        <w:tc>
          <w:tcPr>
            <w:tcW w:w="1038" w:type="dxa"/>
            <w:noWrap w:val="0"/>
            <w:tcMar>
              <w:left w:w="28" w:type="dxa"/>
              <w:right w:w="28" w:type="dxa"/>
            </w:tcMar>
            <w:vAlign w:val="center"/>
          </w:tcPr>
          <w:p w14:paraId="0E57D149">
            <w:pPr>
              <w:wordWrap w:val="0"/>
              <w:jc w:val="center"/>
              <w:rPr>
                <w:rFonts w:ascii="宋体" w:hAnsi="宋体" w:cs="宋体"/>
                <w:color w:val="auto"/>
                <w:szCs w:val="21"/>
                <w:highlight w:val="none"/>
              </w:rPr>
            </w:pPr>
          </w:p>
        </w:tc>
      </w:tr>
      <w:tr w14:paraId="4E3F36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69" w:type="dxa"/>
            <w:noWrap w:val="0"/>
            <w:tcMar>
              <w:left w:w="28" w:type="dxa"/>
              <w:right w:w="28" w:type="dxa"/>
            </w:tcMar>
            <w:vAlign w:val="center"/>
          </w:tcPr>
          <w:p w14:paraId="6E30D7F1">
            <w:pPr>
              <w:wordWrap w:val="0"/>
              <w:jc w:val="center"/>
              <w:rPr>
                <w:rFonts w:ascii="宋体" w:hAnsi="宋体" w:cs="宋体"/>
                <w:color w:val="auto"/>
                <w:szCs w:val="21"/>
                <w:highlight w:val="none"/>
              </w:rPr>
            </w:pPr>
          </w:p>
        </w:tc>
        <w:tc>
          <w:tcPr>
            <w:tcW w:w="1023" w:type="dxa"/>
            <w:noWrap w:val="0"/>
            <w:tcMar>
              <w:left w:w="28" w:type="dxa"/>
              <w:right w:w="28" w:type="dxa"/>
            </w:tcMar>
            <w:vAlign w:val="center"/>
          </w:tcPr>
          <w:p w14:paraId="03823520">
            <w:pPr>
              <w:wordWrap w:val="0"/>
              <w:jc w:val="center"/>
              <w:rPr>
                <w:rFonts w:ascii="宋体" w:hAnsi="宋体" w:cs="宋体"/>
                <w:color w:val="auto"/>
                <w:szCs w:val="21"/>
                <w:highlight w:val="none"/>
              </w:rPr>
            </w:pPr>
          </w:p>
        </w:tc>
        <w:tc>
          <w:tcPr>
            <w:tcW w:w="1025" w:type="dxa"/>
            <w:noWrap w:val="0"/>
            <w:tcMar>
              <w:left w:w="28" w:type="dxa"/>
              <w:right w:w="28" w:type="dxa"/>
            </w:tcMar>
            <w:vAlign w:val="center"/>
          </w:tcPr>
          <w:p w14:paraId="1E58B38D">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0F5A7DEF">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6A82F9A7">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53C5EEA8">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6F4F00B4">
            <w:pPr>
              <w:wordWrap w:val="0"/>
              <w:jc w:val="center"/>
              <w:rPr>
                <w:rFonts w:ascii="宋体" w:hAnsi="宋体" w:cs="宋体"/>
                <w:color w:val="auto"/>
                <w:szCs w:val="21"/>
                <w:highlight w:val="none"/>
              </w:rPr>
            </w:pPr>
          </w:p>
        </w:tc>
        <w:tc>
          <w:tcPr>
            <w:tcW w:w="1038" w:type="dxa"/>
            <w:noWrap w:val="0"/>
            <w:tcMar>
              <w:left w:w="28" w:type="dxa"/>
              <w:right w:w="28" w:type="dxa"/>
            </w:tcMar>
            <w:vAlign w:val="center"/>
          </w:tcPr>
          <w:p w14:paraId="0D7C2649">
            <w:pPr>
              <w:wordWrap w:val="0"/>
              <w:jc w:val="center"/>
              <w:rPr>
                <w:rFonts w:ascii="宋体" w:hAnsi="宋体" w:cs="宋体"/>
                <w:color w:val="auto"/>
                <w:szCs w:val="21"/>
                <w:highlight w:val="none"/>
              </w:rPr>
            </w:pPr>
          </w:p>
        </w:tc>
      </w:tr>
      <w:tr w14:paraId="6B74B9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69" w:type="dxa"/>
            <w:noWrap w:val="0"/>
            <w:tcMar>
              <w:left w:w="28" w:type="dxa"/>
              <w:right w:w="28" w:type="dxa"/>
            </w:tcMar>
            <w:vAlign w:val="center"/>
          </w:tcPr>
          <w:p w14:paraId="6F13372D">
            <w:pPr>
              <w:wordWrap w:val="0"/>
              <w:jc w:val="center"/>
              <w:rPr>
                <w:rFonts w:ascii="宋体" w:hAnsi="宋体" w:cs="宋体"/>
                <w:color w:val="auto"/>
                <w:szCs w:val="21"/>
                <w:highlight w:val="none"/>
              </w:rPr>
            </w:pPr>
          </w:p>
        </w:tc>
        <w:tc>
          <w:tcPr>
            <w:tcW w:w="1023" w:type="dxa"/>
            <w:noWrap w:val="0"/>
            <w:tcMar>
              <w:left w:w="28" w:type="dxa"/>
              <w:right w:w="28" w:type="dxa"/>
            </w:tcMar>
            <w:vAlign w:val="center"/>
          </w:tcPr>
          <w:p w14:paraId="2F81DAC5">
            <w:pPr>
              <w:wordWrap w:val="0"/>
              <w:jc w:val="center"/>
              <w:rPr>
                <w:rFonts w:ascii="宋体" w:hAnsi="宋体" w:cs="宋体"/>
                <w:color w:val="auto"/>
                <w:szCs w:val="21"/>
                <w:highlight w:val="none"/>
              </w:rPr>
            </w:pPr>
          </w:p>
        </w:tc>
        <w:tc>
          <w:tcPr>
            <w:tcW w:w="1025" w:type="dxa"/>
            <w:noWrap w:val="0"/>
            <w:tcMar>
              <w:left w:w="28" w:type="dxa"/>
              <w:right w:w="28" w:type="dxa"/>
            </w:tcMar>
            <w:vAlign w:val="center"/>
          </w:tcPr>
          <w:p w14:paraId="125568AA">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6AF6B695">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555DCDF7">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2E2FB803">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6E4EB97E">
            <w:pPr>
              <w:wordWrap w:val="0"/>
              <w:jc w:val="center"/>
              <w:rPr>
                <w:rFonts w:ascii="宋体" w:hAnsi="宋体" w:cs="宋体"/>
                <w:color w:val="auto"/>
                <w:szCs w:val="21"/>
                <w:highlight w:val="none"/>
              </w:rPr>
            </w:pPr>
          </w:p>
        </w:tc>
        <w:tc>
          <w:tcPr>
            <w:tcW w:w="1038" w:type="dxa"/>
            <w:noWrap w:val="0"/>
            <w:tcMar>
              <w:left w:w="28" w:type="dxa"/>
              <w:right w:w="28" w:type="dxa"/>
            </w:tcMar>
            <w:vAlign w:val="center"/>
          </w:tcPr>
          <w:p w14:paraId="3550E470">
            <w:pPr>
              <w:wordWrap w:val="0"/>
              <w:jc w:val="center"/>
              <w:rPr>
                <w:rFonts w:ascii="宋体" w:hAnsi="宋体" w:cs="宋体"/>
                <w:color w:val="auto"/>
                <w:szCs w:val="21"/>
                <w:highlight w:val="none"/>
              </w:rPr>
            </w:pPr>
          </w:p>
        </w:tc>
      </w:tr>
      <w:tr w14:paraId="47E971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69" w:type="dxa"/>
            <w:noWrap w:val="0"/>
            <w:tcMar>
              <w:left w:w="28" w:type="dxa"/>
              <w:right w:w="28" w:type="dxa"/>
            </w:tcMar>
            <w:vAlign w:val="center"/>
          </w:tcPr>
          <w:p w14:paraId="20EB6128">
            <w:pPr>
              <w:wordWrap w:val="0"/>
              <w:jc w:val="center"/>
              <w:rPr>
                <w:rFonts w:ascii="宋体" w:hAnsi="宋体" w:cs="宋体"/>
                <w:color w:val="auto"/>
                <w:szCs w:val="21"/>
                <w:highlight w:val="none"/>
              </w:rPr>
            </w:pPr>
          </w:p>
        </w:tc>
        <w:tc>
          <w:tcPr>
            <w:tcW w:w="1023" w:type="dxa"/>
            <w:noWrap w:val="0"/>
            <w:tcMar>
              <w:left w:w="28" w:type="dxa"/>
              <w:right w:w="28" w:type="dxa"/>
            </w:tcMar>
            <w:vAlign w:val="center"/>
          </w:tcPr>
          <w:p w14:paraId="13EEDDA4">
            <w:pPr>
              <w:wordWrap w:val="0"/>
              <w:jc w:val="center"/>
              <w:rPr>
                <w:rFonts w:ascii="宋体" w:hAnsi="宋体" w:cs="宋体"/>
                <w:color w:val="auto"/>
                <w:szCs w:val="21"/>
                <w:highlight w:val="none"/>
              </w:rPr>
            </w:pPr>
          </w:p>
        </w:tc>
        <w:tc>
          <w:tcPr>
            <w:tcW w:w="1025" w:type="dxa"/>
            <w:noWrap w:val="0"/>
            <w:tcMar>
              <w:left w:w="28" w:type="dxa"/>
              <w:right w:w="28" w:type="dxa"/>
            </w:tcMar>
            <w:vAlign w:val="center"/>
          </w:tcPr>
          <w:p w14:paraId="51787D30">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0AA79E5B">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47C1E126">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06BDCCC4">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54E623F6">
            <w:pPr>
              <w:wordWrap w:val="0"/>
              <w:jc w:val="center"/>
              <w:rPr>
                <w:rFonts w:ascii="宋体" w:hAnsi="宋体" w:cs="宋体"/>
                <w:color w:val="auto"/>
                <w:szCs w:val="21"/>
                <w:highlight w:val="none"/>
              </w:rPr>
            </w:pPr>
          </w:p>
        </w:tc>
        <w:tc>
          <w:tcPr>
            <w:tcW w:w="1038" w:type="dxa"/>
            <w:noWrap w:val="0"/>
            <w:tcMar>
              <w:left w:w="28" w:type="dxa"/>
              <w:right w:w="28" w:type="dxa"/>
            </w:tcMar>
            <w:vAlign w:val="center"/>
          </w:tcPr>
          <w:p w14:paraId="6DC02DEF">
            <w:pPr>
              <w:wordWrap w:val="0"/>
              <w:jc w:val="center"/>
              <w:rPr>
                <w:rFonts w:ascii="宋体" w:hAnsi="宋体" w:cs="宋体"/>
                <w:color w:val="auto"/>
                <w:szCs w:val="21"/>
                <w:highlight w:val="none"/>
              </w:rPr>
            </w:pPr>
          </w:p>
        </w:tc>
      </w:tr>
      <w:tr w14:paraId="18FEE2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69" w:type="dxa"/>
            <w:noWrap w:val="0"/>
            <w:tcMar>
              <w:left w:w="28" w:type="dxa"/>
              <w:right w:w="28" w:type="dxa"/>
            </w:tcMar>
            <w:vAlign w:val="center"/>
          </w:tcPr>
          <w:p w14:paraId="382DE75E">
            <w:pPr>
              <w:wordWrap w:val="0"/>
              <w:jc w:val="center"/>
              <w:rPr>
                <w:rFonts w:ascii="宋体" w:hAnsi="宋体" w:cs="宋体"/>
                <w:color w:val="auto"/>
                <w:szCs w:val="21"/>
                <w:highlight w:val="none"/>
              </w:rPr>
            </w:pPr>
          </w:p>
        </w:tc>
        <w:tc>
          <w:tcPr>
            <w:tcW w:w="1023" w:type="dxa"/>
            <w:noWrap w:val="0"/>
            <w:tcMar>
              <w:left w:w="28" w:type="dxa"/>
              <w:right w:w="28" w:type="dxa"/>
            </w:tcMar>
            <w:vAlign w:val="center"/>
          </w:tcPr>
          <w:p w14:paraId="36EAF244">
            <w:pPr>
              <w:wordWrap w:val="0"/>
              <w:jc w:val="center"/>
              <w:rPr>
                <w:rFonts w:ascii="宋体" w:hAnsi="宋体" w:cs="宋体"/>
                <w:color w:val="auto"/>
                <w:szCs w:val="21"/>
                <w:highlight w:val="none"/>
              </w:rPr>
            </w:pPr>
          </w:p>
        </w:tc>
        <w:tc>
          <w:tcPr>
            <w:tcW w:w="1025" w:type="dxa"/>
            <w:noWrap w:val="0"/>
            <w:tcMar>
              <w:left w:w="28" w:type="dxa"/>
              <w:right w:w="28" w:type="dxa"/>
            </w:tcMar>
            <w:vAlign w:val="center"/>
          </w:tcPr>
          <w:p w14:paraId="24E159AC">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3DCA38AA">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6C255E73">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0CDDEEB8">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5B3C5CB1">
            <w:pPr>
              <w:wordWrap w:val="0"/>
              <w:jc w:val="center"/>
              <w:rPr>
                <w:rFonts w:ascii="宋体" w:hAnsi="宋体" w:cs="宋体"/>
                <w:color w:val="auto"/>
                <w:szCs w:val="21"/>
                <w:highlight w:val="none"/>
              </w:rPr>
            </w:pPr>
          </w:p>
        </w:tc>
        <w:tc>
          <w:tcPr>
            <w:tcW w:w="1038" w:type="dxa"/>
            <w:noWrap w:val="0"/>
            <w:tcMar>
              <w:left w:w="28" w:type="dxa"/>
              <w:right w:w="28" w:type="dxa"/>
            </w:tcMar>
            <w:vAlign w:val="center"/>
          </w:tcPr>
          <w:p w14:paraId="3B684830">
            <w:pPr>
              <w:wordWrap w:val="0"/>
              <w:jc w:val="center"/>
              <w:rPr>
                <w:rFonts w:ascii="宋体" w:hAnsi="宋体" w:cs="宋体"/>
                <w:color w:val="auto"/>
                <w:szCs w:val="21"/>
                <w:highlight w:val="none"/>
              </w:rPr>
            </w:pPr>
          </w:p>
        </w:tc>
      </w:tr>
      <w:tr w14:paraId="0A7FC7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69" w:type="dxa"/>
            <w:noWrap w:val="0"/>
            <w:tcMar>
              <w:left w:w="28" w:type="dxa"/>
              <w:right w:w="28" w:type="dxa"/>
            </w:tcMar>
            <w:vAlign w:val="center"/>
          </w:tcPr>
          <w:p w14:paraId="536D5A63">
            <w:pPr>
              <w:wordWrap w:val="0"/>
              <w:jc w:val="center"/>
              <w:rPr>
                <w:rFonts w:ascii="宋体" w:hAnsi="宋体" w:cs="宋体"/>
                <w:color w:val="auto"/>
                <w:szCs w:val="21"/>
                <w:highlight w:val="none"/>
              </w:rPr>
            </w:pPr>
          </w:p>
        </w:tc>
        <w:tc>
          <w:tcPr>
            <w:tcW w:w="1023" w:type="dxa"/>
            <w:noWrap w:val="0"/>
            <w:tcMar>
              <w:left w:w="28" w:type="dxa"/>
              <w:right w:w="28" w:type="dxa"/>
            </w:tcMar>
            <w:vAlign w:val="center"/>
          </w:tcPr>
          <w:p w14:paraId="7BF90288">
            <w:pPr>
              <w:wordWrap w:val="0"/>
              <w:jc w:val="center"/>
              <w:rPr>
                <w:rFonts w:ascii="宋体" w:hAnsi="宋体" w:cs="宋体"/>
                <w:color w:val="auto"/>
                <w:szCs w:val="21"/>
                <w:highlight w:val="none"/>
              </w:rPr>
            </w:pPr>
          </w:p>
        </w:tc>
        <w:tc>
          <w:tcPr>
            <w:tcW w:w="1025" w:type="dxa"/>
            <w:noWrap w:val="0"/>
            <w:tcMar>
              <w:left w:w="28" w:type="dxa"/>
              <w:right w:w="28" w:type="dxa"/>
            </w:tcMar>
            <w:vAlign w:val="center"/>
          </w:tcPr>
          <w:p w14:paraId="45942A9A">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10FD57F0">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0A424727">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5D59B375">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3FCC8FCD">
            <w:pPr>
              <w:wordWrap w:val="0"/>
              <w:jc w:val="center"/>
              <w:rPr>
                <w:rFonts w:ascii="宋体" w:hAnsi="宋体" w:cs="宋体"/>
                <w:color w:val="auto"/>
                <w:szCs w:val="21"/>
                <w:highlight w:val="none"/>
              </w:rPr>
            </w:pPr>
          </w:p>
        </w:tc>
        <w:tc>
          <w:tcPr>
            <w:tcW w:w="1038" w:type="dxa"/>
            <w:noWrap w:val="0"/>
            <w:tcMar>
              <w:left w:w="28" w:type="dxa"/>
              <w:right w:w="28" w:type="dxa"/>
            </w:tcMar>
            <w:vAlign w:val="center"/>
          </w:tcPr>
          <w:p w14:paraId="1243D879">
            <w:pPr>
              <w:wordWrap w:val="0"/>
              <w:jc w:val="center"/>
              <w:rPr>
                <w:rFonts w:ascii="宋体" w:hAnsi="宋体" w:cs="宋体"/>
                <w:color w:val="auto"/>
                <w:szCs w:val="21"/>
                <w:highlight w:val="none"/>
              </w:rPr>
            </w:pPr>
          </w:p>
        </w:tc>
      </w:tr>
      <w:tr w14:paraId="713A45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69" w:type="dxa"/>
            <w:noWrap w:val="0"/>
            <w:tcMar>
              <w:left w:w="28" w:type="dxa"/>
              <w:right w:w="28" w:type="dxa"/>
            </w:tcMar>
            <w:vAlign w:val="center"/>
          </w:tcPr>
          <w:p w14:paraId="6D4CDCF2">
            <w:pPr>
              <w:wordWrap w:val="0"/>
              <w:jc w:val="center"/>
              <w:rPr>
                <w:rFonts w:ascii="宋体" w:hAnsi="宋体" w:cs="宋体"/>
                <w:color w:val="auto"/>
                <w:szCs w:val="21"/>
                <w:highlight w:val="none"/>
              </w:rPr>
            </w:pPr>
          </w:p>
        </w:tc>
        <w:tc>
          <w:tcPr>
            <w:tcW w:w="1023" w:type="dxa"/>
            <w:noWrap w:val="0"/>
            <w:tcMar>
              <w:left w:w="28" w:type="dxa"/>
              <w:right w:w="28" w:type="dxa"/>
            </w:tcMar>
            <w:vAlign w:val="center"/>
          </w:tcPr>
          <w:p w14:paraId="75D3B6CE">
            <w:pPr>
              <w:wordWrap w:val="0"/>
              <w:jc w:val="center"/>
              <w:rPr>
                <w:rFonts w:ascii="宋体" w:hAnsi="宋体" w:cs="宋体"/>
                <w:color w:val="auto"/>
                <w:szCs w:val="21"/>
                <w:highlight w:val="none"/>
              </w:rPr>
            </w:pPr>
          </w:p>
        </w:tc>
        <w:tc>
          <w:tcPr>
            <w:tcW w:w="1025" w:type="dxa"/>
            <w:noWrap w:val="0"/>
            <w:tcMar>
              <w:left w:w="28" w:type="dxa"/>
              <w:right w:w="28" w:type="dxa"/>
            </w:tcMar>
            <w:vAlign w:val="center"/>
          </w:tcPr>
          <w:p w14:paraId="5B561EB8">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460480A6">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74B085DB">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3B810159">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01CAB84D">
            <w:pPr>
              <w:wordWrap w:val="0"/>
              <w:jc w:val="center"/>
              <w:rPr>
                <w:rFonts w:ascii="宋体" w:hAnsi="宋体" w:cs="宋体"/>
                <w:color w:val="auto"/>
                <w:szCs w:val="21"/>
                <w:highlight w:val="none"/>
              </w:rPr>
            </w:pPr>
          </w:p>
        </w:tc>
        <w:tc>
          <w:tcPr>
            <w:tcW w:w="1038" w:type="dxa"/>
            <w:noWrap w:val="0"/>
            <w:tcMar>
              <w:left w:w="28" w:type="dxa"/>
              <w:right w:w="28" w:type="dxa"/>
            </w:tcMar>
            <w:vAlign w:val="center"/>
          </w:tcPr>
          <w:p w14:paraId="6EC7FCD4">
            <w:pPr>
              <w:wordWrap w:val="0"/>
              <w:jc w:val="center"/>
              <w:rPr>
                <w:rFonts w:ascii="宋体" w:hAnsi="宋体" w:cs="宋体"/>
                <w:color w:val="auto"/>
                <w:szCs w:val="21"/>
                <w:highlight w:val="none"/>
              </w:rPr>
            </w:pPr>
          </w:p>
        </w:tc>
      </w:tr>
      <w:tr w14:paraId="274CE0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69" w:type="dxa"/>
            <w:noWrap w:val="0"/>
            <w:tcMar>
              <w:left w:w="28" w:type="dxa"/>
              <w:right w:w="28" w:type="dxa"/>
            </w:tcMar>
            <w:vAlign w:val="center"/>
          </w:tcPr>
          <w:p w14:paraId="342628B9">
            <w:pPr>
              <w:wordWrap w:val="0"/>
              <w:jc w:val="center"/>
              <w:rPr>
                <w:rFonts w:ascii="宋体" w:hAnsi="宋体" w:cs="宋体"/>
                <w:color w:val="auto"/>
                <w:szCs w:val="21"/>
                <w:highlight w:val="none"/>
              </w:rPr>
            </w:pPr>
          </w:p>
        </w:tc>
        <w:tc>
          <w:tcPr>
            <w:tcW w:w="1023" w:type="dxa"/>
            <w:noWrap w:val="0"/>
            <w:tcMar>
              <w:left w:w="28" w:type="dxa"/>
              <w:right w:w="28" w:type="dxa"/>
            </w:tcMar>
            <w:vAlign w:val="center"/>
          </w:tcPr>
          <w:p w14:paraId="7F0340D9">
            <w:pPr>
              <w:wordWrap w:val="0"/>
              <w:jc w:val="center"/>
              <w:rPr>
                <w:rFonts w:ascii="宋体" w:hAnsi="宋体" w:cs="宋体"/>
                <w:color w:val="auto"/>
                <w:szCs w:val="21"/>
                <w:highlight w:val="none"/>
              </w:rPr>
            </w:pPr>
          </w:p>
        </w:tc>
        <w:tc>
          <w:tcPr>
            <w:tcW w:w="1025" w:type="dxa"/>
            <w:noWrap w:val="0"/>
            <w:tcMar>
              <w:left w:w="28" w:type="dxa"/>
              <w:right w:w="28" w:type="dxa"/>
            </w:tcMar>
            <w:vAlign w:val="center"/>
          </w:tcPr>
          <w:p w14:paraId="0ADC8BD0">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4A4E5E60">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2A32E726">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3DC92D16">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2356B692">
            <w:pPr>
              <w:wordWrap w:val="0"/>
              <w:jc w:val="center"/>
              <w:rPr>
                <w:rFonts w:ascii="宋体" w:hAnsi="宋体" w:cs="宋体"/>
                <w:color w:val="auto"/>
                <w:szCs w:val="21"/>
                <w:highlight w:val="none"/>
              </w:rPr>
            </w:pPr>
          </w:p>
        </w:tc>
        <w:tc>
          <w:tcPr>
            <w:tcW w:w="1038" w:type="dxa"/>
            <w:noWrap w:val="0"/>
            <w:tcMar>
              <w:left w:w="28" w:type="dxa"/>
              <w:right w:w="28" w:type="dxa"/>
            </w:tcMar>
            <w:vAlign w:val="center"/>
          </w:tcPr>
          <w:p w14:paraId="433DF3F8">
            <w:pPr>
              <w:wordWrap w:val="0"/>
              <w:jc w:val="center"/>
              <w:rPr>
                <w:rFonts w:ascii="宋体" w:hAnsi="宋体" w:cs="宋体"/>
                <w:color w:val="auto"/>
                <w:szCs w:val="21"/>
                <w:highlight w:val="none"/>
              </w:rPr>
            </w:pPr>
          </w:p>
        </w:tc>
      </w:tr>
      <w:tr w14:paraId="01A6B1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69" w:type="dxa"/>
            <w:noWrap w:val="0"/>
            <w:tcMar>
              <w:left w:w="28" w:type="dxa"/>
              <w:right w:w="28" w:type="dxa"/>
            </w:tcMar>
            <w:vAlign w:val="center"/>
          </w:tcPr>
          <w:p w14:paraId="2854626B">
            <w:pPr>
              <w:wordWrap w:val="0"/>
              <w:jc w:val="center"/>
              <w:rPr>
                <w:rFonts w:ascii="宋体" w:hAnsi="宋体" w:cs="宋体"/>
                <w:color w:val="auto"/>
                <w:szCs w:val="21"/>
                <w:highlight w:val="none"/>
              </w:rPr>
            </w:pPr>
          </w:p>
        </w:tc>
        <w:tc>
          <w:tcPr>
            <w:tcW w:w="1023" w:type="dxa"/>
            <w:noWrap w:val="0"/>
            <w:tcMar>
              <w:left w:w="28" w:type="dxa"/>
              <w:right w:w="28" w:type="dxa"/>
            </w:tcMar>
            <w:vAlign w:val="center"/>
          </w:tcPr>
          <w:p w14:paraId="74665592">
            <w:pPr>
              <w:wordWrap w:val="0"/>
              <w:jc w:val="center"/>
              <w:rPr>
                <w:rFonts w:ascii="宋体" w:hAnsi="宋体" w:cs="宋体"/>
                <w:color w:val="auto"/>
                <w:szCs w:val="21"/>
                <w:highlight w:val="none"/>
              </w:rPr>
            </w:pPr>
          </w:p>
        </w:tc>
        <w:tc>
          <w:tcPr>
            <w:tcW w:w="1025" w:type="dxa"/>
            <w:noWrap w:val="0"/>
            <w:tcMar>
              <w:left w:w="28" w:type="dxa"/>
              <w:right w:w="28" w:type="dxa"/>
            </w:tcMar>
            <w:vAlign w:val="center"/>
          </w:tcPr>
          <w:p w14:paraId="1C27B3E8">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6689829D">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2CD82B2B">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680195AD">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5665373C">
            <w:pPr>
              <w:wordWrap w:val="0"/>
              <w:jc w:val="center"/>
              <w:rPr>
                <w:rFonts w:ascii="宋体" w:hAnsi="宋体" w:cs="宋体"/>
                <w:color w:val="auto"/>
                <w:szCs w:val="21"/>
                <w:highlight w:val="none"/>
              </w:rPr>
            </w:pPr>
          </w:p>
        </w:tc>
        <w:tc>
          <w:tcPr>
            <w:tcW w:w="1038" w:type="dxa"/>
            <w:noWrap w:val="0"/>
            <w:tcMar>
              <w:left w:w="28" w:type="dxa"/>
              <w:right w:w="28" w:type="dxa"/>
            </w:tcMar>
            <w:vAlign w:val="center"/>
          </w:tcPr>
          <w:p w14:paraId="3C16905C">
            <w:pPr>
              <w:wordWrap w:val="0"/>
              <w:jc w:val="center"/>
              <w:rPr>
                <w:rFonts w:ascii="宋体" w:hAnsi="宋体" w:cs="宋体"/>
                <w:color w:val="auto"/>
                <w:szCs w:val="21"/>
                <w:highlight w:val="none"/>
              </w:rPr>
            </w:pPr>
          </w:p>
        </w:tc>
      </w:tr>
      <w:tr w14:paraId="250215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69" w:type="dxa"/>
            <w:noWrap w:val="0"/>
            <w:tcMar>
              <w:left w:w="28" w:type="dxa"/>
              <w:right w:w="28" w:type="dxa"/>
            </w:tcMar>
            <w:vAlign w:val="center"/>
          </w:tcPr>
          <w:p w14:paraId="4630A889">
            <w:pPr>
              <w:wordWrap w:val="0"/>
              <w:jc w:val="center"/>
              <w:rPr>
                <w:rFonts w:ascii="宋体" w:hAnsi="宋体" w:cs="宋体"/>
                <w:color w:val="auto"/>
                <w:szCs w:val="21"/>
                <w:highlight w:val="none"/>
              </w:rPr>
            </w:pPr>
          </w:p>
        </w:tc>
        <w:tc>
          <w:tcPr>
            <w:tcW w:w="1023" w:type="dxa"/>
            <w:noWrap w:val="0"/>
            <w:tcMar>
              <w:left w:w="28" w:type="dxa"/>
              <w:right w:w="28" w:type="dxa"/>
            </w:tcMar>
            <w:vAlign w:val="center"/>
          </w:tcPr>
          <w:p w14:paraId="56B84913">
            <w:pPr>
              <w:wordWrap w:val="0"/>
              <w:jc w:val="center"/>
              <w:rPr>
                <w:rFonts w:ascii="宋体" w:hAnsi="宋体" w:cs="宋体"/>
                <w:color w:val="auto"/>
                <w:szCs w:val="21"/>
                <w:highlight w:val="none"/>
              </w:rPr>
            </w:pPr>
          </w:p>
        </w:tc>
        <w:tc>
          <w:tcPr>
            <w:tcW w:w="1025" w:type="dxa"/>
            <w:noWrap w:val="0"/>
            <w:tcMar>
              <w:left w:w="28" w:type="dxa"/>
              <w:right w:w="28" w:type="dxa"/>
            </w:tcMar>
            <w:vAlign w:val="center"/>
          </w:tcPr>
          <w:p w14:paraId="4295D9AB">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22397813">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3B6ABDDD">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169F2806">
            <w:pPr>
              <w:wordWrap w:val="0"/>
              <w:jc w:val="center"/>
              <w:rPr>
                <w:rFonts w:ascii="宋体" w:hAnsi="宋体" w:cs="宋体"/>
                <w:color w:val="auto"/>
                <w:szCs w:val="21"/>
                <w:highlight w:val="none"/>
              </w:rPr>
            </w:pPr>
          </w:p>
        </w:tc>
        <w:tc>
          <w:tcPr>
            <w:tcW w:w="1026" w:type="dxa"/>
            <w:noWrap w:val="0"/>
            <w:tcMar>
              <w:left w:w="28" w:type="dxa"/>
              <w:right w:w="28" w:type="dxa"/>
            </w:tcMar>
            <w:vAlign w:val="center"/>
          </w:tcPr>
          <w:p w14:paraId="684BE6C4">
            <w:pPr>
              <w:wordWrap w:val="0"/>
              <w:jc w:val="center"/>
              <w:rPr>
                <w:rFonts w:ascii="宋体" w:hAnsi="宋体" w:cs="宋体"/>
                <w:color w:val="auto"/>
                <w:szCs w:val="21"/>
                <w:highlight w:val="none"/>
              </w:rPr>
            </w:pPr>
          </w:p>
        </w:tc>
        <w:tc>
          <w:tcPr>
            <w:tcW w:w="1038" w:type="dxa"/>
            <w:noWrap w:val="0"/>
            <w:tcMar>
              <w:left w:w="28" w:type="dxa"/>
              <w:right w:w="28" w:type="dxa"/>
            </w:tcMar>
            <w:vAlign w:val="center"/>
          </w:tcPr>
          <w:p w14:paraId="6D96DC9E">
            <w:pPr>
              <w:wordWrap w:val="0"/>
              <w:jc w:val="center"/>
              <w:rPr>
                <w:rFonts w:ascii="宋体" w:hAnsi="宋体" w:cs="宋体"/>
                <w:color w:val="auto"/>
                <w:szCs w:val="21"/>
                <w:highlight w:val="none"/>
              </w:rPr>
            </w:pPr>
          </w:p>
        </w:tc>
      </w:tr>
    </w:tbl>
    <w:p w14:paraId="23B1AF64">
      <w:pPr>
        <w:wordWrap w:val="0"/>
        <w:spacing w:line="0" w:lineRule="atLeast"/>
        <w:rPr>
          <w:rFonts w:ascii="宋体" w:hAnsi="宋体" w:cs="宋体"/>
          <w:color w:val="auto"/>
          <w:szCs w:val="21"/>
          <w:highlight w:val="none"/>
        </w:rPr>
      </w:pPr>
      <w:r>
        <w:rPr>
          <w:rFonts w:hint="eastAsia" w:ascii="宋体" w:hAnsi="宋体" w:cs="宋体"/>
          <w:color w:val="auto"/>
          <w:szCs w:val="21"/>
          <w:highlight w:val="none"/>
        </w:rPr>
        <w:t>注：供应商应按所列格式提交劳动力计划表。本计划表是以每班八小时工作制为基础的。</w:t>
      </w:r>
    </w:p>
    <w:p w14:paraId="6C70D67E">
      <w:pPr>
        <w:wordWrap w:val="0"/>
        <w:jc w:val="left"/>
        <w:rPr>
          <w:rFonts w:ascii="宋体" w:hAnsi="宋体" w:cs="宋体"/>
          <w:color w:val="auto"/>
          <w:sz w:val="24"/>
          <w:szCs w:val="24"/>
          <w:highlight w:val="none"/>
        </w:rPr>
      </w:pPr>
      <w:r>
        <w:rPr>
          <w:rFonts w:hint="eastAsia" w:hAnsi="宋体" w:cs="宋体"/>
          <w:color w:val="auto"/>
          <w:highlight w:val="none"/>
        </w:rPr>
        <w:br w:type="page"/>
      </w:r>
      <w:r>
        <w:rPr>
          <w:rFonts w:hint="eastAsia" w:ascii="宋体" w:hAnsi="宋体" w:cs="宋体"/>
          <w:color w:val="auto"/>
          <w:szCs w:val="21"/>
          <w:highlight w:val="none"/>
        </w:rPr>
        <w:t>附件9：</w:t>
      </w:r>
    </w:p>
    <w:p w14:paraId="6EFF6695">
      <w:pPr>
        <w:wordWrap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供应商资格承诺函</w:t>
      </w:r>
    </w:p>
    <w:p w14:paraId="20BD988D">
      <w:pPr>
        <w:wordWrap w:val="0"/>
        <w:spacing w:line="400" w:lineRule="exact"/>
        <w:rPr>
          <w:rFonts w:ascii="宋体" w:hAnsi="宋体"/>
          <w:b/>
          <w:color w:val="auto"/>
          <w:szCs w:val="21"/>
          <w:highlight w:val="none"/>
        </w:rPr>
      </w:pPr>
      <w:r>
        <w:rPr>
          <w:rFonts w:hint="eastAsia" w:ascii="宋体" w:hAnsi="宋体"/>
          <w:color w:val="auto"/>
          <w:szCs w:val="21"/>
          <w:highlight w:val="none"/>
        </w:rPr>
        <w:t>致：采购人</w:t>
      </w:r>
    </w:p>
    <w:p w14:paraId="512F4550">
      <w:pPr>
        <w:wordWrap w:val="0"/>
        <w:spacing w:line="400" w:lineRule="exact"/>
        <w:ind w:firstLine="420" w:firstLineChars="200"/>
        <w:rPr>
          <w:rFonts w:ascii="宋体" w:hAnsi="宋体"/>
          <w:color w:val="auto"/>
          <w:szCs w:val="21"/>
          <w:highlight w:val="none"/>
        </w:rPr>
      </w:pPr>
      <w:r>
        <w:rPr>
          <w:rFonts w:hint="eastAsia" w:ascii="宋体" w:hAnsi="宋体"/>
          <w:bCs/>
          <w:color w:val="auto"/>
          <w:szCs w:val="21"/>
          <w:highlight w:val="none"/>
        </w:rPr>
        <w:t>我单位承诺：</w:t>
      </w:r>
    </w:p>
    <w:p w14:paraId="128FFB9A">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我单位满足《中华人民共和国政府采购法》第二十二条 供应商参加政府采购活动应当具备的下列条件：</w:t>
      </w:r>
    </w:p>
    <w:p w14:paraId="795225F8">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（一）具有独立承担民事责任的能力；</w:t>
      </w:r>
    </w:p>
    <w:p w14:paraId="2036AFB4">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（二）具有良好的商业信誉和健全的财务会计制度；</w:t>
      </w:r>
    </w:p>
    <w:p w14:paraId="550215AB">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（三）具有履行合同所必需的设备和专业技术能力；</w:t>
      </w:r>
    </w:p>
    <w:p w14:paraId="522DCF98">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（四）有依法缴纳税收和社会保障资金的良好记录；</w:t>
      </w:r>
    </w:p>
    <w:p w14:paraId="1913FDCA">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（五）参加政府采购活动前三年内，在经营活动中没有重大违法记录；</w:t>
      </w:r>
    </w:p>
    <w:p w14:paraId="5C6C59F9">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（六）法律、行政法规规定的其他条件。</w:t>
      </w:r>
    </w:p>
    <w:p w14:paraId="41B89AAD">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14:paraId="79E4CEF4">
      <w:pPr>
        <w:wordWrap w:val="0"/>
        <w:spacing w:line="400" w:lineRule="exact"/>
        <w:ind w:firstLine="420" w:firstLineChars="200"/>
        <w:rPr>
          <w:rFonts w:ascii="宋体" w:hAnsi="宋体"/>
          <w:color w:val="auto"/>
          <w:szCs w:val="21"/>
          <w:highlight w:val="none"/>
        </w:rPr>
      </w:pPr>
    </w:p>
    <w:p w14:paraId="4AB0648B">
      <w:pPr>
        <w:wordWrap w:val="0"/>
        <w:spacing w:line="400" w:lineRule="exact"/>
        <w:ind w:firstLine="420" w:firstLineChars="200"/>
        <w:rPr>
          <w:rFonts w:ascii="宋体" w:hAnsi="宋体"/>
          <w:color w:val="auto"/>
          <w:szCs w:val="21"/>
          <w:highlight w:val="none"/>
        </w:rPr>
      </w:pPr>
    </w:p>
    <w:p w14:paraId="56B88DD4">
      <w:pPr>
        <w:wordWrap w:val="0"/>
        <w:spacing w:line="400" w:lineRule="exact"/>
        <w:ind w:firstLine="420" w:firstLineChars="200"/>
        <w:rPr>
          <w:rFonts w:ascii="宋体" w:hAnsi="宋体"/>
          <w:color w:val="auto"/>
          <w:szCs w:val="21"/>
          <w:highlight w:val="none"/>
        </w:rPr>
      </w:pPr>
    </w:p>
    <w:p w14:paraId="3FC8D257">
      <w:pPr>
        <w:wordWrap w:val="0"/>
        <w:spacing w:line="400" w:lineRule="exact"/>
        <w:ind w:firstLine="420" w:firstLineChars="200"/>
        <w:rPr>
          <w:rFonts w:ascii="宋体" w:hAnsi="宋体"/>
          <w:color w:val="auto"/>
          <w:szCs w:val="21"/>
          <w:highlight w:val="none"/>
        </w:rPr>
      </w:pPr>
    </w:p>
    <w:p w14:paraId="50FB00D5">
      <w:pPr>
        <w:wordWrap w:val="0"/>
        <w:spacing w:line="400" w:lineRule="exact"/>
        <w:ind w:firstLine="420" w:firstLineChars="200"/>
        <w:rPr>
          <w:rFonts w:ascii="宋体" w:hAnsi="宋体"/>
          <w:color w:val="auto"/>
          <w:szCs w:val="21"/>
          <w:highlight w:val="none"/>
        </w:rPr>
      </w:pPr>
    </w:p>
    <w:p w14:paraId="61521EDA">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rPr>
        <w:t xml:space="preserve">          </w:t>
      </w:r>
    </w:p>
    <w:p w14:paraId="26101018">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日          期：</w:t>
      </w:r>
    </w:p>
    <w:p w14:paraId="1CF987BF">
      <w:pPr>
        <w:wordWrap w:val="0"/>
        <w:spacing w:line="400" w:lineRule="exact"/>
        <w:rPr>
          <w:rFonts w:hint="eastAsia" w:ascii="宋体" w:hAnsi="宋体"/>
          <w:color w:val="auto"/>
          <w:szCs w:val="21"/>
          <w:highlight w:val="none"/>
        </w:rPr>
      </w:pPr>
    </w:p>
    <w:p w14:paraId="3FE8B306">
      <w:pPr>
        <w:wordWrap w:val="0"/>
        <w:spacing w:line="400" w:lineRule="exact"/>
        <w:rPr>
          <w:rFonts w:hint="eastAsia" w:ascii="宋体" w:hAnsi="宋体"/>
          <w:color w:val="auto"/>
          <w:szCs w:val="21"/>
          <w:highlight w:val="none"/>
        </w:rPr>
      </w:pPr>
    </w:p>
    <w:p w14:paraId="252D511B">
      <w:pPr>
        <w:wordWrap w:val="0"/>
        <w:spacing w:line="400" w:lineRule="exact"/>
        <w:rPr>
          <w:rFonts w:hint="eastAsia" w:ascii="宋体" w:hAnsi="宋体"/>
          <w:color w:val="auto"/>
          <w:szCs w:val="21"/>
          <w:highlight w:val="none"/>
        </w:rPr>
      </w:pPr>
    </w:p>
    <w:p w14:paraId="58017B34">
      <w:pPr>
        <w:wordWrap w:val="0"/>
        <w:spacing w:line="400" w:lineRule="exact"/>
        <w:rPr>
          <w:rFonts w:hint="eastAsia" w:ascii="宋体" w:hAnsi="宋体"/>
          <w:color w:val="auto"/>
          <w:szCs w:val="21"/>
          <w:highlight w:val="none"/>
        </w:rPr>
      </w:pPr>
    </w:p>
    <w:p w14:paraId="36EA7F64">
      <w:pPr>
        <w:spacing w:line="400" w:lineRule="exact"/>
        <w:rPr>
          <w:rFonts w:ascii="宋体" w:hAnsi="宋体"/>
          <w:b/>
          <w:color w:val="auto"/>
          <w:highlight w:val="none"/>
        </w:rPr>
      </w:pPr>
    </w:p>
    <w:p w14:paraId="13C6CDE5">
      <w:pPr>
        <w:wordWrap w:val="0"/>
        <w:spacing w:line="400" w:lineRule="exact"/>
        <w:rPr>
          <w:rFonts w:ascii="宋体" w:hAnsi="宋体" w:cs="宋体"/>
          <w:bCs/>
          <w:color w:val="auto"/>
          <w:szCs w:val="21"/>
          <w:highlight w:val="none"/>
        </w:rPr>
      </w:pPr>
      <w:r>
        <w:rPr>
          <w:rFonts w:hint="eastAsia" w:ascii="宋体" w:hAnsi="宋体"/>
          <w:color w:val="auto"/>
          <w:szCs w:val="21"/>
          <w:highlight w:val="none"/>
        </w:rPr>
        <w:br w:type="page"/>
      </w:r>
      <w:bookmarkStart w:id="149" w:name="_Toc389139124"/>
      <w:bookmarkStart w:id="150" w:name="_Toc387317163"/>
      <w:bookmarkStart w:id="151" w:name="_Toc262472693"/>
      <w:bookmarkStart w:id="152" w:name="_Toc24380"/>
      <w:r>
        <w:rPr>
          <w:rFonts w:hint="eastAsia" w:ascii="宋体" w:hAnsi="宋体" w:cs="宋体"/>
          <w:bCs/>
          <w:color w:val="auto"/>
          <w:szCs w:val="21"/>
          <w:highlight w:val="none"/>
        </w:rPr>
        <w:t>附件10</w:t>
      </w:r>
    </w:p>
    <w:p w14:paraId="536366E5">
      <w:pPr>
        <w:pStyle w:val="21"/>
        <w:wordWrap w:val="0"/>
        <w:spacing w:line="520" w:lineRule="exact"/>
        <w:jc w:val="center"/>
        <w:rPr>
          <w:rFonts w:ascii="宋体" w:hAnsi="宋体" w:eastAsia="宋体" w:cs="宋体"/>
          <w:b/>
          <w:bCs/>
          <w:color w:val="auto"/>
          <w:sz w:val="32"/>
          <w:szCs w:val="32"/>
          <w:highlight w:val="none"/>
        </w:rPr>
      </w:pPr>
      <w:r>
        <w:rPr>
          <w:rFonts w:hint="eastAsia" w:ascii="宋体" w:hAnsi="宋体" w:eastAsia="宋体" w:cs="宋体"/>
          <w:b/>
          <w:color w:val="auto"/>
          <w:kern w:val="2"/>
          <w:sz w:val="32"/>
          <w:szCs w:val="32"/>
          <w:highlight w:val="none"/>
          <w:lang w:val="en-US" w:eastAsia="zh-CN" w:bidi="ar-SA"/>
        </w:rPr>
        <w:t>中小企业声明函（工程）</w:t>
      </w:r>
    </w:p>
    <w:p w14:paraId="441276DB">
      <w:pPr>
        <w:wordWrap w:val="0"/>
        <w:spacing w:line="400" w:lineRule="exact"/>
        <w:rPr>
          <w:rFonts w:ascii="宋体" w:hAnsi="宋体" w:cs="宋体"/>
          <w:b/>
          <w:color w:val="auto"/>
          <w:spacing w:val="6"/>
          <w:szCs w:val="21"/>
          <w:highlight w:val="none"/>
        </w:rPr>
      </w:pPr>
    </w:p>
    <w:p w14:paraId="7657CE72">
      <w:pPr>
        <w:pStyle w:val="21"/>
        <w:wordWrap w:val="0"/>
        <w:spacing w:line="400" w:lineRule="exact"/>
        <w:ind w:firstLine="420" w:firstLineChars="200"/>
        <w:rPr>
          <w:rFonts w:ascii="宋体" w:hAnsi="宋体" w:eastAsia="宋体" w:cs="宋体"/>
          <w:color w:val="auto"/>
          <w:sz w:val="21"/>
          <w:highlight w:val="none"/>
        </w:rPr>
      </w:pPr>
      <w:r>
        <w:rPr>
          <w:rFonts w:hint="eastAsia" w:ascii="宋体" w:hAnsi="宋体" w:eastAsia="宋体" w:cs="宋体"/>
          <w:color w:val="auto"/>
          <w:sz w:val="21"/>
          <w:highlight w:val="none"/>
        </w:rPr>
        <w:t>本公司（联合体）郑重声明，根据《政府采购促进中小企业发展管理办法》（财库﹝2020﹞46 号）的规定，本公司（联合体）参加</w:t>
      </w:r>
      <w:r>
        <w:rPr>
          <w:rFonts w:hint="eastAsia" w:ascii="宋体" w:hAnsi="宋体" w:eastAsia="宋体" w:cs="宋体"/>
          <w:color w:val="auto"/>
          <w:sz w:val="21"/>
          <w:highlight w:val="none"/>
          <w:u w:val="single"/>
        </w:rPr>
        <w:t>（单位名称）</w:t>
      </w:r>
      <w:r>
        <w:rPr>
          <w:rFonts w:hint="eastAsia" w:ascii="宋体" w:hAnsi="宋体" w:eastAsia="宋体" w:cs="宋体"/>
          <w:color w:val="auto"/>
          <w:sz w:val="21"/>
          <w:highlight w:val="none"/>
        </w:rPr>
        <w:t>的</w:t>
      </w:r>
      <w:r>
        <w:rPr>
          <w:rFonts w:hint="eastAsia" w:ascii="宋体" w:hAnsi="宋体" w:eastAsia="宋体" w:cs="宋体"/>
          <w:color w:val="auto"/>
          <w:sz w:val="21"/>
          <w:highlight w:val="none"/>
          <w:u w:val="single"/>
        </w:rPr>
        <w:t>（项目名称）</w:t>
      </w:r>
      <w:r>
        <w:rPr>
          <w:rFonts w:hint="eastAsia" w:ascii="宋体" w:hAnsi="宋体" w:eastAsia="宋体" w:cs="宋体"/>
          <w:color w:val="auto"/>
          <w:sz w:val="21"/>
          <w:highlight w:val="none"/>
        </w:rPr>
        <w:t>采购活动，工程的施工单位全部为符合政策要求的中小企业（或者：服务全部由符合政策要求的中小企业承接）。相关企业（含联合体中的中小企业）的具体情况如下：</w:t>
      </w:r>
    </w:p>
    <w:p w14:paraId="3FF76488">
      <w:pPr>
        <w:pStyle w:val="21"/>
        <w:wordWrap w:val="0"/>
        <w:spacing w:line="400" w:lineRule="exact"/>
        <w:ind w:firstLine="420" w:firstLineChars="200"/>
        <w:rPr>
          <w:rFonts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cs="宋体"/>
          <w:color w:val="auto"/>
          <w:sz w:val="21"/>
          <w:highlight w:val="none"/>
          <w:u w:val="single"/>
          <w:lang w:eastAsia="zh-CN"/>
        </w:rPr>
        <w:t>宁波老年大学整体修缮工程</w:t>
      </w:r>
      <w:r>
        <w:rPr>
          <w:rFonts w:hint="eastAsia" w:ascii="宋体" w:hAnsi="宋体" w:eastAsia="宋体" w:cs="宋体"/>
          <w:color w:val="auto"/>
          <w:sz w:val="21"/>
          <w:highlight w:val="none"/>
        </w:rPr>
        <w:t>，属于</w:t>
      </w:r>
      <w:r>
        <w:rPr>
          <w:rFonts w:hint="eastAsia" w:ascii="宋体" w:hAnsi="宋体" w:eastAsia="宋体" w:cs="宋体"/>
          <w:b/>
          <w:bCs/>
          <w:color w:val="auto"/>
          <w:sz w:val="21"/>
          <w:highlight w:val="none"/>
        </w:rPr>
        <w:t>建筑业</w:t>
      </w:r>
      <w:r>
        <w:rPr>
          <w:rFonts w:hint="eastAsia" w:ascii="宋体" w:hAnsi="宋体" w:eastAsia="宋体" w:cs="宋体"/>
          <w:color w:val="auto"/>
          <w:sz w:val="21"/>
          <w:highlight w:val="none"/>
        </w:rPr>
        <w:t>；承建（承接）企业为</w:t>
      </w:r>
      <w:r>
        <w:rPr>
          <w:rFonts w:hint="eastAsia" w:ascii="宋体" w:hAnsi="宋体" w:eastAsia="宋体" w:cs="宋体"/>
          <w:color w:val="auto"/>
          <w:sz w:val="21"/>
          <w:highlight w:val="none"/>
          <w:u w:val="single"/>
        </w:rPr>
        <w:t>（企业名称）</w:t>
      </w:r>
      <w:r>
        <w:rPr>
          <w:rFonts w:hint="eastAsia" w:ascii="宋体" w:hAnsi="宋体" w:eastAsia="宋体" w:cs="宋体"/>
          <w:color w:val="auto"/>
          <w:sz w:val="21"/>
          <w:highlight w:val="none"/>
        </w:rPr>
        <w:t>，从业人员</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人，营业收入为</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万元，资产总额为</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万元，属于（中型企业、小型企业、微型企业）；</w:t>
      </w:r>
    </w:p>
    <w:p w14:paraId="2165DC66">
      <w:pPr>
        <w:pStyle w:val="21"/>
        <w:wordWrap w:val="0"/>
        <w:spacing w:line="400" w:lineRule="exact"/>
        <w:ind w:firstLine="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p>
    <w:p w14:paraId="12B5DA2B">
      <w:pPr>
        <w:pStyle w:val="21"/>
        <w:wordWrap w:val="0"/>
        <w:spacing w:line="400" w:lineRule="exact"/>
        <w:ind w:firstLine="0"/>
        <w:rPr>
          <w:rFonts w:ascii="宋体" w:hAnsi="宋体" w:eastAsia="宋体" w:cs="宋体"/>
          <w:color w:val="auto"/>
          <w:sz w:val="21"/>
          <w:highlight w:val="none"/>
        </w:rPr>
      </w:pPr>
      <w:r>
        <w:rPr>
          <w:rFonts w:hint="eastAsia" w:ascii="宋体" w:hAnsi="宋体" w:eastAsia="宋体" w:cs="宋体"/>
          <w:color w:val="auto"/>
          <w:sz w:val="21"/>
          <w:highlight w:val="none"/>
        </w:rPr>
        <w:t>以上企业，不属于大企业的分支机构，不存在控股股东为大企业的情形，也不存在与大企业的负责人为同一人的情形。</w:t>
      </w:r>
    </w:p>
    <w:p w14:paraId="5D8913C0">
      <w:pPr>
        <w:pStyle w:val="21"/>
        <w:wordWrap w:val="0"/>
        <w:spacing w:line="400" w:lineRule="exact"/>
        <w:ind w:firstLine="0"/>
        <w:rPr>
          <w:rFonts w:ascii="宋体" w:hAnsi="宋体" w:eastAsia="宋体" w:cs="宋体"/>
          <w:color w:val="auto"/>
          <w:sz w:val="21"/>
          <w:highlight w:val="none"/>
        </w:rPr>
      </w:pPr>
      <w:r>
        <w:rPr>
          <w:rFonts w:hint="eastAsia" w:ascii="宋体" w:hAnsi="宋体" w:eastAsia="宋体" w:cs="宋体"/>
          <w:color w:val="auto"/>
          <w:sz w:val="21"/>
          <w:highlight w:val="none"/>
        </w:rPr>
        <w:t xml:space="preserve">    上述声明内容的真实性负责。如有虚假，将依法承担相应责任。</w:t>
      </w:r>
    </w:p>
    <w:p w14:paraId="10640D88">
      <w:pPr>
        <w:pStyle w:val="21"/>
        <w:wordWrap w:val="0"/>
        <w:spacing w:line="400" w:lineRule="exact"/>
        <w:ind w:firstLine="3780" w:firstLineChars="1800"/>
        <w:rPr>
          <w:rFonts w:ascii="宋体" w:hAnsi="宋体" w:eastAsia="宋体" w:cs="宋体"/>
          <w:color w:val="auto"/>
          <w:sz w:val="21"/>
          <w:highlight w:val="none"/>
        </w:rPr>
      </w:pPr>
    </w:p>
    <w:p w14:paraId="6FB5545D">
      <w:pPr>
        <w:pStyle w:val="21"/>
        <w:wordWrap w:val="0"/>
        <w:spacing w:line="400" w:lineRule="exact"/>
        <w:ind w:firstLine="3780" w:firstLineChars="1800"/>
        <w:rPr>
          <w:rFonts w:ascii="宋体" w:hAnsi="宋体" w:eastAsia="宋体" w:cs="宋体"/>
          <w:color w:val="auto"/>
          <w:sz w:val="21"/>
          <w:highlight w:val="none"/>
        </w:rPr>
      </w:pPr>
      <w:r>
        <w:rPr>
          <w:rFonts w:hint="eastAsia" w:ascii="宋体" w:hAnsi="宋体" w:eastAsia="宋体" w:cs="宋体"/>
          <w:color w:val="auto"/>
          <w:sz w:val="21"/>
          <w:highlight w:val="none"/>
        </w:rPr>
        <w:t>企业名称（盖章）：</w:t>
      </w:r>
    </w:p>
    <w:p w14:paraId="3AB94554">
      <w:pPr>
        <w:pStyle w:val="21"/>
        <w:wordWrap w:val="0"/>
        <w:spacing w:line="400" w:lineRule="exact"/>
        <w:ind w:firstLine="3780" w:firstLineChars="1800"/>
        <w:rPr>
          <w:rFonts w:ascii="宋体" w:hAnsi="宋体" w:eastAsia="宋体" w:cs="宋体"/>
          <w:color w:val="auto"/>
          <w:sz w:val="21"/>
          <w:highlight w:val="none"/>
        </w:rPr>
      </w:pPr>
      <w:r>
        <w:rPr>
          <w:rFonts w:hint="eastAsia" w:ascii="宋体" w:hAnsi="宋体" w:eastAsia="宋体" w:cs="宋体"/>
          <w:color w:val="auto"/>
          <w:sz w:val="21"/>
          <w:highlight w:val="none"/>
        </w:rPr>
        <w:t>日 期：</w:t>
      </w:r>
    </w:p>
    <w:p w14:paraId="62BF3C42">
      <w:pPr>
        <w:pStyle w:val="21"/>
        <w:wordWrap w:val="0"/>
        <w:spacing w:line="400" w:lineRule="exact"/>
        <w:ind w:firstLine="3780" w:firstLineChars="1800"/>
        <w:rPr>
          <w:rFonts w:ascii="宋体" w:hAnsi="宋体" w:eastAsia="宋体" w:cs="宋体"/>
          <w:color w:val="auto"/>
          <w:sz w:val="21"/>
          <w:highlight w:val="none"/>
        </w:rPr>
      </w:pPr>
    </w:p>
    <w:p w14:paraId="16981F58">
      <w:pPr>
        <w:pStyle w:val="21"/>
        <w:wordWrap w:val="0"/>
        <w:spacing w:line="400" w:lineRule="exact"/>
        <w:ind w:firstLine="3780" w:firstLineChars="1800"/>
        <w:rPr>
          <w:rFonts w:ascii="宋体" w:hAnsi="宋体" w:eastAsia="宋体" w:cs="宋体"/>
          <w:color w:val="auto"/>
          <w:sz w:val="21"/>
          <w:highlight w:val="none"/>
        </w:rPr>
      </w:pPr>
    </w:p>
    <w:p w14:paraId="331B86AF">
      <w:pPr>
        <w:pStyle w:val="21"/>
        <w:wordWrap w:val="0"/>
        <w:spacing w:line="400" w:lineRule="exact"/>
        <w:ind w:firstLine="0"/>
        <w:rPr>
          <w:rFonts w:ascii="宋体" w:hAnsi="宋体" w:eastAsia="宋体" w:cs="宋体"/>
          <w:color w:val="auto"/>
          <w:szCs w:val="21"/>
          <w:highlight w:val="none"/>
        </w:rPr>
      </w:pPr>
      <w:r>
        <w:rPr>
          <w:rFonts w:hint="eastAsia" w:ascii="宋体" w:hAnsi="宋体" w:eastAsia="宋体" w:cs="宋体"/>
          <w:color w:val="auto"/>
          <w:sz w:val="21"/>
          <w:highlight w:val="none"/>
        </w:rPr>
        <w:t>注：1.从业人员、营业收入、资产总额填报上一年度数据，无上一年度数据的新成立企业可不填报。</w:t>
      </w:r>
      <w:r>
        <w:rPr>
          <w:rFonts w:hint="eastAsia" w:ascii="宋体" w:hAnsi="宋体" w:eastAsia="宋体" w:cs="宋体"/>
          <w:color w:val="auto"/>
          <w:szCs w:val="21"/>
          <w:highlight w:val="none"/>
        </w:rPr>
        <w:t xml:space="preserve">   </w:t>
      </w:r>
    </w:p>
    <w:p w14:paraId="4C809FDF">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B96EF66">
      <w:pPr>
        <w:pStyle w:val="21"/>
        <w:wordWrap w:val="0"/>
        <w:spacing w:line="400" w:lineRule="exact"/>
        <w:ind w:firstLine="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708500E">
      <w:pPr>
        <w:wordWrap w:val="0"/>
        <w:spacing w:line="400" w:lineRule="exact"/>
        <w:jc w:val="center"/>
        <w:rPr>
          <w:rFonts w:ascii="宋体" w:hAnsi="宋体" w:cs="宋体"/>
          <w:b/>
          <w:color w:val="auto"/>
          <w:szCs w:val="21"/>
          <w:highlight w:val="none"/>
        </w:rPr>
      </w:pPr>
    </w:p>
    <w:p w14:paraId="2C5EEE71">
      <w:pPr>
        <w:wordWrap w:val="0"/>
        <w:spacing w:line="400" w:lineRule="exact"/>
        <w:jc w:val="center"/>
        <w:rPr>
          <w:rFonts w:ascii="宋体" w:hAnsi="宋体" w:cs="宋体"/>
          <w:b/>
          <w:color w:val="auto"/>
          <w:szCs w:val="21"/>
          <w:highlight w:val="none"/>
        </w:rPr>
      </w:pPr>
    </w:p>
    <w:p w14:paraId="4894C87C">
      <w:pPr>
        <w:wordWrap w:val="0"/>
        <w:spacing w:line="400" w:lineRule="exact"/>
        <w:jc w:val="center"/>
        <w:rPr>
          <w:rFonts w:ascii="宋体" w:hAnsi="宋体" w:cs="宋体"/>
          <w:b/>
          <w:color w:val="auto"/>
          <w:szCs w:val="21"/>
          <w:highlight w:val="none"/>
        </w:rPr>
      </w:pPr>
    </w:p>
    <w:p w14:paraId="7CE25952">
      <w:pPr>
        <w:wordWrap w:val="0"/>
        <w:spacing w:line="400" w:lineRule="exact"/>
        <w:jc w:val="center"/>
        <w:rPr>
          <w:rFonts w:ascii="宋体" w:hAnsi="宋体" w:cs="宋体"/>
          <w:b/>
          <w:color w:val="auto"/>
          <w:szCs w:val="21"/>
          <w:highlight w:val="none"/>
        </w:rPr>
      </w:pPr>
    </w:p>
    <w:p w14:paraId="63007273">
      <w:pPr>
        <w:wordWrap w:val="0"/>
        <w:spacing w:line="400" w:lineRule="exact"/>
        <w:rPr>
          <w:rFonts w:ascii="宋体" w:hAnsi="宋体" w:cs="宋体"/>
          <w:bCs/>
          <w:color w:val="auto"/>
          <w:szCs w:val="21"/>
          <w:highlight w:val="none"/>
        </w:rPr>
      </w:pPr>
      <w:r>
        <w:rPr>
          <w:rFonts w:hint="eastAsia" w:ascii="宋体" w:hAnsi="宋体" w:cs="宋体"/>
          <w:color w:val="auto"/>
          <w:szCs w:val="21"/>
          <w:highlight w:val="none"/>
        </w:rPr>
        <w:br w:type="page"/>
      </w:r>
      <w:bookmarkStart w:id="153" w:name="OLE_LINK14"/>
      <w:bookmarkStart w:id="154" w:name="OLE_LINK13"/>
      <w:r>
        <w:rPr>
          <w:rFonts w:hint="eastAsia" w:ascii="宋体" w:hAnsi="宋体" w:cs="宋体"/>
          <w:bCs/>
          <w:color w:val="auto"/>
          <w:szCs w:val="21"/>
          <w:highlight w:val="none"/>
        </w:rPr>
        <w:t>附件11</w:t>
      </w:r>
    </w:p>
    <w:p w14:paraId="068573F5">
      <w:pPr>
        <w:snapToGrid w:val="0"/>
        <w:spacing w:before="142" w:beforeLines="50" w:after="50"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残疾人福利性单位声明函</w:t>
      </w:r>
    </w:p>
    <w:p w14:paraId="552A52EE">
      <w:pPr>
        <w:snapToGrid w:val="0"/>
        <w:spacing w:before="142" w:beforeLines="50" w:after="50" w:line="360" w:lineRule="auto"/>
        <w:jc w:val="center"/>
        <w:rPr>
          <w:rFonts w:hint="eastAsia" w:ascii="宋体" w:hAnsi="宋体" w:eastAsia="宋体" w:cs="宋体"/>
          <w:b/>
          <w:color w:val="auto"/>
          <w:kern w:val="2"/>
          <w:sz w:val="32"/>
          <w:szCs w:val="32"/>
          <w:highlight w:val="none"/>
          <w:lang w:val="en-US" w:eastAsia="zh-CN" w:bidi="ar-SA"/>
        </w:rPr>
      </w:pPr>
      <w:r>
        <w:rPr>
          <w:rFonts w:ascii="宋体" w:hAnsi="宋体" w:cs="Arial"/>
          <w:b/>
          <w:color w:val="auto"/>
          <w:szCs w:val="21"/>
          <w:highlight w:val="none"/>
        </w:rPr>
        <w:t>【非残疾人福利性单位不用提供】</w:t>
      </w:r>
    </w:p>
    <w:bookmarkEnd w:id="153"/>
    <w:bookmarkEnd w:id="154"/>
    <w:p w14:paraId="090CD05E">
      <w:pPr>
        <w:wordWrap w:val="0"/>
        <w:spacing w:line="588" w:lineRule="exact"/>
        <w:rPr>
          <w:rFonts w:ascii="宋体" w:hAnsi="宋体" w:cs="宋体"/>
          <w:b/>
          <w:color w:val="auto"/>
          <w:spacing w:val="6"/>
          <w:sz w:val="30"/>
          <w:szCs w:val="30"/>
          <w:highlight w:val="none"/>
        </w:rPr>
      </w:pPr>
    </w:p>
    <w:p w14:paraId="1672390A">
      <w:pPr>
        <w:wordWrap w:val="0"/>
        <w:spacing w:line="588"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BEE10F6">
      <w:pPr>
        <w:wordWrap w:val="0"/>
        <w:spacing w:line="588"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14:paraId="5963C475">
      <w:pPr>
        <w:wordWrap w:val="0"/>
        <w:spacing w:line="588" w:lineRule="exact"/>
        <w:ind w:firstLine="444" w:firstLineChars="200"/>
        <w:rPr>
          <w:rFonts w:ascii="宋体" w:hAnsi="宋体" w:cs="宋体"/>
          <w:color w:val="auto"/>
          <w:spacing w:val="6"/>
          <w:szCs w:val="21"/>
          <w:highlight w:val="none"/>
        </w:rPr>
      </w:pPr>
    </w:p>
    <w:p w14:paraId="321CF2F0">
      <w:pPr>
        <w:wordWrap w:val="0"/>
        <w:spacing w:line="588" w:lineRule="exact"/>
        <w:ind w:firstLine="444" w:firstLineChars="200"/>
        <w:rPr>
          <w:rFonts w:ascii="宋体" w:hAnsi="宋体" w:cs="宋体"/>
          <w:color w:val="auto"/>
          <w:spacing w:val="6"/>
          <w:szCs w:val="21"/>
          <w:highlight w:val="none"/>
        </w:rPr>
      </w:pPr>
    </w:p>
    <w:p w14:paraId="7AEF1CDA">
      <w:pPr>
        <w:tabs>
          <w:tab w:val="left" w:pos="4860"/>
        </w:tabs>
        <w:wordWrap w:val="0"/>
        <w:spacing w:line="588" w:lineRule="exact"/>
        <w:ind w:right="1560" w:firstLine="444" w:firstLineChars="200"/>
        <w:jc w:val="center"/>
        <w:rPr>
          <w:rFonts w:ascii="宋体" w:hAnsi="宋体" w:cs="宋体"/>
          <w:color w:val="auto"/>
          <w:spacing w:val="6"/>
          <w:szCs w:val="21"/>
          <w:highlight w:val="none"/>
        </w:rPr>
      </w:pPr>
      <w:r>
        <w:rPr>
          <w:rFonts w:hint="eastAsia" w:ascii="宋体" w:hAnsi="宋体" w:cs="宋体"/>
          <w:color w:val="auto"/>
          <w:spacing w:val="6"/>
          <w:szCs w:val="21"/>
          <w:highlight w:val="none"/>
        </w:rPr>
        <w:t xml:space="preserve">               单位名称（盖章）：</w:t>
      </w:r>
    </w:p>
    <w:p w14:paraId="6A21883C">
      <w:pPr>
        <w:tabs>
          <w:tab w:val="left" w:pos="4860"/>
        </w:tabs>
        <w:wordWrap w:val="0"/>
        <w:spacing w:line="588" w:lineRule="exact"/>
        <w:ind w:right="1560" w:firstLine="444" w:firstLineChars="200"/>
        <w:jc w:val="center"/>
        <w:rPr>
          <w:rFonts w:ascii="宋体" w:hAnsi="宋体" w:cs="宋体"/>
          <w:color w:val="auto"/>
          <w:spacing w:val="6"/>
          <w:sz w:val="30"/>
          <w:szCs w:val="30"/>
          <w:highlight w:val="none"/>
        </w:rPr>
      </w:pPr>
      <w:r>
        <w:rPr>
          <w:rFonts w:hint="eastAsia" w:ascii="宋体" w:hAnsi="宋体" w:cs="宋体"/>
          <w:color w:val="auto"/>
          <w:spacing w:val="6"/>
          <w:szCs w:val="21"/>
          <w:highlight w:val="none"/>
        </w:rPr>
        <w:t xml:space="preserve">       日  期：</w:t>
      </w:r>
    </w:p>
    <w:p w14:paraId="216AB059">
      <w:pPr>
        <w:wordWrap w:val="0"/>
        <w:spacing w:line="400" w:lineRule="exact"/>
        <w:rPr>
          <w:rFonts w:ascii="宋体" w:hAnsi="宋体"/>
          <w:color w:val="auto"/>
          <w:szCs w:val="21"/>
          <w:highlight w:val="none"/>
        </w:rPr>
      </w:pPr>
    </w:p>
    <w:p w14:paraId="2092702F">
      <w:pPr>
        <w:pStyle w:val="50"/>
        <w:rPr>
          <w:rFonts w:ascii="宋体" w:hAnsi="宋体"/>
          <w:color w:val="auto"/>
          <w:szCs w:val="21"/>
          <w:highlight w:val="none"/>
        </w:rPr>
      </w:pPr>
    </w:p>
    <w:p w14:paraId="71E1DC8E">
      <w:pPr>
        <w:spacing w:line="400" w:lineRule="exact"/>
        <w:rPr>
          <w:rFonts w:ascii="宋体" w:hAnsi="宋体"/>
          <w:b/>
          <w:color w:val="auto"/>
          <w:highlight w:val="none"/>
        </w:rPr>
      </w:pPr>
    </w:p>
    <w:p w14:paraId="24322071">
      <w:pPr>
        <w:rPr>
          <w:color w:val="auto"/>
          <w:highlight w:val="none"/>
        </w:rPr>
      </w:pPr>
    </w:p>
    <w:p w14:paraId="492360A6">
      <w:pPr>
        <w:adjustRightInd w:val="0"/>
        <w:snapToGrid w:val="0"/>
        <w:spacing w:line="360" w:lineRule="auto"/>
        <w:jc w:val="both"/>
        <w:rPr>
          <w:rFonts w:hint="eastAsia" w:ascii="宋体" w:hAnsi="宋体" w:cs="宋体"/>
          <w:bCs/>
          <w:color w:val="auto"/>
          <w:szCs w:val="21"/>
          <w:highlight w:val="none"/>
          <w:lang w:val="en-US" w:eastAsia="zh-CN"/>
        </w:rPr>
      </w:pPr>
      <w:r>
        <w:rPr>
          <w:rFonts w:ascii="宋体" w:hAnsi="宋体"/>
          <w:color w:val="auto"/>
          <w:szCs w:val="21"/>
          <w:highlight w:val="none"/>
        </w:rPr>
        <w:br w:type="page"/>
      </w:r>
      <w:bookmarkEnd w:id="149"/>
      <w:bookmarkEnd w:id="150"/>
      <w:bookmarkEnd w:id="151"/>
      <w:bookmarkEnd w:id="152"/>
      <w:r>
        <w:rPr>
          <w:rFonts w:hint="eastAsia" w:ascii="宋体" w:hAnsi="宋体" w:cs="宋体"/>
          <w:bCs/>
          <w:color w:val="auto"/>
          <w:szCs w:val="21"/>
          <w:highlight w:val="none"/>
        </w:rPr>
        <w:t>附件1</w:t>
      </w:r>
      <w:r>
        <w:rPr>
          <w:rFonts w:hint="eastAsia" w:ascii="宋体" w:hAnsi="宋体" w:cs="宋体"/>
          <w:bCs/>
          <w:color w:val="auto"/>
          <w:szCs w:val="21"/>
          <w:highlight w:val="none"/>
          <w:lang w:val="en-US" w:eastAsia="zh-CN"/>
        </w:rPr>
        <w:t>2</w:t>
      </w:r>
    </w:p>
    <w:p w14:paraId="73315D18">
      <w:pPr>
        <w:snapToGrid w:val="0"/>
        <w:spacing w:before="142" w:beforeLines="50" w:after="50"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监狱企业声明函</w:t>
      </w:r>
    </w:p>
    <w:p w14:paraId="7A05053A">
      <w:pPr>
        <w:adjustRightInd w:val="0"/>
        <w:snapToGrid w:val="0"/>
        <w:spacing w:line="360" w:lineRule="auto"/>
        <w:jc w:val="center"/>
        <w:rPr>
          <w:rFonts w:ascii="宋体" w:hAnsi="宋体" w:cs="Arial"/>
          <w:b/>
          <w:color w:val="auto"/>
          <w:szCs w:val="21"/>
          <w:highlight w:val="none"/>
        </w:rPr>
      </w:pPr>
      <w:r>
        <w:rPr>
          <w:rFonts w:ascii="宋体" w:hAnsi="宋体" w:cs="Arial"/>
          <w:b/>
          <w:color w:val="auto"/>
          <w:szCs w:val="21"/>
          <w:highlight w:val="none"/>
        </w:rPr>
        <w:t>【非监狱企业不用提供】</w:t>
      </w:r>
    </w:p>
    <w:p w14:paraId="0D70271A">
      <w:pPr>
        <w:widowControl/>
        <w:adjustRightInd w:val="0"/>
        <w:snapToGrid w:val="0"/>
        <w:spacing w:line="360" w:lineRule="auto"/>
        <w:ind w:firstLine="420" w:firstLineChars="200"/>
        <w:rPr>
          <w:rFonts w:ascii="宋体" w:hAnsi="宋体" w:cs="Arial"/>
          <w:color w:val="auto"/>
          <w:szCs w:val="21"/>
          <w:highlight w:val="none"/>
        </w:rPr>
      </w:pPr>
    </w:p>
    <w:p w14:paraId="2E92825F">
      <w:pPr>
        <w:widowControl/>
        <w:adjustRightInd w:val="0"/>
        <w:snapToGrid w:val="0"/>
        <w:spacing w:line="360" w:lineRule="auto"/>
        <w:ind w:firstLine="420" w:firstLineChars="200"/>
        <w:jc w:val="left"/>
        <w:rPr>
          <w:rFonts w:ascii="宋体" w:hAnsi="宋体" w:cs="Arial"/>
          <w:color w:val="auto"/>
          <w:szCs w:val="21"/>
          <w:highlight w:val="none"/>
        </w:rPr>
      </w:pPr>
      <w:r>
        <w:rPr>
          <w:rFonts w:ascii="宋体" w:hAnsi="宋体" w:cs="Arial"/>
          <w:color w:val="auto"/>
          <w:szCs w:val="21"/>
          <w:highlight w:val="none"/>
        </w:rPr>
        <w:t>本企业郑重声明，根据《关于政府采购支持监狱企业发展有关问题的通知》（财库[2014]68号）的规定，本企业为</w:t>
      </w:r>
      <w:r>
        <w:rPr>
          <w:rFonts w:ascii="宋体" w:hAnsi="宋体" w:cs="Arial"/>
          <w:color w:val="auto"/>
          <w:szCs w:val="21"/>
          <w:highlight w:val="none"/>
          <w:u w:val="single"/>
        </w:rPr>
        <w:t>监狱企业</w:t>
      </w:r>
      <w:r>
        <w:rPr>
          <w:rFonts w:ascii="宋体" w:hAnsi="宋体" w:cs="Arial"/>
          <w:color w:val="auto"/>
          <w:szCs w:val="21"/>
          <w:highlight w:val="none"/>
        </w:rPr>
        <w:t>。</w:t>
      </w:r>
    </w:p>
    <w:p w14:paraId="37483967">
      <w:pPr>
        <w:widowControl/>
        <w:adjustRightInd w:val="0"/>
        <w:snapToGrid w:val="0"/>
        <w:spacing w:line="360" w:lineRule="auto"/>
        <w:ind w:firstLine="420" w:firstLineChars="200"/>
        <w:jc w:val="left"/>
        <w:rPr>
          <w:rFonts w:ascii="宋体" w:hAnsi="宋体" w:cs="Arial"/>
          <w:color w:val="auto"/>
          <w:szCs w:val="21"/>
          <w:highlight w:val="none"/>
        </w:rPr>
      </w:pPr>
      <w:r>
        <w:rPr>
          <w:rFonts w:ascii="宋体" w:hAnsi="宋体" w:cs="Arial"/>
          <w:color w:val="auto"/>
          <w:szCs w:val="21"/>
          <w:highlight w:val="none"/>
        </w:rPr>
        <w:t>根据上述标准，我企业属于</w:t>
      </w:r>
      <w:r>
        <w:rPr>
          <w:rFonts w:ascii="宋体" w:hAnsi="宋体" w:cs="Arial"/>
          <w:color w:val="auto"/>
          <w:szCs w:val="21"/>
          <w:highlight w:val="none"/>
          <w:u w:val="single"/>
        </w:rPr>
        <w:t>监狱企业</w:t>
      </w:r>
      <w:r>
        <w:rPr>
          <w:rFonts w:ascii="宋体" w:hAnsi="宋体" w:cs="Arial"/>
          <w:color w:val="auto"/>
          <w:szCs w:val="21"/>
          <w:highlight w:val="none"/>
        </w:rPr>
        <w:t>的理由为：。</w:t>
      </w:r>
    </w:p>
    <w:p w14:paraId="20340853">
      <w:pPr>
        <w:widowControl/>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本企业为参加（项目名称：</w:t>
      </w:r>
      <w:r>
        <w:rPr>
          <w:rFonts w:ascii="宋体" w:hAnsi="宋体" w:cs="Arial"/>
          <w:color w:val="auto"/>
          <w:szCs w:val="21"/>
          <w:highlight w:val="none"/>
          <w:u w:val="single"/>
        </w:rPr>
        <w:t xml:space="preserve">     </w:t>
      </w:r>
      <w:r>
        <w:rPr>
          <w:rFonts w:ascii="宋体" w:hAnsi="宋体" w:cs="Arial"/>
          <w:color w:val="auto"/>
          <w:szCs w:val="21"/>
          <w:highlight w:val="none"/>
        </w:rPr>
        <w:t>）（项目编号：</w:t>
      </w:r>
      <w:r>
        <w:rPr>
          <w:rFonts w:ascii="宋体" w:hAnsi="宋体" w:cs="Arial"/>
          <w:color w:val="auto"/>
          <w:szCs w:val="21"/>
          <w:highlight w:val="none"/>
          <w:u w:val="single"/>
        </w:rPr>
        <w:t xml:space="preserve">     </w:t>
      </w:r>
      <w:r>
        <w:rPr>
          <w:rFonts w:ascii="宋体" w:hAnsi="宋体" w:cs="Arial"/>
          <w:color w:val="auto"/>
          <w:szCs w:val="21"/>
          <w:highlight w:val="none"/>
        </w:rPr>
        <w:t>）采购活动提供本企业的产品。</w:t>
      </w:r>
    </w:p>
    <w:p w14:paraId="2F9120EA">
      <w:pPr>
        <w:widowControl/>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本企业对上述声明的真实性负责。如有虚假，将依法承担相应责任。</w:t>
      </w:r>
    </w:p>
    <w:p w14:paraId="2DF6AAAD">
      <w:pPr>
        <w:adjustRightInd w:val="0"/>
        <w:snapToGrid w:val="0"/>
        <w:spacing w:line="360" w:lineRule="auto"/>
        <w:ind w:firstLine="420" w:firstLineChars="200"/>
        <w:jc w:val="center"/>
        <w:rPr>
          <w:rFonts w:ascii="宋体" w:hAnsi="宋体" w:cs="Arial"/>
          <w:color w:val="auto"/>
          <w:szCs w:val="21"/>
          <w:highlight w:val="none"/>
        </w:rPr>
      </w:pPr>
    </w:p>
    <w:p w14:paraId="58EB0C6A">
      <w:pPr>
        <w:adjustRightInd w:val="0"/>
        <w:snapToGrid w:val="0"/>
        <w:spacing w:line="360" w:lineRule="auto"/>
        <w:ind w:firstLine="420" w:firstLineChars="200"/>
        <w:rPr>
          <w:rFonts w:ascii="宋体" w:hAnsi="宋体" w:cs="Arial"/>
          <w:color w:val="auto"/>
          <w:szCs w:val="21"/>
          <w:highlight w:val="none"/>
          <w:u w:val="single"/>
        </w:rPr>
      </w:pPr>
      <w:r>
        <w:rPr>
          <w:rFonts w:ascii="宋体" w:hAnsi="宋体" w:cs="Arial"/>
          <w:color w:val="auto"/>
          <w:szCs w:val="21"/>
          <w:highlight w:val="none"/>
        </w:rPr>
        <w:t>供应商名称（</w:t>
      </w:r>
      <w:r>
        <w:rPr>
          <w:rFonts w:hint="eastAsia" w:ascii="宋体" w:hAnsi="宋体" w:cs="Arial"/>
          <w:color w:val="auto"/>
          <w:szCs w:val="21"/>
          <w:highlight w:val="none"/>
        </w:rPr>
        <w:t>盖单位公章或CA章</w:t>
      </w:r>
      <w:r>
        <w:rPr>
          <w:rFonts w:ascii="宋体" w:hAnsi="宋体" w:cs="Arial"/>
          <w:color w:val="auto"/>
          <w:szCs w:val="21"/>
          <w:highlight w:val="none"/>
        </w:rPr>
        <w:t>）：</w:t>
      </w:r>
      <w:r>
        <w:rPr>
          <w:rFonts w:ascii="宋体" w:hAnsi="宋体" w:cs="Arial"/>
          <w:color w:val="auto"/>
          <w:szCs w:val="21"/>
          <w:highlight w:val="none"/>
          <w:u w:val="single"/>
        </w:rPr>
        <w:t xml:space="preserve">                    </w:t>
      </w:r>
    </w:p>
    <w:p w14:paraId="2E13F37E">
      <w:pPr>
        <w:adjustRightInd w:val="0"/>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日期：    年   月  日</w:t>
      </w:r>
    </w:p>
    <w:p w14:paraId="3A20380F">
      <w:pPr>
        <w:pStyle w:val="27"/>
        <w:adjustRightInd w:val="0"/>
        <w:snapToGrid w:val="0"/>
        <w:spacing w:line="360" w:lineRule="auto"/>
        <w:ind w:firstLine="420" w:firstLineChars="200"/>
        <w:rPr>
          <w:rFonts w:hAnsi="宋体" w:cs="Arial"/>
          <w:color w:val="auto"/>
          <w:sz w:val="21"/>
          <w:szCs w:val="24"/>
          <w:highlight w:val="none"/>
        </w:rPr>
      </w:pPr>
      <w:r>
        <w:rPr>
          <w:rFonts w:hAnsi="宋体" w:cs="Arial"/>
          <w:color w:val="auto"/>
          <w:sz w:val="21"/>
          <w:szCs w:val="24"/>
          <w:highlight w:val="none"/>
        </w:rPr>
        <w:t>监狱企业参加政府采购活动时，应当提供由省级以上监狱管理局、戒毒管理局（含新疆生产建设兵团）出具的属于监狱企业的证明文件。</w:t>
      </w:r>
    </w:p>
    <w:p w14:paraId="350300EC">
      <w:pPr>
        <w:pStyle w:val="27"/>
        <w:adjustRightInd w:val="0"/>
        <w:snapToGrid w:val="0"/>
        <w:spacing w:line="360" w:lineRule="auto"/>
        <w:ind w:firstLine="420" w:firstLineChars="200"/>
        <w:rPr>
          <w:rFonts w:hAnsi="宋体" w:cs="Arial"/>
          <w:color w:val="auto"/>
          <w:sz w:val="21"/>
          <w:szCs w:val="22"/>
          <w:highlight w:val="none"/>
        </w:rPr>
      </w:pPr>
      <w:r>
        <w:rPr>
          <w:rFonts w:hAnsi="宋体" w:cs="Arial"/>
          <w:color w:val="auto"/>
          <w:sz w:val="21"/>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73C0141">
      <w:pPr>
        <w:rPr>
          <w:rFonts w:hint="eastAsia" w:ascii="宋体" w:hAnsi="宋体"/>
          <w:color w:val="auto"/>
          <w:szCs w:val="21"/>
          <w:highlight w:val="none"/>
        </w:rPr>
      </w:pPr>
      <w:r>
        <w:rPr>
          <w:rFonts w:hint="eastAsia" w:ascii="宋体" w:hAnsi="宋体"/>
          <w:color w:val="auto"/>
          <w:szCs w:val="21"/>
          <w:highlight w:val="none"/>
        </w:rPr>
        <w:br w:type="page"/>
      </w:r>
    </w:p>
    <w:p w14:paraId="43897CA7">
      <w:pPr>
        <w:widowControl/>
        <w:wordWrap w:val="0"/>
        <w:jc w:val="left"/>
        <w:rPr>
          <w:rFonts w:ascii="宋体" w:hAnsi="宋体"/>
          <w:color w:val="auto"/>
          <w:szCs w:val="21"/>
          <w:highlight w:val="none"/>
        </w:rPr>
      </w:pPr>
      <w:r>
        <w:rPr>
          <w:rFonts w:hint="eastAsia" w:ascii="宋体" w:hAnsi="宋体"/>
          <w:color w:val="auto"/>
          <w:szCs w:val="21"/>
          <w:highlight w:val="none"/>
        </w:rPr>
        <w:t>附件12</w:t>
      </w:r>
      <w:r>
        <w:rPr>
          <w:rFonts w:hint="eastAsia"/>
          <w:color w:val="auto"/>
          <w:highlight w:val="none"/>
        </w:rPr>
        <w:t xml:space="preserve"> </w:t>
      </w:r>
      <w:r>
        <w:rPr>
          <w:rFonts w:hint="eastAsia" w:ascii="宋体" w:hAnsi="宋体"/>
          <w:color w:val="auto"/>
          <w:szCs w:val="21"/>
          <w:highlight w:val="none"/>
        </w:rPr>
        <w:t>供应商基本情况表</w:t>
      </w:r>
    </w:p>
    <w:p w14:paraId="45427152">
      <w:pPr>
        <w:snapToGrid w:val="0"/>
        <w:spacing w:before="142" w:beforeLines="50" w:after="50" w:line="360" w:lineRule="auto"/>
        <w:jc w:val="center"/>
        <w:rPr>
          <w:rFonts w:hint="eastAsia" w:ascii="宋体" w:hAnsi="宋体" w:cs="宋体"/>
          <w:b/>
          <w:color w:val="auto"/>
          <w:sz w:val="28"/>
          <w:szCs w:val="28"/>
          <w:highlight w:val="none"/>
        </w:rPr>
      </w:pPr>
      <w:r>
        <w:rPr>
          <w:rFonts w:hint="eastAsia" w:ascii="宋体" w:hAnsi="宋体" w:eastAsia="宋体" w:cs="宋体"/>
          <w:b/>
          <w:color w:val="auto"/>
          <w:kern w:val="2"/>
          <w:sz w:val="32"/>
          <w:szCs w:val="32"/>
          <w:highlight w:val="none"/>
          <w:lang w:val="en-US" w:eastAsia="zh-CN" w:bidi="ar-SA"/>
        </w:rPr>
        <w:t>供应商基本情况表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1"/>
        <w:gridCol w:w="981"/>
        <w:gridCol w:w="1145"/>
        <w:gridCol w:w="654"/>
        <w:gridCol w:w="492"/>
        <w:gridCol w:w="1145"/>
        <w:gridCol w:w="164"/>
        <w:gridCol w:w="654"/>
        <w:gridCol w:w="1473"/>
      </w:tblGrid>
      <w:tr w14:paraId="7868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jc w:val="center"/>
        </w:trPr>
        <w:tc>
          <w:tcPr>
            <w:tcW w:w="1661" w:type="dxa"/>
            <w:noWrap w:val="0"/>
            <w:vAlign w:val="center"/>
          </w:tcPr>
          <w:p w14:paraId="1FAE3A67">
            <w:pPr>
              <w:spacing w:line="360" w:lineRule="auto"/>
              <w:jc w:val="center"/>
              <w:rPr>
                <w:rFonts w:hint="eastAsia" w:ascii="宋体" w:hAnsi="宋体" w:cs="宋体"/>
                <w:color w:val="auto"/>
                <w:highlight w:val="none"/>
              </w:rPr>
            </w:pPr>
            <w:r>
              <w:rPr>
                <w:rFonts w:hint="eastAsia" w:ascii="宋体" w:hAnsi="宋体" w:cs="宋体"/>
                <w:color w:val="auto"/>
                <w:highlight w:val="none"/>
              </w:rPr>
              <w:t>供应商名称</w:t>
            </w:r>
          </w:p>
        </w:tc>
        <w:tc>
          <w:tcPr>
            <w:tcW w:w="6708" w:type="dxa"/>
            <w:gridSpan w:val="8"/>
            <w:noWrap w:val="0"/>
            <w:vAlign w:val="center"/>
          </w:tcPr>
          <w:p w14:paraId="5C4D42D6">
            <w:pPr>
              <w:spacing w:line="360" w:lineRule="auto"/>
              <w:jc w:val="center"/>
              <w:rPr>
                <w:rFonts w:hint="eastAsia" w:ascii="宋体" w:hAnsi="宋体" w:cs="宋体"/>
                <w:color w:val="auto"/>
                <w:highlight w:val="none"/>
              </w:rPr>
            </w:pPr>
          </w:p>
        </w:tc>
      </w:tr>
      <w:tr w14:paraId="5416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jc w:val="center"/>
        </w:trPr>
        <w:tc>
          <w:tcPr>
            <w:tcW w:w="1661" w:type="dxa"/>
            <w:noWrap w:val="0"/>
            <w:vAlign w:val="center"/>
          </w:tcPr>
          <w:p w14:paraId="26FE8C40">
            <w:pPr>
              <w:spacing w:line="360" w:lineRule="auto"/>
              <w:jc w:val="center"/>
              <w:rPr>
                <w:rFonts w:hint="eastAsia" w:ascii="宋体" w:hAnsi="宋体" w:cs="宋体"/>
                <w:color w:val="auto"/>
                <w:highlight w:val="none"/>
              </w:rPr>
            </w:pPr>
            <w:r>
              <w:rPr>
                <w:rFonts w:hint="eastAsia" w:ascii="宋体" w:hAnsi="宋体" w:cs="宋体"/>
                <w:color w:val="auto"/>
                <w:highlight w:val="none"/>
              </w:rPr>
              <w:t>注册地址</w:t>
            </w:r>
          </w:p>
        </w:tc>
        <w:tc>
          <w:tcPr>
            <w:tcW w:w="3272" w:type="dxa"/>
            <w:gridSpan w:val="4"/>
            <w:noWrap w:val="0"/>
            <w:vAlign w:val="center"/>
          </w:tcPr>
          <w:p w14:paraId="2C98B952">
            <w:pPr>
              <w:spacing w:line="360" w:lineRule="auto"/>
              <w:jc w:val="center"/>
              <w:rPr>
                <w:rFonts w:hint="eastAsia" w:ascii="宋体" w:hAnsi="宋体" w:cs="宋体"/>
                <w:color w:val="auto"/>
                <w:highlight w:val="none"/>
              </w:rPr>
            </w:pPr>
          </w:p>
        </w:tc>
        <w:tc>
          <w:tcPr>
            <w:tcW w:w="1145" w:type="dxa"/>
            <w:noWrap w:val="0"/>
            <w:vAlign w:val="center"/>
          </w:tcPr>
          <w:p w14:paraId="5EF8D2DA">
            <w:pPr>
              <w:spacing w:line="360" w:lineRule="auto"/>
              <w:jc w:val="center"/>
              <w:rPr>
                <w:rFonts w:hint="eastAsia" w:ascii="宋体" w:hAnsi="宋体" w:cs="宋体"/>
                <w:color w:val="auto"/>
                <w:highlight w:val="none"/>
              </w:rPr>
            </w:pPr>
            <w:r>
              <w:rPr>
                <w:rFonts w:hint="eastAsia" w:ascii="宋体" w:hAnsi="宋体" w:cs="宋体"/>
                <w:color w:val="auto"/>
                <w:highlight w:val="none"/>
              </w:rPr>
              <w:t>邮政编码</w:t>
            </w:r>
          </w:p>
        </w:tc>
        <w:tc>
          <w:tcPr>
            <w:tcW w:w="2291" w:type="dxa"/>
            <w:gridSpan w:val="3"/>
            <w:noWrap w:val="0"/>
            <w:vAlign w:val="center"/>
          </w:tcPr>
          <w:p w14:paraId="7198764B">
            <w:pPr>
              <w:spacing w:line="360" w:lineRule="auto"/>
              <w:jc w:val="center"/>
              <w:rPr>
                <w:rFonts w:hint="eastAsia" w:ascii="宋体" w:hAnsi="宋体" w:cs="宋体"/>
                <w:color w:val="auto"/>
                <w:highlight w:val="none"/>
              </w:rPr>
            </w:pPr>
          </w:p>
        </w:tc>
      </w:tr>
      <w:tr w14:paraId="4243D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jc w:val="center"/>
        </w:trPr>
        <w:tc>
          <w:tcPr>
            <w:tcW w:w="1661" w:type="dxa"/>
            <w:vMerge w:val="restart"/>
            <w:noWrap w:val="0"/>
            <w:vAlign w:val="center"/>
          </w:tcPr>
          <w:p w14:paraId="1A30862F">
            <w:pPr>
              <w:spacing w:line="360" w:lineRule="auto"/>
              <w:jc w:val="center"/>
              <w:rPr>
                <w:rFonts w:hint="eastAsia" w:ascii="宋体" w:hAnsi="宋体" w:cs="宋体"/>
                <w:color w:val="auto"/>
                <w:highlight w:val="none"/>
              </w:rPr>
            </w:pPr>
            <w:r>
              <w:rPr>
                <w:rFonts w:hint="eastAsia" w:ascii="宋体" w:hAnsi="宋体" w:cs="宋体"/>
                <w:color w:val="auto"/>
                <w:highlight w:val="none"/>
              </w:rPr>
              <w:t>联系方式</w:t>
            </w:r>
          </w:p>
        </w:tc>
        <w:tc>
          <w:tcPr>
            <w:tcW w:w="981" w:type="dxa"/>
            <w:noWrap w:val="0"/>
            <w:vAlign w:val="center"/>
          </w:tcPr>
          <w:p w14:paraId="6DB4C105">
            <w:pPr>
              <w:spacing w:line="360" w:lineRule="auto"/>
              <w:jc w:val="center"/>
              <w:rPr>
                <w:rFonts w:hint="eastAsia" w:ascii="宋体" w:hAnsi="宋体" w:cs="宋体"/>
                <w:color w:val="auto"/>
                <w:highlight w:val="none"/>
              </w:rPr>
            </w:pPr>
            <w:r>
              <w:rPr>
                <w:rFonts w:hint="eastAsia" w:ascii="宋体" w:hAnsi="宋体" w:cs="宋体"/>
                <w:color w:val="auto"/>
                <w:highlight w:val="none"/>
              </w:rPr>
              <w:t>联系人</w:t>
            </w:r>
          </w:p>
        </w:tc>
        <w:tc>
          <w:tcPr>
            <w:tcW w:w="2291" w:type="dxa"/>
            <w:gridSpan w:val="3"/>
            <w:noWrap w:val="0"/>
            <w:vAlign w:val="center"/>
          </w:tcPr>
          <w:p w14:paraId="7F7F1C80">
            <w:pPr>
              <w:spacing w:line="360" w:lineRule="auto"/>
              <w:jc w:val="center"/>
              <w:rPr>
                <w:rFonts w:hint="eastAsia" w:ascii="宋体" w:hAnsi="宋体" w:cs="宋体"/>
                <w:color w:val="auto"/>
                <w:highlight w:val="none"/>
              </w:rPr>
            </w:pPr>
          </w:p>
        </w:tc>
        <w:tc>
          <w:tcPr>
            <w:tcW w:w="1145" w:type="dxa"/>
            <w:noWrap w:val="0"/>
            <w:vAlign w:val="center"/>
          </w:tcPr>
          <w:p w14:paraId="5FA001C6">
            <w:pPr>
              <w:spacing w:line="360" w:lineRule="auto"/>
              <w:jc w:val="center"/>
              <w:rPr>
                <w:rFonts w:hint="eastAsia" w:ascii="宋体" w:hAnsi="宋体" w:cs="宋体"/>
                <w:color w:val="auto"/>
                <w:highlight w:val="none"/>
              </w:rPr>
            </w:pPr>
            <w:r>
              <w:rPr>
                <w:rFonts w:hint="eastAsia" w:ascii="宋体" w:hAnsi="宋体" w:cs="宋体"/>
                <w:color w:val="auto"/>
                <w:highlight w:val="none"/>
              </w:rPr>
              <w:t>电话</w:t>
            </w:r>
          </w:p>
        </w:tc>
        <w:tc>
          <w:tcPr>
            <w:tcW w:w="2291" w:type="dxa"/>
            <w:gridSpan w:val="3"/>
            <w:noWrap w:val="0"/>
            <w:vAlign w:val="center"/>
          </w:tcPr>
          <w:p w14:paraId="12A30166">
            <w:pPr>
              <w:spacing w:line="360" w:lineRule="auto"/>
              <w:jc w:val="center"/>
              <w:rPr>
                <w:rFonts w:hint="eastAsia" w:ascii="宋体" w:hAnsi="宋体" w:cs="宋体"/>
                <w:color w:val="auto"/>
                <w:highlight w:val="none"/>
              </w:rPr>
            </w:pPr>
          </w:p>
        </w:tc>
      </w:tr>
      <w:tr w14:paraId="4CAB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jc w:val="center"/>
        </w:trPr>
        <w:tc>
          <w:tcPr>
            <w:tcW w:w="1661" w:type="dxa"/>
            <w:vMerge w:val="continue"/>
            <w:noWrap w:val="0"/>
            <w:vAlign w:val="center"/>
          </w:tcPr>
          <w:p w14:paraId="7A8E6F03">
            <w:pPr>
              <w:spacing w:line="360" w:lineRule="auto"/>
              <w:jc w:val="center"/>
              <w:rPr>
                <w:rFonts w:hint="eastAsia" w:ascii="宋体" w:hAnsi="宋体" w:cs="宋体"/>
                <w:color w:val="auto"/>
                <w:highlight w:val="none"/>
              </w:rPr>
            </w:pPr>
          </w:p>
        </w:tc>
        <w:tc>
          <w:tcPr>
            <w:tcW w:w="981" w:type="dxa"/>
            <w:noWrap w:val="0"/>
            <w:vAlign w:val="center"/>
          </w:tcPr>
          <w:p w14:paraId="001AF896">
            <w:pPr>
              <w:spacing w:line="360" w:lineRule="auto"/>
              <w:jc w:val="center"/>
              <w:rPr>
                <w:rFonts w:hint="eastAsia" w:ascii="宋体" w:hAnsi="宋体" w:cs="宋体"/>
                <w:color w:val="auto"/>
                <w:highlight w:val="none"/>
              </w:rPr>
            </w:pPr>
            <w:r>
              <w:rPr>
                <w:rFonts w:hint="eastAsia" w:ascii="宋体" w:hAnsi="宋体" w:cs="宋体"/>
                <w:color w:val="auto"/>
                <w:highlight w:val="none"/>
              </w:rPr>
              <w:t>传真</w:t>
            </w:r>
          </w:p>
        </w:tc>
        <w:tc>
          <w:tcPr>
            <w:tcW w:w="2291" w:type="dxa"/>
            <w:gridSpan w:val="3"/>
            <w:noWrap w:val="0"/>
            <w:vAlign w:val="center"/>
          </w:tcPr>
          <w:p w14:paraId="23ADC83C">
            <w:pPr>
              <w:spacing w:line="360" w:lineRule="auto"/>
              <w:jc w:val="center"/>
              <w:rPr>
                <w:rFonts w:hint="eastAsia" w:ascii="宋体" w:hAnsi="宋体" w:cs="宋体"/>
                <w:color w:val="auto"/>
                <w:highlight w:val="none"/>
              </w:rPr>
            </w:pPr>
          </w:p>
        </w:tc>
        <w:tc>
          <w:tcPr>
            <w:tcW w:w="1145" w:type="dxa"/>
            <w:noWrap w:val="0"/>
            <w:vAlign w:val="center"/>
          </w:tcPr>
          <w:p w14:paraId="48E2C041">
            <w:pPr>
              <w:spacing w:line="360" w:lineRule="auto"/>
              <w:jc w:val="center"/>
              <w:rPr>
                <w:rFonts w:hint="eastAsia" w:ascii="宋体" w:hAnsi="宋体" w:cs="宋体"/>
                <w:color w:val="auto"/>
                <w:highlight w:val="none"/>
              </w:rPr>
            </w:pPr>
            <w:r>
              <w:rPr>
                <w:rFonts w:hint="eastAsia" w:ascii="宋体" w:hAnsi="宋体" w:cs="宋体"/>
                <w:color w:val="auto"/>
                <w:highlight w:val="none"/>
              </w:rPr>
              <w:t>电子邮件</w:t>
            </w:r>
          </w:p>
        </w:tc>
        <w:tc>
          <w:tcPr>
            <w:tcW w:w="2291" w:type="dxa"/>
            <w:gridSpan w:val="3"/>
            <w:noWrap w:val="0"/>
            <w:vAlign w:val="center"/>
          </w:tcPr>
          <w:p w14:paraId="2ADA34F7">
            <w:pPr>
              <w:spacing w:line="360" w:lineRule="auto"/>
              <w:jc w:val="center"/>
              <w:rPr>
                <w:rFonts w:hint="eastAsia" w:ascii="宋体" w:hAnsi="宋体" w:cs="宋体"/>
                <w:color w:val="auto"/>
                <w:highlight w:val="none"/>
              </w:rPr>
            </w:pPr>
          </w:p>
        </w:tc>
      </w:tr>
      <w:tr w14:paraId="2EA8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jc w:val="center"/>
        </w:trPr>
        <w:tc>
          <w:tcPr>
            <w:tcW w:w="1661" w:type="dxa"/>
            <w:noWrap w:val="0"/>
            <w:vAlign w:val="center"/>
          </w:tcPr>
          <w:p w14:paraId="79FDF259">
            <w:pPr>
              <w:spacing w:line="360" w:lineRule="auto"/>
              <w:jc w:val="center"/>
              <w:rPr>
                <w:rFonts w:hint="eastAsia"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color w:val="auto"/>
                <w:szCs w:val="21"/>
                <w:highlight w:val="none"/>
              </w:rPr>
              <w:t>（负责人）</w:t>
            </w:r>
          </w:p>
        </w:tc>
        <w:tc>
          <w:tcPr>
            <w:tcW w:w="981" w:type="dxa"/>
            <w:noWrap w:val="0"/>
            <w:vAlign w:val="center"/>
          </w:tcPr>
          <w:p w14:paraId="7EFC0502">
            <w:pPr>
              <w:spacing w:line="360" w:lineRule="auto"/>
              <w:jc w:val="center"/>
              <w:rPr>
                <w:rFonts w:hint="eastAsia" w:ascii="宋体" w:hAnsi="宋体" w:cs="宋体"/>
                <w:color w:val="auto"/>
                <w:highlight w:val="none"/>
              </w:rPr>
            </w:pPr>
            <w:r>
              <w:rPr>
                <w:rFonts w:hint="eastAsia" w:ascii="宋体" w:hAnsi="宋体" w:cs="宋体"/>
                <w:color w:val="auto"/>
                <w:highlight w:val="none"/>
              </w:rPr>
              <w:t>姓名</w:t>
            </w:r>
          </w:p>
        </w:tc>
        <w:tc>
          <w:tcPr>
            <w:tcW w:w="1145" w:type="dxa"/>
            <w:noWrap w:val="0"/>
            <w:vAlign w:val="center"/>
          </w:tcPr>
          <w:p w14:paraId="6373FFE8">
            <w:pPr>
              <w:spacing w:line="360" w:lineRule="auto"/>
              <w:jc w:val="center"/>
              <w:rPr>
                <w:rFonts w:hint="eastAsia" w:ascii="宋体" w:hAnsi="宋体" w:cs="宋体"/>
                <w:color w:val="auto"/>
                <w:highlight w:val="none"/>
              </w:rPr>
            </w:pPr>
          </w:p>
        </w:tc>
        <w:tc>
          <w:tcPr>
            <w:tcW w:w="1146" w:type="dxa"/>
            <w:gridSpan w:val="2"/>
            <w:noWrap w:val="0"/>
            <w:vAlign w:val="center"/>
          </w:tcPr>
          <w:p w14:paraId="217B33E1">
            <w:pPr>
              <w:spacing w:line="360" w:lineRule="auto"/>
              <w:jc w:val="center"/>
              <w:rPr>
                <w:rFonts w:hint="eastAsia" w:ascii="宋体" w:hAnsi="宋体" w:cs="宋体"/>
                <w:color w:val="auto"/>
                <w:highlight w:val="none"/>
              </w:rPr>
            </w:pPr>
            <w:r>
              <w:rPr>
                <w:rFonts w:hint="eastAsia" w:ascii="宋体" w:hAnsi="宋体" w:cs="宋体"/>
                <w:color w:val="auto"/>
                <w:highlight w:val="none"/>
              </w:rPr>
              <w:t>技术职称</w:t>
            </w:r>
          </w:p>
        </w:tc>
        <w:tc>
          <w:tcPr>
            <w:tcW w:w="1309" w:type="dxa"/>
            <w:gridSpan w:val="2"/>
            <w:noWrap w:val="0"/>
            <w:vAlign w:val="center"/>
          </w:tcPr>
          <w:p w14:paraId="07056142">
            <w:pPr>
              <w:spacing w:line="360" w:lineRule="auto"/>
              <w:jc w:val="center"/>
              <w:rPr>
                <w:rFonts w:hint="eastAsia" w:ascii="宋体" w:hAnsi="宋体" w:cs="宋体"/>
                <w:color w:val="auto"/>
                <w:highlight w:val="none"/>
              </w:rPr>
            </w:pPr>
          </w:p>
        </w:tc>
        <w:tc>
          <w:tcPr>
            <w:tcW w:w="654" w:type="dxa"/>
            <w:noWrap w:val="0"/>
            <w:vAlign w:val="center"/>
          </w:tcPr>
          <w:p w14:paraId="4F3EF393">
            <w:pPr>
              <w:spacing w:line="360" w:lineRule="auto"/>
              <w:jc w:val="center"/>
              <w:rPr>
                <w:rFonts w:hint="eastAsia" w:ascii="宋体" w:hAnsi="宋体" w:cs="宋体"/>
                <w:color w:val="auto"/>
                <w:highlight w:val="none"/>
              </w:rPr>
            </w:pPr>
            <w:r>
              <w:rPr>
                <w:rFonts w:hint="eastAsia" w:ascii="宋体" w:hAnsi="宋体" w:cs="宋体"/>
                <w:color w:val="auto"/>
                <w:highlight w:val="none"/>
              </w:rPr>
              <w:t>电话</w:t>
            </w:r>
          </w:p>
        </w:tc>
        <w:tc>
          <w:tcPr>
            <w:tcW w:w="1473" w:type="dxa"/>
            <w:noWrap w:val="0"/>
            <w:vAlign w:val="center"/>
          </w:tcPr>
          <w:p w14:paraId="5204DD22">
            <w:pPr>
              <w:spacing w:line="360" w:lineRule="auto"/>
              <w:jc w:val="center"/>
              <w:rPr>
                <w:rFonts w:hint="eastAsia" w:ascii="宋体" w:hAnsi="宋体" w:cs="宋体"/>
                <w:color w:val="auto"/>
                <w:highlight w:val="none"/>
              </w:rPr>
            </w:pPr>
          </w:p>
        </w:tc>
      </w:tr>
      <w:tr w14:paraId="66DB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jc w:val="center"/>
        </w:trPr>
        <w:tc>
          <w:tcPr>
            <w:tcW w:w="1661" w:type="dxa"/>
            <w:noWrap w:val="0"/>
            <w:vAlign w:val="center"/>
          </w:tcPr>
          <w:p w14:paraId="1C14F85C">
            <w:pPr>
              <w:spacing w:line="360" w:lineRule="auto"/>
              <w:jc w:val="center"/>
              <w:rPr>
                <w:rFonts w:hint="eastAsia" w:ascii="宋体" w:hAnsi="宋体" w:cs="宋体"/>
                <w:color w:val="auto"/>
                <w:highlight w:val="none"/>
              </w:rPr>
            </w:pPr>
            <w:r>
              <w:rPr>
                <w:rFonts w:hint="eastAsia" w:ascii="宋体" w:hAnsi="宋体" w:cs="宋体"/>
                <w:color w:val="auto"/>
                <w:highlight w:val="none"/>
              </w:rPr>
              <w:t>技术负责人</w:t>
            </w:r>
          </w:p>
        </w:tc>
        <w:tc>
          <w:tcPr>
            <w:tcW w:w="981" w:type="dxa"/>
            <w:noWrap w:val="0"/>
            <w:vAlign w:val="center"/>
          </w:tcPr>
          <w:p w14:paraId="6CF2FD26">
            <w:pPr>
              <w:spacing w:line="360" w:lineRule="auto"/>
              <w:jc w:val="center"/>
              <w:rPr>
                <w:rFonts w:hint="eastAsia" w:ascii="宋体" w:hAnsi="宋体" w:cs="宋体"/>
                <w:color w:val="auto"/>
                <w:highlight w:val="none"/>
              </w:rPr>
            </w:pPr>
            <w:r>
              <w:rPr>
                <w:rFonts w:hint="eastAsia" w:ascii="宋体" w:hAnsi="宋体" w:cs="宋体"/>
                <w:color w:val="auto"/>
                <w:highlight w:val="none"/>
              </w:rPr>
              <w:t>姓名</w:t>
            </w:r>
          </w:p>
        </w:tc>
        <w:tc>
          <w:tcPr>
            <w:tcW w:w="1145" w:type="dxa"/>
            <w:noWrap w:val="0"/>
            <w:vAlign w:val="center"/>
          </w:tcPr>
          <w:p w14:paraId="167D622D">
            <w:pPr>
              <w:spacing w:line="360" w:lineRule="auto"/>
              <w:jc w:val="center"/>
              <w:rPr>
                <w:rFonts w:hint="eastAsia" w:ascii="宋体" w:hAnsi="宋体" w:cs="宋体"/>
                <w:color w:val="auto"/>
                <w:highlight w:val="none"/>
              </w:rPr>
            </w:pPr>
          </w:p>
        </w:tc>
        <w:tc>
          <w:tcPr>
            <w:tcW w:w="1146" w:type="dxa"/>
            <w:gridSpan w:val="2"/>
            <w:noWrap w:val="0"/>
            <w:vAlign w:val="center"/>
          </w:tcPr>
          <w:p w14:paraId="2A2AE8C4">
            <w:pPr>
              <w:spacing w:line="360" w:lineRule="auto"/>
              <w:jc w:val="center"/>
              <w:rPr>
                <w:rFonts w:hint="eastAsia" w:ascii="宋体" w:hAnsi="宋体" w:cs="宋体"/>
                <w:color w:val="auto"/>
                <w:highlight w:val="none"/>
              </w:rPr>
            </w:pPr>
            <w:r>
              <w:rPr>
                <w:rFonts w:hint="eastAsia" w:ascii="宋体" w:hAnsi="宋体" w:cs="宋体"/>
                <w:color w:val="auto"/>
                <w:highlight w:val="none"/>
              </w:rPr>
              <w:t>技术职称</w:t>
            </w:r>
          </w:p>
        </w:tc>
        <w:tc>
          <w:tcPr>
            <w:tcW w:w="1309" w:type="dxa"/>
            <w:gridSpan w:val="2"/>
            <w:noWrap w:val="0"/>
            <w:vAlign w:val="center"/>
          </w:tcPr>
          <w:p w14:paraId="297D32B0">
            <w:pPr>
              <w:spacing w:line="360" w:lineRule="auto"/>
              <w:jc w:val="center"/>
              <w:rPr>
                <w:rFonts w:hint="eastAsia" w:ascii="宋体" w:hAnsi="宋体" w:cs="宋体"/>
                <w:color w:val="auto"/>
                <w:highlight w:val="none"/>
              </w:rPr>
            </w:pPr>
          </w:p>
        </w:tc>
        <w:tc>
          <w:tcPr>
            <w:tcW w:w="654" w:type="dxa"/>
            <w:noWrap w:val="0"/>
            <w:vAlign w:val="center"/>
          </w:tcPr>
          <w:p w14:paraId="79BDABB3">
            <w:pPr>
              <w:spacing w:line="360" w:lineRule="auto"/>
              <w:jc w:val="center"/>
              <w:rPr>
                <w:rFonts w:hint="eastAsia" w:ascii="宋体" w:hAnsi="宋体" w:cs="宋体"/>
                <w:color w:val="auto"/>
                <w:highlight w:val="none"/>
              </w:rPr>
            </w:pPr>
            <w:r>
              <w:rPr>
                <w:rFonts w:hint="eastAsia" w:ascii="宋体" w:hAnsi="宋体" w:cs="宋体"/>
                <w:color w:val="auto"/>
                <w:highlight w:val="none"/>
              </w:rPr>
              <w:t>电话</w:t>
            </w:r>
          </w:p>
        </w:tc>
        <w:tc>
          <w:tcPr>
            <w:tcW w:w="1473" w:type="dxa"/>
            <w:noWrap w:val="0"/>
            <w:vAlign w:val="center"/>
          </w:tcPr>
          <w:p w14:paraId="54CBFA81">
            <w:pPr>
              <w:spacing w:line="360" w:lineRule="auto"/>
              <w:jc w:val="center"/>
              <w:rPr>
                <w:rFonts w:hint="eastAsia" w:ascii="宋体" w:hAnsi="宋体" w:cs="宋体"/>
                <w:color w:val="auto"/>
                <w:highlight w:val="none"/>
              </w:rPr>
            </w:pPr>
          </w:p>
        </w:tc>
      </w:tr>
      <w:tr w14:paraId="010F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jc w:val="center"/>
        </w:trPr>
        <w:tc>
          <w:tcPr>
            <w:tcW w:w="1661" w:type="dxa"/>
            <w:noWrap w:val="0"/>
            <w:vAlign w:val="center"/>
          </w:tcPr>
          <w:p w14:paraId="6EDAF610">
            <w:pPr>
              <w:spacing w:line="360" w:lineRule="auto"/>
              <w:jc w:val="center"/>
              <w:rPr>
                <w:rFonts w:hint="eastAsia" w:ascii="宋体" w:hAnsi="宋体" w:cs="宋体"/>
                <w:color w:val="auto"/>
                <w:highlight w:val="none"/>
              </w:rPr>
            </w:pPr>
            <w:r>
              <w:rPr>
                <w:rFonts w:hint="eastAsia" w:ascii="宋体" w:hAnsi="宋体" w:cs="宋体"/>
                <w:color w:val="auto"/>
                <w:highlight w:val="none"/>
              </w:rPr>
              <w:t>成立时间</w:t>
            </w:r>
          </w:p>
        </w:tc>
        <w:tc>
          <w:tcPr>
            <w:tcW w:w="2126" w:type="dxa"/>
            <w:gridSpan w:val="2"/>
            <w:noWrap w:val="0"/>
            <w:vAlign w:val="center"/>
          </w:tcPr>
          <w:p w14:paraId="6A7D4557">
            <w:pPr>
              <w:spacing w:line="360" w:lineRule="auto"/>
              <w:jc w:val="center"/>
              <w:rPr>
                <w:rFonts w:hint="eastAsia" w:ascii="宋体" w:hAnsi="宋体" w:cs="宋体"/>
                <w:color w:val="auto"/>
                <w:highlight w:val="none"/>
              </w:rPr>
            </w:pPr>
          </w:p>
        </w:tc>
        <w:tc>
          <w:tcPr>
            <w:tcW w:w="4582" w:type="dxa"/>
            <w:gridSpan w:val="6"/>
            <w:noWrap w:val="0"/>
            <w:vAlign w:val="center"/>
          </w:tcPr>
          <w:p w14:paraId="6B97607F">
            <w:pPr>
              <w:spacing w:line="360" w:lineRule="auto"/>
              <w:jc w:val="center"/>
              <w:rPr>
                <w:rFonts w:hint="eastAsia" w:ascii="宋体" w:hAnsi="宋体" w:cs="宋体"/>
                <w:color w:val="auto"/>
                <w:highlight w:val="none"/>
              </w:rPr>
            </w:pPr>
            <w:r>
              <w:rPr>
                <w:rFonts w:hint="eastAsia" w:ascii="宋体" w:hAnsi="宋体" w:cs="宋体"/>
                <w:color w:val="auto"/>
                <w:highlight w:val="none"/>
              </w:rPr>
              <w:t>员工总人数：</w:t>
            </w:r>
          </w:p>
        </w:tc>
      </w:tr>
      <w:tr w14:paraId="02B2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jc w:val="center"/>
        </w:trPr>
        <w:tc>
          <w:tcPr>
            <w:tcW w:w="1661" w:type="dxa"/>
            <w:noWrap w:val="0"/>
            <w:vAlign w:val="center"/>
          </w:tcPr>
          <w:p w14:paraId="560E325D">
            <w:pPr>
              <w:spacing w:line="360" w:lineRule="auto"/>
              <w:jc w:val="center"/>
              <w:rPr>
                <w:rFonts w:hint="eastAsia" w:ascii="宋体" w:hAnsi="宋体" w:cs="宋体"/>
                <w:color w:val="auto"/>
                <w:highlight w:val="none"/>
              </w:rPr>
            </w:pPr>
            <w:r>
              <w:rPr>
                <w:rFonts w:hint="eastAsia" w:ascii="宋体" w:hAnsi="宋体" w:cs="宋体"/>
                <w:color w:val="auto"/>
                <w:szCs w:val="21"/>
                <w:highlight w:val="none"/>
              </w:rPr>
              <w:t>企业资质等级</w:t>
            </w:r>
          </w:p>
        </w:tc>
        <w:tc>
          <w:tcPr>
            <w:tcW w:w="2126" w:type="dxa"/>
            <w:gridSpan w:val="2"/>
            <w:noWrap w:val="0"/>
            <w:vAlign w:val="center"/>
          </w:tcPr>
          <w:p w14:paraId="40EE766C">
            <w:pPr>
              <w:spacing w:line="360" w:lineRule="auto"/>
              <w:jc w:val="center"/>
              <w:rPr>
                <w:rFonts w:hint="eastAsia" w:ascii="宋体" w:hAnsi="宋体" w:cs="宋体"/>
                <w:color w:val="auto"/>
                <w:highlight w:val="none"/>
              </w:rPr>
            </w:pPr>
          </w:p>
        </w:tc>
        <w:tc>
          <w:tcPr>
            <w:tcW w:w="654" w:type="dxa"/>
            <w:vMerge w:val="restart"/>
            <w:noWrap w:val="0"/>
            <w:vAlign w:val="center"/>
          </w:tcPr>
          <w:p w14:paraId="38B0BD9B">
            <w:pPr>
              <w:spacing w:line="360" w:lineRule="auto"/>
              <w:jc w:val="center"/>
              <w:rPr>
                <w:rFonts w:hint="eastAsia" w:ascii="宋体" w:hAnsi="宋体" w:cs="宋体"/>
                <w:color w:val="auto"/>
                <w:highlight w:val="none"/>
              </w:rPr>
            </w:pPr>
            <w:r>
              <w:rPr>
                <w:rFonts w:hint="eastAsia" w:ascii="宋体" w:hAnsi="宋体" w:cs="宋体"/>
                <w:color w:val="auto"/>
                <w:highlight w:val="none"/>
              </w:rPr>
              <w:t>其中</w:t>
            </w:r>
          </w:p>
        </w:tc>
        <w:tc>
          <w:tcPr>
            <w:tcW w:w="1801" w:type="dxa"/>
            <w:gridSpan w:val="3"/>
            <w:noWrap w:val="0"/>
            <w:vAlign w:val="center"/>
          </w:tcPr>
          <w:p w14:paraId="4F91F12E">
            <w:pPr>
              <w:spacing w:line="360" w:lineRule="auto"/>
              <w:jc w:val="center"/>
              <w:rPr>
                <w:rFonts w:hint="eastAsia" w:ascii="宋体" w:hAnsi="宋体" w:cs="宋体"/>
                <w:color w:val="auto"/>
                <w:highlight w:val="none"/>
              </w:rPr>
            </w:pPr>
            <w:r>
              <w:rPr>
                <w:rFonts w:hint="eastAsia" w:ascii="宋体" w:hAnsi="宋体" w:cs="宋体"/>
                <w:color w:val="auto"/>
                <w:highlight w:val="none"/>
              </w:rPr>
              <w:t>高级职称</w:t>
            </w:r>
          </w:p>
        </w:tc>
        <w:tc>
          <w:tcPr>
            <w:tcW w:w="2127" w:type="dxa"/>
            <w:gridSpan w:val="2"/>
            <w:noWrap w:val="0"/>
            <w:vAlign w:val="center"/>
          </w:tcPr>
          <w:p w14:paraId="6D17BDF0">
            <w:pPr>
              <w:spacing w:line="360" w:lineRule="auto"/>
              <w:jc w:val="center"/>
              <w:rPr>
                <w:rFonts w:hint="eastAsia" w:ascii="宋体" w:hAnsi="宋体" w:cs="宋体"/>
                <w:color w:val="auto"/>
                <w:highlight w:val="none"/>
              </w:rPr>
            </w:pPr>
          </w:p>
        </w:tc>
      </w:tr>
      <w:tr w14:paraId="422E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jc w:val="center"/>
        </w:trPr>
        <w:tc>
          <w:tcPr>
            <w:tcW w:w="1661" w:type="dxa"/>
            <w:noWrap w:val="0"/>
            <w:vAlign w:val="center"/>
          </w:tcPr>
          <w:p w14:paraId="73C58DB2">
            <w:pPr>
              <w:spacing w:line="360" w:lineRule="auto"/>
              <w:jc w:val="center"/>
              <w:rPr>
                <w:rFonts w:hint="eastAsia" w:ascii="宋体" w:hAnsi="宋体" w:cs="宋体"/>
                <w:color w:val="auto"/>
                <w:highlight w:val="none"/>
              </w:rPr>
            </w:pPr>
            <w:r>
              <w:rPr>
                <w:rFonts w:hint="eastAsia" w:ascii="宋体" w:hAnsi="宋体" w:cs="宋体"/>
                <w:color w:val="auto"/>
                <w:highlight w:val="none"/>
              </w:rPr>
              <w:t>营业执照（法人证书）号</w:t>
            </w:r>
          </w:p>
        </w:tc>
        <w:tc>
          <w:tcPr>
            <w:tcW w:w="2126" w:type="dxa"/>
            <w:gridSpan w:val="2"/>
            <w:noWrap w:val="0"/>
            <w:vAlign w:val="center"/>
          </w:tcPr>
          <w:p w14:paraId="3745C6B3">
            <w:pPr>
              <w:spacing w:line="360" w:lineRule="auto"/>
              <w:jc w:val="center"/>
              <w:rPr>
                <w:rFonts w:hint="eastAsia" w:ascii="宋体" w:hAnsi="宋体" w:cs="宋体"/>
                <w:color w:val="auto"/>
                <w:highlight w:val="none"/>
              </w:rPr>
            </w:pPr>
          </w:p>
        </w:tc>
        <w:tc>
          <w:tcPr>
            <w:tcW w:w="654" w:type="dxa"/>
            <w:vMerge w:val="continue"/>
            <w:noWrap w:val="0"/>
            <w:vAlign w:val="center"/>
          </w:tcPr>
          <w:p w14:paraId="57782ED6">
            <w:pPr>
              <w:spacing w:line="360" w:lineRule="auto"/>
              <w:jc w:val="center"/>
              <w:rPr>
                <w:rFonts w:hint="eastAsia" w:ascii="宋体" w:hAnsi="宋体" w:cs="宋体"/>
                <w:color w:val="auto"/>
                <w:highlight w:val="none"/>
              </w:rPr>
            </w:pPr>
          </w:p>
        </w:tc>
        <w:tc>
          <w:tcPr>
            <w:tcW w:w="1801" w:type="dxa"/>
            <w:gridSpan w:val="3"/>
            <w:noWrap w:val="0"/>
            <w:vAlign w:val="center"/>
          </w:tcPr>
          <w:p w14:paraId="64464ADC">
            <w:pPr>
              <w:spacing w:line="360" w:lineRule="auto"/>
              <w:jc w:val="center"/>
              <w:rPr>
                <w:rFonts w:hint="eastAsia" w:ascii="宋体" w:hAnsi="宋体" w:cs="宋体"/>
                <w:color w:val="auto"/>
                <w:highlight w:val="none"/>
              </w:rPr>
            </w:pPr>
            <w:r>
              <w:rPr>
                <w:rFonts w:hint="eastAsia" w:ascii="宋体" w:hAnsi="宋体" w:cs="宋体"/>
                <w:color w:val="auto"/>
                <w:highlight w:val="none"/>
              </w:rPr>
              <w:t>中级职称</w:t>
            </w:r>
          </w:p>
        </w:tc>
        <w:tc>
          <w:tcPr>
            <w:tcW w:w="2127" w:type="dxa"/>
            <w:gridSpan w:val="2"/>
            <w:noWrap w:val="0"/>
            <w:vAlign w:val="center"/>
          </w:tcPr>
          <w:p w14:paraId="422A4C30">
            <w:pPr>
              <w:spacing w:line="360" w:lineRule="auto"/>
              <w:jc w:val="center"/>
              <w:rPr>
                <w:rFonts w:hint="eastAsia" w:ascii="宋体" w:hAnsi="宋体" w:cs="宋体"/>
                <w:color w:val="auto"/>
                <w:highlight w:val="none"/>
              </w:rPr>
            </w:pPr>
          </w:p>
        </w:tc>
      </w:tr>
      <w:tr w14:paraId="6A39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jc w:val="center"/>
        </w:trPr>
        <w:tc>
          <w:tcPr>
            <w:tcW w:w="1661" w:type="dxa"/>
            <w:noWrap w:val="0"/>
            <w:vAlign w:val="center"/>
          </w:tcPr>
          <w:p w14:paraId="7820C8AC">
            <w:pPr>
              <w:spacing w:line="360" w:lineRule="auto"/>
              <w:jc w:val="center"/>
              <w:rPr>
                <w:rFonts w:hint="eastAsia" w:ascii="宋体" w:hAnsi="宋体" w:cs="宋体"/>
                <w:color w:val="auto"/>
                <w:highlight w:val="none"/>
              </w:rPr>
            </w:pPr>
            <w:r>
              <w:rPr>
                <w:rFonts w:hint="eastAsia" w:ascii="宋体" w:hAnsi="宋体" w:cs="宋体"/>
                <w:color w:val="auto"/>
                <w:highlight w:val="none"/>
              </w:rPr>
              <w:t>注册资金</w:t>
            </w:r>
          </w:p>
        </w:tc>
        <w:tc>
          <w:tcPr>
            <w:tcW w:w="2126" w:type="dxa"/>
            <w:gridSpan w:val="2"/>
            <w:noWrap w:val="0"/>
            <w:vAlign w:val="center"/>
          </w:tcPr>
          <w:p w14:paraId="08614FA4">
            <w:pPr>
              <w:spacing w:line="360" w:lineRule="auto"/>
              <w:jc w:val="center"/>
              <w:rPr>
                <w:rFonts w:hint="eastAsia" w:ascii="宋体" w:hAnsi="宋体" w:cs="宋体"/>
                <w:color w:val="auto"/>
                <w:highlight w:val="none"/>
              </w:rPr>
            </w:pPr>
          </w:p>
        </w:tc>
        <w:tc>
          <w:tcPr>
            <w:tcW w:w="654" w:type="dxa"/>
            <w:vMerge w:val="continue"/>
            <w:noWrap w:val="0"/>
            <w:vAlign w:val="center"/>
          </w:tcPr>
          <w:p w14:paraId="7A936A50">
            <w:pPr>
              <w:spacing w:line="360" w:lineRule="auto"/>
              <w:jc w:val="center"/>
              <w:rPr>
                <w:rFonts w:hint="eastAsia" w:ascii="宋体" w:hAnsi="宋体" w:cs="宋体"/>
                <w:color w:val="auto"/>
                <w:highlight w:val="none"/>
              </w:rPr>
            </w:pPr>
          </w:p>
        </w:tc>
        <w:tc>
          <w:tcPr>
            <w:tcW w:w="1801" w:type="dxa"/>
            <w:gridSpan w:val="3"/>
            <w:noWrap w:val="0"/>
            <w:vAlign w:val="center"/>
          </w:tcPr>
          <w:p w14:paraId="7F2D0A0E">
            <w:pPr>
              <w:spacing w:line="360" w:lineRule="auto"/>
              <w:jc w:val="center"/>
              <w:rPr>
                <w:rFonts w:hint="eastAsia" w:ascii="宋体" w:hAnsi="宋体" w:cs="宋体"/>
                <w:color w:val="auto"/>
                <w:highlight w:val="none"/>
              </w:rPr>
            </w:pPr>
            <w:r>
              <w:rPr>
                <w:rFonts w:hint="eastAsia" w:ascii="宋体" w:hAnsi="宋体" w:cs="宋体"/>
                <w:color w:val="auto"/>
                <w:highlight w:val="none"/>
              </w:rPr>
              <w:t>各类注册人员</w:t>
            </w:r>
          </w:p>
        </w:tc>
        <w:tc>
          <w:tcPr>
            <w:tcW w:w="2127" w:type="dxa"/>
            <w:gridSpan w:val="2"/>
            <w:noWrap w:val="0"/>
            <w:vAlign w:val="center"/>
          </w:tcPr>
          <w:p w14:paraId="15E313D6">
            <w:pPr>
              <w:spacing w:line="360" w:lineRule="auto"/>
              <w:jc w:val="center"/>
              <w:rPr>
                <w:rFonts w:hint="eastAsia" w:ascii="宋体" w:hAnsi="宋体" w:cs="宋体"/>
                <w:color w:val="auto"/>
                <w:highlight w:val="none"/>
              </w:rPr>
            </w:pPr>
          </w:p>
        </w:tc>
      </w:tr>
      <w:tr w14:paraId="56F1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jc w:val="center"/>
        </w:trPr>
        <w:tc>
          <w:tcPr>
            <w:tcW w:w="1661" w:type="dxa"/>
            <w:noWrap w:val="0"/>
            <w:vAlign w:val="center"/>
          </w:tcPr>
          <w:p w14:paraId="2C5521C2">
            <w:pPr>
              <w:spacing w:line="360" w:lineRule="auto"/>
              <w:jc w:val="center"/>
              <w:rPr>
                <w:rFonts w:hint="eastAsia" w:ascii="宋体" w:hAnsi="宋体" w:cs="宋体"/>
                <w:color w:val="auto"/>
                <w:highlight w:val="none"/>
              </w:rPr>
            </w:pPr>
            <w:r>
              <w:rPr>
                <w:rFonts w:hint="eastAsia" w:ascii="宋体" w:hAnsi="宋体" w:cs="宋体"/>
                <w:color w:val="auto"/>
                <w:highlight w:val="none"/>
              </w:rPr>
              <w:t>基本帐户开户银行</w:t>
            </w:r>
          </w:p>
        </w:tc>
        <w:tc>
          <w:tcPr>
            <w:tcW w:w="6708" w:type="dxa"/>
            <w:gridSpan w:val="8"/>
            <w:noWrap w:val="0"/>
            <w:vAlign w:val="center"/>
          </w:tcPr>
          <w:p w14:paraId="6996E149">
            <w:pPr>
              <w:spacing w:line="360" w:lineRule="auto"/>
              <w:jc w:val="center"/>
              <w:rPr>
                <w:rFonts w:hint="eastAsia" w:ascii="宋体" w:hAnsi="宋体" w:cs="宋体"/>
                <w:color w:val="auto"/>
                <w:highlight w:val="none"/>
              </w:rPr>
            </w:pPr>
          </w:p>
        </w:tc>
      </w:tr>
      <w:tr w14:paraId="01E9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1" w:hRule="atLeast"/>
          <w:jc w:val="center"/>
        </w:trPr>
        <w:tc>
          <w:tcPr>
            <w:tcW w:w="1661" w:type="dxa"/>
            <w:noWrap w:val="0"/>
            <w:vAlign w:val="center"/>
          </w:tcPr>
          <w:p w14:paraId="444CDC5D">
            <w:pPr>
              <w:spacing w:line="360" w:lineRule="auto"/>
              <w:jc w:val="center"/>
              <w:rPr>
                <w:rFonts w:hint="eastAsia" w:ascii="宋体" w:hAnsi="宋体" w:cs="宋体"/>
                <w:color w:val="auto"/>
                <w:highlight w:val="none"/>
              </w:rPr>
            </w:pPr>
            <w:r>
              <w:rPr>
                <w:rFonts w:hint="eastAsia" w:ascii="宋体" w:hAnsi="宋体" w:cs="宋体"/>
                <w:color w:val="auto"/>
                <w:highlight w:val="none"/>
              </w:rPr>
              <w:t>基本帐户帐号</w:t>
            </w:r>
          </w:p>
        </w:tc>
        <w:tc>
          <w:tcPr>
            <w:tcW w:w="6708" w:type="dxa"/>
            <w:gridSpan w:val="8"/>
            <w:noWrap w:val="0"/>
            <w:vAlign w:val="center"/>
          </w:tcPr>
          <w:p w14:paraId="2005EA97">
            <w:pPr>
              <w:spacing w:line="360" w:lineRule="auto"/>
              <w:jc w:val="center"/>
              <w:rPr>
                <w:rFonts w:hint="eastAsia" w:ascii="宋体" w:hAnsi="宋体" w:cs="宋体"/>
                <w:color w:val="auto"/>
                <w:highlight w:val="none"/>
              </w:rPr>
            </w:pPr>
          </w:p>
        </w:tc>
      </w:tr>
      <w:tr w14:paraId="09E9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78" w:hRule="atLeast"/>
          <w:jc w:val="center"/>
        </w:trPr>
        <w:tc>
          <w:tcPr>
            <w:tcW w:w="1661" w:type="dxa"/>
            <w:noWrap w:val="0"/>
            <w:vAlign w:val="center"/>
          </w:tcPr>
          <w:p w14:paraId="5267C434">
            <w:pPr>
              <w:spacing w:line="360" w:lineRule="auto"/>
              <w:jc w:val="center"/>
              <w:rPr>
                <w:rFonts w:hint="eastAsia" w:ascii="宋体" w:hAnsi="宋体" w:cs="宋体"/>
                <w:color w:val="auto"/>
                <w:highlight w:val="none"/>
              </w:rPr>
            </w:pPr>
            <w:r>
              <w:rPr>
                <w:rFonts w:hint="eastAsia" w:ascii="宋体" w:hAnsi="宋体" w:cs="宋体"/>
                <w:color w:val="auto"/>
                <w:highlight w:val="none"/>
              </w:rPr>
              <w:t>经营范围</w:t>
            </w:r>
          </w:p>
        </w:tc>
        <w:tc>
          <w:tcPr>
            <w:tcW w:w="6708" w:type="dxa"/>
            <w:gridSpan w:val="8"/>
            <w:noWrap w:val="0"/>
            <w:vAlign w:val="center"/>
          </w:tcPr>
          <w:p w14:paraId="0A7A9442">
            <w:pPr>
              <w:spacing w:line="360" w:lineRule="auto"/>
              <w:jc w:val="center"/>
              <w:rPr>
                <w:rFonts w:hint="eastAsia" w:ascii="宋体" w:hAnsi="宋体" w:cs="宋体"/>
                <w:color w:val="auto"/>
                <w:highlight w:val="none"/>
              </w:rPr>
            </w:pPr>
          </w:p>
        </w:tc>
      </w:tr>
      <w:tr w14:paraId="2560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14" w:hRule="atLeast"/>
          <w:jc w:val="center"/>
        </w:trPr>
        <w:tc>
          <w:tcPr>
            <w:tcW w:w="1661" w:type="dxa"/>
            <w:noWrap w:val="0"/>
            <w:vAlign w:val="center"/>
          </w:tcPr>
          <w:p w14:paraId="7A6FB582">
            <w:pPr>
              <w:spacing w:line="360" w:lineRule="auto"/>
              <w:jc w:val="center"/>
              <w:rPr>
                <w:rFonts w:hint="eastAsia" w:ascii="宋体" w:hAnsi="宋体" w:cs="宋体"/>
                <w:color w:val="auto"/>
                <w:highlight w:val="none"/>
              </w:rPr>
            </w:pPr>
            <w:r>
              <w:rPr>
                <w:rFonts w:hint="eastAsia" w:ascii="宋体" w:hAnsi="宋体" w:cs="宋体"/>
                <w:color w:val="auto"/>
                <w:highlight w:val="none"/>
              </w:rPr>
              <w:t>备注</w:t>
            </w:r>
          </w:p>
        </w:tc>
        <w:tc>
          <w:tcPr>
            <w:tcW w:w="6708" w:type="dxa"/>
            <w:gridSpan w:val="8"/>
            <w:noWrap w:val="0"/>
            <w:vAlign w:val="center"/>
          </w:tcPr>
          <w:p w14:paraId="24DB9A5A">
            <w:pPr>
              <w:spacing w:line="360" w:lineRule="auto"/>
              <w:rPr>
                <w:rFonts w:hint="eastAsia" w:ascii="宋体" w:hAnsi="宋体" w:cs="宋体"/>
                <w:color w:val="auto"/>
                <w:highlight w:val="none"/>
              </w:rPr>
            </w:pPr>
          </w:p>
        </w:tc>
      </w:tr>
    </w:tbl>
    <w:p w14:paraId="7D51CE30">
      <w:pPr>
        <w:tabs>
          <w:tab w:val="left" w:pos="420"/>
        </w:tabs>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注：在本表后应附企业法人营业执照或事业单位法人证书副本（全本）的复印件、基本账户开户许可证或基本户开户行出具的基本存款信息的复印件。</w:t>
      </w:r>
    </w:p>
    <w:p w14:paraId="69C3B28F">
      <w:pPr>
        <w:pStyle w:val="50"/>
        <w:rPr>
          <w:color w:val="auto"/>
          <w:highlight w:val="none"/>
        </w:rPr>
      </w:pPr>
    </w:p>
    <w:p w14:paraId="4309F3E0">
      <w:pPr>
        <w:spacing w:line="400" w:lineRule="exact"/>
        <w:rPr>
          <w:rFonts w:ascii="宋体" w:hAnsi="宋体"/>
          <w:b/>
          <w:color w:val="auto"/>
          <w:highlight w:val="none"/>
        </w:rPr>
      </w:pPr>
    </w:p>
    <w:p w14:paraId="0EEBC976">
      <w:pPr>
        <w:pStyle w:val="50"/>
        <w:rPr>
          <w:color w:val="auto"/>
          <w:highlight w:val="none"/>
        </w:rPr>
      </w:pPr>
    </w:p>
    <w:p w14:paraId="47F202AF">
      <w:pPr>
        <w:wordWrap w:val="0"/>
        <w:spacing w:line="400" w:lineRule="exact"/>
        <w:rPr>
          <w:rFonts w:ascii="宋体" w:hAnsi="宋体"/>
          <w:color w:val="auto"/>
          <w:szCs w:val="21"/>
          <w:highlight w:val="none"/>
        </w:rPr>
      </w:pPr>
      <w:r>
        <w:rPr>
          <w:color w:val="auto"/>
          <w:highlight w:val="none"/>
        </w:rPr>
        <w:br w:type="page"/>
      </w:r>
      <w:r>
        <w:rPr>
          <w:rFonts w:hint="eastAsia" w:ascii="宋体" w:hAnsi="宋体"/>
          <w:color w:val="auto"/>
          <w:szCs w:val="21"/>
          <w:highlight w:val="none"/>
        </w:rPr>
        <w:t>附件13</w:t>
      </w:r>
      <w:r>
        <w:rPr>
          <w:rFonts w:hint="eastAsia"/>
          <w:color w:val="auto"/>
          <w:highlight w:val="none"/>
        </w:rPr>
        <w:t xml:space="preserve"> 采购需求响应表</w:t>
      </w:r>
    </w:p>
    <w:p w14:paraId="722721A8">
      <w:pPr>
        <w:snapToGrid w:val="0"/>
        <w:spacing w:before="142" w:beforeLines="50" w:after="50" w:line="360" w:lineRule="auto"/>
        <w:jc w:val="center"/>
        <w:rPr>
          <w:rFonts w:hint="eastAsia" w:ascii="宋体" w:hAnsi="宋体" w:cs="宋体"/>
          <w:b/>
          <w:color w:val="auto"/>
          <w:sz w:val="28"/>
          <w:szCs w:val="28"/>
          <w:highlight w:val="none"/>
        </w:rPr>
      </w:pPr>
      <w:r>
        <w:rPr>
          <w:rFonts w:hint="eastAsia" w:ascii="宋体" w:hAnsi="宋体" w:eastAsia="宋体" w:cs="宋体"/>
          <w:b/>
          <w:color w:val="auto"/>
          <w:kern w:val="2"/>
          <w:sz w:val="32"/>
          <w:szCs w:val="32"/>
          <w:highlight w:val="none"/>
          <w:lang w:val="en-US" w:eastAsia="zh-CN" w:bidi="ar-SA"/>
        </w:rPr>
        <w:t>采购需求响应表</w:t>
      </w:r>
    </w:p>
    <w:p w14:paraId="72464868">
      <w:pPr>
        <w:snapToGrid w:val="0"/>
        <w:spacing w:before="50" w:after="50"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p>
    <w:p w14:paraId="794936D3">
      <w:pPr>
        <w:snapToGrid w:val="0"/>
        <w:spacing w:before="50" w:after="50"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p>
    <w:tbl>
      <w:tblPr>
        <w:tblStyle w:val="5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645"/>
        <w:gridCol w:w="2237"/>
        <w:gridCol w:w="2237"/>
      </w:tblGrid>
      <w:tr w14:paraId="1C93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28" w:type="dxa"/>
            <w:vMerge w:val="restart"/>
            <w:noWrap w:val="0"/>
            <w:vAlign w:val="center"/>
          </w:tcPr>
          <w:p w14:paraId="69AEA537">
            <w:pPr>
              <w:snapToGrid w:val="0"/>
              <w:spacing w:before="142" w:beforeLines="50" w:after="50"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3645" w:type="dxa"/>
            <w:noWrap w:val="0"/>
            <w:vAlign w:val="center"/>
          </w:tcPr>
          <w:p w14:paraId="25095C40">
            <w:pPr>
              <w:snapToGrid w:val="0"/>
              <w:spacing w:before="142" w:beforeLines="50" w:after="50"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采购文件要求</w:t>
            </w:r>
          </w:p>
        </w:tc>
        <w:tc>
          <w:tcPr>
            <w:tcW w:w="2237" w:type="dxa"/>
            <w:noWrap w:val="0"/>
            <w:vAlign w:val="center"/>
          </w:tcPr>
          <w:p w14:paraId="7AF55BAD">
            <w:pPr>
              <w:snapToGrid w:val="0"/>
              <w:spacing w:before="142" w:beforeLines="50" w:after="50"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响应文件内容</w:t>
            </w:r>
          </w:p>
        </w:tc>
        <w:tc>
          <w:tcPr>
            <w:tcW w:w="2237" w:type="dxa"/>
            <w:vMerge w:val="restart"/>
            <w:noWrap w:val="0"/>
            <w:vAlign w:val="center"/>
          </w:tcPr>
          <w:p w14:paraId="0B9D9997">
            <w:pPr>
              <w:snapToGrid w:val="0"/>
              <w:spacing w:before="142" w:beforeLines="50" w:after="50"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偏离情况</w:t>
            </w:r>
          </w:p>
        </w:tc>
      </w:tr>
      <w:tr w14:paraId="5CDA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28" w:type="dxa"/>
            <w:vMerge w:val="continue"/>
            <w:noWrap w:val="0"/>
            <w:vAlign w:val="center"/>
          </w:tcPr>
          <w:p w14:paraId="1C8DB45E">
            <w:pPr>
              <w:snapToGrid w:val="0"/>
              <w:spacing w:before="142" w:beforeLines="50" w:after="50" w:line="360" w:lineRule="auto"/>
              <w:jc w:val="center"/>
              <w:rPr>
                <w:rFonts w:hint="eastAsia" w:ascii="宋体" w:hAnsi="宋体" w:cs="宋体"/>
                <w:b/>
                <w:color w:val="auto"/>
                <w:szCs w:val="21"/>
                <w:highlight w:val="none"/>
              </w:rPr>
            </w:pPr>
          </w:p>
        </w:tc>
        <w:tc>
          <w:tcPr>
            <w:tcW w:w="3645" w:type="dxa"/>
            <w:noWrap w:val="0"/>
            <w:vAlign w:val="center"/>
          </w:tcPr>
          <w:p w14:paraId="4697F5A3">
            <w:pPr>
              <w:autoSpaceDE w:val="0"/>
              <w:autoSpaceDN w:val="0"/>
              <w:adjustRightIn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简要内容</w:t>
            </w:r>
          </w:p>
        </w:tc>
        <w:tc>
          <w:tcPr>
            <w:tcW w:w="2237" w:type="dxa"/>
            <w:noWrap w:val="0"/>
            <w:vAlign w:val="center"/>
          </w:tcPr>
          <w:p w14:paraId="414F0C3C">
            <w:pPr>
              <w:autoSpaceDE w:val="0"/>
              <w:autoSpaceDN w:val="0"/>
              <w:adjustRightIn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实际偏离的具体内容</w:t>
            </w:r>
          </w:p>
        </w:tc>
        <w:tc>
          <w:tcPr>
            <w:tcW w:w="2237" w:type="dxa"/>
            <w:vMerge w:val="continue"/>
            <w:noWrap w:val="0"/>
            <w:vAlign w:val="center"/>
          </w:tcPr>
          <w:p w14:paraId="3455067D">
            <w:pPr>
              <w:snapToGrid w:val="0"/>
              <w:spacing w:before="142" w:beforeLines="50" w:after="50" w:line="360" w:lineRule="auto"/>
              <w:jc w:val="center"/>
              <w:rPr>
                <w:rFonts w:hint="eastAsia" w:ascii="宋体" w:hAnsi="宋体" w:cs="宋体"/>
                <w:b/>
                <w:color w:val="auto"/>
                <w:szCs w:val="21"/>
                <w:highlight w:val="none"/>
              </w:rPr>
            </w:pPr>
          </w:p>
        </w:tc>
      </w:tr>
      <w:tr w14:paraId="3C0B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5BE12892">
            <w:pPr>
              <w:snapToGrid w:val="0"/>
              <w:spacing w:before="142" w:beforeLines="50" w:after="50" w:line="360" w:lineRule="auto"/>
              <w:jc w:val="center"/>
              <w:rPr>
                <w:rFonts w:hint="eastAsia" w:ascii="宋体" w:hAnsi="宋体" w:cs="宋体"/>
                <w:b/>
                <w:color w:val="auto"/>
                <w:szCs w:val="21"/>
                <w:highlight w:val="none"/>
              </w:rPr>
            </w:pPr>
          </w:p>
        </w:tc>
        <w:tc>
          <w:tcPr>
            <w:tcW w:w="3645" w:type="dxa"/>
            <w:noWrap w:val="0"/>
            <w:vAlign w:val="center"/>
          </w:tcPr>
          <w:p w14:paraId="3F2A3222">
            <w:pPr>
              <w:snapToGrid w:val="0"/>
              <w:spacing w:before="142" w:beforeLines="50" w:after="50" w:line="360" w:lineRule="auto"/>
              <w:jc w:val="center"/>
              <w:rPr>
                <w:rFonts w:hint="eastAsia" w:ascii="宋体" w:hAnsi="宋体" w:cs="宋体"/>
                <w:b/>
                <w:color w:val="auto"/>
                <w:szCs w:val="21"/>
                <w:highlight w:val="none"/>
              </w:rPr>
            </w:pPr>
          </w:p>
        </w:tc>
        <w:tc>
          <w:tcPr>
            <w:tcW w:w="2237" w:type="dxa"/>
            <w:noWrap w:val="0"/>
            <w:vAlign w:val="center"/>
          </w:tcPr>
          <w:p w14:paraId="475DB0CF">
            <w:pPr>
              <w:snapToGrid w:val="0"/>
              <w:spacing w:before="142" w:beforeLines="50" w:after="50" w:line="360" w:lineRule="auto"/>
              <w:jc w:val="center"/>
              <w:rPr>
                <w:rFonts w:hint="eastAsia" w:ascii="宋体" w:hAnsi="宋体" w:cs="宋体"/>
                <w:b/>
                <w:color w:val="auto"/>
                <w:szCs w:val="21"/>
                <w:highlight w:val="none"/>
              </w:rPr>
            </w:pPr>
          </w:p>
        </w:tc>
        <w:tc>
          <w:tcPr>
            <w:tcW w:w="2237" w:type="dxa"/>
            <w:noWrap w:val="0"/>
            <w:vAlign w:val="center"/>
          </w:tcPr>
          <w:p w14:paraId="7A1C1F65">
            <w:pPr>
              <w:snapToGrid w:val="0"/>
              <w:spacing w:before="142" w:beforeLines="50" w:after="50" w:line="360" w:lineRule="auto"/>
              <w:jc w:val="center"/>
              <w:rPr>
                <w:rFonts w:hint="eastAsia" w:ascii="宋体" w:hAnsi="宋体" w:cs="宋体"/>
                <w:b/>
                <w:color w:val="auto"/>
                <w:szCs w:val="21"/>
                <w:highlight w:val="none"/>
              </w:rPr>
            </w:pPr>
          </w:p>
        </w:tc>
      </w:tr>
      <w:tr w14:paraId="012CB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3FEA56A">
            <w:pPr>
              <w:snapToGrid w:val="0"/>
              <w:spacing w:before="142" w:beforeLines="50" w:after="50" w:line="360" w:lineRule="auto"/>
              <w:jc w:val="center"/>
              <w:rPr>
                <w:rFonts w:hint="eastAsia" w:ascii="宋体" w:hAnsi="宋体" w:cs="宋体"/>
                <w:b/>
                <w:color w:val="auto"/>
                <w:szCs w:val="21"/>
                <w:highlight w:val="none"/>
              </w:rPr>
            </w:pPr>
          </w:p>
        </w:tc>
        <w:tc>
          <w:tcPr>
            <w:tcW w:w="3645" w:type="dxa"/>
            <w:noWrap w:val="0"/>
            <w:vAlign w:val="top"/>
          </w:tcPr>
          <w:p w14:paraId="24C9438F">
            <w:pPr>
              <w:snapToGrid w:val="0"/>
              <w:spacing w:before="142" w:beforeLines="50" w:after="50" w:line="360" w:lineRule="auto"/>
              <w:jc w:val="center"/>
              <w:rPr>
                <w:rFonts w:hint="eastAsia" w:ascii="宋体" w:hAnsi="宋体" w:cs="宋体"/>
                <w:b/>
                <w:color w:val="auto"/>
                <w:szCs w:val="21"/>
                <w:highlight w:val="none"/>
              </w:rPr>
            </w:pPr>
          </w:p>
        </w:tc>
        <w:tc>
          <w:tcPr>
            <w:tcW w:w="2237" w:type="dxa"/>
            <w:noWrap w:val="0"/>
            <w:vAlign w:val="top"/>
          </w:tcPr>
          <w:p w14:paraId="0F91B31F">
            <w:pPr>
              <w:snapToGrid w:val="0"/>
              <w:spacing w:before="142" w:beforeLines="50" w:after="50" w:line="360" w:lineRule="auto"/>
              <w:jc w:val="center"/>
              <w:rPr>
                <w:rFonts w:hint="eastAsia" w:ascii="宋体" w:hAnsi="宋体" w:cs="宋体"/>
                <w:b/>
                <w:color w:val="auto"/>
                <w:szCs w:val="21"/>
                <w:highlight w:val="none"/>
              </w:rPr>
            </w:pPr>
          </w:p>
        </w:tc>
        <w:tc>
          <w:tcPr>
            <w:tcW w:w="2237" w:type="dxa"/>
            <w:noWrap w:val="0"/>
            <w:vAlign w:val="top"/>
          </w:tcPr>
          <w:p w14:paraId="75F5AD4E">
            <w:pPr>
              <w:snapToGrid w:val="0"/>
              <w:spacing w:before="142" w:beforeLines="50" w:after="50" w:line="360" w:lineRule="auto"/>
              <w:jc w:val="center"/>
              <w:rPr>
                <w:rFonts w:hint="eastAsia" w:ascii="宋体" w:hAnsi="宋体" w:cs="宋体"/>
                <w:b/>
                <w:color w:val="auto"/>
                <w:szCs w:val="21"/>
                <w:highlight w:val="none"/>
              </w:rPr>
            </w:pPr>
          </w:p>
        </w:tc>
      </w:tr>
      <w:tr w14:paraId="3AFE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4DBE9C0">
            <w:pPr>
              <w:snapToGrid w:val="0"/>
              <w:spacing w:before="142" w:beforeLines="50" w:after="50" w:line="360" w:lineRule="auto"/>
              <w:jc w:val="center"/>
              <w:rPr>
                <w:rFonts w:hint="eastAsia" w:ascii="宋体" w:hAnsi="宋体" w:cs="宋体"/>
                <w:b/>
                <w:color w:val="auto"/>
                <w:szCs w:val="21"/>
                <w:highlight w:val="none"/>
              </w:rPr>
            </w:pPr>
          </w:p>
        </w:tc>
        <w:tc>
          <w:tcPr>
            <w:tcW w:w="3645" w:type="dxa"/>
            <w:noWrap w:val="0"/>
            <w:vAlign w:val="top"/>
          </w:tcPr>
          <w:p w14:paraId="77DF9C3E">
            <w:pPr>
              <w:snapToGrid w:val="0"/>
              <w:spacing w:before="142" w:beforeLines="50" w:after="50" w:line="360" w:lineRule="auto"/>
              <w:jc w:val="center"/>
              <w:rPr>
                <w:rFonts w:hint="eastAsia" w:ascii="宋体" w:hAnsi="宋体" w:cs="宋体"/>
                <w:b/>
                <w:color w:val="auto"/>
                <w:szCs w:val="21"/>
                <w:highlight w:val="none"/>
              </w:rPr>
            </w:pPr>
          </w:p>
        </w:tc>
        <w:tc>
          <w:tcPr>
            <w:tcW w:w="2237" w:type="dxa"/>
            <w:noWrap w:val="0"/>
            <w:vAlign w:val="top"/>
          </w:tcPr>
          <w:p w14:paraId="4ECCC4C3">
            <w:pPr>
              <w:snapToGrid w:val="0"/>
              <w:spacing w:before="142" w:beforeLines="50" w:after="50" w:line="360" w:lineRule="auto"/>
              <w:jc w:val="center"/>
              <w:rPr>
                <w:rFonts w:hint="eastAsia" w:ascii="宋体" w:hAnsi="宋体" w:cs="宋体"/>
                <w:b/>
                <w:color w:val="auto"/>
                <w:szCs w:val="21"/>
                <w:highlight w:val="none"/>
              </w:rPr>
            </w:pPr>
          </w:p>
        </w:tc>
        <w:tc>
          <w:tcPr>
            <w:tcW w:w="2237" w:type="dxa"/>
            <w:noWrap w:val="0"/>
            <w:vAlign w:val="top"/>
          </w:tcPr>
          <w:p w14:paraId="2AF1D954">
            <w:pPr>
              <w:snapToGrid w:val="0"/>
              <w:spacing w:before="142" w:beforeLines="50" w:after="50" w:line="360" w:lineRule="auto"/>
              <w:jc w:val="center"/>
              <w:rPr>
                <w:rFonts w:hint="eastAsia" w:ascii="宋体" w:hAnsi="宋体" w:cs="宋体"/>
                <w:b/>
                <w:color w:val="auto"/>
                <w:szCs w:val="21"/>
                <w:highlight w:val="none"/>
              </w:rPr>
            </w:pPr>
          </w:p>
        </w:tc>
      </w:tr>
      <w:tr w14:paraId="5F32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FB147AE">
            <w:pPr>
              <w:snapToGrid w:val="0"/>
              <w:spacing w:before="142" w:beforeLines="50" w:after="50" w:line="360" w:lineRule="auto"/>
              <w:jc w:val="center"/>
              <w:rPr>
                <w:rFonts w:hint="eastAsia" w:ascii="宋体" w:hAnsi="宋体" w:cs="宋体"/>
                <w:b/>
                <w:color w:val="auto"/>
                <w:szCs w:val="21"/>
                <w:highlight w:val="none"/>
              </w:rPr>
            </w:pPr>
          </w:p>
        </w:tc>
        <w:tc>
          <w:tcPr>
            <w:tcW w:w="3645" w:type="dxa"/>
            <w:noWrap w:val="0"/>
            <w:vAlign w:val="top"/>
          </w:tcPr>
          <w:p w14:paraId="6EF25B5D">
            <w:pPr>
              <w:snapToGrid w:val="0"/>
              <w:spacing w:before="142" w:beforeLines="50" w:after="50" w:line="360" w:lineRule="auto"/>
              <w:jc w:val="center"/>
              <w:rPr>
                <w:rFonts w:hint="eastAsia" w:ascii="宋体" w:hAnsi="宋体" w:cs="宋体"/>
                <w:b/>
                <w:color w:val="auto"/>
                <w:szCs w:val="21"/>
                <w:highlight w:val="none"/>
              </w:rPr>
            </w:pPr>
          </w:p>
        </w:tc>
        <w:tc>
          <w:tcPr>
            <w:tcW w:w="2237" w:type="dxa"/>
            <w:noWrap w:val="0"/>
            <w:vAlign w:val="top"/>
          </w:tcPr>
          <w:p w14:paraId="55665E4D">
            <w:pPr>
              <w:snapToGrid w:val="0"/>
              <w:spacing w:before="142" w:beforeLines="50" w:after="50" w:line="360" w:lineRule="auto"/>
              <w:jc w:val="center"/>
              <w:rPr>
                <w:rFonts w:hint="eastAsia" w:ascii="宋体" w:hAnsi="宋体" w:cs="宋体"/>
                <w:b/>
                <w:color w:val="auto"/>
                <w:szCs w:val="21"/>
                <w:highlight w:val="none"/>
              </w:rPr>
            </w:pPr>
          </w:p>
        </w:tc>
        <w:tc>
          <w:tcPr>
            <w:tcW w:w="2237" w:type="dxa"/>
            <w:noWrap w:val="0"/>
            <w:vAlign w:val="top"/>
          </w:tcPr>
          <w:p w14:paraId="2E64483A">
            <w:pPr>
              <w:snapToGrid w:val="0"/>
              <w:spacing w:before="142" w:beforeLines="50" w:after="50" w:line="360" w:lineRule="auto"/>
              <w:jc w:val="center"/>
              <w:rPr>
                <w:rFonts w:hint="eastAsia" w:ascii="宋体" w:hAnsi="宋体" w:cs="宋体"/>
                <w:b/>
                <w:color w:val="auto"/>
                <w:szCs w:val="21"/>
                <w:highlight w:val="none"/>
              </w:rPr>
            </w:pPr>
          </w:p>
        </w:tc>
      </w:tr>
      <w:tr w14:paraId="7643D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FD703D5">
            <w:pPr>
              <w:snapToGrid w:val="0"/>
              <w:spacing w:before="142" w:beforeLines="50" w:after="50" w:line="360" w:lineRule="auto"/>
              <w:jc w:val="center"/>
              <w:rPr>
                <w:rFonts w:hint="eastAsia" w:ascii="宋体" w:hAnsi="宋体" w:cs="宋体"/>
                <w:b/>
                <w:color w:val="auto"/>
                <w:szCs w:val="21"/>
                <w:highlight w:val="none"/>
              </w:rPr>
            </w:pPr>
          </w:p>
        </w:tc>
        <w:tc>
          <w:tcPr>
            <w:tcW w:w="3645" w:type="dxa"/>
            <w:noWrap w:val="0"/>
            <w:vAlign w:val="top"/>
          </w:tcPr>
          <w:p w14:paraId="2FFDD172">
            <w:pPr>
              <w:snapToGrid w:val="0"/>
              <w:spacing w:before="142" w:beforeLines="50" w:after="50" w:line="360" w:lineRule="auto"/>
              <w:jc w:val="center"/>
              <w:rPr>
                <w:rFonts w:hint="eastAsia" w:ascii="宋体" w:hAnsi="宋体" w:cs="宋体"/>
                <w:b/>
                <w:color w:val="auto"/>
                <w:szCs w:val="21"/>
                <w:highlight w:val="none"/>
              </w:rPr>
            </w:pPr>
          </w:p>
        </w:tc>
        <w:tc>
          <w:tcPr>
            <w:tcW w:w="2237" w:type="dxa"/>
            <w:noWrap w:val="0"/>
            <w:vAlign w:val="top"/>
          </w:tcPr>
          <w:p w14:paraId="4108F584">
            <w:pPr>
              <w:snapToGrid w:val="0"/>
              <w:spacing w:before="142" w:beforeLines="50" w:after="50" w:line="360" w:lineRule="auto"/>
              <w:jc w:val="center"/>
              <w:rPr>
                <w:rFonts w:hint="eastAsia" w:ascii="宋体" w:hAnsi="宋体" w:cs="宋体"/>
                <w:b/>
                <w:color w:val="auto"/>
                <w:szCs w:val="21"/>
                <w:highlight w:val="none"/>
              </w:rPr>
            </w:pPr>
          </w:p>
        </w:tc>
        <w:tc>
          <w:tcPr>
            <w:tcW w:w="2237" w:type="dxa"/>
            <w:noWrap w:val="0"/>
            <w:vAlign w:val="top"/>
          </w:tcPr>
          <w:p w14:paraId="037D4F02">
            <w:pPr>
              <w:snapToGrid w:val="0"/>
              <w:spacing w:before="142" w:beforeLines="50" w:after="50" w:line="360" w:lineRule="auto"/>
              <w:jc w:val="center"/>
              <w:rPr>
                <w:rFonts w:hint="eastAsia" w:ascii="宋体" w:hAnsi="宋体" w:cs="宋体"/>
                <w:b/>
                <w:color w:val="auto"/>
                <w:szCs w:val="21"/>
                <w:highlight w:val="none"/>
              </w:rPr>
            </w:pPr>
          </w:p>
        </w:tc>
      </w:tr>
      <w:tr w14:paraId="3E17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232B6FB">
            <w:pPr>
              <w:snapToGrid w:val="0"/>
              <w:spacing w:before="142" w:beforeLines="50" w:after="50" w:line="360" w:lineRule="auto"/>
              <w:jc w:val="center"/>
              <w:rPr>
                <w:rFonts w:hint="eastAsia" w:ascii="宋体" w:hAnsi="宋体" w:cs="宋体"/>
                <w:b/>
                <w:color w:val="auto"/>
                <w:szCs w:val="21"/>
                <w:highlight w:val="none"/>
              </w:rPr>
            </w:pPr>
          </w:p>
        </w:tc>
        <w:tc>
          <w:tcPr>
            <w:tcW w:w="3645" w:type="dxa"/>
            <w:noWrap w:val="0"/>
            <w:vAlign w:val="top"/>
          </w:tcPr>
          <w:p w14:paraId="7758BE77">
            <w:pPr>
              <w:snapToGrid w:val="0"/>
              <w:spacing w:before="142" w:beforeLines="50" w:after="50" w:line="360" w:lineRule="auto"/>
              <w:jc w:val="center"/>
              <w:rPr>
                <w:rFonts w:hint="eastAsia" w:ascii="宋体" w:hAnsi="宋体" w:cs="宋体"/>
                <w:b/>
                <w:color w:val="auto"/>
                <w:szCs w:val="21"/>
                <w:highlight w:val="none"/>
              </w:rPr>
            </w:pPr>
          </w:p>
        </w:tc>
        <w:tc>
          <w:tcPr>
            <w:tcW w:w="2237" w:type="dxa"/>
            <w:noWrap w:val="0"/>
            <w:vAlign w:val="top"/>
          </w:tcPr>
          <w:p w14:paraId="12780EC9">
            <w:pPr>
              <w:snapToGrid w:val="0"/>
              <w:spacing w:before="142" w:beforeLines="50" w:after="50" w:line="360" w:lineRule="auto"/>
              <w:jc w:val="center"/>
              <w:rPr>
                <w:rFonts w:hint="eastAsia" w:ascii="宋体" w:hAnsi="宋体" w:cs="宋体"/>
                <w:b/>
                <w:color w:val="auto"/>
                <w:szCs w:val="21"/>
                <w:highlight w:val="none"/>
              </w:rPr>
            </w:pPr>
          </w:p>
        </w:tc>
        <w:tc>
          <w:tcPr>
            <w:tcW w:w="2237" w:type="dxa"/>
            <w:noWrap w:val="0"/>
            <w:vAlign w:val="top"/>
          </w:tcPr>
          <w:p w14:paraId="68F78D79">
            <w:pPr>
              <w:snapToGrid w:val="0"/>
              <w:spacing w:before="142" w:beforeLines="50" w:after="50" w:line="360" w:lineRule="auto"/>
              <w:jc w:val="center"/>
              <w:rPr>
                <w:rFonts w:hint="eastAsia" w:ascii="宋体" w:hAnsi="宋体" w:cs="宋体"/>
                <w:b/>
                <w:color w:val="auto"/>
                <w:szCs w:val="21"/>
                <w:highlight w:val="none"/>
              </w:rPr>
            </w:pPr>
          </w:p>
        </w:tc>
      </w:tr>
      <w:tr w14:paraId="139E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D007EC7">
            <w:pPr>
              <w:snapToGrid w:val="0"/>
              <w:spacing w:before="142" w:beforeLines="50" w:after="50" w:line="360" w:lineRule="auto"/>
              <w:jc w:val="center"/>
              <w:rPr>
                <w:rFonts w:hint="eastAsia" w:ascii="宋体" w:hAnsi="宋体" w:cs="宋体"/>
                <w:b/>
                <w:color w:val="auto"/>
                <w:szCs w:val="21"/>
                <w:highlight w:val="none"/>
              </w:rPr>
            </w:pPr>
          </w:p>
        </w:tc>
        <w:tc>
          <w:tcPr>
            <w:tcW w:w="3645" w:type="dxa"/>
            <w:noWrap w:val="0"/>
            <w:vAlign w:val="top"/>
          </w:tcPr>
          <w:p w14:paraId="34B1AD14">
            <w:pPr>
              <w:snapToGrid w:val="0"/>
              <w:spacing w:before="142" w:beforeLines="50" w:after="50" w:line="360" w:lineRule="auto"/>
              <w:jc w:val="center"/>
              <w:rPr>
                <w:rFonts w:hint="eastAsia" w:ascii="宋体" w:hAnsi="宋体" w:cs="宋体"/>
                <w:b/>
                <w:color w:val="auto"/>
                <w:szCs w:val="21"/>
                <w:highlight w:val="none"/>
              </w:rPr>
            </w:pPr>
          </w:p>
        </w:tc>
        <w:tc>
          <w:tcPr>
            <w:tcW w:w="2237" w:type="dxa"/>
            <w:noWrap w:val="0"/>
            <w:vAlign w:val="top"/>
          </w:tcPr>
          <w:p w14:paraId="7DD832BA">
            <w:pPr>
              <w:snapToGrid w:val="0"/>
              <w:spacing w:before="142" w:beforeLines="50" w:after="50" w:line="360" w:lineRule="auto"/>
              <w:jc w:val="center"/>
              <w:rPr>
                <w:rFonts w:hint="eastAsia" w:ascii="宋体" w:hAnsi="宋体" w:cs="宋体"/>
                <w:b/>
                <w:color w:val="auto"/>
                <w:szCs w:val="21"/>
                <w:highlight w:val="none"/>
              </w:rPr>
            </w:pPr>
          </w:p>
        </w:tc>
        <w:tc>
          <w:tcPr>
            <w:tcW w:w="2237" w:type="dxa"/>
            <w:noWrap w:val="0"/>
            <w:vAlign w:val="top"/>
          </w:tcPr>
          <w:p w14:paraId="1C35A98D">
            <w:pPr>
              <w:snapToGrid w:val="0"/>
              <w:spacing w:before="142" w:beforeLines="50" w:after="50" w:line="360" w:lineRule="auto"/>
              <w:jc w:val="center"/>
              <w:rPr>
                <w:rFonts w:hint="eastAsia" w:ascii="宋体" w:hAnsi="宋体" w:cs="宋体"/>
                <w:b/>
                <w:color w:val="auto"/>
                <w:szCs w:val="21"/>
                <w:highlight w:val="none"/>
              </w:rPr>
            </w:pPr>
          </w:p>
        </w:tc>
      </w:tr>
      <w:tr w14:paraId="626DF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01FC2F5">
            <w:pPr>
              <w:snapToGrid w:val="0"/>
              <w:spacing w:before="142" w:beforeLines="50" w:after="50" w:line="360" w:lineRule="auto"/>
              <w:jc w:val="center"/>
              <w:rPr>
                <w:rFonts w:hint="eastAsia" w:ascii="宋体" w:hAnsi="宋体" w:cs="宋体"/>
                <w:b/>
                <w:color w:val="auto"/>
                <w:szCs w:val="21"/>
                <w:highlight w:val="none"/>
              </w:rPr>
            </w:pPr>
          </w:p>
        </w:tc>
        <w:tc>
          <w:tcPr>
            <w:tcW w:w="3645" w:type="dxa"/>
            <w:noWrap w:val="0"/>
            <w:vAlign w:val="top"/>
          </w:tcPr>
          <w:p w14:paraId="33545B00">
            <w:pPr>
              <w:snapToGrid w:val="0"/>
              <w:spacing w:before="142" w:beforeLines="50" w:after="50" w:line="360" w:lineRule="auto"/>
              <w:jc w:val="center"/>
              <w:rPr>
                <w:rFonts w:hint="eastAsia" w:ascii="宋体" w:hAnsi="宋体" w:cs="宋体"/>
                <w:b/>
                <w:color w:val="auto"/>
                <w:szCs w:val="21"/>
                <w:highlight w:val="none"/>
              </w:rPr>
            </w:pPr>
          </w:p>
        </w:tc>
        <w:tc>
          <w:tcPr>
            <w:tcW w:w="2237" w:type="dxa"/>
            <w:noWrap w:val="0"/>
            <w:vAlign w:val="top"/>
          </w:tcPr>
          <w:p w14:paraId="0E5307D3">
            <w:pPr>
              <w:snapToGrid w:val="0"/>
              <w:spacing w:before="142" w:beforeLines="50" w:after="50" w:line="360" w:lineRule="auto"/>
              <w:jc w:val="center"/>
              <w:rPr>
                <w:rFonts w:hint="eastAsia" w:ascii="宋体" w:hAnsi="宋体" w:cs="宋体"/>
                <w:b/>
                <w:color w:val="auto"/>
                <w:szCs w:val="21"/>
                <w:highlight w:val="none"/>
              </w:rPr>
            </w:pPr>
          </w:p>
        </w:tc>
        <w:tc>
          <w:tcPr>
            <w:tcW w:w="2237" w:type="dxa"/>
            <w:noWrap w:val="0"/>
            <w:vAlign w:val="top"/>
          </w:tcPr>
          <w:p w14:paraId="6DDFA0CF">
            <w:pPr>
              <w:snapToGrid w:val="0"/>
              <w:spacing w:before="142" w:beforeLines="50" w:after="50" w:line="360" w:lineRule="auto"/>
              <w:jc w:val="center"/>
              <w:rPr>
                <w:rFonts w:hint="eastAsia" w:ascii="宋体" w:hAnsi="宋体" w:cs="宋体"/>
                <w:b/>
                <w:color w:val="auto"/>
                <w:szCs w:val="21"/>
                <w:highlight w:val="none"/>
              </w:rPr>
            </w:pPr>
          </w:p>
        </w:tc>
      </w:tr>
      <w:tr w14:paraId="4DEE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1D76776">
            <w:pPr>
              <w:snapToGrid w:val="0"/>
              <w:spacing w:before="142" w:beforeLines="50" w:after="50" w:line="360" w:lineRule="auto"/>
              <w:jc w:val="center"/>
              <w:rPr>
                <w:rFonts w:hint="eastAsia" w:ascii="宋体" w:hAnsi="宋体" w:cs="宋体"/>
                <w:b/>
                <w:color w:val="auto"/>
                <w:szCs w:val="21"/>
                <w:highlight w:val="none"/>
              </w:rPr>
            </w:pPr>
          </w:p>
        </w:tc>
        <w:tc>
          <w:tcPr>
            <w:tcW w:w="3645" w:type="dxa"/>
            <w:noWrap w:val="0"/>
            <w:vAlign w:val="top"/>
          </w:tcPr>
          <w:p w14:paraId="375F92A2">
            <w:pPr>
              <w:snapToGrid w:val="0"/>
              <w:spacing w:before="142" w:beforeLines="50" w:after="50" w:line="360" w:lineRule="auto"/>
              <w:jc w:val="center"/>
              <w:rPr>
                <w:rFonts w:hint="eastAsia" w:ascii="宋体" w:hAnsi="宋体" w:cs="宋体"/>
                <w:b/>
                <w:color w:val="auto"/>
                <w:szCs w:val="21"/>
                <w:highlight w:val="none"/>
              </w:rPr>
            </w:pPr>
          </w:p>
        </w:tc>
        <w:tc>
          <w:tcPr>
            <w:tcW w:w="2237" w:type="dxa"/>
            <w:noWrap w:val="0"/>
            <w:vAlign w:val="top"/>
          </w:tcPr>
          <w:p w14:paraId="54571EE1">
            <w:pPr>
              <w:snapToGrid w:val="0"/>
              <w:spacing w:before="142" w:beforeLines="50" w:after="50" w:line="360" w:lineRule="auto"/>
              <w:jc w:val="center"/>
              <w:rPr>
                <w:rFonts w:hint="eastAsia" w:ascii="宋体" w:hAnsi="宋体" w:cs="宋体"/>
                <w:b/>
                <w:color w:val="auto"/>
                <w:szCs w:val="21"/>
                <w:highlight w:val="none"/>
              </w:rPr>
            </w:pPr>
          </w:p>
        </w:tc>
        <w:tc>
          <w:tcPr>
            <w:tcW w:w="2237" w:type="dxa"/>
            <w:noWrap w:val="0"/>
            <w:vAlign w:val="top"/>
          </w:tcPr>
          <w:p w14:paraId="4A2BD56E">
            <w:pPr>
              <w:snapToGrid w:val="0"/>
              <w:spacing w:before="142" w:beforeLines="50" w:after="50" w:line="360" w:lineRule="auto"/>
              <w:jc w:val="center"/>
              <w:rPr>
                <w:rFonts w:hint="eastAsia" w:ascii="宋体" w:hAnsi="宋体" w:cs="宋体"/>
                <w:b/>
                <w:color w:val="auto"/>
                <w:szCs w:val="21"/>
                <w:highlight w:val="none"/>
              </w:rPr>
            </w:pPr>
          </w:p>
        </w:tc>
      </w:tr>
    </w:tbl>
    <w:p w14:paraId="3F7E97FB">
      <w:pPr>
        <w:spacing w:after="120" w:line="360" w:lineRule="auto"/>
        <w:rPr>
          <w:rFonts w:hint="eastAsia" w:ascii="宋体" w:hAnsi="宋体" w:cs="宋体"/>
          <w:b/>
          <w:color w:val="auto"/>
          <w:szCs w:val="21"/>
          <w:highlight w:val="none"/>
          <w:lang w:val="en-GB"/>
        </w:rPr>
      </w:pPr>
      <w:r>
        <w:rPr>
          <w:rFonts w:hint="eastAsia" w:ascii="宋体" w:hAnsi="宋体" w:cs="宋体"/>
          <w:color w:val="auto"/>
          <w:kern w:val="0"/>
          <w:szCs w:val="21"/>
          <w:highlight w:val="none"/>
        </w:rPr>
        <w:t>注：</w:t>
      </w:r>
      <w:r>
        <w:rPr>
          <w:rFonts w:hint="eastAsia" w:ascii="宋体" w:hAnsi="宋体" w:cs="宋体"/>
          <w:b/>
          <w:color w:val="auto"/>
          <w:szCs w:val="21"/>
          <w:highlight w:val="none"/>
          <w:lang w:val="en-GB"/>
        </w:rPr>
        <w:t>针对采购文件“第五部分  采购需求”及采购文件中“</w:t>
      </w:r>
      <w:r>
        <w:rPr>
          <w:rFonts w:hint="eastAsia" w:ascii="宋体" w:hAnsi="宋体" w:cs="宋体"/>
          <w:color w:val="auto"/>
          <w:szCs w:val="21"/>
          <w:highlight w:val="none"/>
        </w:rPr>
        <w:t>*</w:t>
      </w:r>
      <w:r>
        <w:rPr>
          <w:rFonts w:hint="eastAsia" w:ascii="宋体" w:hAnsi="宋体" w:cs="宋体"/>
          <w:b/>
          <w:color w:val="auto"/>
          <w:szCs w:val="21"/>
          <w:highlight w:val="none"/>
          <w:lang w:val="en-GB"/>
        </w:rPr>
        <w:t>”条款。如有正偏离，请填写具体解释。如未偏离，在“偏离情况”处填写“全部响应”即可。此表不填或填写为无偏离，视为完全响应采购要求。</w:t>
      </w:r>
    </w:p>
    <w:p w14:paraId="16B07321">
      <w:pPr>
        <w:pStyle w:val="49"/>
        <w:tabs>
          <w:tab w:val="left" w:pos="574"/>
        </w:tabs>
        <w:ind w:firstLine="210"/>
        <w:rPr>
          <w:rFonts w:hint="eastAsia"/>
          <w:color w:val="auto"/>
          <w:highlight w:val="none"/>
          <w:lang w:val="en-GB"/>
        </w:rPr>
      </w:pPr>
    </w:p>
    <w:p w14:paraId="0A539D81">
      <w:pPr>
        <w:wordWrap w:val="0"/>
        <w:rPr>
          <w:rFonts w:ascii="宋体" w:hAnsi="宋体" w:cs="宋体"/>
          <w:color w:val="auto"/>
          <w:szCs w:val="21"/>
          <w:highlight w:val="none"/>
        </w:rPr>
      </w:pPr>
      <w:r>
        <w:rPr>
          <w:rFonts w:hint="eastAsia" w:ascii="宋体" w:hAnsi="宋体" w:cs="宋体"/>
          <w:color w:val="auto"/>
          <w:szCs w:val="21"/>
          <w:highlight w:val="none"/>
        </w:rPr>
        <w:t xml:space="preserve">供 应 商 单 位  （盖章）：                 </w:t>
      </w:r>
      <w:r>
        <w:rPr>
          <w:rFonts w:hint="eastAsia" w:ascii="宋体" w:hAnsi="宋体" w:cs="宋体"/>
          <w:color w:val="auto"/>
          <w:highlight w:val="none"/>
        </w:rPr>
        <w:t>法定代表人或授权代表（签字或盖章）：</w:t>
      </w:r>
      <w:r>
        <w:rPr>
          <w:rFonts w:hint="eastAsia" w:ascii="宋体" w:hAnsi="宋体" w:cs="宋体"/>
          <w:color w:val="auto"/>
          <w:szCs w:val="21"/>
          <w:highlight w:val="none"/>
        </w:rPr>
        <w:t xml:space="preserve">       </w:t>
      </w:r>
    </w:p>
    <w:p w14:paraId="62B02578">
      <w:pPr>
        <w:wordWrap w:val="0"/>
        <w:rPr>
          <w:rFonts w:ascii="宋体" w:hAnsi="宋体" w:cs="宋体"/>
          <w:color w:val="auto"/>
          <w:szCs w:val="21"/>
          <w:highlight w:val="none"/>
        </w:rPr>
      </w:pPr>
    </w:p>
    <w:p w14:paraId="7E821A81">
      <w:pPr>
        <w:wordWrap w:val="0"/>
        <w:rPr>
          <w:rFonts w:hint="eastAsia" w:ascii="宋体" w:hAnsi="宋体" w:cs="宋体"/>
          <w:color w:val="auto"/>
          <w:szCs w:val="21"/>
          <w:highlight w:val="none"/>
        </w:rPr>
      </w:pPr>
      <w:r>
        <w:rPr>
          <w:rFonts w:hint="eastAsia" w:ascii="宋体" w:hAnsi="宋体" w:cs="宋体"/>
          <w:color w:val="auto"/>
          <w:szCs w:val="21"/>
          <w:highlight w:val="none"/>
        </w:rPr>
        <w:t xml:space="preserve">                                            日    期：    年    月    日</w:t>
      </w:r>
    </w:p>
    <w:p w14:paraId="12D743DB">
      <w:pPr>
        <w:wordWrap w:val="0"/>
        <w:spacing w:line="400" w:lineRule="exact"/>
        <w:rPr>
          <w:rFonts w:ascii="宋体" w:hAnsi="宋体"/>
          <w:color w:val="auto"/>
          <w:szCs w:val="21"/>
          <w:highlight w:val="none"/>
        </w:rPr>
      </w:pPr>
      <w:r>
        <w:rPr>
          <w:rFonts w:hint="eastAsia" w:ascii="宋体" w:hAnsi="宋体" w:cs="宋体"/>
          <w:color w:val="auto"/>
          <w:szCs w:val="21"/>
          <w:highlight w:val="none"/>
        </w:rPr>
        <w:br w:type="page"/>
      </w:r>
      <w:r>
        <w:rPr>
          <w:rFonts w:hint="eastAsia" w:ascii="宋体" w:hAnsi="宋体"/>
          <w:color w:val="auto"/>
          <w:szCs w:val="21"/>
          <w:highlight w:val="none"/>
        </w:rPr>
        <w:t>附件14</w:t>
      </w:r>
      <w:r>
        <w:rPr>
          <w:rFonts w:hint="eastAsia"/>
          <w:color w:val="auto"/>
          <w:highlight w:val="none"/>
        </w:rPr>
        <w:t xml:space="preserve"> 主要材料品牌响应表</w:t>
      </w:r>
    </w:p>
    <w:p w14:paraId="4DC64FFC">
      <w:pPr>
        <w:pStyle w:val="5"/>
        <w:jc w:val="center"/>
        <w:rPr>
          <w:rFonts w:hint="eastAsia" w:ascii="宋体" w:hAnsi="宋体" w:cs="宋体"/>
          <w:color w:val="auto"/>
          <w:sz w:val="24"/>
          <w:szCs w:val="24"/>
          <w:highlight w:val="none"/>
        </w:rPr>
      </w:pPr>
      <w:r>
        <w:rPr>
          <w:rFonts w:hint="eastAsia" w:ascii="宋体" w:hAnsi="宋体" w:eastAsia="宋体" w:cs="宋体"/>
          <w:b/>
          <w:bCs w:val="0"/>
          <w:color w:val="auto"/>
          <w:kern w:val="2"/>
          <w:sz w:val="32"/>
          <w:szCs w:val="32"/>
          <w:highlight w:val="none"/>
          <w:lang w:val="en-US" w:eastAsia="zh-CN" w:bidi="ar-SA"/>
        </w:rPr>
        <w:t>主要材料品牌响应表</w:t>
      </w:r>
      <w:r>
        <w:rPr>
          <w:rFonts w:hint="eastAsia" w:ascii="宋体" w:hAnsi="宋体" w:eastAsia="宋体" w:cs="宋体"/>
          <w:b/>
          <w:bCs w:val="0"/>
          <w:color w:val="auto"/>
          <w:kern w:val="2"/>
          <w:sz w:val="28"/>
          <w:szCs w:val="28"/>
          <w:highlight w:val="none"/>
          <w:lang w:val="en-US" w:eastAsia="zh-CN" w:bidi="ar-SA"/>
        </w:rPr>
        <w:t xml:space="preserve"> </w:t>
      </w:r>
    </w:p>
    <w:tbl>
      <w:tblPr>
        <w:tblStyle w:val="51"/>
        <w:tblW w:w="8714" w:type="dxa"/>
        <w:jc w:val="center"/>
        <w:tblLayout w:type="autofit"/>
        <w:tblCellMar>
          <w:top w:w="0" w:type="dxa"/>
          <w:left w:w="108" w:type="dxa"/>
          <w:bottom w:w="0" w:type="dxa"/>
          <w:right w:w="108" w:type="dxa"/>
        </w:tblCellMar>
      </w:tblPr>
      <w:tblGrid>
        <w:gridCol w:w="808"/>
        <w:gridCol w:w="1941"/>
        <w:gridCol w:w="3793"/>
        <w:gridCol w:w="1099"/>
        <w:gridCol w:w="1073"/>
      </w:tblGrid>
      <w:tr w14:paraId="3A63B80D">
        <w:tblPrEx>
          <w:tblCellMar>
            <w:top w:w="0" w:type="dxa"/>
            <w:left w:w="108" w:type="dxa"/>
            <w:bottom w:w="0" w:type="dxa"/>
            <w:right w:w="108" w:type="dxa"/>
          </w:tblCellMar>
        </w:tblPrEx>
        <w:trPr>
          <w:trHeight w:val="397" w:hRule="atLeast"/>
          <w:jc w:val="center"/>
        </w:trPr>
        <w:tc>
          <w:tcPr>
            <w:tcW w:w="808" w:type="dxa"/>
            <w:tcBorders>
              <w:top w:val="single" w:color="000000" w:sz="4" w:space="0"/>
              <w:left w:val="single" w:color="000000" w:sz="4" w:space="0"/>
              <w:bottom w:val="nil"/>
              <w:right w:val="single" w:color="000000" w:sz="4" w:space="0"/>
            </w:tcBorders>
            <w:noWrap w:val="0"/>
            <w:vAlign w:val="center"/>
          </w:tcPr>
          <w:p w14:paraId="10E676F6">
            <w:pPr>
              <w:widowControl/>
              <w:jc w:val="center"/>
              <w:textAlignment w:val="center"/>
              <w:rPr>
                <w:rFonts w:ascii="宋体" w:hAnsi="宋体"/>
                <w:b/>
                <w:bCs/>
                <w:color w:val="auto"/>
                <w:sz w:val="21"/>
                <w:szCs w:val="21"/>
                <w:highlight w:val="none"/>
              </w:rPr>
            </w:pPr>
            <w:r>
              <w:rPr>
                <w:rFonts w:hint="eastAsia" w:ascii="宋体" w:hAnsi="宋体"/>
                <w:b/>
                <w:bCs/>
                <w:color w:val="auto"/>
                <w:kern w:val="0"/>
                <w:sz w:val="21"/>
                <w:szCs w:val="21"/>
                <w:highlight w:val="none"/>
              </w:rPr>
              <w:t>序号</w:t>
            </w:r>
          </w:p>
        </w:tc>
        <w:tc>
          <w:tcPr>
            <w:tcW w:w="1941" w:type="dxa"/>
            <w:tcBorders>
              <w:top w:val="single" w:color="000000" w:sz="4" w:space="0"/>
              <w:left w:val="nil"/>
              <w:bottom w:val="nil"/>
              <w:right w:val="single" w:color="000000" w:sz="4" w:space="0"/>
            </w:tcBorders>
            <w:noWrap w:val="0"/>
            <w:vAlign w:val="center"/>
          </w:tcPr>
          <w:p w14:paraId="46EA662A">
            <w:pPr>
              <w:widowControl/>
              <w:jc w:val="center"/>
              <w:textAlignment w:val="center"/>
              <w:rPr>
                <w:rFonts w:ascii="宋体" w:hAnsi="宋体"/>
                <w:b/>
                <w:bCs/>
                <w:color w:val="auto"/>
                <w:sz w:val="21"/>
                <w:szCs w:val="21"/>
                <w:highlight w:val="none"/>
              </w:rPr>
            </w:pPr>
            <w:r>
              <w:rPr>
                <w:rFonts w:hint="eastAsia" w:ascii="宋体" w:hAnsi="宋体"/>
                <w:b/>
                <w:bCs/>
                <w:color w:val="auto"/>
                <w:kern w:val="0"/>
                <w:sz w:val="21"/>
                <w:szCs w:val="21"/>
                <w:highlight w:val="none"/>
              </w:rPr>
              <w:t>材料名称</w:t>
            </w:r>
          </w:p>
        </w:tc>
        <w:tc>
          <w:tcPr>
            <w:tcW w:w="3793" w:type="dxa"/>
            <w:tcBorders>
              <w:top w:val="single" w:color="000000" w:sz="4" w:space="0"/>
              <w:left w:val="nil"/>
              <w:bottom w:val="nil"/>
              <w:right w:val="single" w:color="000000" w:sz="4" w:space="0"/>
            </w:tcBorders>
            <w:noWrap w:val="0"/>
            <w:vAlign w:val="center"/>
          </w:tcPr>
          <w:p w14:paraId="6DE68885">
            <w:pPr>
              <w:widowControl/>
              <w:jc w:val="center"/>
              <w:textAlignment w:val="center"/>
              <w:rPr>
                <w:rFonts w:ascii="宋体" w:hAnsi="宋体"/>
                <w:b/>
                <w:bCs/>
                <w:color w:val="auto"/>
                <w:sz w:val="21"/>
                <w:szCs w:val="21"/>
                <w:highlight w:val="none"/>
              </w:rPr>
            </w:pPr>
            <w:r>
              <w:rPr>
                <w:rFonts w:hint="eastAsia" w:ascii="宋体" w:hAnsi="宋体"/>
                <w:b/>
                <w:bCs/>
                <w:color w:val="auto"/>
                <w:kern w:val="0"/>
                <w:sz w:val="21"/>
                <w:szCs w:val="21"/>
                <w:highlight w:val="none"/>
              </w:rPr>
              <w:t>参考品牌</w:t>
            </w:r>
          </w:p>
        </w:tc>
        <w:tc>
          <w:tcPr>
            <w:tcW w:w="1099" w:type="dxa"/>
            <w:tcBorders>
              <w:top w:val="single" w:color="000000" w:sz="4" w:space="0"/>
              <w:left w:val="nil"/>
              <w:bottom w:val="nil"/>
              <w:right w:val="single" w:color="auto" w:sz="4" w:space="0"/>
            </w:tcBorders>
            <w:noWrap w:val="0"/>
            <w:vAlign w:val="center"/>
          </w:tcPr>
          <w:p w14:paraId="435EFEA4">
            <w:pPr>
              <w:widowControl/>
              <w:jc w:val="center"/>
              <w:textAlignment w:val="center"/>
              <w:rPr>
                <w:rFonts w:hint="eastAsia" w:ascii="宋体" w:hAnsi="宋体"/>
                <w:b/>
                <w:bCs/>
                <w:color w:val="auto"/>
                <w:kern w:val="0"/>
                <w:sz w:val="21"/>
                <w:szCs w:val="21"/>
                <w:highlight w:val="none"/>
              </w:rPr>
            </w:pPr>
            <w:r>
              <w:rPr>
                <w:rFonts w:hint="eastAsia" w:ascii="宋体" w:hAnsi="宋体"/>
                <w:b/>
                <w:bCs/>
                <w:color w:val="auto"/>
                <w:kern w:val="0"/>
                <w:sz w:val="21"/>
                <w:szCs w:val="21"/>
                <w:highlight w:val="none"/>
              </w:rPr>
              <w:t>响应情况</w:t>
            </w:r>
          </w:p>
        </w:tc>
        <w:tc>
          <w:tcPr>
            <w:tcW w:w="1073" w:type="dxa"/>
            <w:tcBorders>
              <w:top w:val="single" w:color="000000" w:sz="4" w:space="0"/>
              <w:left w:val="single" w:color="auto" w:sz="4" w:space="0"/>
              <w:bottom w:val="nil"/>
              <w:right w:val="single" w:color="000000" w:sz="4" w:space="0"/>
            </w:tcBorders>
            <w:noWrap w:val="0"/>
            <w:vAlign w:val="center"/>
          </w:tcPr>
          <w:p w14:paraId="659DE111">
            <w:pPr>
              <w:widowControl/>
              <w:jc w:val="center"/>
              <w:textAlignment w:val="center"/>
              <w:rPr>
                <w:rFonts w:hint="eastAsia" w:ascii="宋体" w:hAnsi="宋体"/>
                <w:b/>
                <w:bCs/>
                <w:color w:val="auto"/>
                <w:kern w:val="0"/>
                <w:sz w:val="21"/>
                <w:szCs w:val="21"/>
                <w:highlight w:val="none"/>
              </w:rPr>
            </w:pPr>
            <w:r>
              <w:rPr>
                <w:rFonts w:hint="eastAsia" w:ascii="宋体" w:hAnsi="宋体"/>
                <w:b/>
                <w:bCs/>
                <w:color w:val="auto"/>
                <w:kern w:val="0"/>
                <w:sz w:val="21"/>
                <w:szCs w:val="21"/>
                <w:highlight w:val="none"/>
              </w:rPr>
              <w:t>备注</w:t>
            </w:r>
          </w:p>
        </w:tc>
      </w:tr>
      <w:tr w14:paraId="113DDC36">
        <w:tblPrEx>
          <w:tblCellMar>
            <w:top w:w="0" w:type="dxa"/>
            <w:left w:w="108" w:type="dxa"/>
            <w:bottom w:w="0" w:type="dxa"/>
            <w:right w:w="108" w:type="dxa"/>
          </w:tblCellMar>
        </w:tblPrEx>
        <w:trPr>
          <w:trHeight w:val="397" w:hRule="atLeast"/>
          <w:jc w:val="center"/>
        </w:trPr>
        <w:tc>
          <w:tcPr>
            <w:tcW w:w="8714" w:type="dxa"/>
            <w:gridSpan w:val="5"/>
            <w:tcBorders>
              <w:top w:val="single" w:color="000000" w:sz="4" w:space="0"/>
              <w:left w:val="single" w:color="000000" w:sz="4" w:space="0"/>
              <w:bottom w:val="nil"/>
              <w:right w:val="single" w:color="000000" w:sz="4" w:space="0"/>
            </w:tcBorders>
            <w:noWrap w:val="0"/>
            <w:vAlign w:val="center"/>
          </w:tcPr>
          <w:p w14:paraId="2E162F54">
            <w:pPr>
              <w:widowControl/>
              <w:jc w:val="center"/>
              <w:textAlignment w:val="center"/>
              <w:rPr>
                <w:rFonts w:hint="eastAsia" w:ascii="宋体" w:hAnsi="宋体"/>
                <w:b/>
                <w:bCs/>
                <w:color w:val="auto"/>
                <w:kern w:val="0"/>
                <w:sz w:val="21"/>
                <w:szCs w:val="21"/>
                <w:highlight w:val="none"/>
              </w:rPr>
            </w:pPr>
            <w:r>
              <w:rPr>
                <w:rFonts w:hint="eastAsia" w:ascii="宋体" w:hAnsi="宋体"/>
                <w:b/>
                <w:bCs/>
                <w:color w:val="auto"/>
                <w:kern w:val="0"/>
                <w:szCs w:val="21"/>
                <w:highlight w:val="none"/>
              </w:rPr>
              <w:t>一、土建部分</w:t>
            </w:r>
          </w:p>
        </w:tc>
      </w:tr>
      <w:tr w14:paraId="12155D4E">
        <w:tblPrEx>
          <w:tblCellMar>
            <w:top w:w="0" w:type="dxa"/>
            <w:left w:w="108" w:type="dxa"/>
            <w:bottom w:w="0" w:type="dxa"/>
            <w:right w:w="108" w:type="dxa"/>
          </w:tblCellMar>
        </w:tblPrEx>
        <w:trPr>
          <w:trHeight w:val="540"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1DA9A79C">
            <w:pPr>
              <w:keepNext w:val="0"/>
              <w:keepLines w:val="0"/>
              <w:widowControl/>
              <w:suppressLineNumbers w:val="0"/>
              <w:jc w:val="center"/>
              <w:textAlignment w:val="center"/>
              <w:rPr>
                <w:rFonts w:ascii="宋体" w:hAnsi="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41" w:type="dxa"/>
            <w:tcBorders>
              <w:top w:val="single" w:color="000000" w:sz="4" w:space="0"/>
              <w:left w:val="nil"/>
              <w:bottom w:val="single" w:color="000000" w:sz="4" w:space="0"/>
              <w:right w:val="single" w:color="000000" w:sz="4" w:space="0"/>
            </w:tcBorders>
            <w:noWrap w:val="0"/>
            <w:vAlign w:val="center"/>
          </w:tcPr>
          <w:p w14:paraId="4E29928F">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外墙弹性涂料、仿石涂料</w:t>
            </w:r>
          </w:p>
        </w:tc>
        <w:tc>
          <w:tcPr>
            <w:tcW w:w="3793" w:type="dxa"/>
            <w:tcBorders>
              <w:top w:val="single" w:color="000000" w:sz="4" w:space="0"/>
              <w:left w:val="nil"/>
              <w:bottom w:val="single" w:color="000000" w:sz="4" w:space="0"/>
              <w:right w:val="single" w:color="000000" w:sz="4" w:space="0"/>
            </w:tcBorders>
            <w:noWrap w:val="0"/>
            <w:vAlign w:val="center"/>
          </w:tcPr>
          <w:p w14:paraId="3F3DD352">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华润、多乐士、立邦</w:t>
            </w:r>
          </w:p>
        </w:tc>
        <w:tc>
          <w:tcPr>
            <w:tcW w:w="1099" w:type="dxa"/>
            <w:tcBorders>
              <w:top w:val="single" w:color="000000" w:sz="4" w:space="0"/>
              <w:left w:val="nil"/>
              <w:bottom w:val="single" w:color="000000" w:sz="4" w:space="0"/>
              <w:right w:val="single" w:color="auto" w:sz="4" w:space="0"/>
            </w:tcBorders>
            <w:noWrap w:val="0"/>
            <w:vAlign w:val="center"/>
          </w:tcPr>
          <w:p w14:paraId="57C963B5">
            <w:pPr>
              <w:widowControl/>
              <w:jc w:val="center"/>
              <w:textAlignment w:val="center"/>
              <w:rPr>
                <w:rFonts w:hint="eastAsia" w:ascii="宋体" w:hAnsi="宋体" w:cs="宋体"/>
                <w:bCs/>
                <w:color w:val="auto"/>
                <w:kern w:val="0"/>
                <w:sz w:val="21"/>
                <w:szCs w:val="21"/>
                <w:highlight w:val="none"/>
              </w:rPr>
            </w:pPr>
          </w:p>
        </w:tc>
        <w:tc>
          <w:tcPr>
            <w:tcW w:w="1073" w:type="dxa"/>
            <w:tcBorders>
              <w:top w:val="single" w:color="000000" w:sz="4" w:space="0"/>
              <w:left w:val="single" w:color="auto" w:sz="4" w:space="0"/>
              <w:bottom w:val="single" w:color="000000" w:sz="4" w:space="0"/>
              <w:right w:val="single" w:color="000000" w:sz="4" w:space="0"/>
            </w:tcBorders>
            <w:noWrap w:val="0"/>
            <w:vAlign w:val="center"/>
          </w:tcPr>
          <w:p w14:paraId="3C1D77C4">
            <w:pPr>
              <w:widowControl/>
              <w:jc w:val="center"/>
              <w:textAlignment w:val="center"/>
              <w:rPr>
                <w:rFonts w:hint="eastAsia" w:ascii="宋体" w:hAnsi="宋体" w:cs="宋体"/>
                <w:bCs/>
                <w:color w:val="auto"/>
                <w:kern w:val="0"/>
                <w:sz w:val="21"/>
                <w:szCs w:val="21"/>
                <w:highlight w:val="none"/>
              </w:rPr>
            </w:pPr>
          </w:p>
        </w:tc>
      </w:tr>
      <w:tr w14:paraId="29BD0D30">
        <w:tblPrEx>
          <w:tblCellMar>
            <w:top w:w="0" w:type="dxa"/>
            <w:left w:w="108" w:type="dxa"/>
            <w:bottom w:w="0" w:type="dxa"/>
            <w:right w:w="108" w:type="dxa"/>
          </w:tblCellMar>
        </w:tblPrEx>
        <w:trPr>
          <w:trHeight w:val="540"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3629D910">
            <w:pPr>
              <w:keepNext w:val="0"/>
              <w:keepLines w:val="0"/>
              <w:widowControl/>
              <w:suppressLineNumbers w:val="0"/>
              <w:jc w:val="center"/>
              <w:textAlignment w:val="center"/>
              <w:rPr>
                <w:rFonts w:ascii="宋体" w:hAnsi="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41" w:type="dxa"/>
            <w:tcBorders>
              <w:top w:val="single" w:color="000000" w:sz="4" w:space="0"/>
              <w:left w:val="nil"/>
              <w:bottom w:val="single" w:color="000000" w:sz="4" w:space="0"/>
              <w:right w:val="single" w:color="000000" w:sz="4" w:space="0"/>
            </w:tcBorders>
            <w:noWrap w:val="0"/>
            <w:vAlign w:val="center"/>
          </w:tcPr>
          <w:p w14:paraId="197C68DF">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成品腻子</w:t>
            </w:r>
          </w:p>
        </w:tc>
        <w:tc>
          <w:tcPr>
            <w:tcW w:w="3793" w:type="dxa"/>
            <w:tcBorders>
              <w:top w:val="single" w:color="000000" w:sz="4" w:space="0"/>
              <w:left w:val="nil"/>
              <w:bottom w:val="single" w:color="000000" w:sz="4" w:space="0"/>
              <w:right w:val="single" w:color="000000" w:sz="4" w:space="0"/>
            </w:tcBorders>
            <w:noWrap w:val="0"/>
            <w:vAlign w:val="center"/>
          </w:tcPr>
          <w:p w14:paraId="7179517B">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华润、多乐士、立邦</w:t>
            </w:r>
          </w:p>
        </w:tc>
        <w:tc>
          <w:tcPr>
            <w:tcW w:w="1099" w:type="dxa"/>
            <w:tcBorders>
              <w:top w:val="single" w:color="000000" w:sz="4" w:space="0"/>
              <w:left w:val="nil"/>
              <w:bottom w:val="single" w:color="000000" w:sz="4" w:space="0"/>
              <w:right w:val="single" w:color="auto" w:sz="4" w:space="0"/>
            </w:tcBorders>
            <w:noWrap w:val="0"/>
            <w:vAlign w:val="center"/>
          </w:tcPr>
          <w:p w14:paraId="085F0FA4">
            <w:pPr>
              <w:widowControl/>
              <w:jc w:val="center"/>
              <w:textAlignment w:val="center"/>
              <w:rPr>
                <w:rFonts w:hint="eastAsia" w:ascii="宋体" w:hAnsi="宋体" w:cs="宋体"/>
                <w:bCs/>
                <w:color w:val="auto"/>
                <w:kern w:val="0"/>
                <w:sz w:val="21"/>
                <w:szCs w:val="21"/>
                <w:highlight w:val="none"/>
              </w:rPr>
            </w:pPr>
          </w:p>
        </w:tc>
        <w:tc>
          <w:tcPr>
            <w:tcW w:w="1073" w:type="dxa"/>
            <w:tcBorders>
              <w:top w:val="single" w:color="000000" w:sz="4" w:space="0"/>
              <w:left w:val="single" w:color="auto" w:sz="4" w:space="0"/>
              <w:bottom w:val="single" w:color="000000" w:sz="4" w:space="0"/>
              <w:right w:val="single" w:color="000000" w:sz="4" w:space="0"/>
            </w:tcBorders>
            <w:noWrap w:val="0"/>
            <w:vAlign w:val="center"/>
          </w:tcPr>
          <w:p w14:paraId="673CA45E">
            <w:pPr>
              <w:widowControl/>
              <w:jc w:val="center"/>
              <w:textAlignment w:val="center"/>
              <w:rPr>
                <w:rFonts w:hint="eastAsia" w:ascii="宋体" w:hAnsi="宋体" w:cs="宋体"/>
                <w:bCs/>
                <w:color w:val="auto"/>
                <w:kern w:val="0"/>
                <w:sz w:val="21"/>
                <w:szCs w:val="21"/>
                <w:highlight w:val="none"/>
              </w:rPr>
            </w:pPr>
          </w:p>
        </w:tc>
      </w:tr>
      <w:tr w14:paraId="58083716">
        <w:tblPrEx>
          <w:tblCellMar>
            <w:top w:w="0" w:type="dxa"/>
            <w:left w:w="108" w:type="dxa"/>
            <w:bottom w:w="0" w:type="dxa"/>
            <w:right w:w="108" w:type="dxa"/>
          </w:tblCellMar>
        </w:tblPrEx>
        <w:trPr>
          <w:trHeight w:val="542"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2C30400C">
            <w:pPr>
              <w:keepNext w:val="0"/>
              <w:keepLines w:val="0"/>
              <w:widowControl/>
              <w:suppressLineNumbers w:val="0"/>
              <w:jc w:val="center"/>
              <w:textAlignment w:val="center"/>
              <w:rPr>
                <w:rFonts w:ascii="宋体" w:hAnsi="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41" w:type="dxa"/>
            <w:tcBorders>
              <w:top w:val="single" w:color="000000" w:sz="4" w:space="0"/>
              <w:left w:val="nil"/>
              <w:bottom w:val="single" w:color="000000" w:sz="4" w:space="0"/>
              <w:right w:val="single" w:color="000000" w:sz="4" w:space="0"/>
            </w:tcBorders>
            <w:noWrap w:val="0"/>
            <w:vAlign w:val="center"/>
          </w:tcPr>
          <w:p w14:paraId="4B1A9A8F">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乳胶漆</w:t>
            </w:r>
          </w:p>
        </w:tc>
        <w:tc>
          <w:tcPr>
            <w:tcW w:w="3793" w:type="dxa"/>
            <w:tcBorders>
              <w:top w:val="single" w:color="000000" w:sz="4" w:space="0"/>
              <w:left w:val="nil"/>
              <w:bottom w:val="single" w:color="000000" w:sz="4" w:space="0"/>
              <w:right w:val="single" w:color="000000" w:sz="4" w:space="0"/>
            </w:tcBorders>
            <w:noWrap w:val="0"/>
            <w:vAlign w:val="center"/>
          </w:tcPr>
          <w:p w14:paraId="3BFAA977">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华润、多乐士、立邦</w:t>
            </w:r>
          </w:p>
        </w:tc>
        <w:tc>
          <w:tcPr>
            <w:tcW w:w="1099" w:type="dxa"/>
            <w:tcBorders>
              <w:top w:val="single" w:color="000000" w:sz="4" w:space="0"/>
              <w:left w:val="nil"/>
              <w:bottom w:val="single" w:color="000000" w:sz="4" w:space="0"/>
              <w:right w:val="single" w:color="auto" w:sz="4" w:space="0"/>
            </w:tcBorders>
            <w:noWrap w:val="0"/>
            <w:vAlign w:val="center"/>
          </w:tcPr>
          <w:p w14:paraId="1DCC67E2">
            <w:pPr>
              <w:widowControl/>
              <w:jc w:val="center"/>
              <w:textAlignment w:val="center"/>
              <w:rPr>
                <w:rFonts w:hint="eastAsia" w:ascii="宋体" w:hAnsi="宋体" w:cs="宋体"/>
                <w:bCs/>
                <w:color w:val="auto"/>
                <w:kern w:val="0"/>
                <w:sz w:val="21"/>
                <w:szCs w:val="21"/>
                <w:highlight w:val="none"/>
              </w:rPr>
            </w:pPr>
          </w:p>
        </w:tc>
        <w:tc>
          <w:tcPr>
            <w:tcW w:w="1073" w:type="dxa"/>
            <w:tcBorders>
              <w:top w:val="single" w:color="000000" w:sz="4" w:space="0"/>
              <w:left w:val="single" w:color="auto" w:sz="4" w:space="0"/>
              <w:bottom w:val="single" w:color="000000" w:sz="4" w:space="0"/>
              <w:right w:val="single" w:color="000000" w:sz="4" w:space="0"/>
            </w:tcBorders>
            <w:noWrap w:val="0"/>
            <w:vAlign w:val="center"/>
          </w:tcPr>
          <w:p w14:paraId="1528C9FF">
            <w:pPr>
              <w:widowControl/>
              <w:jc w:val="center"/>
              <w:textAlignment w:val="center"/>
              <w:rPr>
                <w:rFonts w:hint="eastAsia" w:ascii="宋体" w:hAnsi="宋体" w:cs="宋体"/>
                <w:bCs/>
                <w:color w:val="auto"/>
                <w:kern w:val="0"/>
                <w:sz w:val="21"/>
                <w:szCs w:val="21"/>
                <w:highlight w:val="none"/>
              </w:rPr>
            </w:pPr>
          </w:p>
        </w:tc>
      </w:tr>
      <w:tr w14:paraId="203F4BBA">
        <w:tblPrEx>
          <w:tblCellMar>
            <w:top w:w="0" w:type="dxa"/>
            <w:left w:w="108" w:type="dxa"/>
            <w:bottom w:w="0" w:type="dxa"/>
            <w:right w:w="108" w:type="dxa"/>
          </w:tblCellMar>
        </w:tblPrEx>
        <w:trPr>
          <w:trHeight w:val="542" w:hRule="atLeast"/>
          <w:jc w:val="center"/>
        </w:trPr>
        <w:tc>
          <w:tcPr>
            <w:tcW w:w="8714" w:type="dxa"/>
            <w:gridSpan w:val="5"/>
            <w:tcBorders>
              <w:top w:val="single" w:color="000000" w:sz="4" w:space="0"/>
              <w:left w:val="single" w:color="000000" w:sz="4" w:space="0"/>
              <w:bottom w:val="single" w:color="000000" w:sz="4" w:space="0"/>
              <w:right w:val="single" w:color="000000" w:sz="4" w:space="0"/>
            </w:tcBorders>
            <w:noWrap w:val="0"/>
            <w:vAlign w:val="center"/>
          </w:tcPr>
          <w:p w14:paraId="5836F918">
            <w:pPr>
              <w:widowControl/>
              <w:jc w:val="center"/>
              <w:textAlignment w:val="center"/>
              <w:rPr>
                <w:rFonts w:hint="eastAsia" w:ascii="宋体" w:hAnsi="宋体" w:cs="宋体"/>
                <w:bCs/>
                <w:color w:val="auto"/>
                <w:kern w:val="0"/>
                <w:sz w:val="21"/>
                <w:szCs w:val="21"/>
                <w:highlight w:val="none"/>
              </w:rPr>
            </w:pPr>
            <w:r>
              <w:rPr>
                <w:rFonts w:ascii="宋体" w:hAnsi="宋体"/>
                <w:b/>
                <w:color w:val="auto"/>
                <w:szCs w:val="21"/>
                <w:highlight w:val="none"/>
              </w:rPr>
              <w:t>二、安装</w:t>
            </w:r>
            <w:r>
              <w:rPr>
                <w:rFonts w:hint="eastAsia" w:ascii="宋体" w:hAnsi="宋体"/>
                <w:b/>
                <w:color w:val="auto"/>
                <w:szCs w:val="21"/>
                <w:highlight w:val="none"/>
              </w:rPr>
              <w:t>部分</w:t>
            </w:r>
          </w:p>
        </w:tc>
      </w:tr>
      <w:tr w14:paraId="63EAF3A2">
        <w:tblPrEx>
          <w:tblCellMar>
            <w:top w:w="0" w:type="dxa"/>
            <w:left w:w="108" w:type="dxa"/>
            <w:bottom w:w="0" w:type="dxa"/>
            <w:right w:w="108" w:type="dxa"/>
          </w:tblCellMar>
        </w:tblPrEx>
        <w:trPr>
          <w:trHeight w:val="540"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6DFF0490">
            <w:pPr>
              <w:keepNext w:val="0"/>
              <w:keepLines w:val="0"/>
              <w:widowControl/>
              <w:suppressLineNumbers w:val="0"/>
              <w:jc w:val="center"/>
              <w:textAlignment w:val="center"/>
              <w:rPr>
                <w:rFonts w:ascii="宋体" w:hAnsi="宋体" w:eastAsia="宋体" w:cs="Times New Roman"/>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941" w:type="dxa"/>
            <w:tcBorders>
              <w:top w:val="single" w:color="000000" w:sz="4" w:space="0"/>
              <w:left w:val="nil"/>
              <w:bottom w:val="single" w:color="000000" w:sz="4" w:space="0"/>
              <w:right w:val="single" w:color="000000" w:sz="4" w:space="0"/>
            </w:tcBorders>
            <w:noWrap w:val="0"/>
            <w:vAlign w:val="top"/>
          </w:tcPr>
          <w:p w14:paraId="7C493C7A">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摄像机</w:t>
            </w:r>
          </w:p>
        </w:tc>
        <w:tc>
          <w:tcPr>
            <w:tcW w:w="3793" w:type="dxa"/>
            <w:tcBorders>
              <w:top w:val="single" w:color="000000" w:sz="4" w:space="0"/>
              <w:left w:val="nil"/>
              <w:bottom w:val="single" w:color="000000" w:sz="4" w:space="0"/>
              <w:right w:val="single" w:color="000000" w:sz="4" w:space="0"/>
            </w:tcBorders>
            <w:noWrap w:val="0"/>
            <w:vAlign w:val="top"/>
          </w:tcPr>
          <w:p w14:paraId="1D990479">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海康、大华、宇视</w:t>
            </w:r>
          </w:p>
        </w:tc>
        <w:tc>
          <w:tcPr>
            <w:tcW w:w="1099" w:type="dxa"/>
            <w:tcBorders>
              <w:top w:val="single" w:color="000000" w:sz="4" w:space="0"/>
              <w:left w:val="nil"/>
              <w:bottom w:val="single" w:color="000000" w:sz="4" w:space="0"/>
              <w:right w:val="single" w:color="auto" w:sz="4" w:space="0"/>
            </w:tcBorders>
            <w:noWrap w:val="0"/>
            <w:vAlign w:val="center"/>
          </w:tcPr>
          <w:p w14:paraId="00B4E7C8">
            <w:pPr>
              <w:widowControl/>
              <w:jc w:val="center"/>
              <w:textAlignment w:val="center"/>
              <w:rPr>
                <w:rFonts w:hint="eastAsia" w:ascii="宋体" w:hAnsi="宋体" w:cs="宋体"/>
                <w:bCs/>
                <w:color w:val="auto"/>
                <w:kern w:val="0"/>
                <w:sz w:val="21"/>
                <w:szCs w:val="21"/>
                <w:highlight w:val="none"/>
              </w:rPr>
            </w:pPr>
          </w:p>
        </w:tc>
        <w:tc>
          <w:tcPr>
            <w:tcW w:w="1073" w:type="dxa"/>
            <w:tcBorders>
              <w:top w:val="single" w:color="000000" w:sz="4" w:space="0"/>
              <w:left w:val="single" w:color="auto" w:sz="4" w:space="0"/>
              <w:bottom w:val="single" w:color="000000" w:sz="4" w:space="0"/>
              <w:right w:val="single" w:color="000000" w:sz="4" w:space="0"/>
            </w:tcBorders>
            <w:noWrap w:val="0"/>
            <w:vAlign w:val="center"/>
          </w:tcPr>
          <w:p w14:paraId="0413C938">
            <w:pPr>
              <w:widowControl/>
              <w:jc w:val="center"/>
              <w:textAlignment w:val="center"/>
              <w:rPr>
                <w:rFonts w:hint="eastAsia" w:ascii="宋体" w:hAnsi="宋体" w:cs="宋体"/>
                <w:bCs/>
                <w:color w:val="auto"/>
                <w:kern w:val="0"/>
                <w:sz w:val="21"/>
                <w:szCs w:val="21"/>
                <w:highlight w:val="none"/>
              </w:rPr>
            </w:pPr>
          </w:p>
        </w:tc>
      </w:tr>
      <w:tr w14:paraId="06D6346C">
        <w:tblPrEx>
          <w:tblCellMar>
            <w:top w:w="0" w:type="dxa"/>
            <w:left w:w="108" w:type="dxa"/>
            <w:bottom w:w="0" w:type="dxa"/>
            <w:right w:w="108" w:type="dxa"/>
          </w:tblCellMar>
        </w:tblPrEx>
        <w:trPr>
          <w:trHeight w:val="540"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3B42E037">
            <w:pPr>
              <w:keepNext w:val="0"/>
              <w:keepLines w:val="0"/>
              <w:widowControl/>
              <w:suppressLineNumbers w:val="0"/>
              <w:jc w:val="center"/>
              <w:textAlignment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1941" w:type="dxa"/>
            <w:tcBorders>
              <w:top w:val="single" w:color="000000" w:sz="4" w:space="0"/>
              <w:left w:val="nil"/>
              <w:bottom w:val="single" w:color="000000" w:sz="4" w:space="0"/>
              <w:right w:val="single" w:color="000000" w:sz="4" w:space="0"/>
            </w:tcBorders>
            <w:noWrap w:val="0"/>
            <w:vAlign w:val="top"/>
          </w:tcPr>
          <w:p w14:paraId="0A71E9DE">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交换机</w:t>
            </w:r>
          </w:p>
        </w:tc>
        <w:tc>
          <w:tcPr>
            <w:tcW w:w="3793" w:type="dxa"/>
            <w:tcBorders>
              <w:top w:val="single" w:color="000000" w:sz="4" w:space="0"/>
              <w:left w:val="nil"/>
              <w:bottom w:val="single" w:color="000000" w:sz="4" w:space="0"/>
              <w:right w:val="single" w:color="000000" w:sz="4" w:space="0"/>
            </w:tcBorders>
            <w:noWrap w:val="0"/>
            <w:vAlign w:val="top"/>
          </w:tcPr>
          <w:p w14:paraId="75E0E4FB">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锐捷、紫光恒越、华为</w:t>
            </w:r>
          </w:p>
        </w:tc>
        <w:tc>
          <w:tcPr>
            <w:tcW w:w="1099" w:type="dxa"/>
            <w:tcBorders>
              <w:top w:val="single" w:color="000000" w:sz="4" w:space="0"/>
              <w:left w:val="nil"/>
              <w:bottom w:val="single" w:color="000000" w:sz="4" w:space="0"/>
              <w:right w:val="single" w:color="auto" w:sz="4" w:space="0"/>
            </w:tcBorders>
            <w:noWrap w:val="0"/>
            <w:vAlign w:val="center"/>
          </w:tcPr>
          <w:p w14:paraId="413334F4">
            <w:pPr>
              <w:widowControl/>
              <w:jc w:val="center"/>
              <w:textAlignment w:val="center"/>
              <w:rPr>
                <w:rFonts w:hint="eastAsia" w:ascii="宋体" w:hAnsi="宋体" w:cs="宋体"/>
                <w:bCs/>
                <w:color w:val="auto"/>
                <w:kern w:val="0"/>
                <w:sz w:val="21"/>
                <w:szCs w:val="21"/>
                <w:highlight w:val="none"/>
              </w:rPr>
            </w:pPr>
          </w:p>
        </w:tc>
        <w:tc>
          <w:tcPr>
            <w:tcW w:w="1073" w:type="dxa"/>
            <w:tcBorders>
              <w:top w:val="single" w:color="000000" w:sz="4" w:space="0"/>
              <w:left w:val="single" w:color="auto" w:sz="4" w:space="0"/>
              <w:bottom w:val="single" w:color="000000" w:sz="4" w:space="0"/>
              <w:right w:val="single" w:color="000000" w:sz="4" w:space="0"/>
            </w:tcBorders>
            <w:noWrap w:val="0"/>
            <w:vAlign w:val="center"/>
          </w:tcPr>
          <w:p w14:paraId="7C8AB65E">
            <w:pPr>
              <w:widowControl/>
              <w:jc w:val="center"/>
              <w:textAlignment w:val="center"/>
              <w:rPr>
                <w:rFonts w:hint="eastAsia" w:ascii="宋体" w:hAnsi="宋体" w:cs="宋体"/>
                <w:bCs/>
                <w:color w:val="auto"/>
                <w:kern w:val="0"/>
                <w:sz w:val="21"/>
                <w:szCs w:val="21"/>
                <w:highlight w:val="none"/>
              </w:rPr>
            </w:pPr>
          </w:p>
        </w:tc>
      </w:tr>
      <w:tr w14:paraId="19FF2F34">
        <w:tblPrEx>
          <w:tblCellMar>
            <w:top w:w="0" w:type="dxa"/>
            <w:left w:w="108" w:type="dxa"/>
            <w:bottom w:w="0" w:type="dxa"/>
            <w:right w:w="108" w:type="dxa"/>
          </w:tblCellMar>
        </w:tblPrEx>
        <w:trPr>
          <w:trHeight w:val="540"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1E069BA3">
            <w:pPr>
              <w:keepNext w:val="0"/>
              <w:keepLines w:val="0"/>
              <w:widowControl/>
              <w:suppressLineNumbers w:val="0"/>
              <w:jc w:val="center"/>
              <w:textAlignment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1941" w:type="dxa"/>
            <w:tcBorders>
              <w:top w:val="single" w:color="000000" w:sz="4" w:space="0"/>
              <w:left w:val="nil"/>
              <w:bottom w:val="single" w:color="000000" w:sz="4" w:space="0"/>
              <w:right w:val="single" w:color="000000" w:sz="4" w:space="0"/>
            </w:tcBorders>
            <w:noWrap w:val="0"/>
            <w:vAlign w:val="center"/>
          </w:tcPr>
          <w:p w14:paraId="3E8890A5">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硬盘</w:t>
            </w:r>
          </w:p>
        </w:tc>
        <w:tc>
          <w:tcPr>
            <w:tcW w:w="3793" w:type="dxa"/>
            <w:tcBorders>
              <w:top w:val="single" w:color="000000" w:sz="4" w:space="0"/>
              <w:left w:val="nil"/>
              <w:bottom w:val="single" w:color="000000" w:sz="4" w:space="0"/>
              <w:right w:val="single" w:color="000000" w:sz="4" w:space="0"/>
            </w:tcBorders>
            <w:noWrap w:val="0"/>
            <w:vAlign w:val="center"/>
          </w:tcPr>
          <w:p w14:paraId="2357D4C9">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希捷、西数、海康</w:t>
            </w:r>
          </w:p>
        </w:tc>
        <w:tc>
          <w:tcPr>
            <w:tcW w:w="1099" w:type="dxa"/>
            <w:tcBorders>
              <w:top w:val="single" w:color="000000" w:sz="4" w:space="0"/>
              <w:left w:val="nil"/>
              <w:bottom w:val="single" w:color="000000" w:sz="4" w:space="0"/>
              <w:right w:val="single" w:color="auto" w:sz="4" w:space="0"/>
            </w:tcBorders>
            <w:noWrap w:val="0"/>
            <w:vAlign w:val="center"/>
          </w:tcPr>
          <w:p w14:paraId="55D98CC1">
            <w:pPr>
              <w:widowControl/>
              <w:jc w:val="center"/>
              <w:textAlignment w:val="center"/>
              <w:rPr>
                <w:rFonts w:hint="eastAsia" w:ascii="宋体" w:hAnsi="宋体" w:cs="宋体"/>
                <w:bCs/>
                <w:color w:val="auto"/>
                <w:kern w:val="0"/>
                <w:sz w:val="21"/>
                <w:szCs w:val="21"/>
                <w:highlight w:val="none"/>
              </w:rPr>
            </w:pPr>
          </w:p>
        </w:tc>
        <w:tc>
          <w:tcPr>
            <w:tcW w:w="1073" w:type="dxa"/>
            <w:tcBorders>
              <w:top w:val="single" w:color="000000" w:sz="4" w:space="0"/>
              <w:left w:val="single" w:color="auto" w:sz="4" w:space="0"/>
              <w:bottom w:val="single" w:color="000000" w:sz="4" w:space="0"/>
              <w:right w:val="single" w:color="000000" w:sz="4" w:space="0"/>
            </w:tcBorders>
            <w:noWrap w:val="0"/>
            <w:vAlign w:val="center"/>
          </w:tcPr>
          <w:p w14:paraId="0AF3C8A7">
            <w:pPr>
              <w:widowControl/>
              <w:jc w:val="center"/>
              <w:textAlignment w:val="center"/>
              <w:rPr>
                <w:rFonts w:hint="eastAsia" w:ascii="宋体" w:hAnsi="宋体" w:cs="宋体"/>
                <w:bCs/>
                <w:color w:val="auto"/>
                <w:kern w:val="0"/>
                <w:sz w:val="21"/>
                <w:szCs w:val="21"/>
                <w:highlight w:val="none"/>
              </w:rPr>
            </w:pPr>
          </w:p>
        </w:tc>
      </w:tr>
      <w:tr w14:paraId="5382F799">
        <w:tblPrEx>
          <w:tblCellMar>
            <w:top w:w="0" w:type="dxa"/>
            <w:left w:w="108" w:type="dxa"/>
            <w:bottom w:w="0" w:type="dxa"/>
            <w:right w:w="108" w:type="dxa"/>
          </w:tblCellMar>
        </w:tblPrEx>
        <w:trPr>
          <w:trHeight w:val="540"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0CB008C6">
            <w:pPr>
              <w:keepNext w:val="0"/>
              <w:keepLines w:val="0"/>
              <w:widowControl/>
              <w:suppressLineNumbers w:val="0"/>
              <w:jc w:val="center"/>
              <w:textAlignment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c>
          <w:tcPr>
            <w:tcW w:w="1941" w:type="dxa"/>
            <w:tcBorders>
              <w:top w:val="single" w:color="000000" w:sz="4" w:space="0"/>
              <w:left w:val="nil"/>
              <w:bottom w:val="single" w:color="000000" w:sz="4" w:space="0"/>
              <w:right w:val="single" w:color="000000" w:sz="4" w:space="0"/>
            </w:tcBorders>
            <w:noWrap w:val="0"/>
            <w:vAlign w:val="center"/>
          </w:tcPr>
          <w:p w14:paraId="21127ED5">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管理电脑</w:t>
            </w:r>
          </w:p>
        </w:tc>
        <w:tc>
          <w:tcPr>
            <w:tcW w:w="3793" w:type="dxa"/>
            <w:tcBorders>
              <w:top w:val="single" w:color="000000" w:sz="4" w:space="0"/>
              <w:left w:val="nil"/>
              <w:bottom w:val="single" w:color="000000" w:sz="4" w:space="0"/>
              <w:right w:val="single" w:color="000000" w:sz="4" w:space="0"/>
            </w:tcBorders>
            <w:noWrap w:val="0"/>
            <w:vAlign w:val="center"/>
          </w:tcPr>
          <w:p w14:paraId="420F0F88">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DELL、HP、联想</w:t>
            </w:r>
          </w:p>
        </w:tc>
        <w:tc>
          <w:tcPr>
            <w:tcW w:w="1099" w:type="dxa"/>
            <w:tcBorders>
              <w:top w:val="single" w:color="000000" w:sz="4" w:space="0"/>
              <w:left w:val="nil"/>
              <w:bottom w:val="single" w:color="000000" w:sz="4" w:space="0"/>
              <w:right w:val="single" w:color="auto" w:sz="4" w:space="0"/>
            </w:tcBorders>
            <w:noWrap w:val="0"/>
            <w:vAlign w:val="center"/>
          </w:tcPr>
          <w:p w14:paraId="7A50E4BC">
            <w:pPr>
              <w:widowControl/>
              <w:jc w:val="center"/>
              <w:textAlignment w:val="center"/>
              <w:rPr>
                <w:rFonts w:hint="eastAsia" w:ascii="宋体" w:hAnsi="宋体" w:cs="宋体"/>
                <w:bCs/>
                <w:color w:val="auto"/>
                <w:kern w:val="0"/>
                <w:sz w:val="21"/>
                <w:szCs w:val="21"/>
                <w:highlight w:val="none"/>
              </w:rPr>
            </w:pPr>
          </w:p>
        </w:tc>
        <w:tc>
          <w:tcPr>
            <w:tcW w:w="1073" w:type="dxa"/>
            <w:tcBorders>
              <w:top w:val="single" w:color="000000" w:sz="4" w:space="0"/>
              <w:left w:val="single" w:color="auto" w:sz="4" w:space="0"/>
              <w:bottom w:val="single" w:color="000000" w:sz="4" w:space="0"/>
              <w:right w:val="single" w:color="000000" w:sz="4" w:space="0"/>
            </w:tcBorders>
            <w:noWrap w:val="0"/>
            <w:vAlign w:val="center"/>
          </w:tcPr>
          <w:p w14:paraId="67A8FC69">
            <w:pPr>
              <w:widowControl/>
              <w:jc w:val="center"/>
              <w:textAlignment w:val="center"/>
              <w:rPr>
                <w:rFonts w:hint="eastAsia" w:ascii="宋体" w:hAnsi="宋体" w:cs="宋体"/>
                <w:bCs/>
                <w:color w:val="auto"/>
                <w:kern w:val="0"/>
                <w:sz w:val="21"/>
                <w:szCs w:val="21"/>
                <w:highlight w:val="none"/>
              </w:rPr>
            </w:pPr>
          </w:p>
        </w:tc>
      </w:tr>
      <w:tr w14:paraId="7376021C">
        <w:tblPrEx>
          <w:tblCellMar>
            <w:top w:w="0" w:type="dxa"/>
            <w:left w:w="108" w:type="dxa"/>
            <w:bottom w:w="0" w:type="dxa"/>
            <w:right w:w="108" w:type="dxa"/>
          </w:tblCellMar>
        </w:tblPrEx>
        <w:trPr>
          <w:trHeight w:val="540"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36D58DF1">
            <w:pPr>
              <w:keepNext w:val="0"/>
              <w:keepLines w:val="0"/>
              <w:widowControl/>
              <w:suppressLineNumbers w:val="0"/>
              <w:jc w:val="center"/>
              <w:textAlignment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1941" w:type="dxa"/>
            <w:tcBorders>
              <w:top w:val="single" w:color="000000" w:sz="4" w:space="0"/>
              <w:left w:val="nil"/>
              <w:bottom w:val="single" w:color="000000" w:sz="4" w:space="0"/>
              <w:right w:val="single" w:color="000000" w:sz="4" w:space="0"/>
            </w:tcBorders>
            <w:noWrap w:val="0"/>
            <w:vAlign w:val="center"/>
          </w:tcPr>
          <w:p w14:paraId="4E3A038F">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机柜</w:t>
            </w:r>
          </w:p>
        </w:tc>
        <w:tc>
          <w:tcPr>
            <w:tcW w:w="3793" w:type="dxa"/>
            <w:tcBorders>
              <w:top w:val="single" w:color="000000" w:sz="4" w:space="0"/>
              <w:left w:val="nil"/>
              <w:bottom w:val="single" w:color="000000" w:sz="4" w:space="0"/>
              <w:right w:val="single" w:color="000000" w:sz="4" w:space="0"/>
            </w:tcBorders>
            <w:noWrap w:val="0"/>
            <w:vAlign w:val="center"/>
          </w:tcPr>
          <w:p w14:paraId="4DDA378F">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一舟、爱谱华顿、图腾</w:t>
            </w:r>
          </w:p>
        </w:tc>
        <w:tc>
          <w:tcPr>
            <w:tcW w:w="1099" w:type="dxa"/>
            <w:tcBorders>
              <w:top w:val="single" w:color="000000" w:sz="4" w:space="0"/>
              <w:left w:val="nil"/>
              <w:bottom w:val="single" w:color="000000" w:sz="4" w:space="0"/>
              <w:right w:val="single" w:color="auto" w:sz="4" w:space="0"/>
            </w:tcBorders>
            <w:noWrap w:val="0"/>
            <w:vAlign w:val="center"/>
          </w:tcPr>
          <w:p w14:paraId="3E3CDCB4">
            <w:pPr>
              <w:widowControl/>
              <w:jc w:val="center"/>
              <w:textAlignment w:val="center"/>
              <w:rPr>
                <w:rFonts w:hint="eastAsia" w:ascii="宋体" w:hAnsi="宋体" w:cs="宋体"/>
                <w:bCs/>
                <w:color w:val="auto"/>
                <w:kern w:val="0"/>
                <w:sz w:val="21"/>
                <w:szCs w:val="21"/>
                <w:highlight w:val="none"/>
              </w:rPr>
            </w:pPr>
          </w:p>
        </w:tc>
        <w:tc>
          <w:tcPr>
            <w:tcW w:w="1073" w:type="dxa"/>
            <w:tcBorders>
              <w:top w:val="single" w:color="000000" w:sz="4" w:space="0"/>
              <w:left w:val="single" w:color="auto" w:sz="4" w:space="0"/>
              <w:bottom w:val="single" w:color="000000" w:sz="4" w:space="0"/>
              <w:right w:val="single" w:color="000000" w:sz="4" w:space="0"/>
            </w:tcBorders>
            <w:noWrap w:val="0"/>
            <w:vAlign w:val="center"/>
          </w:tcPr>
          <w:p w14:paraId="325C7378">
            <w:pPr>
              <w:widowControl/>
              <w:jc w:val="center"/>
              <w:textAlignment w:val="center"/>
              <w:rPr>
                <w:rFonts w:hint="eastAsia" w:ascii="宋体" w:hAnsi="宋体" w:cs="宋体"/>
                <w:bCs/>
                <w:color w:val="auto"/>
                <w:kern w:val="0"/>
                <w:sz w:val="21"/>
                <w:szCs w:val="21"/>
                <w:highlight w:val="none"/>
              </w:rPr>
            </w:pPr>
          </w:p>
        </w:tc>
      </w:tr>
      <w:tr w14:paraId="64A0D817">
        <w:tblPrEx>
          <w:tblCellMar>
            <w:top w:w="0" w:type="dxa"/>
            <w:left w:w="108" w:type="dxa"/>
            <w:bottom w:w="0" w:type="dxa"/>
            <w:right w:w="108" w:type="dxa"/>
          </w:tblCellMar>
        </w:tblPrEx>
        <w:trPr>
          <w:trHeight w:val="540"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2DD21CAD">
            <w:pPr>
              <w:keepNext w:val="0"/>
              <w:keepLines w:val="0"/>
              <w:widowControl/>
              <w:suppressLineNumbers w:val="0"/>
              <w:jc w:val="center"/>
              <w:textAlignment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1941" w:type="dxa"/>
            <w:tcBorders>
              <w:top w:val="single" w:color="000000" w:sz="4" w:space="0"/>
              <w:left w:val="nil"/>
              <w:bottom w:val="single" w:color="000000" w:sz="4" w:space="0"/>
              <w:right w:val="single" w:color="000000" w:sz="4" w:space="0"/>
            </w:tcBorders>
            <w:noWrap w:val="0"/>
            <w:vAlign w:val="center"/>
          </w:tcPr>
          <w:p w14:paraId="6120C3CA">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LCD液晶屏</w:t>
            </w:r>
          </w:p>
        </w:tc>
        <w:tc>
          <w:tcPr>
            <w:tcW w:w="3793" w:type="dxa"/>
            <w:tcBorders>
              <w:top w:val="single" w:color="000000" w:sz="4" w:space="0"/>
              <w:left w:val="nil"/>
              <w:bottom w:val="single" w:color="000000" w:sz="4" w:space="0"/>
              <w:right w:val="single" w:color="000000" w:sz="4" w:space="0"/>
            </w:tcBorders>
            <w:noWrap w:val="0"/>
            <w:vAlign w:val="center"/>
          </w:tcPr>
          <w:p w14:paraId="15BC0F4A">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创维、海信、TCL</w:t>
            </w:r>
          </w:p>
        </w:tc>
        <w:tc>
          <w:tcPr>
            <w:tcW w:w="1099" w:type="dxa"/>
            <w:tcBorders>
              <w:top w:val="single" w:color="000000" w:sz="4" w:space="0"/>
              <w:left w:val="nil"/>
              <w:bottom w:val="single" w:color="000000" w:sz="4" w:space="0"/>
              <w:right w:val="single" w:color="auto" w:sz="4" w:space="0"/>
            </w:tcBorders>
            <w:noWrap w:val="0"/>
            <w:vAlign w:val="center"/>
          </w:tcPr>
          <w:p w14:paraId="7E073B97">
            <w:pPr>
              <w:widowControl/>
              <w:jc w:val="center"/>
              <w:textAlignment w:val="center"/>
              <w:rPr>
                <w:rFonts w:hint="eastAsia" w:ascii="宋体" w:hAnsi="宋体" w:cs="宋体"/>
                <w:bCs/>
                <w:color w:val="auto"/>
                <w:kern w:val="0"/>
                <w:sz w:val="21"/>
                <w:szCs w:val="21"/>
                <w:highlight w:val="none"/>
              </w:rPr>
            </w:pPr>
          </w:p>
        </w:tc>
        <w:tc>
          <w:tcPr>
            <w:tcW w:w="1073" w:type="dxa"/>
            <w:tcBorders>
              <w:top w:val="single" w:color="000000" w:sz="4" w:space="0"/>
              <w:left w:val="single" w:color="auto" w:sz="4" w:space="0"/>
              <w:bottom w:val="single" w:color="000000" w:sz="4" w:space="0"/>
              <w:right w:val="single" w:color="000000" w:sz="4" w:space="0"/>
            </w:tcBorders>
            <w:noWrap w:val="0"/>
            <w:vAlign w:val="center"/>
          </w:tcPr>
          <w:p w14:paraId="221183D0">
            <w:pPr>
              <w:widowControl/>
              <w:jc w:val="center"/>
              <w:textAlignment w:val="center"/>
              <w:rPr>
                <w:rFonts w:hint="eastAsia" w:ascii="宋体" w:hAnsi="宋体" w:cs="宋体"/>
                <w:bCs/>
                <w:color w:val="auto"/>
                <w:kern w:val="0"/>
                <w:sz w:val="21"/>
                <w:szCs w:val="21"/>
                <w:highlight w:val="none"/>
              </w:rPr>
            </w:pPr>
          </w:p>
        </w:tc>
      </w:tr>
      <w:tr w14:paraId="242B4C30">
        <w:tblPrEx>
          <w:tblCellMar>
            <w:top w:w="0" w:type="dxa"/>
            <w:left w:w="108" w:type="dxa"/>
            <w:bottom w:w="0" w:type="dxa"/>
            <w:right w:w="108" w:type="dxa"/>
          </w:tblCellMar>
        </w:tblPrEx>
        <w:trPr>
          <w:trHeight w:val="540"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20DD340D">
            <w:pPr>
              <w:keepNext w:val="0"/>
              <w:keepLines w:val="0"/>
              <w:widowControl/>
              <w:suppressLineNumbers w:val="0"/>
              <w:jc w:val="center"/>
              <w:textAlignment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w:t>
            </w:r>
          </w:p>
        </w:tc>
        <w:tc>
          <w:tcPr>
            <w:tcW w:w="1941" w:type="dxa"/>
            <w:tcBorders>
              <w:top w:val="single" w:color="000000" w:sz="4" w:space="0"/>
              <w:left w:val="nil"/>
              <w:bottom w:val="single" w:color="000000" w:sz="4" w:space="0"/>
              <w:right w:val="single" w:color="000000" w:sz="4" w:space="0"/>
            </w:tcBorders>
            <w:noWrap w:val="0"/>
            <w:vAlign w:val="center"/>
          </w:tcPr>
          <w:p w14:paraId="0EE886BC">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防火墙（含路由功能）</w:t>
            </w:r>
          </w:p>
        </w:tc>
        <w:tc>
          <w:tcPr>
            <w:tcW w:w="3793" w:type="dxa"/>
            <w:tcBorders>
              <w:top w:val="single" w:color="000000" w:sz="4" w:space="0"/>
              <w:left w:val="nil"/>
              <w:bottom w:val="single" w:color="000000" w:sz="4" w:space="0"/>
              <w:right w:val="single" w:color="000000" w:sz="4" w:space="0"/>
            </w:tcBorders>
            <w:noWrap w:val="0"/>
            <w:vAlign w:val="center"/>
          </w:tcPr>
          <w:p w14:paraId="54FCA4B2">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华为、华三、安恒</w:t>
            </w:r>
          </w:p>
        </w:tc>
        <w:tc>
          <w:tcPr>
            <w:tcW w:w="1099" w:type="dxa"/>
            <w:tcBorders>
              <w:top w:val="single" w:color="000000" w:sz="4" w:space="0"/>
              <w:left w:val="nil"/>
              <w:bottom w:val="single" w:color="000000" w:sz="4" w:space="0"/>
              <w:right w:val="single" w:color="auto" w:sz="4" w:space="0"/>
            </w:tcBorders>
            <w:noWrap w:val="0"/>
            <w:vAlign w:val="center"/>
          </w:tcPr>
          <w:p w14:paraId="5FC617E3">
            <w:pPr>
              <w:widowControl/>
              <w:jc w:val="center"/>
              <w:textAlignment w:val="center"/>
              <w:rPr>
                <w:rFonts w:hint="eastAsia" w:ascii="宋体" w:hAnsi="宋体" w:cs="宋体"/>
                <w:bCs/>
                <w:color w:val="auto"/>
                <w:kern w:val="0"/>
                <w:sz w:val="21"/>
                <w:szCs w:val="21"/>
                <w:highlight w:val="none"/>
              </w:rPr>
            </w:pPr>
          </w:p>
        </w:tc>
        <w:tc>
          <w:tcPr>
            <w:tcW w:w="1073" w:type="dxa"/>
            <w:tcBorders>
              <w:top w:val="single" w:color="000000" w:sz="4" w:space="0"/>
              <w:left w:val="single" w:color="auto" w:sz="4" w:space="0"/>
              <w:bottom w:val="single" w:color="000000" w:sz="4" w:space="0"/>
              <w:right w:val="single" w:color="000000" w:sz="4" w:space="0"/>
            </w:tcBorders>
            <w:noWrap w:val="0"/>
            <w:vAlign w:val="center"/>
          </w:tcPr>
          <w:p w14:paraId="2848A1B8">
            <w:pPr>
              <w:widowControl/>
              <w:jc w:val="center"/>
              <w:textAlignment w:val="center"/>
              <w:rPr>
                <w:rFonts w:hint="eastAsia" w:ascii="宋体" w:hAnsi="宋体" w:cs="宋体"/>
                <w:bCs/>
                <w:color w:val="auto"/>
                <w:kern w:val="0"/>
                <w:sz w:val="21"/>
                <w:szCs w:val="21"/>
                <w:highlight w:val="none"/>
              </w:rPr>
            </w:pPr>
          </w:p>
        </w:tc>
      </w:tr>
      <w:tr w14:paraId="569B24E3">
        <w:tblPrEx>
          <w:tblCellMar>
            <w:top w:w="0" w:type="dxa"/>
            <w:left w:w="108" w:type="dxa"/>
            <w:bottom w:w="0" w:type="dxa"/>
            <w:right w:w="108" w:type="dxa"/>
          </w:tblCellMar>
        </w:tblPrEx>
        <w:trPr>
          <w:trHeight w:val="540"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0BA3915C">
            <w:pPr>
              <w:keepNext w:val="0"/>
              <w:keepLines w:val="0"/>
              <w:widowControl/>
              <w:suppressLineNumbers w:val="0"/>
              <w:jc w:val="center"/>
              <w:textAlignment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w:t>
            </w:r>
          </w:p>
        </w:tc>
        <w:tc>
          <w:tcPr>
            <w:tcW w:w="1941" w:type="dxa"/>
            <w:tcBorders>
              <w:top w:val="single" w:color="000000" w:sz="4" w:space="0"/>
              <w:left w:val="nil"/>
              <w:bottom w:val="single" w:color="000000" w:sz="4" w:space="0"/>
              <w:right w:val="single" w:color="000000" w:sz="4" w:space="0"/>
            </w:tcBorders>
            <w:noWrap w:val="0"/>
            <w:vAlign w:val="center"/>
          </w:tcPr>
          <w:p w14:paraId="305D0E90">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USP主机 </w:t>
            </w:r>
          </w:p>
        </w:tc>
        <w:tc>
          <w:tcPr>
            <w:tcW w:w="3793" w:type="dxa"/>
            <w:tcBorders>
              <w:top w:val="single" w:color="000000" w:sz="4" w:space="0"/>
              <w:left w:val="nil"/>
              <w:bottom w:val="single" w:color="000000" w:sz="4" w:space="0"/>
              <w:right w:val="single" w:color="000000" w:sz="4" w:space="0"/>
            </w:tcBorders>
            <w:noWrap w:val="0"/>
            <w:vAlign w:val="center"/>
          </w:tcPr>
          <w:p w14:paraId="7F885BE0">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科华、科士达、深圳山特</w:t>
            </w:r>
          </w:p>
        </w:tc>
        <w:tc>
          <w:tcPr>
            <w:tcW w:w="1099" w:type="dxa"/>
            <w:tcBorders>
              <w:top w:val="single" w:color="000000" w:sz="4" w:space="0"/>
              <w:left w:val="nil"/>
              <w:bottom w:val="single" w:color="000000" w:sz="4" w:space="0"/>
              <w:right w:val="single" w:color="auto" w:sz="4" w:space="0"/>
            </w:tcBorders>
            <w:noWrap w:val="0"/>
            <w:vAlign w:val="center"/>
          </w:tcPr>
          <w:p w14:paraId="10C15A74">
            <w:pPr>
              <w:widowControl/>
              <w:jc w:val="center"/>
              <w:textAlignment w:val="center"/>
              <w:rPr>
                <w:rFonts w:hint="eastAsia" w:ascii="宋体" w:hAnsi="宋体" w:cs="宋体"/>
                <w:bCs/>
                <w:color w:val="auto"/>
                <w:kern w:val="0"/>
                <w:sz w:val="21"/>
                <w:szCs w:val="21"/>
                <w:highlight w:val="none"/>
              </w:rPr>
            </w:pPr>
          </w:p>
        </w:tc>
        <w:tc>
          <w:tcPr>
            <w:tcW w:w="1073" w:type="dxa"/>
            <w:tcBorders>
              <w:top w:val="single" w:color="000000" w:sz="4" w:space="0"/>
              <w:left w:val="single" w:color="auto" w:sz="4" w:space="0"/>
              <w:bottom w:val="single" w:color="000000" w:sz="4" w:space="0"/>
              <w:right w:val="single" w:color="000000" w:sz="4" w:space="0"/>
            </w:tcBorders>
            <w:noWrap w:val="0"/>
            <w:vAlign w:val="center"/>
          </w:tcPr>
          <w:p w14:paraId="56260ED7">
            <w:pPr>
              <w:widowControl/>
              <w:jc w:val="center"/>
              <w:textAlignment w:val="center"/>
              <w:rPr>
                <w:rFonts w:hint="eastAsia" w:ascii="宋体" w:hAnsi="宋体" w:cs="宋体"/>
                <w:bCs/>
                <w:color w:val="auto"/>
                <w:kern w:val="0"/>
                <w:sz w:val="21"/>
                <w:szCs w:val="21"/>
                <w:highlight w:val="none"/>
              </w:rPr>
            </w:pPr>
          </w:p>
        </w:tc>
      </w:tr>
      <w:tr w14:paraId="0F35EF6F">
        <w:tblPrEx>
          <w:tblCellMar>
            <w:top w:w="0" w:type="dxa"/>
            <w:left w:w="108" w:type="dxa"/>
            <w:bottom w:w="0" w:type="dxa"/>
            <w:right w:w="108" w:type="dxa"/>
          </w:tblCellMar>
        </w:tblPrEx>
        <w:trPr>
          <w:trHeight w:val="540"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5543F11F">
            <w:pPr>
              <w:keepNext w:val="0"/>
              <w:keepLines w:val="0"/>
              <w:widowControl/>
              <w:suppressLineNumbers w:val="0"/>
              <w:jc w:val="center"/>
              <w:textAlignment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w:t>
            </w:r>
          </w:p>
        </w:tc>
        <w:tc>
          <w:tcPr>
            <w:tcW w:w="1941" w:type="dxa"/>
            <w:tcBorders>
              <w:top w:val="single" w:color="000000" w:sz="4" w:space="0"/>
              <w:left w:val="nil"/>
              <w:bottom w:val="single" w:color="000000" w:sz="4" w:space="0"/>
              <w:right w:val="single" w:color="000000" w:sz="4" w:space="0"/>
            </w:tcBorders>
            <w:noWrap w:val="0"/>
            <w:vAlign w:val="center"/>
          </w:tcPr>
          <w:p w14:paraId="424F18CD">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电池柜（含电池）</w:t>
            </w:r>
          </w:p>
        </w:tc>
        <w:tc>
          <w:tcPr>
            <w:tcW w:w="3793" w:type="dxa"/>
            <w:tcBorders>
              <w:top w:val="single" w:color="000000" w:sz="4" w:space="0"/>
              <w:left w:val="nil"/>
              <w:bottom w:val="single" w:color="000000" w:sz="4" w:space="0"/>
              <w:right w:val="single" w:color="000000" w:sz="4" w:space="0"/>
            </w:tcBorders>
            <w:noWrap w:val="0"/>
            <w:vAlign w:val="center"/>
          </w:tcPr>
          <w:p w14:paraId="25B621DE">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科华、科士达、深圳山特</w:t>
            </w:r>
          </w:p>
        </w:tc>
        <w:tc>
          <w:tcPr>
            <w:tcW w:w="1099" w:type="dxa"/>
            <w:tcBorders>
              <w:top w:val="single" w:color="000000" w:sz="4" w:space="0"/>
              <w:left w:val="nil"/>
              <w:bottom w:val="single" w:color="000000" w:sz="4" w:space="0"/>
              <w:right w:val="single" w:color="auto" w:sz="4" w:space="0"/>
            </w:tcBorders>
            <w:noWrap w:val="0"/>
            <w:vAlign w:val="center"/>
          </w:tcPr>
          <w:p w14:paraId="29125325">
            <w:pPr>
              <w:widowControl/>
              <w:jc w:val="center"/>
              <w:textAlignment w:val="center"/>
              <w:rPr>
                <w:rFonts w:hint="eastAsia" w:ascii="宋体" w:hAnsi="宋体" w:cs="宋体"/>
                <w:bCs/>
                <w:color w:val="auto"/>
                <w:kern w:val="0"/>
                <w:sz w:val="21"/>
                <w:szCs w:val="21"/>
                <w:highlight w:val="none"/>
              </w:rPr>
            </w:pPr>
          </w:p>
        </w:tc>
        <w:tc>
          <w:tcPr>
            <w:tcW w:w="1073" w:type="dxa"/>
            <w:tcBorders>
              <w:top w:val="single" w:color="000000" w:sz="4" w:space="0"/>
              <w:left w:val="single" w:color="auto" w:sz="4" w:space="0"/>
              <w:bottom w:val="single" w:color="000000" w:sz="4" w:space="0"/>
              <w:right w:val="single" w:color="000000" w:sz="4" w:space="0"/>
            </w:tcBorders>
            <w:noWrap w:val="0"/>
            <w:vAlign w:val="center"/>
          </w:tcPr>
          <w:p w14:paraId="02C8BAB6">
            <w:pPr>
              <w:widowControl/>
              <w:jc w:val="center"/>
              <w:textAlignment w:val="center"/>
              <w:rPr>
                <w:rFonts w:hint="eastAsia" w:ascii="宋体" w:hAnsi="宋体" w:cs="宋体"/>
                <w:bCs/>
                <w:color w:val="auto"/>
                <w:kern w:val="0"/>
                <w:sz w:val="21"/>
                <w:szCs w:val="21"/>
                <w:highlight w:val="none"/>
              </w:rPr>
            </w:pPr>
          </w:p>
        </w:tc>
      </w:tr>
      <w:tr w14:paraId="1860EF1C">
        <w:tblPrEx>
          <w:tblCellMar>
            <w:top w:w="0" w:type="dxa"/>
            <w:left w:w="108" w:type="dxa"/>
            <w:bottom w:w="0" w:type="dxa"/>
            <w:right w:w="108" w:type="dxa"/>
          </w:tblCellMar>
        </w:tblPrEx>
        <w:trPr>
          <w:trHeight w:val="540"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108E0EF1">
            <w:pPr>
              <w:keepNext w:val="0"/>
              <w:keepLines w:val="0"/>
              <w:widowControl/>
              <w:suppressLineNumbers w:val="0"/>
              <w:jc w:val="center"/>
              <w:textAlignment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w:t>
            </w:r>
          </w:p>
        </w:tc>
        <w:tc>
          <w:tcPr>
            <w:tcW w:w="1941" w:type="dxa"/>
            <w:tcBorders>
              <w:top w:val="single" w:color="000000" w:sz="4" w:space="0"/>
              <w:left w:val="nil"/>
              <w:bottom w:val="single" w:color="000000" w:sz="4" w:space="0"/>
              <w:right w:val="single" w:color="000000" w:sz="4" w:space="0"/>
            </w:tcBorders>
            <w:noWrap w:val="0"/>
            <w:vAlign w:val="center"/>
          </w:tcPr>
          <w:p w14:paraId="53B39953">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防静电活动地板</w:t>
            </w:r>
          </w:p>
        </w:tc>
        <w:tc>
          <w:tcPr>
            <w:tcW w:w="3793" w:type="dxa"/>
            <w:tcBorders>
              <w:top w:val="single" w:color="000000" w:sz="4" w:space="0"/>
              <w:left w:val="nil"/>
              <w:bottom w:val="single" w:color="000000" w:sz="4" w:space="0"/>
              <w:right w:val="single" w:color="000000" w:sz="4" w:space="0"/>
            </w:tcBorders>
            <w:noWrap w:val="0"/>
            <w:vAlign w:val="center"/>
          </w:tcPr>
          <w:p w14:paraId="7A526BD0">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沈飞、汇丽、向新</w:t>
            </w:r>
          </w:p>
        </w:tc>
        <w:tc>
          <w:tcPr>
            <w:tcW w:w="1099" w:type="dxa"/>
            <w:tcBorders>
              <w:top w:val="single" w:color="000000" w:sz="4" w:space="0"/>
              <w:left w:val="nil"/>
              <w:bottom w:val="single" w:color="000000" w:sz="4" w:space="0"/>
              <w:right w:val="single" w:color="auto" w:sz="4" w:space="0"/>
            </w:tcBorders>
            <w:noWrap w:val="0"/>
            <w:vAlign w:val="center"/>
          </w:tcPr>
          <w:p w14:paraId="67A925EB">
            <w:pPr>
              <w:widowControl/>
              <w:jc w:val="center"/>
              <w:textAlignment w:val="center"/>
              <w:rPr>
                <w:rFonts w:hint="eastAsia" w:ascii="宋体" w:hAnsi="宋体" w:cs="宋体"/>
                <w:bCs/>
                <w:color w:val="auto"/>
                <w:kern w:val="0"/>
                <w:sz w:val="21"/>
                <w:szCs w:val="21"/>
                <w:highlight w:val="none"/>
              </w:rPr>
            </w:pPr>
          </w:p>
        </w:tc>
        <w:tc>
          <w:tcPr>
            <w:tcW w:w="1073" w:type="dxa"/>
            <w:tcBorders>
              <w:top w:val="single" w:color="000000" w:sz="4" w:space="0"/>
              <w:left w:val="single" w:color="auto" w:sz="4" w:space="0"/>
              <w:bottom w:val="single" w:color="000000" w:sz="4" w:space="0"/>
              <w:right w:val="single" w:color="000000" w:sz="4" w:space="0"/>
            </w:tcBorders>
            <w:noWrap w:val="0"/>
            <w:vAlign w:val="center"/>
          </w:tcPr>
          <w:p w14:paraId="05694CE9">
            <w:pPr>
              <w:widowControl/>
              <w:jc w:val="center"/>
              <w:textAlignment w:val="center"/>
              <w:rPr>
                <w:rFonts w:hint="eastAsia" w:ascii="宋体" w:hAnsi="宋体" w:cs="宋体"/>
                <w:bCs/>
                <w:color w:val="auto"/>
                <w:kern w:val="0"/>
                <w:sz w:val="21"/>
                <w:szCs w:val="21"/>
                <w:highlight w:val="none"/>
              </w:rPr>
            </w:pPr>
          </w:p>
        </w:tc>
      </w:tr>
      <w:tr w14:paraId="4B1F573B">
        <w:tblPrEx>
          <w:tblCellMar>
            <w:top w:w="0" w:type="dxa"/>
            <w:left w:w="108" w:type="dxa"/>
            <w:bottom w:w="0" w:type="dxa"/>
            <w:right w:w="108" w:type="dxa"/>
          </w:tblCellMar>
        </w:tblPrEx>
        <w:trPr>
          <w:trHeight w:val="540"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5AA133A9">
            <w:pPr>
              <w:keepNext w:val="0"/>
              <w:keepLines w:val="0"/>
              <w:widowControl/>
              <w:suppressLineNumbers w:val="0"/>
              <w:jc w:val="center"/>
              <w:textAlignment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w:t>
            </w:r>
          </w:p>
        </w:tc>
        <w:tc>
          <w:tcPr>
            <w:tcW w:w="1941" w:type="dxa"/>
            <w:tcBorders>
              <w:top w:val="single" w:color="000000" w:sz="4" w:space="0"/>
              <w:left w:val="nil"/>
              <w:bottom w:val="single" w:color="000000" w:sz="4" w:space="0"/>
              <w:right w:val="single" w:color="000000" w:sz="4" w:space="0"/>
            </w:tcBorders>
            <w:noWrap w:val="0"/>
            <w:vAlign w:val="center"/>
          </w:tcPr>
          <w:p w14:paraId="62126866">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门禁系统</w:t>
            </w:r>
          </w:p>
        </w:tc>
        <w:tc>
          <w:tcPr>
            <w:tcW w:w="3793" w:type="dxa"/>
            <w:tcBorders>
              <w:top w:val="single" w:color="000000" w:sz="4" w:space="0"/>
              <w:left w:val="nil"/>
              <w:bottom w:val="single" w:color="000000" w:sz="4" w:space="0"/>
              <w:right w:val="single" w:color="000000" w:sz="4" w:space="0"/>
            </w:tcBorders>
            <w:noWrap w:val="0"/>
            <w:vAlign w:val="center"/>
          </w:tcPr>
          <w:p w14:paraId="68E99287">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浙江大华、中控、海康威视</w:t>
            </w:r>
          </w:p>
        </w:tc>
        <w:tc>
          <w:tcPr>
            <w:tcW w:w="1099" w:type="dxa"/>
            <w:tcBorders>
              <w:top w:val="single" w:color="000000" w:sz="4" w:space="0"/>
              <w:left w:val="nil"/>
              <w:bottom w:val="single" w:color="000000" w:sz="4" w:space="0"/>
              <w:right w:val="single" w:color="auto" w:sz="4" w:space="0"/>
            </w:tcBorders>
            <w:noWrap w:val="0"/>
            <w:vAlign w:val="center"/>
          </w:tcPr>
          <w:p w14:paraId="11F212C4">
            <w:pPr>
              <w:widowControl/>
              <w:jc w:val="center"/>
              <w:textAlignment w:val="center"/>
              <w:rPr>
                <w:rFonts w:hint="eastAsia" w:ascii="宋体" w:hAnsi="宋体" w:cs="宋体"/>
                <w:bCs/>
                <w:color w:val="auto"/>
                <w:kern w:val="0"/>
                <w:sz w:val="21"/>
                <w:szCs w:val="21"/>
                <w:highlight w:val="none"/>
              </w:rPr>
            </w:pPr>
          </w:p>
        </w:tc>
        <w:tc>
          <w:tcPr>
            <w:tcW w:w="1073" w:type="dxa"/>
            <w:tcBorders>
              <w:top w:val="single" w:color="000000" w:sz="4" w:space="0"/>
              <w:left w:val="single" w:color="auto" w:sz="4" w:space="0"/>
              <w:bottom w:val="single" w:color="000000" w:sz="4" w:space="0"/>
              <w:right w:val="single" w:color="000000" w:sz="4" w:space="0"/>
            </w:tcBorders>
            <w:noWrap w:val="0"/>
            <w:vAlign w:val="center"/>
          </w:tcPr>
          <w:p w14:paraId="03A02E36">
            <w:pPr>
              <w:widowControl/>
              <w:jc w:val="center"/>
              <w:textAlignment w:val="center"/>
              <w:rPr>
                <w:rFonts w:hint="eastAsia" w:ascii="宋体" w:hAnsi="宋体" w:cs="宋体"/>
                <w:bCs/>
                <w:color w:val="auto"/>
                <w:kern w:val="0"/>
                <w:sz w:val="21"/>
                <w:szCs w:val="21"/>
                <w:highlight w:val="none"/>
              </w:rPr>
            </w:pPr>
          </w:p>
        </w:tc>
      </w:tr>
      <w:tr w14:paraId="26DBE857">
        <w:tblPrEx>
          <w:tblCellMar>
            <w:top w:w="0" w:type="dxa"/>
            <w:left w:w="108" w:type="dxa"/>
            <w:bottom w:w="0" w:type="dxa"/>
            <w:right w:w="108" w:type="dxa"/>
          </w:tblCellMar>
        </w:tblPrEx>
        <w:trPr>
          <w:trHeight w:val="540"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46F3C773">
            <w:pPr>
              <w:keepNext w:val="0"/>
              <w:keepLines w:val="0"/>
              <w:widowControl/>
              <w:suppressLineNumbers w:val="0"/>
              <w:jc w:val="center"/>
              <w:textAlignment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941" w:type="dxa"/>
            <w:tcBorders>
              <w:top w:val="single" w:color="000000" w:sz="4" w:space="0"/>
              <w:left w:val="nil"/>
              <w:bottom w:val="single" w:color="000000" w:sz="4" w:space="0"/>
              <w:right w:val="single" w:color="000000" w:sz="4" w:space="0"/>
            </w:tcBorders>
            <w:noWrap w:val="0"/>
            <w:vAlign w:val="center"/>
          </w:tcPr>
          <w:p w14:paraId="71C384F0">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入侵报警系统</w:t>
            </w:r>
          </w:p>
        </w:tc>
        <w:tc>
          <w:tcPr>
            <w:tcW w:w="3793" w:type="dxa"/>
            <w:tcBorders>
              <w:top w:val="single" w:color="000000" w:sz="4" w:space="0"/>
              <w:left w:val="nil"/>
              <w:bottom w:val="single" w:color="000000" w:sz="4" w:space="0"/>
              <w:right w:val="single" w:color="000000" w:sz="4" w:space="0"/>
            </w:tcBorders>
            <w:noWrap w:val="0"/>
            <w:vAlign w:val="center"/>
          </w:tcPr>
          <w:p w14:paraId="04ACEA24">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上海优周、上海广拓、BOSCH</w:t>
            </w:r>
          </w:p>
        </w:tc>
        <w:tc>
          <w:tcPr>
            <w:tcW w:w="1099" w:type="dxa"/>
            <w:tcBorders>
              <w:top w:val="single" w:color="000000" w:sz="4" w:space="0"/>
              <w:left w:val="nil"/>
              <w:bottom w:val="single" w:color="000000" w:sz="4" w:space="0"/>
              <w:right w:val="single" w:color="auto" w:sz="4" w:space="0"/>
            </w:tcBorders>
            <w:noWrap w:val="0"/>
            <w:vAlign w:val="center"/>
          </w:tcPr>
          <w:p w14:paraId="2C55DB55">
            <w:pPr>
              <w:widowControl/>
              <w:jc w:val="center"/>
              <w:textAlignment w:val="center"/>
              <w:rPr>
                <w:rFonts w:hint="eastAsia" w:ascii="宋体" w:hAnsi="宋体" w:cs="宋体"/>
                <w:bCs/>
                <w:color w:val="auto"/>
                <w:kern w:val="0"/>
                <w:sz w:val="21"/>
                <w:szCs w:val="21"/>
                <w:highlight w:val="none"/>
              </w:rPr>
            </w:pPr>
          </w:p>
        </w:tc>
        <w:tc>
          <w:tcPr>
            <w:tcW w:w="1073" w:type="dxa"/>
            <w:tcBorders>
              <w:top w:val="single" w:color="000000" w:sz="4" w:space="0"/>
              <w:left w:val="single" w:color="auto" w:sz="4" w:space="0"/>
              <w:bottom w:val="single" w:color="000000" w:sz="4" w:space="0"/>
              <w:right w:val="single" w:color="000000" w:sz="4" w:space="0"/>
            </w:tcBorders>
            <w:noWrap w:val="0"/>
            <w:vAlign w:val="center"/>
          </w:tcPr>
          <w:p w14:paraId="1F140544">
            <w:pPr>
              <w:widowControl/>
              <w:jc w:val="center"/>
              <w:textAlignment w:val="center"/>
              <w:rPr>
                <w:rFonts w:hint="eastAsia" w:ascii="宋体" w:hAnsi="宋体" w:cs="宋体"/>
                <w:bCs/>
                <w:color w:val="auto"/>
                <w:kern w:val="0"/>
                <w:sz w:val="21"/>
                <w:szCs w:val="21"/>
                <w:highlight w:val="none"/>
              </w:rPr>
            </w:pPr>
          </w:p>
        </w:tc>
      </w:tr>
      <w:tr w14:paraId="75763F13">
        <w:tblPrEx>
          <w:tblCellMar>
            <w:top w:w="0" w:type="dxa"/>
            <w:left w:w="108" w:type="dxa"/>
            <w:bottom w:w="0" w:type="dxa"/>
            <w:right w:w="108" w:type="dxa"/>
          </w:tblCellMar>
        </w:tblPrEx>
        <w:trPr>
          <w:trHeight w:val="540"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61729DEF">
            <w:pPr>
              <w:keepNext w:val="0"/>
              <w:keepLines w:val="0"/>
              <w:widowControl/>
              <w:suppressLineNumbers w:val="0"/>
              <w:jc w:val="center"/>
              <w:textAlignment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w:t>
            </w:r>
          </w:p>
        </w:tc>
        <w:tc>
          <w:tcPr>
            <w:tcW w:w="1941" w:type="dxa"/>
            <w:tcBorders>
              <w:top w:val="single" w:color="000000" w:sz="4" w:space="0"/>
              <w:left w:val="nil"/>
              <w:bottom w:val="single" w:color="000000" w:sz="4" w:space="0"/>
              <w:right w:val="single" w:color="000000" w:sz="4" w:space="0"/>
            </w:tcBorders>
            <w:noWrap w:val="0"/>
            <w:vAlign w:val="center"/>
          </w:tcPr>
          <w:p w14:paraId="60553E12">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灯具</w:t>
            </w:r>
          </w:p>
        </w:tc>
        <w:tc>
          <w:tcPr>
            <w:tcW w:w="3793" w:type="dxa"/>
            <w:tcBorders>
              <w:top w:val="single" w:color="000000" w:sz="4" w:space="0"/>
              <w:left w:val="nil"/>
              <w:bottom w:val="single" w:color="000000" w:sz="4" w:space="0"/>
              <w:right w:val="single" w:color="000000" w:sz="4" w:space="0"/>
            </w:tcBorders>
            <w:noWrap w:val="0"/>
            <w:vAlign w:val="center"/>
          </w:tcPr>
          <w:p w14:paraId="044B6908">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三雄极光、雷士、欧普</w:t>
            </w:r>
          </w:p>
        </w:tc>
        <w:tc>
          <w:tcPr>
            <w:tcW w:w="1099" w:type="dxa"/>
            <w:tcBorders>
              <w:top w:val="single" w:color="000000" w:sz="4" w:space="0"/>
              <w:left w:val="nil"/>
              <w:bottom w:val="single" w:color="000000" w:sz="4" w:space="0"/>
              <w:right w:val="single" w:color="auto" w:sz="4" w:space="0"/>
            </w:tcBorders>
            <w:noWrap w:val="0"/>
            <w:vAlign w:val="center"/>
          </w:tcPr>
          <w:p w14:paraId="06F9373B">
            <w:pPr>
              <w:widowControl/>
              <w:jc w:val="center"/>
              <w:textAlignment w:val="center"/>
              <w:rPr>
                <w:rFonts w:hint="eastAsia" w:ascii="宋体" w:hAnsi="宋体" w:cs="宋体"/>
                <w:bCs/>
                <w:color w:val="auto"/>
                <w:kern w:val="0"/>
                <w:sz w:val="21"/>
                <w:szCs w:val="21"/>
                <w:highlight w:val="none"/>
              </w:rPr>
            </w:pPr>
          </w:p>
        </w:tc>
        <w:tc>
          <w:tcPr>
            <w:tcW w:w="1073" w:type="dxa"/>
            <w:tcBorders>
              <w:top w:val="single" w:color="000000" w:sz="4" w:space="0"/>
              <w:left w:val="single" w:color="auto" w:sz="4" w:space="0"/>
              <w:bottom w:val="single" w:color="000000" w:sz="4" w:space="0"/>
              <w:right w:val="single" w:color="000000" w:sz="4" w:space="0"/>
            </w:tcBorders>
            <w:noWrap w:val="0"/>
            <w:vAlign w:val="center"/>
          </w:tcPr>
          <w:p w14:paraId="2241261F">
            <w:pPr>
              <w:widowControl/>
              <w:jc w:val="center"/>
              <w:textAlignment w:val="center"/>
              <w:rPr>
                <w:rFonts w:hint="eastAsia" w:ascii="宋体" w:hAnsi="宋体" w:cs="宋体"/>
                <w:bCs/>
                <w:color w:val="auto"/>
                <w:kern w:val="0"/>
                <w:sz w:val="21"/>
                <w:szCs w:val="21"/>
                <w:highlight w:val="none"/>
              </w:rPr>
            </w:pPr>
          </w:p>
        </w:tc>
      </w:tr>
      <w:tr w14:paraId="2AE2B0E7">
        <w:tblPrEx>
          <w:tblCellMar>
            <w:top w:w="0" w:type="dxa"/>
            <w:left w:w="108" w:type="dxa"/>
            <w:bottom w:w="0" w:type="dxa"/>
            <w:right w:w="108" w:type="dxa"/>
          </w:tblCellMar>
        </w:tblPrEx>
        <w:trPr>
          <w:trHeight w:val="540"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6CD9558C">
            <w:pPr>
              <w:keepNext w:val="0"/>
              <w:keepLines w:val="0"/>
              <w:widowControl/>
              <w:suppressLineNumbers w:val="0"/>
              <w:jc w:val="center"/>
              <w:textAlignment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w:t>
            </w:r>
          </w:p>
        </w:tc>
        <w:tc>
          <w:tcPr>
            <w:tcW w:w="1941" w:type="dxa"/>
            <w:tcBorders>
              <w:top w:val="single" w:color="000000" w:sz="4" w:space="0"/>
              <w:left w:val="nil"/>
              <w:bottom w:val="single" w:color="000000" w:sz="4" w:space="0"/>
              <w:right w:val="single" w:color="000000" w:sz="4" w:space="0"/>
            </w:tcBorders>
            <w:noWrap w:val="0"/>
            <w:vAlign w:val="center"/>
          </w:tcPr>
          <w:p w14:paraId="2C11AB05">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网线</w:t>
            </w:r>
          </w:p>
        </w:tc>
        <w:tc>
          <w:tcPr>
            <w:tcW w:w="3793" w:type="dxa"/>
            <w:tcBorders>
              <w:top w:val="single" w:color="000000" w:sz="4" w:space="0"/>
              <w:left w:val="nil"/>
              <w:bottom w:val="single" w:color="000000" w:sz="4" w:space="0"/>
              <w:right w:val="single" w:color="000000" w:sz="4" w:space="0"/>
            </w:tcBorders>
            <w:noWrap w:val="0"/>
            <w:vAlign w:val="center"/>
          </w:tcPr>
          <w:p w14:paraId="2ED069E9">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爱谱华顿、一舟、普天</w:t>
            </w:r>
          </w:p>
        </w:tc>
        <w:tc>
          <w:tcPr>
            <w:tcW w:w="1099" w:type="dxa"/>
            <w:tcBorders>
              <w:top w:val="single" w:color="000000" w:sz="4" w:space="0"/>
              <w:left w:val="nil"/>
              <w:bottom w:val="single" w:color="000000" w:sz="4" w:space="0"/>
              <w:right w:val="single" w:color="auto" w:sz="4" w:space="0"/>
            </w:tcBorders>
            <w:noWrap w:val="0"/>
            <w:vAlign w:val="center"/>
          </w:tcPr>
          <w:p w14:paraId="44038E84">
            <w:pPr>
              <w:widowControl/>
              <w:jc w:val="center"/>
              <w:textAlignment w:val="center"/>
              <w:rPr>
                <w:rFonts w:hint="eastAsia" w:ascii="宋体" w:hAnsi="宋体" w:cs="宋体"/>
                <w:bCs/>
                <w:color w:val="auto"/>
                <w:kern w:val="0"/>
                <w:sz w:val="21"/>
                <w:szCs w:val="21"/>
                <w:highlight w:val="none"/>
              </w:rPr>
            </w:pPr>
          </w:p>
        </w:tc>
        <w:tc>
          <w:tcPr>
            <w:tcW w:w="1073" w:type="dxa"/>
            <w:tcBorders>
              <w:top w:val="single" w:color="000000" w:sz="4" w:space="0"/>
              <w:left w:val="single" w:color="auto" w:sz="4" w:space="0"/>
              <w:bottom w:val="single" w:color="000000" w:sz="4" w:space="0"/>
              <w:right w:val="single" w:color="000000" w:sz="4" w:space="0"/>
            </w:tcBorders>
            <w:noWrap w:val="0"/>
            <w:vAlign w:val="center"/>
          </w:tcPr>
          <w:p w14:paraId="2979B270">
            <w:pPr>
              <w:widowControl/>
              <w:jc w:val="center"/>
              <w:textAlignment w:val="center"/>
              <w:rPr>
                <w:rFonts w:hint="eastAsia" w:ascii="宋体" w:hAnsi="宋体" w:cs="宋体"/>
                <w:bCs/>
                <w:color w:val="auto"/>
                <w:kern w:val="0"/>
                <w:sz w:val="21"/>
                <w:szCs w:val="21"/>
                <w:highlight w:val="none"/>
              </w:rPr>
            </w:pPr>
          </w:p>
        </w:tc>
      </w:tr>
      <w:tr w14:paraId="7107BE8E">
        <w:tblPrEx>
          <w:tblCellMar>
            <w:top w:w="0" w:type="dxa"/>
            <w:left w:w="108" w:type="dxa"/>
            <w:bottom w:w="0" w:type="dxa"/>
            <w:right w:w="108" w:type="dxa"/>
          </w:tblCellMar>
        </w:tblPrEx>
        <w:trPr>
          <w:trHeight w:val="540"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2B3B4855">
            <w:pPr>
              <w:keepNext w:val="0"/>
              <w:keepLines w:val="0"/>
              <w:widowControl/>
              <w:suppressLineNumbers w:val="0"/>
              <w:jc w:val="center"/>
              <w:textAlignment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w:t>
            </w:r>
          </w:p>
        </w:tc>
        <w:tc>
          <w:tcPr>
            <w:tcW w:w="1941" w:type="dxa"/>
            <w:tcBorders>
              <w:top w:val="single" w:color="000000" w:sz="4" w:space="0"/>
              <w:left w:val="nil"/>
              <w:bottom w:val="single" w:color="000000" w:sz="4" w:space="0"/>
              <w:right w:val="single" w:color="000000" w:sz="4" w:space="0"/>
            </w:tcBorders>
            <w:noWrap w:val="0"/>
            <w:vAlign w:val="center"/>
          </w:tcPr>
          <w:p w14:paraId="74733468">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电线电缆</w:t>
            </w:r>
          </w:p>
        </w:tc>
        <w:tc>
          <w:tcPr>
            <w:tcW w:w="3793" w:type="dxa"/>
            <w:tcBorders>
              <w:top w:val="single" w:color="000000" w:sz="4" w:space="0"/>
              <w:left w:val="nil"/>
              <w:bottom w:val="single" w:color="000000" w:sz="4" w:space="0"/>
              <w:right w:val="single" w:color="000000" w:sz="4" w:space="0"/>
            </w:tcBorders>
            <w:noWrap w:val="0"/>
            <w:vAlign w:val="center"/>
          </w:tcPr>
          <w:p w14:paraId="4D024E0E">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球冠、东方、远东</w:t>
            </w:r>
          </w:p>
        </w:tc>
        <w:tc>
          <w:tcPr>
            <w:tcW w:w="1099" w:type="dxa"/>
            <w:tcBorders>
              <w:top w:val="single" w:color="000000" w:sz="4" w:space="0"/>
              <w:left w:val="nil"/>
              <w:bottom w:val="single" w:color="000000" w:sz="4" w:space="0"/>
              <w:right w:val="single" w:color="auto" w:sz="4" w:space="0"/>
            </w:tcBorders>
            <w:noWrap w:val="0"/>
            <w:vAlign w:val="center"/>
          </w:tcPr>
          <w:p w14:paraId="5800A8AB">
            <w:pPr>
              <w:widowControl/>
              <w:jc w:val="center"/>
              <w:textAlignment w:val="center"/>
              <w:rPr>
                <w:rFonts w:hint="eastAsia" w:ascii="宋体" w:hAnsi="宋体" w:cs="宋体"/>
                <w:bCs/>
                <w:color w:val="auto"/>
                <w:kern w:val="0"/>
                <w:sz w:val="21"/>
                <w:szCs w:val="21"/>
                <w:highlight w:val="none"/>
              </w:rPr>
            </w:pPr>
          </w:p>
        </w:tc>
        <w:tc>
          <w:tcPr>
            <w:tcW w:w="1073" w:type="dxa"/>
            <w:tcBorders>
              <w:top w:val="single" w:color="000000" w:sz="4" w:space="0"/>
              <w:left w:val="single" w:color="auto" w:sz="4" w:space="0"/>
              <w:bottom w:val="single" w:color="000000" w:sz="4" w:space="0"/>
              <w:right w:val="single" w:color="000000" w:sz="4" w:space="0"/>
            </w:tcBorders>
            <w:noWrap w:val="0"/>
            <w:vAlign w:val="center"/>
          </w:tcPr>
          <w:p w14:paraId="6A90B1B5">
            <w:pPr>
              <w:widowControl/>
              <w:jc w:val="center"/>
              <w:textAlignment w:val="center"/>
              <w:rPr>
                <w:rFonts w:hint="eastAsia" w:ascii="宋体" w:hAnsi="宋体" w:cs="宋体"/>
                <w:bCs/>
                <w:color w:val="auto"/>
                <w:kern w:val="0"/>
                <w:sz w:val="21"/>
                <w:szCs w:val="21"/>
                <w:highlight w:val="none"/>
              </w:rPr>
            </w:pPr>
          </w:p>
        </w:tc>
      </w:tr>
      <w:tr w14:paraId="11B5E42D">
        <w:tblPrEx>
          <w:tblCellMar>
            <w:top w:w="0" w:type="dxa"/>
            <w:left w:w="108" w:type="dxa"/>
            <w:bottom w:w="0" w:type="dxa"/>
            <w:right w:w="108" w:type="dxa"/>
          </w:tblCellMar>
        </w:tblPrEx>
        <w:trPr>
          <w:trHeight w:val="540"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2B69EEB5">
            <w:pPr>
              <w:keepNext w:val="0"/>
              <w:keepLines w:val="0"/>
              <w:widowControl/>
              <w:suppressLineNumbers w:val="0"/>
              <w:jc w:val="center"/>
              <w:textAlignment w:val="center"/>
              <w:rPr>
                <w:rFonts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w:t>
            </w:r>
          </w:p>
        </w:tc>
        <w:tc>
          <w:tcPr>
            <w:tcW w:w="1941" w:type="dxa"/>
            <w:tcBorders>
              <w:top w:val="single" w:color="000000" w:sz="4" w:space="0"/>
              <w:left w:val="nil"/>
              <w:bottom w:val="single" w:color="000000" w:sz="4" w:space="0"/>
              <w:right w:val="single" w:color="000000" w:sz="4" w:space="0"/>
            </w:tcBorders>
            <w:noWrap w:val="0"/>
            <w:vAlign w:val="center"/>
          </w:tcPr>
          <w:p w14:paraId="26E7DBBC">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JDG管</w:t>
            </w:r>
          </w:p>
        </w:tc>
        <w:tc>
          <w:tcPr>
            <w:tcW w:w="3793" w:type="dxa"/>
            <w:tcBorders>
              <w:top w:val="single" w:color="000000" w:sz="4" w:space="0"/>
              <w:left w:val="nil"/>
              <w:bottom w:val="single" w:color="000000" w:sz="4" w:space="0"/>
              <w:right w:val="single" w:color="000000" w:sz="4" w:space="0"/>
            </w:tcBorders>
            <w:noWrap w:val="0"/>
            <w:vAlign w:val="center"/>
          </w:tcPr>
          <w:p w14:paraId="1E994E14">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亿泰顺兴、武陵源、萧通</w:t>
            </w:r>
          </w:p>
        </w:tc>
        <w:tc>
          <w:tcPr>
            <w:tcW w:w="1099" w:type="dxa"/>
            <w:tcBorders>
              <w:top w:val="single" w:color="000000" w:sz="4" w:space="0"/>
              <w:left w:val="nil"/>
              <w:bottom w:val="single" w:color="000000" w:sz="4" w:space="0"/>
              <w:right w:val="single" w:color="auto" w:sz="4" w:space="0"/>
            </w:tcBorders>
            <w:noWrap w:val="0"/>
            <w:vAlign w:val="center"/>
          </w:tcPr>
          <w:p w14:paraId="27672537">
            <w:pPr>
              <w:widowControl/>
              <w:jc w:val="center"/>
              <w:textAlignment w:val="center"/>
              <w:rPr>
                <w:rFonts w:hint="eastAsia" w:ascii="宋体" w:hAnsi="宋体" w:cs="宋体"/>
                <w:bCs/>
                <w:color w:val="auto"/>
                <w:kern w:val="0"/>
                <w:sz w:val="21"/>
                <w:szCs w:val="21"/>
                <w:highlight w:val="none"/>
              </w:rPr>
            </w:pPr>
          </w:p>
        </w:tc>
        <w:tc>
          <w:tcPr>
            <w:tcW w:w="1073" w:type="dxa"/>
            <w:tcBorders>
              <w:top w:val="single" w:color="000000" w:sz="4" w:space="0"/>
              <w:left w:val="single" w:color="auto" w:sz="4" w:space="0"/>
              <w:bottom w:val="single" w:color="000000" w:sz="4" w:space="0"/>
              <w:right w:val="single" w:color="000000" w:sz="4" w:space="0"/>
            </w:tcBorders>
            <w:noWrap w:val="0"/>
            <w:vAlign w:val="center"/>
          </w:tcPr>
          <w:p w14:paraId="3652A4E7">
            <w:pPr>
              <w:widowControl/>
              <w:jc w:val="center"/>
              <w:textAlignment w:val="center"/>
              <w:rPr>
                <w:rFonts w:hint="eastAsia" w:ascii="宋体" w:hAnsi="宋体" w:cs="宋体"/>
                <w:bCs/>
                <w:color w:val="auto"/>
                <w:kern w:val="0"/>
                <w:sz w:val="21"/>
                <w:szCs w:val="21"/>
                <w:highlight w:val="none"/>
              </w:rPr>
            </w:pPr>
          </w:p>
        </w:tc>
      </w:tr>
      <w:tr w14:paraId="48609211">
        <w:tblPrEx>
          <w:tblCellMar>
            <w:top w:w="0" w:type="dxa"/>
            <w:left w:w="108" w:type="dxa"/>
            <w:bottom w:w="0" w:type="dxa"/>
            <w:right w:w="108" w:type="dxa"/>
          </w:tblCellMar>
        </w:tblPrEx>
        <w:trPr>
          <w:trHeight w:val="540"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1A9E1A27">
            <w:pPr>
              <w:keepNext w:val="0"/>
              <w:keepLines w:val="0"/>
              <w:widowControl/>
              <w:suppressLineNumbers w:val="0"/>
              <w:jc w:val="center"/>
              <w:textAlignment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w:t>
            </w:r>
          </w:p>
        </w:tc>
        <w:tc>
          <w:tcPr>
            <w:tcW w:w="1941" w:type="dxa"/>
            <w:tcBorders>
              <w:top w:val="single" w:color="000000" w:sz="4" w:space="0"/>
              <w:left w:val="nil"/>
              <w:bottom w:val="single" w:color="000000" w:sz="4" w:space="0"/>
              <w:right w:val="single" w:color="000000" w:sz="4" w:space="0"/>
            </w:tcBorders>
            <w:noWrap w:val="0"/>
            <w:vAlign w:val="center"/>
          </w:tcPr>
          <w:p w14:paraId="3D6F1384">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镀锌钢管</w:t>
            </w:r>
          </w:p>
        </w:tc>
        <w:tc>
          <w:tcPr>
            <w:tcW w:w="3793" w:type="dxa"/>
            <w:tcBorders>
              <w:top w:val="single" w:color="000000" w:sz="4" w:space="0"/>
              <w:left w:val="nil"/>
              <w:bottom w:val="single" w:color="000000" w:sz="4" w:space="0"/>
              <w:right w:val="single" w:color="000000" w:sz="4" w:space="0"/>
            </w:tcBorders>
            <w:noWrap w:val="0"/>
            <w:vAlign w:val="center"/>
          </w:tcPr>
          <w:p w14:paraId="1E9E2529">
            <w:pPr>
              <w:numPr>
                <w:ilvl w:val="0"/>
                <w:numId w:val="0"/>
              </w:numPr>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天津友发、天津利达、华岐</w:t>
            </w:r>
          </w:p>
        </w:tc>
        <w:tc>
          <w:tcPr>
            <w:tcW w:w="1099" w:type="dxa"/>
            <w:tcBorders>
              <w:top w:val="single" w:color="000000" w:sz="4" w:space="0"/>
              <w:left w:val="nil"/>
              <w:bottom w:val="single" w:color="000000" w:sz="4" w:space="0"/>
              <w:right w:val="single" w:color="auto" w:sz="4" w:space="0"/>
            </w:tcBorders>
            <w:noWrap w:val="0"/>
            <w:vAlign w:val="center"/>
          </w:tcPr>
          <w:p w14:paraId="15D0CE7E">
            <w:pPr>
              <w:widowControl/>
              <w:jc w:val="center"/>
              <w:textAlignment w:val="center"/>
              <w:rPr>
                <w:rFonts w:hint="eastAsia" w:ascii="宋体" w:hAnsi="宋体" w:cs="宋体"/>
                <w:bCs/>
                <w:color w:val="auto"/>
                <w:kern w:val="0"/>
                <w:sz w:val="21"/>
                <w:szCs w:val="21"/>
                <w:highlight w:val="none"/>
              </w:rPr>
            </w:pPr>
          </w:p>
        </w:tc>
        <w:tc>
          <w:tcPr>
            <w:tcW w:w="1073" w:type="dxa"/>
            <w:tcBorders>
              <w:top w:val="single" w:color="000000" w:sz="4" w:space="0"/>
              <w:left w:val="single" w:color="auto" w:sz="4" w:space="0"/>
              <w:bottom w:val="single" w:color="000000" w:sz="4" w:space="0"/>
              <w:right w:val="single" w:color="000000" w:sz="4" w:space="0"/>
            </w:tcBorders>
            <w:noWrap w:val="0"/>
            <w:vAlign w:val="center"/>
          </w:tcPr>
          <w:p w14:paraId="27704D0A">
            <w:pPr>
              <w:widowControl/>
              <w:jc w:val="center"/>
              <w:textAlignment w:val="center"/>
              <w:rPr>
                <w:rFonts w:hint="eastAsia" w:ascii="宋体" w:hAnsi="宋体" w:cs="宋体"/>
                <w:bCs/>
                <w:color w:val="auto"/>
                <w:kern w:val="0"/>
                <w:sz w:val="21"/>
                <w:szCs w:val="21"/>
                <w:highlight w:val="none"/>
              </w:rPr>
            </w:pPr>
          </w:p>
        </w:tc>
      </w:tr>
    </w:tbl>
    <w:p w14:paraId="3CC512DF">
      <w:pPr>
        <w:pStyle w:val="67"/>
        <w:ind w:firstLine="0" w:firstLineChars="0"/>
        <w:rPr>
          <w:rFonts w:hint="eastAsia"/>
          <w:color w:val="auto"/>
          <w:highlight w:val="none"/>
          <w:lang w:val="en-US"/>
        </w:rPr>
      </w:pPr>
    </w:p>
    <w:p w14:paraId="32654858">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备注：供应商应予积极响应参考品牌（在“供应商响应情况”中填写“响应”）或选用其他品牌，若供应商选用其他品牌，须在响应情况栏中明确选用品牌并提供有关技术参数对照资料，经评委会三分之二以上评委认定供应商的所选品牌及产品性能不低于采购人提供的参考品牌，否则作为实质上不响应采购文件要求，作无效磋商响应处理；未提供详细技术参数对照资料的，视同实质上不响应采购文件文件要求，作无效磋商响应处理。</w:t>
      </w:r>
      <w:r>
        <w:rPr>
          <w:rFonts w:hint="eastAsia" w:ascii="宋体" w:hAnsi="宋体" w:eastAsia="宋体" w:cs="宋体"/>
          <w:color w:val="auto"/>
          <w:sz w:val="21"/>
          <w:szCs w:val="21"/>
          <w:highlight w:val="none"/>
          <w:lang w:val="en-US" w:eastAsia="zh-CN"/>
        </w:rPr>
        <w:t>按照省级（含副省级）政府或其有关部门颁发的高端装备首台（套）产品推广应用指导目录、或重点自主创新产品推荐目录、或优质产品推荐目录，满足本次采购要求的同档次产品均纳入本参考品牌表</w:t>
      </w:r>
      <w:r>
        <w:rPr>
          <w:rFonts w:hint="eastAsia" w:ascii="宋体" w:hAnsi="宋体" w:cs="宋体"/>
          <w:color w:val="auto"/>
          <w:kern w:val="0"/>
          <w:szCs w:val="21"/>
          <w:highlight w:val="none"/>
        </w:rPr>
        <w:t>。</w:t>
      </w:r>
    </w:p>
    <w:p w14:paraId="0F4718C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成为成交候选人后,成交候选人在</w:t>
      </w:r>
      <w:r>
        <w:rPr>
          <w:rFonts w:ascii="宋体" w:hAnsi="宋体" w:cs="宋体"/>
          <w:color w:val="auto"/>
          <w:kern w:val="0"/>
          <w:szCs w:val="21"/>
          <w:highlight w:val="none"/>
        </w:rPr>
        <w:t>参考品牌</w:t>
      </w:r>
      <w:r>
        <w:rPr>
          <w:rFonts w:hint="eastAsia" w:ascii="宋体" w:hAnsi="宋体" w:cs="宋体"/>
          <w:color w:val="auto"/>
          <w:kern w:val="0"/>
          <w:szCs w:val="21"/>
          <w:highlight w:val="none"/>
        </w:rPr>
        <w:t>中选择一个供货或按“备注”中明确的品牌供货。</w:t>
      </w:r>
    </w:p>
    <w:p w14:paraId="52FB65DC">
      <w:pPr>
        <w:pStyle w:val="49"/>
        <w:tabs>
          <w:tab w:val="left" w:pos="574"/>
        </w:tabs>
        <w:ind w:firstLine="210"/>
        <w:rPr>
          <w:rFonts w:hint="eastAsia"/>
          <w:color w:val="auto"/>
          <w:highlight w:val="none"/>
          <w:lang w:val="en-GB"/>
        </w:rPr>
      </w:pPr>
    </w:p>
    <w:p w14:paraId="15CC9EA0">
      <w:pPr>
        <w:wordWrap w:val="0"/>
        <w:rPr>
          <w:rFonts w:ascii="宋体" w:hAnsi="宋体" w:cs="宋体"/>
          <w:color w:val="auto"/>
          <w:szCs w:val="21"/>
          <w:highlight w:val="none"/>
        </w:rPr>
      </w:pPr>
      <w:r>
        <w:rPr>
          <w:rFonts w:hint="eastAsia" w:ascii="宋体" w:hAnsi="宋体" w:cs="宋体"/>
          <w:color w:val="auto"/>
          <w:szCs w:val="21"/>
          <w:highlight w:val="none"/>
        </w:rPr>
        <w:t xml:space="preserve">供 应 商 单 位  （盖章）：                 </w:t>
      </w:r>
      <w:r>
        <w:rPr>
          <w:rFonts w:hint="eastAsia" w:ascii="宋体" w:hAnsi="宋体" w:cs="宋体"/>
          <w:color w:val="auto"/>
          <w:highlight w:val="none"/>
        </w:rPr>
        <w:t>法定代表人或授权代表（签字或盖章）：</w:t>
      </w:r>
      <w:r>
        <w:rPr>
          <w:rFonts w:hint="eastAsia" w:ascii="宋体" w:hAnsi="宋体" w:cs="宋体"/>
          <w:color w:val="auto"/>
          <w:szCs w:val="21"/>
          <w:highlight w:val="none"/>
        </w:rPr>
        <w:t xml:space="preserve">       </w:t>
      </w:r>
    </w:p>
    <w:p w14:paraId="19861F88">
      <w:pPr>
        <w:wordWrap w:val="0"/>
        <w:rPr>
          <w:rFonts w:ascii="宋体" w:hAnsi="宋体" w:cs="宋体"/>
          <w:color w:val="auto"/>
          <w:szCs w:val="21"/>
          <w:highlight w:val="none"/>
        </w:rPr>
      </w:pPr>
    </w:p>
    <w:p w14:paraId="1F4633FC">
      <w:pPr>
        <w:wordWrap w:val="0"/>
        <w:rPr>
          <w:rFonts w:hint="eastAsia" w:ascii="宋体" w:hAnsi="宋体" w:cs="宋体"/>
          <w:color w:val="auto"/>
          <w:szCs w:val="21"/>
          <w:highlight w:val="none"/>
        </w:rPr>
      </w:pPr>
      <w:r>
        <w:rPr>
          <w:rFonts w:hint="eastAsia" w:ascii="宋体" w:hAnsi="宋体" w:cs="宋体"/>
          <w:color w:val="auto"/>
          <w:szCs w:val="21"/>
          <w:highlight w:val="none"/>
        </w:rPr>
        <w:t xml:space="preserve">                                            日    期：    年    月    日</w:t>
      </w:r>
    </w:p>
    <w:p w14:paraId="6A3EBDAB">
      <w:pPr>
        <w:pStyle w:val="67"/>
        <w:ind w:firstLine="420"/>
        <w:rPr>
          <w:rFonts w:hint="eastAsia"/>
          <w:color w:val="auto"/>
          <w:highlight w:val="none"/>
          <w:lang w:val="en-US"/>
        </w:rPr>
      </w:pPr>
    </w:p>
    <w:p w14:paraId="498FF183">
      <w:pPr>
        <w:rPr>
          <w:rFonts w:hint="eastAsia" w:ascii="宋体" w:hAnsi="宋体"/>
          <w:color w:val="auto"/>
          <w:szCs w:val="21"/>
          <w:highlight w:val="none"/>
        </w:rPr>
      </w:pPr>
    </w:p>
    <w:sectPr>
      <w:headerReference r:id="rId14" w:type="default"/>
      <w:footerReference r:id="rId15" w:type="default"/>
      <w:pgSz w:w="11906" w:h="16838"/>
      <w:pgMar w:top="1276" w:right="1983" w:bottom="1276" w:left="161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華康辦公用具篇">
    <w:altName w:val="Segoe Print"/>
    <w:panose1 w:val="00000000000000000000"/>
    <w:charset w:val="00"/>
    <w:family w:val="roman"/>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
    <w:altName w:val="Segoe Print"/>
    <w:panose1 w:val="00000000000000000000"/>
    <w:charset w:val="00"/>
    <w:family w:val="roman"/>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CS?o｡ﾀ?">
    <w:altName w:val="Yu Gothic"/>
    <w:panose1 w:val="00000000000000000000"/>
    <w:charset w:val="80"/>
    <w:family w:val="modern"/>
    <w:pitch w:val="default"/>
    <w:sig w:usb0="00000000" w:usb1="00000000" w:usb2="00000010" w:usb3="00000000" w:csb0="0002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FontAwesome">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E4A38">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ECBF">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33681">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D1C68">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2EB26">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9931D3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JxwQNskBAACdAwAADgAAAAAAAAABACAAAAAfAQAAZHJzL2Uyb0Rv&#10;Yy54bWxQSwUGAAAAAAYABgBZAQAAWgUAAAAA&#10;">
              <v:fill on="f" focussize="0,0"/>
              <v:stroke on="f"/>
              <v:imagedata o:title=""/>
              <o:lock v:ext="edit" aspectratio="f"/>
              <v:textbox inset="0mm,0mm,0mm,0mm" style="mso-fit-shape-to-text:t;">
                <w:txbxContent>
                  <w:p w14:paraId="59931D3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0DEB2">
    <w:pPr>
      <w:pStyle w:val="3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0EB299">
                          <w:pPr>
                            <w:pStyle w:val="32"/>
                            <w:rPr>
                              <w:rFonts w:ascii="宋体" w:hAnsi="宋体" w:cs="宋体"/>
                            </w:rPr>
                          </w:pPr>
                          <w:r>
                            <w:rPr>
                              <w:rFonts w:hint="eastAsia" w:ascii="宋体" w:hAnsi="宋体" w:cs="宋体"/>
                            </w:rPr>
                            <w:fldChar w:fldCharType="begin"/>
                          </w:r>
                          <w:r>
                            <w:rPr>
                              <w:rStyle w:val="55"/>
                              <w:rFonts w:hint="eastAsia" w:ascii="宋体" w:hAnsi="宋体" w:cs="宋体"/>
                            </w:rPr>
                            <w:instrText xml:space="preserve"> PAGE </w:instrText>
                          </w:r>
                          <w:r>
                            <w:rPr>
                              <w:rFonts w:hint="eastAsia" w:ascii="宋体" w:hAnsi="宋体" w:cs="宋体"/>
                            </w:rPr>
                            <w:fldChar w:fldCharType="separate"/>
                          </w:r>
                          <w:r>
                            <w:rPr>
                              <w:rStyle w:val="55"/>
                              <w:rFonts w:ascii="宋体" w:hAnsi="宋体" w:cs="宋体"/>
                            </w:rPr>
                            <w:t>64</w:t>
                          </w:r>
                          <w:r>
                            <w:rPr>
                              <w:rFonts w:hint="eastAsia" w:ascii="宋体" w:hAnsi="宋体" w:cs="宋体"/>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O3TMkBAACZ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cc7dMyQEAAJkDAAAOAAAAAAAAAAEAIAAAAB4BAABkcnMvZTJvRG9j&#10;LnhtbFBLBQYAAAAABgAGAFkBAABZBQAAAAA=&#10;">
              <v:fill on="f" focussize="0,0"/>
              <v:stroke on="f"/>
              <v:imagedata o:title=""/>
              <o:lock v:ext="edit" aspectratio="f"/>
              <v:textbox inset="0mm,0mm,0mm,0mm" style="mso-fit-shape-to-text:t;">
                <w:txbxContent>
                  <w:p w14:paraId="6E0EB299">
                    <w:pPr>
                      <w:pStyle w:val="32"/>
                      <w:rPr>
                        <w:rFonts w:ascii="宋体" w:hAnsi="宋体" w:cs="宋体"/>
                      </w:rPr>
                    </w:pPr>
                    <w:r>
                      <w:rPr>
                        <w:rFonts w:hint="eastAsia" w:ascii="宋体" w:hAnsi="宋体" w:cs="宋体"/>
                      </w:rPr>
                      <w:fldChar w:fldCharType="begin"/>
                    </w:r>
                    <w:r>
                      <w:rPr>
                        <w:rStyle w:val="55"/>
                        <w:rFonts w:hint="eastAsia" w:ascii="宋体" w:hAnsi="宋体" w:cs="宋体"/>
                      </w:rPr>
                      <w:instrText xml:space="preserve"> PAGE </w:instrText>
                    </w:r>
                    <w:r>
                      <w:rPr>
                        <w:rFonts w:hint="eastAsia" w:ascii="宋体" w:hAnsi="宋体" w:cs="宋体"/>
                      </w:rPr>
                      <w:fldChar w:fldCharType="separate"/>
                    </w:r>
                    <w:r>
                      <w:rPr>
                        <w:rStyle w:val="55"/>
                        <w:rFonts w:ascii="宋体" w:hAnsi="宋体" w:cs="宋体"/>
                      </w:rPr>
                      <w:t>64</w:t>
                    </w:r>
                    <w:r>
                      <w:rPr>
                        <w:rFonts w:hint="eastAsia" w:ascii="宋体" w:hAnsi="宋体" w:cs="宋体"/>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0F1DF">
    <w:pPr>
      <w:pStyle w:val="3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42EC51">
                          <w:pPr>
                            <w:pStyle w:val="32"/>
                            <w:jc w:val="center"/>
                          </w:pPr>
                          <w:r>
                            <w:fldChar w:fldCharType="begin"/>
                          </w:r>
                          <w:r>
                            <w:rPr>
                              <w:rStyle w:val="55"/>
                            </w:rPr>
                            <w:instrText xml:space="preserve"> PAGE </w:instrText>
                          </w:r>
                          <w:r>
                            <w:fldChar w:fldCharType="separate"/>
                          </w:r>
                          <w:r>
                            <w:rPr>
                              <w:rStyle w:val="55"/>
                            </w:rPr>
                            <w:t>65</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wjeckBAACZ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jr&#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zCN5yQEAAJkDAAAOAAAAAAAAAAEAIAAAAB4BAABkcnMvZTJvRG9j&#10;LnhtbFBLBQYAAAAABgAGAFkBAABZBQAAAAA=&#10;">
              <v:fill on="f" focussize="0,0"/>
              <v:stroke on="f"/>
              <v:imagedata o:title=""/>
              <o:lock v:ext="edit" aspectratio="f"/>
              <v:textbox inset="0mm,0mm,0mm,0mm" style="mso-fit-shape-to-text:t;">
                <w:txbxContent>
                  <w:p w14:paraId="3E42EC51">
                    <w:pPr>
                      <w:pStyle w:val="32"/>
                      <w:jc w:val="center"/>
                    </w:pPr>
                    <w:r>
                      <w:fldChar w:fldCharType="begin"/>
                    </w:r>
                    <w:r>
                      <w:rPr>
                        <w:rStyle w:val="55"/>
                      </w:rPr>
                      <w:instrText xml:space="preserve"> PAGE </w:instrText>
                    </w:r>
                    <w:r>
                      <w:fldChar w:fldCharType="separate"/>
                    </w:r>
                    <w:r>
                      <w:rPr>
                        <w:rStyle w:val="55"/>
                      </w:rPr>
                      <w:t>65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390E8">
    <w:pPr>
      <w:pStyle w:val="3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2B83F0">
                          <w:pPr>
                            <w:pStyle w:val="32"/>
                          </w:pPr>
                          <w:r>
                            <w:fldChar w:fldCharType="begin"/>
                          </w:r>
                          <w:r>
                            <w:rPr>
                              <w:rStyle w:val="55"/>
                            </w:rPr>
                            <w:instrText xml:space="preserve"> PAGE </w:instrText>
                          </w:r>
                          <w:r>
                            <w:fldChar w:fldCharType="separate"/>
                          </w:r>
                          <w:r>
                            <w:rPr>
                              <w:rStyle w:val="55"/>
                            </w:rPr>
                            <w:t>66</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qUTskBAACZ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4qpROyQEAAJkDAAAOAAAAAAAAAAEAIAAAAB4BAABkcnMvZTJvRG9j&#10;LnhtbFBLBQYAAAAABgAGAFkBAABZBQAAAAA=&#10;">
              <v:fill on="f" focussize="0,0"/>
              <v:stroke on="f"/>
              <v:imagedata o:title=""/>
              <o:lock v:ext="edit" aspectratio="f"/>
              <v:textbox inset="0mm,0mm,0mm,0mm" style="mso-fit-shape-to-text:t;">
                <w:txbxContent>
                  <w:p w14:paraId="0C2B83F0">
                    <w:pPr>
                      <w:pStyle w:val="32"/>
                    </w:pPr>
                    <w:r>
                      <w:fldChar w:fldCharType="begin"/>
                    </w:r>
                    <w:r>
                      <w:rPr>
                        <w:rStyle w:val="55"/>
                      </w:rPr>
                      <w:instrText xml:space="preserve"> PAGE </w:instrText>
                    </w:r>
                    <w:r>
                      <w:fldChar w:fldCharType="separate"/>
                    </w:r>
                    <w:r>
                      <w:rPr>
                        <w:rStyle w:val="55"/>
                      </w:rPr>
                      <w:t>66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203749"/>
    </w:sdtPr>
    <w:sdtContent>
      <w:p w14:paraId="431953FE">
        <w:pPr>
          <w:pStyle w:val="32"/>
          <w:jc w:val="center"/>
        </w:pPr>
        <w:r>
          <w:fldChar w:fldCharType="begin"/>
        </w:r>
        <w:r>
          <w:instrText xml:space="preserve">PAGE   \* MERGEFORMAT</w:instrText>
        </w:r>
        <w:r>
          <w:fldChar w:fldCharType="separate"/>
        </w:r>
        <w:r>
          <w:rPr>
            <w:lang w:val="zh-CN"/>
          </w:rPr>
          <w:t>87</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CD6AB">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D0D3D">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76E3C">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F6055">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3F4B2"/>
    <w:multiLevelType w:val="singleLevel"/>
    <w:tmpl w:val="9953F4B2"/>
    <w:lvl w:ilvl="0" w:tentative="0">
      <w:start w:val="2"/>
      <w:numFmt w:val="decimal"/>
      <w:suff w:val="nothing"/>
      <w:lvlText w:val="（%1）"/>
      <w:lvlJc w:val="left"/>
    </w:lvl>
  </w:abstractNum>
  <w:abstractNum w:abstractNumId="1">
    <w:nsid w:val="B7379AF5"/>
    <w:multiLevelType w:val="singleLevel"/>
    <w:tmpl w:val="B7379AF5"/>
    <w:lvl w:ilvl="0" w:tentative="0">
      <w:start w:val="2"/>
      <w:numFmt w:val="decimal"/>
      <w:suff w:val="nothing"/>
      <w:lvlText w:val="%1、"/>
      <w:lvlJc w:val="left"/>
    </w:lvl>
  </w:abstractNum>
  <w:abstractNum w:abstractNumId="2">
    <w:nsid w:val="00000005"/>
    <w:multiLevelType w:val="multilevel"/>
    <w:tmpl w:val="00000005"/>
    <w:lvl w:ilvl="0" w:tentative="0">
      <w:start w:val="1"/>
      <w:numFmt w:val="decimal"/>
      <w:pStyle w:val="14"/>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4DC658F0"/>
    <w:multiLevelType w:val="multilevel"/>
    <w:tmpl w:val="4DC658F0"/>
    <w:lvl w:ilvl="0" w:tentative="0">
      <w:start w:val="1"/>
      <w:numFmt w:val="decimal"/>
      <w:suff w:val="nothing"/>
      <w:lvlText w:val="（%1）"/>
      <w:lvlJc w:val="left"/>
      <w:pPr>
        <w:ind w:left="0" w:firstLine="0"/>
      </w:pPr>
      <w:rPr>
        <w:rFonts w:hint="default" w:ascii="Times New Roman" w:hAnsi="Times New Roman" w:cs="Times New Roman"/>
        <w:u w:val="single"/>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E569E7E"/>
    <w:multiLevelType w:val="singleLevel"/>
    <w:tmpl w:val="4E569E7E"/>
    <w:lvl w:ilvl="0" w:tentative="0">
      <w:start w:val="6"/>
      <w:numFmt w:val="decimal"/>
      <w:suff w:val="nothing"/>
      <w:lvlText w:val="%1、"/>
      <w:lvlJc w:val="left"/>
    </w:lvl>
  </w:abstractNum>
  <w:num w:numId="1">
    <w:abstractNumId w:val="2"/>
  </w:num>
  <w:num w:numId="2">
    <w:abstractNumId w:val="1"/>
  </w:num>
  <w:num w:numId="3">
    <w:abstractNumId w:val="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NzhkZjlmMzQzZWU4NWY3ZWI3NWQwMWI5MGI2NTMifQ=="/>
  </w:docVars>
  <w:rsids>
    <w:rsidRoot w:val="003E2D88"/>
    <w:rsid w:val="00000E14"/>
    <w:rsid w:val="00002418"/>
    <w:rsid w:val="000024AD"/>
    <w:rsid w:val="000024D7"/>
    <w:rsid w:val="00002568"/>
    <w:rsid w:val="00002B40"/>
    <w:rsid w:val="00002C85"/>
    <w:rsid w:val="00002CF3"/>
    <w:rsid w:val="0000314B"/>
    <w:rsid w:val="000038D7"/>
    <w:rsid w:val="00003DB1"/>
    <w:rsid w:val="00004164"/>
    <w:rsid w:val="00004246"/>
    <w:rsid w:val="0000438A"/>
    <w:rsid w:val="000048CD"/>
    <w:rsid w:val="00004BCB"/>
    <w:rsid w:val="00004CE3"/>
    <w:rsid w:val="000052C6"/>
    <w:rsid w:val="00005429"/>
    <w:rsid w:val="00005489"/>
    <w:rsid w:val="0000559C"/>
    <w:rsid w:val="000057E6"/>
    <w:rsid w:val="00005BE1"/>
    <w:rsid w:val="00005C9B"/>
    <w:rsid w:val="00005F49"/>
    <w:rsid w:val="00007484"/>
    <w:rsid w:val="000074FE"/>
    <w:rsid w:val="0000759C"/>
    <w:rsid w:val="00007797"/>
    <w:rsid w:val="00007C4B"/>
    <w:rsid w:val="00007C90"/>
    <w:rsid w:val="0001041F"/>
    <w:rsid w:val="00010A88"/>
    <w:rsid w:val="00010B0E"/>
    <w:rsid w:val="0001103F"/>
    <w:rsid w:val="000112D9"/>
    <w:rsid w:val="0001181A"/>
    <w:rsid w:val="0001189F"/>
    <w:rsid w:val="00011950"/>
    <w:rsid w:val="00011B55"/>
    <w:rsid w:val="00011C6A"/>
    <w:rsid w:val="0001221F"/>
    <w:rsid w:val="000122CD"/>
    <w:rsid w:val="0001279E"/>
    <w:rsid w:val="00012AAB"/>
    <w:rsid w:val="00012BD8"/>
    <w:rsid w:val="00012E59"/>
    <w:rsid w:val="00013026"/>
    <w:rsid w:val="00013295"/>
    <w:rsid w:val="00013641"/>
    <w:rsid w:val="00013A4B"/>
    <w:rsid w:val="00013F38"/>
    <w:rsid w:val="0001460A"/>
    <w:rsid w:val="00014AED"/>
    <w:rsid w:val="00014D66"/>
    <w:rsid w:val="000158D4"/>
    <w:rsid w:val="00015DE4"/>
    <w:rsid w:val="0001617A"/>
    <w:rsid w:val="000164CB"/>
    <w:rsid w:val="00016639"/>
    <w:rsid w:val="00016726"/>
    <w:rsid w:val="00016976"/>
    <w:rsid w:val="00016D6A"/>
    <w:rsid w:val="000171CD"/>
    <w:rsid w:val="000175A2"/>
    <w:rsid w:val="00017683"/>
    <w:rsid w:val="0001783E"/>
    <w:rsid w:val="0001796D"/>
    <w:rsid w:val="00020600"/>
    <w:rsid w:val="00020A4E"/>
    <w:rsid w:val="00020BCF"/>
    <w:rsid w:val="00020D9F"/>
    <w:rsid w:val="00020FCE"/>
    <w:rsid w:val="000210F3"/>
    <w:rsid w:val="000218F7"/>
    <w:rsid w:val="00021D18"/>
    <w:rsid w:val="00021DE9"/>
    <w:rsid w:val="00021F87"/>
    <w:rsid w:val="0002223C"/>
    <w:rsid w:val="00022352"/>
    <w:rsid w:val="0002283E"/>
    <w:rsid w:val="00022B6E"/>
    <w:rsid w:val="00022D22"/>
    <w:rsid w:val="000230F0"/>
    <w:rsid w:val="0002338A"/>
    <w:rsid w:val="000241FA"/>
    <w:rsid w:val="00024721"/>
    <w:rsid w:val="00024D3F"/>
    <w:rsid w:val="0002554D"/>
    <w:rsid w:val="0002586E"/>
    <w:rsid w:val="00025C33"/>
    <w:rsid w:val="00026323"/>
    <w:rsid w:val="00026336"/>
    <w:rsid w:val="0002647F"/>
    <w:rsid w:val="00026E94"/>
    <w:rsid w:val="00027309"/>
    <w:rsid w:val="0002731E"/>
    <w:rsid w:val="00027B65"/>
    <w:rsid w:val="00027E82"/>
    <w:rsid w:val="00030ADE"/>
    <w:rsid w:val="00030CC1"/>
    <w:rsid w:val="00030DF0"/>
    <w:rsid w:val="000311B2"/>
    <w:rsid w:val="000314AF"/>
    <w:rsid w:val="00032794"/>
    <w:rsid w:val="00032C55"/>
    <w:rsid w:val="000332DB"/>
    <w:rsid w:val="000336CA"/>
    <w:rsid w:val="0003381B"/>
    <w:rsid w:val="0003382F"/>
    <w:rsid w:val="00033928"/>
    <w:rsid w:val="00033959"/>
    <w:rsid w:val="00033F95"/>
    <w:rsid w:val="0003402B"/>
    <w:rsid w:val="0003445D"/>
    <w:rsid w:val="000347D7"/>
    <w:rsid w:val="00034928"/>
    <w:rsid w:val="00034934"/>
    <w:rsid w:val="00034A7D"/>
    <w:rsid w:val="00034DFC"/>
    <w:rsid w:val="00035113"/>
    <w:rsid w:val="00035409"/>
    <w:rsid w:val="00035B8D"/>
    <w:rsid w:val="000361E5"/>
    <w:rsid w:val="00036408"/>
    <w:rsid w:val="00036774"/>
    <w:rsid w:val="00036809"/>
    <w:rsid w:val="00036FA2"/>
    <w:rsid w:val="000379AA"/>
    <w:rsid w:val="00037A9B"/>
    <w:rsid w:val="00037F4C"/>
    <w:rsid w:val="000400FE"/>
    <w:rsid w:val="00040AD2"/>
    <w:rsid w:val="00040D82"/>
    <w:rsid w:val="000414F8"/>
    <w:rsid w:val="00041947"/>
    <w:rsid w:val="00041A73"/>
    <w:rsid w:val="00042534"/>
    <w:rsid w:val="00042DCA"/>
    <w:rsid w:val="00043323"/>
    <w:rsid w:val="0004365B"/>
    <w:rsid w:val="00043809"/>
    <w:rsid w:val="00043CE0"/>
    <w:rsid w:val="00043D09"/>
    <w:rsid w:val="00043F87"/>
    <w:rsid w:val="00044102"/>
    <w:rsid w:val="00044681"/>
    <w:rsid w:val="00044921"/>
    <w:rsid w:val="00044F0D"/>
    <w:rsid w:val="00044F64"/>
    <w:rsid w:val="00044FBE"/>
    <w:rsid w:val="000451BE"/>
    <w:rsid w:val="000453DF"/>
    <w:rsid w:val="00045822"/>
    <w:rsid w:val="000459CA"/>
    <w:rsid w:val="00045AAB"/>
    <w:rsid w:val="00046FF0"/>
    <w:rsid w:val="0004704A"/>
    <w:rsid w:val="000471BB"/>
    <w:rsid w:val="000473F9"/>
    <w:rsid w:val="00047B97"/>
    <w:rsid w:val="00047DCF"/>
    <w:rsid w:val="00047E20"/>
    <w:rsid w:val="0005037C"/>
    <w:rsid w:val="000506F5"/>
    <w:rsid w:val="000508F4"/>
    <w:rsid w:val="00051340"/>
    <w:rsid w:val="000519D3"/>
    <w:rsid w:val="00051C25"/>
    <w:rsid w:val="000525AF"/>
    <w:rsid w:val="00052A16"/>
    <w:rsid w:val="000531C5"/>
    <w:rsid w:val="000532EE"/>
    <w:rsid w:val="000534CF"/>
    <w:rsid w:val="0005351A"/>
    <w:rsid w:val="0005356D"/>
    <w:rsid w:val="00053642"/>
    <w:rsid w:val="000537CA"/>
    <w:rsid w:val="00053A47"/>
    <w:rsid w:val="00053B0C"/>
    <w:rsid w:val="0005427E"/>
    <w:rsid w:val="00054668"/>
    <w:rsid w:val="00054A34"/>
    <w:rsid w:val="00054CE9"/>
    <w:rsid w:val="00054EA9"/>
    <w:rsid w:val="00054EEA"/>
    <w:rsid w:val="000559D4"/>
    <w:rsid w:val="00055BE8"/>
    <w:rsid w:val="00055DE5"/>
    <w:rsid w:val="0005605F"/>
    <w:rsid w:val="0005609E"/>
    <w:rsid w:val="00056188"/>
    <w:rsid w:val="000569A5"/>
    <w:rsid w:val="000569B8"/>
    <w:rsid w:val="00056FB6"/>
    <w:rsid w:val="000572B7"/>
    <w:rsid w:val="0005776A"/>
    <w:rsid w:val="0005799B"/>
    <w:rsid w:val="00057C3C"/>
    <w:rsid w:val="00057C60"/>
    <w:rsid w:val="00057FBB"/>
    <w:rsid w:val="000602AB"/>
    <w:rsid w:val="0006060B"/>
    <w:rsid w:val="00060E4F"/>
    <w:rsid w:val="000610AA"/>
    <w:rsid w:val="0006115E"/>
    <w:rsid w:val="000616C0"/>
    <w:rsid w:val="00061BB5"/>
    <w:rsid w:val="00061BF2"/>
    <w:rsid w:val="00061D60"/>
    <w:rsid w:val="000629A5"/>
    <w:rsid w:val="00062CD4"/>
    <w:rsid w:val="0006329E"/>
    <w:rsid w:val="000634D9"/>
    <w:rsid w:val="00063DD8"/>
    <w:rsid w:val="000640AB"/>
    <w:rsid w:val="00064380"/>
    <w:rsid w:val="000646CB"/>
    <w:rsid w:val="00064D97"/>
    <w:rsid w:val="000656CA"/>
    <w:rsid w:val="000657A0"/>
    <w:rsid w:val="000659BE"/>
    <w:rsid w:val="00065A9E"/>
    <w:rsid w:val="00065D43"/>
    <w:rsid w:val="00066056"/>
    <w:rsid w:val="00066348"/>
    <w:rsid w:val="000668F7"/>
    <w:rsid w:val="00066ADE"/>
    <w:rsid w:val="00066BF8"/>
    <w:rsid w:val="00066D44"/>
    <w:rsid w:val="00067419"/>
    <w:rsid w:val="00067A2C"/>
    <w:rsid w:val="00067DA1"/>
    <w:rsid w:val="000701A1"/>
    <w:rsid w:val="00070595"/>
    <w:rsid w:val="0007082C"/>
    <w:rsid w:val="00070B7E"/>
    <w:rsid w:val="00070D34"/>
    <w:rsid w:val="000711DD"/>
    <w:rsid w:val="00071302"/>
    <w:rsid w:val="00071B75"/>
    <w:rsid w:val="00071DCE"/>
    <w:rsid w:val="000721AA"/>
    <w:rsid w:val="00072F07"/>
    <w:rsid w:val="00073083"/>
    <w:rsid w:val="0007335C"/>
    <w:rsid w:val="000735D1"/>
    <w:rsid w:val="00073C5B"/>
    <w:rsid w:val="00073F78"/>
    <w:rsid w:val="0007412D"/>
    <w:rsid w:val="00074207"/>
    <w:rsid w:val="00074328"/>
    <w:rsid w:val="000744A6"/>
    <w:rsid w:val="00074A24"/>
    <w:rsid w:val="00074BF8"/>
    <w:rsid w:val="00074CF2"/>
    <w:rsid w:val="00074F96"/>
    <w:rsid w:val="00074FF8"/>
    <w:rsid w:val="000750F1"/>
    <w:rsid w:val="00075595"/>
    <w:rsid w:val="00075C42"/>
    <w:rsid w:val="00075D07"/>
    <w:rsid w:val="00076320"/>
    <w:rsid w:val="0007652A"/>
    <w:rsid w:val="00076547"/>
    <w:rsid w:val="000765C6"/>
    <w:rsid w:val="000766D5"/>
    <w:rsid w:val="000769A7"/>
    <w:rsid w:val="00076CAE"/>
    <w:rsid w:val="00077193"/>
    <w:rsid w:val="000772D0"/>
    <w:rsid w:val="00077678"/>
    <w:rsid w:val="00077C51"/>
    <w:rsid w:val="00077F94"/>
    <w:rsid w:val="0008036E"/>
    <w:rsid w:val="00080A38"/>
    <w:rsid w:val="00080B80"/>
    <w:rsid w:val="00080E0F"/>
    <w:rsid w:val="00080EE8"/>
    <w:rsid w:val="00080F99"/>
    <w:rsid w:val="00081822"/>
    <w:rsid w:val="00081B32"/>
    <w:rsid w:val="00081F9E"/>
    <w:rsid w:val="00082003"/>
    <w:rsid w:val="0008213B"/>
    <w:rsid w:val="00082170"/>
    <w:rsid w:val="000822C5"/>
    <w:rsid w:val="00082405"/>
    <w:rsid w:val="00082476"/>
    <w:rsid w:val="0008254B"/>
    <w:rsid w:val="00082617"/>
    <w:rsid w:val="00082799"/>
    <w:rsid w:val="00082B8F"/>
    <w:rsid w:val="00082CF4"/>
    <w:rsid w:val="00082FC2"/>
    <w:rsid w:val="0008310B"/>
    <w:rsid w:val="00083624"/>
    <w:rsid w:val="00083773"/>
    <w:rsid w:val="000839F7"/>
    <w:rsid w:val="00083A44"/>
    <w:rsid w:val="00084E52"/>
    <w:rsid w:val="000852C3"/>
    <w:rsid w:val="00085B26"/>
    <w:rsid w:val="00085BE6"/>
    <w:rsid w:val="000863B8"/>
    <w:rsid w:val="0008682A"/>
    <w:rsid w:val="00086C65"/>
    <w:rsid w:val="00086D66"/>
    <w:rsid w:val="00090224"/>
    <w:rsid w:val="000905A4"/>
    <w:rsid w:val="000906B1"/>
    <w:rsid w:val="00090A04"/>
    <w:rsid w:val="00090C82"/>
    <w:rsid w:val="0009111D"/>
    <w:rsid w:val="000917BA"/>
    <w:rsid w:val="00091AF7"/>
    <w:rsid w:val="00091B98"/>
    <w:rsid w:val="00091BFF"/>
    <w:rsid w:val="00091D00"/>
    <w:rsid w:val="00092233"/>
    <w:rsid w:val="000926B0"/>
    <w:rsid w:val="00092893"/>
    <w:rsid w:val="000928C4"/>
    <w:rsid w:val="000930CC"/>
    <w:rsid w:val="0009369B"/>
    <w:rsid w:val="00093A70"/>
    <w:rsid w:val="00093C95"/>
    <w:rsid w:val="00093DD1"/>
    <w:rsid w:val="00094109"/>
    <w:rsid w:val="00094A2D"/>
    <w:rsid w:val="000950BB"/>
    <w:rsid w:val="0009556C"/>
    <w:rsid w:val="00095BBE"/>
    <w:rsid w:val="00096034"/>
    <w:rsid w:val="00096667"/>
    <w:rsid w:val="00096A47"/>
    <w:rsid w:val="00096CEF"/>
    <w:rsid w:val="00097827"/>
    <w:rsid w:val="00097B9A"/>
    <w:rsid w:val="00097F09"/>
    <w:rsid w:val="000A00E6"/>
    <w:rsid w:val="000A0882"/>
    <w:rsid w:val="000A0B15"/>
    <w:rsid w:val="000A113B"/>
    <w:rsid w:val="000A12BF"/>
    <w:rsid w:val="000A1749"/>
    <w:rsid w:val="000A1822"/>
    <w:rsid w:val="000A1BB3"/>
    <w:rsid w:val="000A1F06"/>
    <w:rsid w:val="000A1FB1"/>
    <w:rsid w:val="000A2114"/>
    <w:rsid w:val="000A2717"/>
    <w:rsid w:val="000A2AD9"/>
    <w:rsid w:val="000A2D2A"/>
    <w:rsid w:val="000A2EAF"/>
    <w:rsid w:val="000A2EC7"/>
    <w:rsid w:val="000A2FA0"/>
    <w:rsid w:val="000A3497"/>
    <w:rsid w:val="000A3946"/>
    <w:rsid w:val="000A3AEC"/>
    <w:rsid w:val="000A3D8C"/>
    <w:rsid w:val="000A4857"/>
    <w:rsid w:val="000A53BD"/>
    <w:rsid w:val="000A5474"/>
    <w:rsid w:val="000A5491"/>
    <w:rsid w:val="000A56D1"/>
    <w:rsid w:val="000A613D"/>
    <w:rsid w:val="000A61B5"/>
    <w:rsid w:val="000A659D"/>
    <w:rsid w:val="000A6661"/>
    <w:rsid w:val="000A7129"/>
    <w:rsid w:val="000A73AE"/>
    <w:rsid w:val="000A7CDA"/>
    <w:rsid w:val="000A7CE9"/>
    <w:rsid w:val="000B04DD"/>
    <w:rsid w:val="000B09B7"/>
    <w:rsid w:val="000B09F4"/>
    <w:rsid w:val="000B17C7"/>
    <w:rsid w:val="000B1983"/>
    <w:rsid w:val="000B1C02"/>
    <w:rsid w:val="000B1F90"/>
    <w:rsid w:val="000B2161"/>
    <w:rsid w:val="000B23D8"/>
    <w:rsid w:val="000B2EFC"/>
    <w:rsid w:val="000B2F8A"/>
    <w:rsid w:val="000B2FCA"/>
    <w:rsid w:val="000B32F2"/>
    <w:rsid w:val="000B3666"/>
    <w:rsid w:val="000B36A1"/>
    <w:rsid w:val="000B3948"/>
    <w:rsid w:val="000B3B45"/>
    <w:rsid w:val="000B3F4C"/>
    <w:rsid w:val="000B3FA8"/>
    <w:rsid w:val="000B405E"/>
    <w:rsid w:val="000B4314"/>
    <w:rsid w:val="000B43CC"/>
    <w:rsid w:val="000B448D"/>
    <w:rsid w:val="000B4705"/>
    <w:rsid w:val="000B4BA7"/>
    <w:rsid w:val="000B51AE"/>
    <w:rsid w:val="000B5760"/>
    <w:rsid w:val="000B5B1A"/>
    <w:rsid w:val="000B5BA9"/>
    <w:rsid w:val="000B5F00"/>
    <w:rsid w:val="000B621D"/>
    <w:rsid w:val="000B6A99"/>
    <w:rsid w:val="000B72E4"/>
    <w:rsid w:val="000B7A82"/>
    <w:rsid w:val="000C09F0"/>
    <w:rsid w:val="000C0A82"/>
    <w:rsid w:val="000C0C33"/>
    <w:rsid w:val="000C139B"/>
    <w:rsid w:val="000C17E3"/>
    <w:rsid w:val="000C1844"/>
    <w:rsid w:val="000C1921"/>
    <w:rsid w:val="000C2512"/>
    <w:rsid w:val="000C2591"/>
    <w:rsid w:val="000C2FDF"/>
    <w:rsid w:val="000C3344"/>
    <w:rsid w:val="000C3668"/>
    <w:rsid w:val="000C3826"/>
    <w:rsid w:val="000C3D43"/>
    <w:rsid w:val="000C427F"/>
    <w:rsid w:val="000C451A"/>
    <w:rsid w:val="000C47D4"/>
    <w:rsid w:val="000C4A60"/>
    <w:rsid w:val="000C4F3A"/>
    <w:rsid w:val="000C5050"/>
    <w:rsid w:val="000C56F9"/>
    <w:rsid w:val="000C59EF"/>
    <w:rsid w:val="000C5C76"/>
    <w:rsid w:val="000C5E0C"/>
    <w:rsid w:val="000C6491"/>
    <w:rsid w:val="000C67AF"/>
    <w:rsid w:val="000C74C3"/>
    <w:rsid w:val="000C76EA"/>
    <w:rsid w:val="000C773F"/>
    <w:rsid w:val="000C7820"/>
    <w:rsid w:val="000C7B0B"/>
    <w:rsid w:val="000C7E5C"/>
    <w:rsid w:val="000D04AD"/>
    <w:rsid w:val="000D0BEC"/>
    <w:rsid w:val="000D0D65"/>
    <w:rsid w:val="000D0FF5"/>
    <w:rsid w:val="000D12B4"/>
    <w:rsid w:val="000D166C"/>
    <w:rsid w:val="000D1F65"/>
    <w:rsid w:val="000D2483"/>
    <w:rsid w:val="000D24E4"/>
    <w:rsid w:val="000D2927"/>
    <w:rsid w:val="000D365F"/>
    <w:rsid w:val="000D3745"/>
    <w:rsid w:val="000D392A"/>
    <w:rsid w:val="000D39B4"/>
    <w:rsid w:val="000D3C3F"/>
    <w:rsid w:val="000D44D0"/>
    <w:rsid w:val="000D4633"/>
    <w:rsid w:val="000D4974"/>
    <w:rsid w:val="000D4A0E"/>
    <w:rsid w:val="000D4AA0"/>
    <w:rsid w:val="000D4B5F"/>
    <w:rsid w:val="000D53F3"/>
    <w:rsid w:val="000D5429"/>
    <w:rsid w:val="000D5594"/>
    <w:rsid w:val="000D5647"/>
    <w:rsid w:val="000D5F21"/>
    <w:rsid w:val="000D650D"/>
    <w:rsid w:val="000D68E1"/>
    <w:rsid w:val="000D6A50"/>
    <w:rsid w:val="000D6B5A"/>
    <w:rsid w:val="000D6C5A"/>
    <w:rsid w:val="000D6E89"/>
    <w:rsid w:val="000D6F04"/>
    <w:rsid w:val="000D71B8"/>
    <w:rsid w:val="000D7745"/>
    <w:rsid w:val="000D7BBF"/>
    <w:rsid w:val="000D7FFC"/>
    <w:rsid w:val="000E07A7"/>
    <w:rsid w:val="000E09AF"/>
    <w:rsid w:val="000E0CAC"/>
    <w:rsid w:val="000E1178"/>
    <w:rsid w:val="000E148F"/>
    <w:rsid w:val="000E2128"/>
    <w:rsid w:val="000E30E9"/>
    <w:rsid w:val="000E3701"/>
    <w:rsid w:val="000E3844"/>
    <w:rsid w:val="000E3C89"/>
    <w:rsid w:val="000E3F8B"/>
    <w:rsid w:val="000E42A1"/>
    <w:rsid w:val="000E4307"/>
    <w:rsid w:val="000E499C"/>
    <w:rsid w:val="000E4DEF"/>
    <w:rsid w:val="000E52CA"/>
    <w:rsid w:val="000E55D7"/>
    <w:rsid w:val="000E5A4B"/>
    <w:rsid w:val="000E5B4F"/>
    <w:rsid w:val="000E5C77"/>
    <w:rsid w:val="000E5EAC"/>
    <w:rsid w:val="000E5ED1"/>
    <w:rsid w:val="000E5F40"/>
    <w:rsid w:val="000E62EF"/>
    <w:rsid w:val="000E6DC8"/>
    <w:rsid w:val="000E764A"/>
    <w:rsid w:val="000E77C4"/>
    <w:rsid w:val="000E7E17"/>
    <w:rsid w:val="000F0491"/>
    <w:rsid w:val="000F0C8A"/>
    <w:rsid w:val="000F0D29"/>
    <w:rsid w:val="000F1527"/>
    <w:rsid w:val="000F1690"/>
    <w:rsid w:val="000F196D"/>
    <w:rsid w:val="000F1B15"/>
    <w:rsid w:val="000F1B94"/>
    <w:rsid w:val="000F22F9"/>
    <w:rsid w:val="000F314A"/>
    <w:rsid w:val="000F399B"/>
    <w:rsid w:val="000F3D24"/>
    <w:rsid w:val="000F41F3"/>
    <w:rsid w:val="000F44BB"/>
    <w:rsid w:val="000F4628"/>
    <w:rsid w:val="000F52B9"/>
    <w:rsid w:val="000F52CA"/>
    <w:rsid w:val="000F54EA"/>
    <w:rsid w:val="000F579B"/>
    <w:rsid w:val="000F6178"/>
    <w:rsid w:val="000F6243"/>
    <w:rsid w:val="000F6555"/>
    <w:rsid w:val="000F6E0C"/>
    <w:rsid w:val="000F765B"/>
    <w:rsid w:val="000F7AEE"/>
    <w:rsid w:val="000F7AF4"/>
    <w:rsid w:val="000F7CB5"/>
    <w:rsid w:val="000F7CFA"/>
    <w:rsid w:val="001002B4"/>
    <w:rsid w:val="001004D4"/>
    <w:rsid w:val="001006BC"/>
    <w:rsid w:val="0010084B"/>
    <w:rsid w:val="001009B9"/>
    <w:rsid w:val="00100AE5"/>
    <w:rsid w:val="00100F95"/>
    <w:rsid w:val="0010115A"/>
    <w:rsid w:val="0010201E"/>
    <w:rsid w:val="0010258C"/>
    <w:rsid w:val="00102796"/>
    <w:rsid w:val="001029AE"/>
    <w:rsid w:val="001030C8"/>
    <w:rsid w:val="001035DF"/>
    <w:rsid w:val="00103A5F"/>
    <w:rsid w:val="00103A7C"/>
    <w:rsid w:val="0010425B"/>
    <w:rsid w:val="0010500C"/>
    <w:rsid w:val="00105764"/>
    <w:rsid w:val="00105B77"/>
    <w:rsid w:val="00105C46"/>
    <w:rsid w:val="00105CE0"/>
    <w:rsid w:val="001066B9"/>
    <w:rsid w:val="001067DC"/>
    <w:rsid w:val="0010797E"/>
    <w:rsid w:val="0010799E"/>
    <w:rsid w:val="00107B7A"/>
    <w:rsid w:val="00107DB5"/>
    <w:rsid w:val="00110F1E"/>
    <w:rsid w:val="00110FDA"/>
    <w:rsid w:val="001119A8"/>
    <w:rsid w:val="00111A94"/>
    <w:rsid w:val="00111BBA"/>
    <w:rsid w:val="001123E9"/>
    <w:rsid w:val="00112FEC"/>
    <w:rsid w:val="00113560"/>
    <w:rsid w:val="001150EB"/>
    <w:rsid w:val="001151E1"/>
    <w:rsid w:val="0011530A"/>
    <w:rsid w:val="00115456"/>
    <w:rsid w:val="001154FB"/>
    <w:rsid w:val="00115DD3"/>
    <w:rsid w:val="00115EA9"/>
    <w:rsid w:val="00115F74"/>
    <w:rsid w:val="00116493"/>
    <w:rsid w:val="00116511"/>
    <w:rsid w:val="001166BE"/>
    <w:rsid w:val="00116802"/>
    <w:rsid w:val="001168E5"/>
    <w:rsid w:val="0011700D"/>
    <w:rsid w:val="00117330"/>
    <w:rsid w:val="00117D03"/>
    <w:rsid w:val="00117D8F"/>
    <w:rsid w:val="0012025A"/>
    <w:rsid w:val="00120580"/>
    <w:rsid w:val="00120791"/>
    <w:rsid w:val="00120A21"/>
    <w:rsid w:val="00120FDF"/>
    <w:rsid w:val="0012160E"/>
    <w:rsid w:val="0012161C"/>
    <w:rsid w:val="00121E8A"/>
    <w:rsid w:val="00122161"/>
    <w:rsid w:val="0012217C"/>
    <w:rsid w:val="00122ABD"/>
    <w:rsid w:val="00122DEB"/>
    <w:rsid w:val="001233CA"/>
    <w:rsid w:val="0012396B"/>
    <w:rsid w:val="0012454C"/>
    <w:rsid w:val="001247AF"/>
    <w:rsid w:val="001256E6"/>
    <w:rsid w:val="00125800"/>
    <w:rsid w:val="001258FC"/>
    <w:rsid w:val="00125FD5"/>
    <w:rsid w:val="001260F6"/>
    <w:rsid w:val="001263F3"/>
    <w:rsid w:val="001264C2"/>
    <w:rsid w:val="00126630"/>
    <w:rsid w:val="00127B1F"/>
    <w:rsid w:val="00127D62"/>
    <w:rsid w:val="00130557"/>
    <w:rsid w:val="0013061F"/>
    <w:rsid w:val="00130BC0"/>
    <w:rsid w:val="0013102D"/>
    <w:rsid w:val="00131096"/>
    <w:rsid w:val="001311D7"/>
    <w:rsid w:val="0013137F"/>
    <w:rsid w:val="001315D9"/>
    <w:rsid w:val="00131D99"/>
    <w:rsid w:val="0013232C"/>
    <w:rsid w:val="00132461"/>
    <w:rsid w:val="00132B74"/>
    <w:rsid w:val="00132DFF"/>
    <w:rsid w:val="00133371"/>
    <w:rsid w:val="00133AE9"/>
    <w:rsid w:val="00133BC9"/>
    <w:rsid w:val="001341D6"/>
    <w:rsid w:val="00134856"/>
    <w:rsid w:val="00134DF0"/>
    <w:rsid w:val="0013587D"/>
    <w:rsid w:val="0013630C"/>
    <w:rsid w:val="00136423"/>
    <w:rsid w:val="001366DA"/>
    <w:rsid w:val="0013692D"/>
    <w:rsid w:val="00136C20"/>
    <w:rsid w:val="00136C4B"/>
    <w:rsid w:val="00136D06"/>
    <w:rsid w:val="00136D70"/>
    <w:rsid w:val="00137562"/>
    <w:rsid w:val="00137969"/>
    <w:rsid w:val="00137EDD"/>
    <w:rsid w:val="00140197"/>
    <w:rsid w:val="00140458"/>
    <w:rsid w:val="001404E9"/>
    <w:rsid w:val="00140597"/>
    <w:rsid w:val="00140814"/>
    <w:rsid w:val="001408BC"/>
    <w:rsid w:val="00140F53"/>
    <w:rsid w:val="00141335"/>
    <w:rsid w:val="00141A27"/>
    <w:rsid w:val="00141A79"/>
    <w:rsid w:val="00141F49"/>
    <w:rsid w:val="001422E2"/>
    <w:rsid w:val="0014243A"/>
    <w:rsid w:val="001426CC"/>
    <w:rsid w:val="001427D6"/>
    <w:rsid w:val="0014297F"/>
    <w:rsid w:val="00142A3C"/>
    <w:rsid w:val="00142C4F"/>
    <w:rsid w:val="001430CF"/>
    <w:rsid w:val="0014322F"/>
    <w:rsid w:val="0014391D"/>
    <w:rsid w:val="00143ED1"/>
    <w:rsid w:val="00143F4F"/>
    <w:rsid w:val="00143FCF"/>
    <w:rsid w:val="00144557"/>
    <w:rsid w:val="001445E0"/>
    <w:rsid w:val="001445F7"/>
    <w:rsid w:val="0014523C"/>
    <w:rsid w:val="0014548E"/>
    <w:rsid w:val="0014571F"/>
    <w:rsid w:val="00146050"/>
    <w:rsid w:val="001467E1"/>
    <w:rsid w:val="00146925"/>
    <w:rsid w:val="001469A5"/>
    <w:rsid w:val="00146EDB"/>
    <w:rsid w:val="00146F2A"/>
    <w:rsid w:val="0014715D"/>
    <w:rsid w:val="001476FE"/>
    <w:rsid w:val="00147A02"/>
    <w:rsid w:val="00147B0A"/>
    <w:rsid w:val="00147CA9"/>
    <w:rsid w:val="00147EB5"/>
    <w:rsid w:val="0015144D"/>
    <w:rsid w:val="00151C0E"/>
    <w:rsid w:val="00151CCB"/>
    <w:rsid w:val="001528B0"/>
    <w:rsid w:val="00153384"/>
    <w:rsid w:val="001534DD"/>
    <w:rsid w:val="00153B15"/>
    <w:rsid w:val="00153BE7"/>
    <w:rsid w:val="00153CD3"/>
    <w:rsid w:val="00153E36"/>
    <w:rsid w:val="00153FD2"/>
    <w:rsid w:val="0015447A"/>
    <w:rsid w:val="001547C3"/>
    <w:rsid w:val="00154E53"/>
    <w:rsid w:val="00155526"/>
    <w:rsid w:val="00155A1D"/>
    <w:rsid w:val="00155AA1"/>
    <w:rsid w:val="0015693D"/>
    <w:rsid w:val="0015699D"/>
    <w:rsid w:val="00156D02"/>
    <w:rsid w:val="0015769A"/>
    <w:rsid w:val="001578F8"/>
    <w:rsid w:val="00157973"/>
    <w:rsid w:val="00160B87"/>
    <w:rsid w:val="001610AF"/>
    <w:rsid w:val="00161664"/>
    <w:rsid w:val="00161721"/>
    <w:rsid w:val="0016179A"/>
    <w:rsid w:val="001617B4"/>
    <w:rsid w:val="001617F7"/>
    <w:rsid w:val="00161801"/>
    <w:rsid w:val="00161889"/>
    <w:rsid w:val="00162601"/>
    <w:rsid w:val="00162871"/>
    <w:rsid w:val="00163116"/>
    <w:rsid w:val="001636FC"/>
    <w:rsid w:val="00164040"/>
    <w:rsid w:val="0016421D"/>
    <w:rsid w:val="00164318"/>
    <w:rsid w:val="001645FC"/>
    <w:rsid w:val="00164CCD"/>
    <w:rsid w:val="00164E1F"/>
    <w:rsid w:val="0016513D"/>
    <w:rsid w:val="0016522B"/>
    <w:rsid w:val="001652AB"/>
    <w:rsid w:val="00165651"/>
    <w:rsid w:val="00165980"/>
    <w:rsid w:val="0016603F"/>
    <w:rsid w:val="0016609B"/>
    <w:rsid w:val="00166369"/>
    <w:rsid w:val="0016640A"/>
    <w:rsid w:val="0016689C"/>
    <w:rsid w:val="00166908"/>
    <w:rsid w:val="00166D40"/>
    <w:rsid w:val="00166DF5"/>
    <w:rsid w:val="00167652"/>
    <w:rsid w:val="001676FB"/>
    <w:rsid w:val="0016777F"/>
    <w:rsid w:val="00167983"/>
    <w:rsid w:val="00170192"/>
    <w:rsid w:val="001703EC"/>
    <w:rsid w:val="00170558"/>
    <w:rsid w:val="0017055E"/>
    <w:rsid w:val="00170B47"/>
    <w:rsid w:val="0017109C"/>
    <w:rsid w:val="001717DF"/>
    <w:rsid w:val="0017256B"/>
    <w:rsid w:val="00172763"/>
    <w:rsid w:val="00172B40"/>
    <w:rsid w:val="00172B4B"/>
    <w:rsid w:val="00172C1D"/>
    <w:rsid w:val="00172D34"/>
    <w:rsid w:val="00172D45"/>
    <w:rsid w:val="00173244"/>
    <w:rsid w:val="00173501"/>
    <w:rsid w:val="001735C5"/>
    <w:rsid w:val="001736A3"/>
    <w:rsid w:val="0017376A"/>
    <w:rsid w:val="001739F2"/>
    <w:rsid w:val="00174281"/>
    <w:rsid w:val="001743B0"/>
    <w:rsid w:val="00174B4A"/>
    <w:rsid w:val="00174D55"/>
    <w:rsid w:val="00175016"/>
    <w:rsid w:val="00175049"/>
    <w:rsid w:val="001753F1"/>
    <w:rsid w:val="0017559F"/>
    <w:rsid w:val="001756FA"/>
    <w:rsid w:val="00175882"/>
    <w:rsid w:val="00175C1C"/>
    <w:rsid w:val="00176017"/>
    <w:rsid w:val="00176572"/>
    <w:rsid w:val="001768AC"/>
    <w:rsid w:val="00176BD8"/>
    <w:rsid w:val="001773A1"/>
    <w:rsid w:val="00177950"/>
    <w:rsid w:val="00177AB3"/>
    <w:rsid w:val="00177C0A"/>
    <w:rsid w:val="00180189"/>
    <w:rsid w:val="00180AE4"/>
    <w:rsid w:val="00180C55"/>
    <w:rsid w:val="00180D3A"/>
    <w:rsid w:val="00180EAC"/>
    <w:rsid w:val="00180F3E"/>
    <w:rsid w:val="001816BA"/>
    <w:rsid w:val="00181A61"/>
    <w:rsid w:val="00181B2D"/>
    <w:rsid w:val="00181D43"/>
    <w:rsid w:val="00182082"/>
    <w:rsid w:val="001820DB"/>
    <w:rsid w:val="00182613"/>
    <w:rsid w:val="00182977"/>
    <w:rsid w:val="001840EB"/>
    <w:rsid w:val="00184147"/>
    <w:rsid w:val="00184771"/>
    <w:rsid w:val="00184CD1"/>
    <w:rsid w:val="00184CD7"/>
    <w:rsid w:val="00185CD4"/>
    <w:rsid w:val="001862DF"/>
    <w:rsid w:val="00186DEE"/>
    <w:rsid w:val="00186E43"/>
    <w:rsid w:val="001873C0"/>
    <w:rsid w:val="0018755D"/>
    <w:rsid w:val="00187F26"/>
    <w:rsid w:val="00187F7E"/>
    <w:rsid w:val="001901D2"/>
    <w:rsid w:val="00190498"/>
    <w:rsid w:val="001904BF"/>
    <w:rsid w:val="00190FFE"/>
    <w:rsid w:val="001918F3"/>
    <w:rsid w:val="00191CF6"/>
    <w:rsid w:val="00191E38"/>
    <w:rsid w:val="00192313"/>
    <w:rsid w:val="001925BD"/>
    <w:rsid w:val="00192EC1"/>
    <w:rsid w:val="00193072"/>
    <w:rsid w:val="0019394B"/>
    <w:rsid w:val="00193988"/>
    <w:rsid w:val="0019413A"/>
    <w:rsid w:val="00194142"/>
    <w:rsid w:val="001942A0"/>
    <w:rsid w:val="001948BD"/>
    <w:rsid w:val="00195149"/>
    <w:rsid w:val="00195B64"/>
    <w:rsid w:val="00195DF2"/>
    <w:rsid w:val="00195E4C"/>
    <w:rsid w:val="00196D9B"/>
    <w:rsid w:val="00197467"/>
    <w:rsid w:val="0019759D"/>
    <w:rsid w:val="00197C4C"/>
    <w:rsid w:val="00197EE0"/>
    <w:rsid w:val="001A0317"/>
    <w:rsid w:val="001A0524"/>
    <w:rsid w:val="001A0618"/>
    <w:rsid w:val="001A0732"/>
    <w:rsid w:val="001A0807"/>
    <w:rsid w:val="001A0D53"/>
    <w:rsid w:val="001A1175"/>
    <w:rsid w:val="001A1422"/>
    <w:rsid w:val="001A14BB"/>
    <w:rsid w:val="001A14F3"/>
    <w:rsid w:val="001A15D5"/>
    <w:rsid w:val="001A1ACF"/>
    <w:rsid w:val="001A1F33"/>
    <w:rsid w:val="001A21B2"/>
    <w:rsid w:val="001A2388"/>
    <w:rsid w:val="001A25B8"/>
    <w:rsid w:val="001A2924"/>
    <w:rsid w:val="001A2B90"/>
    <w:rsid w:val="001A2CFA"/>
    <w:rsid w:val="001A2DEA"/>
    <w:rsid w:val="001A2EAE"/>
    <w:rsid w:val="001A2F99"/>
    <w:rsid w:val="001A2FCE"/>
    <w:rsid w:val="001A32F7"/>
    <w:rsid w:val="001A3512"/>
    <w:rsid w:val="001A370F"/>
    <w:rsid w:val="001A3874"/>
    <w:rsid w:val="001A3E4C"/>
    <w:rsid w:val="001A403A"/>
    <w:rsid w:val="001A4233"/>
    <w:rsid w:val="001A43E5"/>
    <w:rsid w:val="001A4ADF"/>
    <w:rsid w:val="001A4B0F"/>
    <w:rsid w:val="001A59A9"/>
    <w:rsid w:val="001A5A5D"/>
    <w:rsid w:val="001A5E33"/>
    <w:rsid w:val="001A6481"/>
    <w:rsid w:val="001A6EF0"/>
    <w:rsid w:val="001A758F"/>
    <w:rsid w:val="001A7873"/>
    <w:rsid w:val="001A7D73"/>
    <w:rsid w:val="001B0237"/>
    <w:rsid w:val="001B1727"/>
    <w:rsid w:val="001B1A32"/>
    <w:rsid w:val="001B22A7"/>
    <w:rsid w:val="001B256C"/>
    <w:rsid w:val="001B25BA"/>
    <w:rsid w:val="001B2973"/>
    <w:rsid w:val="001B29CC"/>
    <w:rsid w:val="001B2C10"/>
    <w:rsid w:val="001B3104"/>
    <w:rsid w:val="001B32FD"/>
    <w:rsid w:val="001B36BC"/>
    <w:rsid w:val="001B3EBC"/>
    <w:rsid w:val="001B3F6D"/>
    <w:rsid w:val="001B40C3"/>
    <w:rsid w:val="001B498E"/>
    <w:rsid w:val="001B4AF7"/>
    <w:rsid w:val="001B4D51"/>
    <w:rsid w:val="001B5292"/>
    <w:rsid w:val="001B529F"/>
    <w:rsid w:val="001B566F"/>
    <w:rsid w:val="001B5C5C"/>
    <w:rsid w:val="001B5F7B"/>
    <w:rsid w:val="001B61DF"/>
    <w:rsid w:val="001B626A"/>
    <w:rsid w:val="001B6295"/>
    <w:rsid w:val="001B6C3E"/>
    <w:rsid w:val="001B74F4"/>
    <w:rsid w:val="001B76EA"/>
    <w:rsid w:val="001B7872"/>
    <w:rsid w:val="001B7DDA"/>
    <w:rsid w:val="001C0E0F"/>
    <w:rsid w:val="001C189B"/>
    <w:rsid w:val="001C1FB5"/>
    <w:rsid w:val="001C1FD6"/>
    <w:rsid w:val="001C2893"/>
    <w:rsid w:val="001C36BE"/>
    <w:rsid w:val="001C3D26"/>
    <w:rsid w:val="001C3FCC"/>
    <w:rsid w:val="001C4114"/>
    <w:rsid w:val="001C4B96"/>
    <w:rsid w:val="001C4BD8"/>
    <w:rsid w:val="001C4C99"/>
    <w:rsid w:val="001C4F36"/>
    <w:rsid w:val="001C576B"/>
    <w:rsid w:val="001C578C"/>
    <w:rsid w:val="001C5994"/>
    <w:rsid w:val="001C5B24"/>
    <w:rsid w:val="001C5ED9"/>
    <w:rsid w:val="001C60DE"/>
    <w:rsid w:val="001C63A1"/>
    <w:rsid w:val="001C6AB1"/>
    <w:rsid w:val="001C6AEE"/>
    <w:rsid w:val="001C6F96"/>
    <w:rsid w:val="001C7BA9"/>
    <w:rsid w:val="001D033B"/>
    <w:rsid w:val="001D0B76"/>
    <w:rsid w:val="001D0CBA"/>
    <w:rsid w:val="001D0DFB"/>
    <w:rsid w:val="001D0F90"/>
    <w:rsid w:val="001D1A6C"/>
    <w:rsid w:val="001D1A91"/>
    <w:rsid w:val="001D1B9A"/>
    <w:rsid w:val="001D24EA"/>
    <w:rsid w:val="001D2B75"/>
    <w:rsid w:val="001D2D69"/>
    <w:rsid w:val="001D3099"/>
    <w:rsid w:val="001D3450"/>
    <w:rsid w:val="001D35BD"/>
    <w:rsid w:val="001D3B2C"/>
    <w:rsid w:val="001D4239"/>
    <w:rsid w:val="001D43FF"/>
    <w:rsid w:val="001D46E7"/>
    <w:rsid w:val="001D4944"/>
    <w:rsid w:val="001D4BC2"/>
    <w:rsid w:val="001D5309"/>
    <w:rsid w:val="001D56F0"/>
    <w:rsid w:val="001D5811"/>
    <w:rsid w:val="001D5872"/>
    <w:rsid w:val="001D5ABB"/>
    <w:rsid w:val="001D5DE9"/>
    <w:rsid w:val="001D6446"/>
    <w:rsid w:val="001D646B"/>
    <w:rsid w:val="001D6A6C"/>
    <w:rsid w:val="001D7496"/>
    <w:rsid w:val="001D7AAC"/>
    <w:rsid w:val="001D7C7B"/>
    <w:rsid w:val="001D7CF0"/>
    <w:rsid w:val="001E03D1"/>
    <w:rsid w:val="001E0B6F"/>
    <w:rsid w:val="001E0FDC"/>
    <w:rsid w:val="001E16C8"/>
    <w:rsid w:val="001E1C82"/>
    <w:rsid w:val="001E1D50"/>
    <w:rsid w:val="001E2056"/>
    <w:rsid w:val="001E283A"/>
    <w:rsid w:val="001E2C1B"/>
    <w:rsid w:val="001E2FDA"/>
    <w:rsid w:val="001E3343"/>
    <w:rsid w:val="001E3634"/>
    <w:rsid w:val="001E3740"/>
    <w:rsid w:val="001E3FE2"/>
    <w:rsid w:val="001E4772"/>
    <w:rsid w:val="001E4C84"/>
    <w:rsid w:val="001E4DF4"/>
    <w:rsid w:val="001E4F64"/>
    <w:rsid w:val="001E5A6B"/>
    <w:rsid w:val="001E5C40"/>
    <w:rsid w:val="001E5E33"/>
    <w:rsid w:val="001E6287"/>
    <w:rsid w:val="001E6499"/>
    <w:rsid w:val="001E64EA"/>
    <w:rsid w:val="001E6C06"/>
    <w:rsid w:val="001E6EC9"/>
    <w:rsid w:val="001E72CA"/>
    <w:rsid w:val="001E7554"/>
    <w:rsid w:val="001E7B49"/>
    <w:rsid w:val="001E7E64"/>
    <w:rsid w:val="001F025A"/>
    <w:rsid w:val="001F0501"/>
    <w:rsid w:val="001F0634"/>
    <w:rsid w:val="001F0B7C"/>
    <w:rsid w:val="001F1042"/>
    <w:rsid w:val="001F1139"/>
    <w:rsid w:val="001F13D9"/>
    <w:rsid w:val="001F1976"/>
    <w:rsid w:val="001F19E5"/>
    <w:rsid w:val="001F1CE6"/>
    <w:rsid w:val="001F1CFE"/>
    <w:rsid w:val="001F20DC"/>
    <w:rsid w:val="001F222E"/>
    <w:rsid w:val="001F24C0"/>
    <w:rsid w:val="001F2802"/>
    <w:rsid w:val="001F3053"/>
    <w:rsid w:val="001F3524"/>
    <w:rsid w:val="001F38AB"/>
    <w:rsid w:val="001F3B9A"/>
    <w:rsid w:val="001F3BC6"/>
    <w:rsid w:val="001F4699"/>
    <w:rsid w:val="001F4F64"/>
    <w:rsid w:val="001F55AB"/>
    <w:rsid w:val="001F59CB"/>
    <w:rsid w:val="001F6635"/>
    <w:rsid w:val="001F67A3"/>
    <w:rsid w:val="001F693A"/>
    <w:rsid w:val="001F738D"/>
    <w:rsid w:val="002005BD"/>
    <w:rsid w:val="00200681"/>
    <w:rsid w:val="00201982"/>
    <w:rsid w:val="002019A0"/>
    <w:rsid w:val="00201E7D"/>
    <w:rsid w:val="0020268B"/>
    <w:rsid w:val="00202741"/>
    <w:rsid w:val="00202DE9"/>
    <w:rsid w:val="00202E1D"/>
    <w:rsid w:val="00202F65"/>
    <w:rsid w:val="00203467"/>
    <w:rsid w:val="0020352B"/>
    <w:rsid w:val="00203C69"/>
    <w:rsid w:val="00204E72"/>
    <w:rsid w:val="0020557D"/>
    <w:rsid w:val="00205978"/>
    <w:rsid w:val="00205984"/>
    <w:rsid w:val="00205AE4"/>
    <w:rsid w:val="00205CFA"/>
    <w:rsid w:val="00205FAF"/>
    <w:rsid w:val="0020603B"/>
    <w:rsid w:val="00206126"/>
    <w:rsid w:val="0020690B"/>
    <w:rsid w:val="00206B48"/>
    <w:rsid w:val="00206CAE"/>
    <w:rsid w:val="00206E13"/>
    <w:rsid w:val="00206FD1"/>
    <w:rsid w:val="00207321"/>
    <w:rsid w:val="00207959"/>
    <w:rsid w:val="00207A20"/>
    <w:rsid w:val="00207AD0"/>
    <w:rsid w:val="00210662"/>
    <w:rsid w:val="002106E3"/>
    <w:rsid w:val="00212063"/>
    <w:rsid w:val="00212441"/>
    <w:rsid w:val="002125B7"/>
    <w:rsid w:val="0021292A"/>
    <w:rsid w:val="00212D12"/>
    <w:rsid w:val="00213401"/>
    <w:rsid w:val="00213B2F"/>
    <w:rsid w:val="00213FD3"/>
    <w:rsid w:val="002145DA"/>
    <w:rsid w:val="00214758"/>
    <w:rsid w:val="002153C5"/>
    <w:rsid w:val="00215C60"/>
    <w:rsid w:val="00215F91"/>
    <w:rsid w:val="002165D9"/>
    <w:rsid w:val="0021699A"/>
    <w:rsid w:val="00216B4E"/>
    <w:rsid w:val="00216F86"/>
    <w:rsid w:val="002170E1"/>
    <w:rsid w:val="0021732A"/>
    <w:rsid w:val="002176A4"/>
    <w:rsid w:val="0021793A"/>
    <w:rsid w:val="00217C0C"/>
    <w:rsid w:val="0022038D"/>
    <w:rsid w:val="002207F7"/>
    <w:rsid w:val="00220EE2"/>
    <w:rsid w:val="002210B2"/>
    <w:rsid w:val="002214AF"/>
    <w:rsid w:val="00221651"/>
    <w:rsid w:val="002216BE"/>
    <w:rsid w:val="00222076"/>
    <w:rsid w:val="00222868"/>
    <w:rsid w:val="0022299B"/>
    <w:rsid w:val="00223518"/>
    <w:rsid w:val="00223767"/>
    <w:rsid w:val="00224281"/>
    <w:rsid w:val="00224450"/>
    <w:rsid w:val="0022451A"/>
    <w:rsid w:val="00224529"/>
    <w:rsid w:val="0022470C"/>
    <w:rsid w:val="00224D1D"/>
    <w:rsid w:val="00225704"/>
    <w:rsid w:val="00225C1D"/>
    <w:rsid w:val="00225FAC"/>
    <w:rsid w:val="00226108"/>
    <w:rsid w:val="002264D3"/>
    <w:rsid w:val="002265F7"/>
    <w:rsid w:val="0022668D"/>
    <w:rsid w:val="00226752"/>
    <w:rsid w:val="00226839"/>
    <w:rsid w:val="00226BA9"/>
    <w:rsid w:val="00226CD8"/>
    <w:rsid w:val="00226F45"/>
    <w:rsid w:val="00227154"/>
    <w:rsid w:val="00227555"/>
    <w:rsid w:val="00227571"/>
    <w:rsid w:val="00227580"/>
    <w:rsid w:val="00230CE4"/>
    <w:rsid w:val="00230F0A"/>
    <w:rsid w:val="00230F70"/>
    <w:rsid w:val="0023164C"/>
    <w:rsid w:val="002317BA"/>
    <w:rsid w:val="00231EF8"/>
    <w:rsid w:val="0023212B"/>
    <w:rsid w:val="0023222A"/>
    <w:rsid w:val="002322B6"/>
    <w:rsid w:val="00232CDE"/>
    <w:rsid w:val="00233365"/>
    <w:rsid w:val="002335E3"/>
    <w:rsid w:val="00233C0A"/>
    <w:rsid w:val="00233C46"/>
    <w:rsid w:val="0023415D"/>
    <w:rsid w:val="00234A80"/>
    <w:rsid w:val="00234B3C"/>
    <w:rsid w:val="002351E1"/>
    <w:rsid w:val="002353B3"/>
    <w:rsid w:val="002356CE"/>
    <w:rsid w:val="00235911"/>
    <w:rsid w:val="00235D2B"/>
    <w:rsid w:val="0023638B"/>
    <w:rsid w:val="00236601"/>
    <w:rsid w:val="00236EFD"/>
    <w:rsid w:val="002372D8"/>
    <w:rsid w:val="002375AD"/>
    <w:rsid w:val="00237B09"/>
    <w:rsid w:val="00237CED"/>
    <w:rsid w:val="002400B5"/>
    <w:rsid w:val="0024049A"/>
    <w:rsid w:val="00240756"/>
    <w:rsid w:val="00240866"/>
    <w:rsid w:val="00240DA7"/>
    <w:rsid w:val="002410C2"/>
    <w:rsid w:val="002411C4"/>
    <w:rsid w:val="0024158A"/>
    <w:rsid w:val="00241771"/>
    <w:rsid w:val="00241974"/>
    <w:rsid w:val="002420DA"/>
    <w:rsid w:val="00242679"/>
    <w:rsid w:val="00242BDF"/>
    <w:rsid w:val="00243086"/>
    <w:rsid w:val="00243F56"/>
    <w:rsid w:val="0024401C"/>
    <w:rsid w:val="002440CB"/>
    <w:rsid w:val="0024446A"/>
    <w:rsid w:val="002446AA"/>
    <w:rsid w:val="002446D5"/>
    <w:rsid w:val="00244C44"/>
    <w:rsid w:val="00245301"/>
    <w:rsid w:val="00245CC3"/>
    <w:rsid w:val="002462D4"/>
    <w:rsid w:val="002463B6"/>
    <w:rsid w:val="002463EA"/>
    <w:rsid w:val="00246773"/>
    <w:rsid w:val="00246E5E"/>
    <w:rsid w:val="00247071"/>
    <w:rsid w:val="002470E1"/>
    <w:rsid w:val="002471E8"/>
    <w:rsid w:val="00247512"/>
    <w:rsid w:val="002476BE"/>
    <w:rsid w:val="00247772"/>
    <w:rsid w:val="00247A04"/>
    <w:rsid w:val="00247D04"/>
    <w:rsid w:val="00247D96"/>
    <w:rsid w:val="002500A0"/>
    <w:rsid w:val="0025014D"/>
    <w:rsid w:val="00250841"/>
    <w:rsid w:val="00250EEC"/>
    <w:rsid w:val="002514D2"/>
    <w:rsid w:val="002516E6"/>
    <w:rsid w:val="00251968"/>
    <w:rsid w:val="00251D27"/>
    <w:rsid w:val="00251E64"/>
    <w:rsid w:val="00252247"/>
    <w:rsid w:val="00253E47"/>
    <w:rsid w:val="00253E69"/>
    <w:rsid w:val="00253F28"/>
    <w:rsid w:val="002541FC"/>
    <w:rsid w:val="002547C2"/>
    <w:rsid w:val="0025494C"/>
    <w:rsid w:val="00254BC6"/>
    <w:rsid w:val="00254D82"/>
    <w:rsid w:val="00254D9C"/>
    <w:rsid w:val="0025532C"/>
    <w:rsid w:val="00255CDB"/>
    <w:rsid w:val="00255DE4"/>
    <w:rsid w:val="0025657E"/>
    <w:rsid w:val="00256592"/>
    <w:rsid w:val="002565F3"/>
    <w:rsid w:val="00256D3A"/>
    <w:rsid w:val="00256DA6"/>
    <w:rsid w:val="00256F84"/>
    <w:rsid w:val="002570FF"/>
    <w:rsid w:val="002571CC"/>
    <w:rsid w:val="002571CF"/>
    <w:rsid w:val="00257C20"/>
    <w:rsid w:val="00257F7F"/>
    <w:rsid w:val="002608CD"/>
    <w:rsid w:val="0026164E"/>
    <w:rsid w:val="0026196E"/>
    <w:rsid w:val="00262BF3"/>
    <w:rsid w:val="002632B8"/>
    <w:rsid w:val="0026350D"/>
    <w:rsid w:val="00263B0D"/>
    <w:rsid w:val="00263ED7"/>
    <w:rsid w:val="00263F78"/>
    <w:rsid w:val="0026429B"/>
    <w:rsid w:val="002643E7"/>
    <w:rsid w:val="00264F2F"/>
    <w:rsid w:val="0026504D"/>
    <w:rsid w:val="002659E3"/>
    <w:rsid w:val="00265B27"/>
    <w:rsid w:val="00265EA4"/>
    <w:rsid w:val="00266B8D"/>
    <w:rsid w:val="00266C70"/>
    <w:rsid w:val="00267102"/>
    <w:rsid w:val="002671EF"/>
    <w:rsid w:val="002679B5"/>
    <w:rsid w:val="00267CE3"/>
    <w:rsid w:val="00267E75"/>
    <w:rsid w:val="002700EE"/>
    <w:rsid w:val="00270D1A"/>
    <w:rsid w:val="002711A8"/>
    <w:rsid w:val="002712DD"/>
    <w:rsid w:val="00271674"/>
    <w:rsid w:val="0027207F"/>
    <w:rsid w:val="00272384"/>
    <w:rsid w:val="0027319B"/>
    <w:rsid w:val="00273626"/>
    <w:rsid w:val="00273680"/>
    <w:rsid w:val="002737AA"/>
    <w:rsid w:val="00273EF7"/>
    <w:rsid w:val="00273F1F"/>
    <w:rsid w:val="00274A78"/>
    <w:rsid w:val="00274E24"/>
    <w:rsid w:val="0027512C"/>
    <w:rsid w:val="00275AE7"/>
    <w:rsid w:val="00275DCF"/>
    <w:rsid w:val="00275E51"/>
    <w:rsid w:val="00275E97"/>
    <w:rsid w:val="002761F2"/>
    <w:rsid w:val="002762D8"/>
    <w:rsid w:val="00276589"/>
    <w:rsid w:val="00276939"/>
    <w:rsid w:val="00276DA1"/>
    <w:rsid w:val="00276DB8"/>
    <w:rsid w:val="002772ED"/>
    <w:rsid w:val="00277345"/>
    <w:rsid w:val="00277385"/>
    <w:rsid w:val="0027766B"/>
    <w:rsid w:val="002776EA"/>
    <w:rsid w:val="002802CE"/>
    <w:rsid w:val="0028071A"/>
    <w:rsid w:val="00280859"/>
    <w:rsid w:val="00280C12"/>
    <w:rsid w:val="00280DEE"/>
    <w:rsid w:val="00280E0D"/>
    <w:rsid w:val="00280EF4"/>
    <w:rsid w:val="00280FC7"/>
    <w:rsid w:val="002810F7"/>
    <w:rsid w:val="00281127"/>
    <w:rsid w:val="00281FC5"/>
    <w:rsid w:val="00282273"/>
    <w:rsid w:val="00282346"/>
    <w:rsid w:val="002823BF"/>
    <w:rsid w:val="00282657"/>
    <w:rsid w:val="002827D2"/>
    <w:rsid w:val="00282DD9"/>
    <w:rsid w:val="00283101"/>
    <w:rsid w:val="00283696"/>
    <w:rsid w:val="002836C0"/>
    <w:rsid w:val="00283722"/>
    <w:rsid w:val="00283735"/>
    <w:rsid w:val="002838F8"/>
    <w:rsid w:val="00283DF1"/>
    <w:rsid w:val="00283E25"/>
    <w:rsid w:val="00284291"/>
    <w:rsid w:val="00284374"/>
    <w:rsid w:val="00285478"/>
    <w:rsid w:val="00285A50"/>
    <w:rsid w:val="0028618C"/>
    <w:rsid w:val="002864EF"/>
    <w:rsid w:val="00286CCF"/>
    <w:rsid w:val="00286D94"/>
    <w:rsid w:val="00286DE3"/>
    <w:rsid w:val="00287406"/>
    <w:rsid w:val="002874C3"/>
    <w:rsid w:val="002877AC"/>
    <w:rsid w:val="00287CB2"/>
    <w:rsid w:val="00287DCC"/>
    <w:rsid w:val="00290339"/>
    <w:rsid w:val="002903A5"/>
    <w:rsid w:val="00290701"/>
    <w:rsid w:val="00290778"/>
    <w:rsid w:val="00290F7F"/>
    <w:rsid w:val="00290FF2"/>
    <w:rsid w:val="00291BF6"/>
    <w:rsid w:val="00292114"/>
    <w:rsid w:val="002921C9"/>
    <w:rsid w:val="00292287"/>
    <w:rsid w:val="002924F4"/>
    <w:rsid w:val="00292B6D"/>
    <w:rsid w:val="00292FFA"/>
    <w:rsid w:val="00293422"/>
    <w:rsid w:val="002936CB"/>
    <w:rsid w:val="002937DE"/>
    <w:rsid w:val="0029380C"/>
    <w:rsid w:val="00293A38"/>
    <w:rsid w:val="00293E89"/>
    <w:rsid w:val="00293E97"/>
    <w:rsid w:val="00294289"/>
    <w:rsid w:val="0029435E"/>
    <w:rsid w:val="00294AFE"/>
    <w:rsid w:val="0029526A"/>
    <w:rsid w:val="002952A7"/>
    <w:rsid w:val="0029622C"/>
    <w:rsid w:val="0029690F"/>
    <w:rsid w:val="00296F04"/>
    <w:rsid w:val="00297543"/>
    <w:rsid w:val="002978AB"/>
    <w:rsid w:val="00297E71"/>
    <w:rsid w:val="002A005F"/>
    <w:rsid w:val="002A05BB"/>
    <w:rsid w:val="002A0B43"/>
    <w:rsid w:val="002A0ED0"/>
    <w:rsid w:val="002A0F74"/>
    <w:rsid w:val="002A1362"/>
    <w:rsid w:val="002A1591"/>
    <w:rsid w:val="002A19B4"/>
    <w:rsid w:val="002A2088"/>
    <w:rsid w:val="002A20D2"/>
    <w:rsid w:val="002A26EB"/>
    <w:rsid w:val="002A2752"/>
    <w:rsid w:val="002A280F"/>
    <w:rsid w:val="002A2C17"/>
    <w:rsid w:val="002A33A0"/>
    <w:rsid w:val="002A3447"/>
    <w:rsid w:val="002A3640"/>
    <w:rsid w:val="002A37B3"/>
    <w:rsid w:val="002A37C1"/>
    <w:rsid w:val="002A3D9B"/>
    <w:rsid w:val="002A405B"/>
    <w:rsid w:val="002A4430"/>
    <w:rsid w:val="002A4633"/>
    <w:rsid w:val="002A468D"/>
    <w:rsid w:val="002A4A1C"/>
    <w:rsid w:val="002A4E00"/>
    <w:rsid w:val="002A521C"/>
    <w:rsid w:val="002A55AD"/>
    <w:rsid w:val="002A56E7"/>
    <w:rsid w:val="002A5701"/>
    <w:rsid w:val="002A5B1A"/>
    <w:rsid w:val="002A63ED"/>
    <w:rsid w:val="002A6BF5"/>
    <w:rsid w:val="002A6F15"/>
    <w:rsid w:val="002A7A49"/>
    <w:rsid w:val="002A7D73"/>
    <w:rsid w:val="002B01AB"/>
    <w:rsid w:val="002B05FD"/>
    <w:rsid w:val="002B0883"/>
    <w:rsid w:val="002B09EE"/>
    <w:rsid w:val="002B0CDC"/>
    <w:rsid w:val="002B0E6C"/>
    <w:rsid w:val="002B130B"/>
    <w:rsid w:val="002B14BC"/>
    <w:rsid w:val="002B20C5"/>
    <w:rsid w:val="002B260D"/>
    <w:rsid w:val="002B2A4C"/>
    <w:rsid w:val="002B2C6D"/>
    <w:rsid w:val="002B37CF"/>
    <w:rsid w:val="002B4160"/>
    <w:rsid w:val="002B4412"/>
    <w:rsid w:val="002B50EE"/>
    <w:rsid w:val="002B51AA"/>
    <w:rsid w:val="002B5A68"/>
    <w:rsid w:val="002B61B0"/>
    <w:rsid w:val="002B68DE"/>
    <w:rsid w:val="002B6985"/>
    <w:rsid w:val="002B6D05"/>
    <w:rsid w:val="002B6E58"/>
    <w:rsid w:val="002B7060"/>
    <w:rsid w:val="002B7385"/>
    <w:rsid w:val="002B74CE"/>
    <w:rsid w:val="002B7933"/>
    <w:rsid w:val="002B7BA3"/>
    <w:rsid w:val="002B7DEB"/>
    <w:rsid w:val="002C0000"/>
    <w:rsid w:val="002C0385"/>
    <w:rsid w:val="002C046A"/>
    <w:rsid w:val="002C0B1D"/>
    <w:rsid w:val="002C117E"/>
    <w:rsid w:val="002C163B"/>
    <w:rsid w:val="002C163E"/>
    <w:rsid w:val="002C1963"/>
    <w:rsid w:val="002C1CF1"/>
    <w:rsid w:val="002C2100"/>
    <w:rsid w:val="002C217D"/>
    <w:rsid w:val="002C2406"/>
    <w:rsid w:val="002C2A74"/>
    <w:rsid w:val="002C2E95"/>
    <w:rsid w:val="002C3515"/>
    <w:rsid w:val="002C3B6E"/>
    <w:rsid w:val="002C3BAA"/>
    <w:rsid w:val="002C3D43"/>
    <w:rsid w:val="002C3D83"/>
    <w:rsid w:val="002C4373"/>
    <w:rsid w:val="002C4406"/>
    <w:rsid w:val="002C451A"/>
    <w:rsid w:val="002C471E"/>
    <w:rsid w:val="002C5210"/>
    <w:rsid w:val="002C53E7"/>
    <w:rsid w:val="002C6B00"/>
    <w:rsid w:val="002C6D78"/>
    <w:rsid w:val="002C6DCB"/>
    <w:rsid w:val="002C6E13"/>
    <w:rsid w:val="002C712E"/>
    <w:rsid w:val="002C7560"/>
    <w:rsid w:val="002C7D3D"/>
    <w:rsid w:val="002D0343"/>
    <w:rsid w:val="002D05D5"/>
    <w:rsid w:val="002D14DF"/>
    <w:rsid w:val="002D1985"/>
    <w:rsid w:val="002D1AC2"/>
    <w:rsid w:val="002D222F"/>
    <w:rsid w:val="002D2538"/>
    <w:rsid w:val="002D2A85"/>
    <w:rsid w:val="002D2B23"/>
    <w:rsid w:val="002D2E76"/>
    <w:rsid w:val="002D3347"/>
    <w:rsid w:val="002D336C"/>
    <w:rsid w:val="002D37A8"/>
    <w:rsid w:val="002D3CA0"/>
    <w:rsid w:val="002D4CA0"/>
    <w:rsid w:val="002D4D51"/>
    <w:rsid w:val="002D4E64"/>
    <w:rsid w:val="002D5326"/>
    <w:rsid w:val="002D5410"/>
    <w:rsid w:val="002D5C6E"/>
    <w:rsid w:val="002D6335"/>
    <w:rsid w:val="002D6B16"/>
    <w:rsid w:val="002D6E20"/>
    <w:rsid w:val="002D6F6B"/>
    <w:rsid w:val="002D723B"/>
    <w:rsid w:val="002D76BD"/>
    <w:rsid w:val="002D774E"/>
    <w:rsid w:val="002D7791"/>
    <w:rsid w:val="002D7DB5"/>
    <w:rsid w:val="002E0AB3"/>
    <w:rsid w:val="002E1065"/>
    <w:rsid w:val="002E11F2"/>
    <w:rsid w:val="002E1CEE"/>
    <w:rsid w:val="002E2727"/>
    <w:rsid w:val="002E2946"/>
    <w:rsid w:val="002E29BA"/>
    <w:rsid w:val="002E39CF"/>
    <w:rsid w:val="002E3DB4"/>
    <w:rsid w:val="002E440F"/>
    <w:rsid w:val="002E45AF"/>
    <w:rsid w:val="002E466C"/>
    <w:rsid w:val="002E4AA7"/>
    <w:rsid w:val="002E4D33"/>
    <w:rsid w:val="002E4F85"/>
    <w:rsid w:val="002E5231"/>
    <w:rsid w:val="002E532A"/>
    <w:rsid w:val="002E5CAF"/>
    <w:rsid w:val="002E6261"/>
    <w:rsid w:val="002E62AB"/>
    <w:rsid w:val="002E6616"/>
    <w:rsid w:val="002E66A6"/>
    <w:rsid w:val="002E6928"/>
    <w:rsid w:val="002E6CE5"/>
    <w:rsid w:val="002E6E53"/>
    <w:rsid w:val="002E72D8"/>
    <w:rsid w:val="002E7680"/>
    <w:rsid w:val="002E7704"/>
    <w:rsid w:val="002E7820"/>
    <w:rsid w:val="002F048A"/>
    <w:rsid w:val="002F04C9"/>
    <w:rsid w:val="002F0BA3"/>
    <w:rsid w:val="002F102D"/>
    <w:rsid w:val="002F104A"/>
    <w:rsid w:val="002F1D4F"/>
    <w:rsid w:val="002F1DE2"/>
    <w:rsid w:val="002F20E5"/>
    <w:rsid w:val="002F2131"/>
    <w:rsid w:val="002F22B1"/>
    <w:rsid w:val="002F2583"/>
    <w:rsid w:val="002F2C6C"/>
    <w:rsid w:val="002F3215"/>
    <w:rsid w:val="002F33E1"/>
    <w:rsid w:val="002F3598"/>
    <w:rsid w:val="002F4120"/>
    <w:rsid w:val="002F4142"/>
    <w:rsid w:val="002F4538"/>
    <w:rsid w:val="002F4860"/>
    <w:rsid w:val="002F4BD3"/>
    <w:rsid w:val="002F4C84"/>
    <w:rsid w:val="002F50DC"/>
    <w:rsid w:val="002F556D"/>
    <w:rsid w:val="002F56E2"/>
    <w:rsid w:val="002F5852"/>
    <w:rsid w:val="002F5A3A"/>
    <w:rsid w:val="002F5B94"/>
    <w:rsid w:val="002F66AE"/>
    <w:rsid w:val="002F67EE"/>
    <w:rsid w:val="002F6DF7"/>
    <w:rsid w:val="002F6F34"/>
    <w:rsid w:val="002F7883"/>
    <w:rsid w:val="002F7B51"/>
    <w:rsid w:val="002F7C11"/>
    <w:rsid w:val="00300459"/>
    <w:rsid w:val="00300807"/>
    <w:rsid w:val="00300AD7"/>
    <w:rsid w:val="0030256A"/>
    <w:rsid w:val="0030258D"/>
    <w:rsid w:val="00302EFB"/>
    <w:rsid w:val="003038BC"/>
    <w:rsid w:val="00303B0B"/>
    <w:rsid w:val="00303FD9"/>
    <w:rsid w:val="003041CF"/>
    <w:rsid w:val="003042B0"/>
    <w:rsid w:val="00304D6F"/>
    <w:rsid w:val="00304EC1"/>
    <w:rsid w:val="003058CC"/>
    <w:rsid w:val="00305B6F"/>
    <w:rsid w:val="00305EC3"/>
    <w:rsid w:val="003063D9"/>
    <w:rsid w:val="003070F8"/>
    <w:rsid w:val="00307484"/>
    <w:rsid w:val="00307730"/>
    <w:rsid w:val="00307903"/>
    <w:rsid w:val="00307BBE"/>
    <w:rsid w:val="00307C62"/>
    <w:rsid w:val="0031002F"/>
    <w:rsid w:val="003101B3"/>
    <w:rsid w:val="003102E9"/>
    <w:rsid w:val="003105D4"/>
    <w:rsid w:val="00310773"/>
    <w:rsid w:val="003107CF"/>
    <w:rsid w:val="00310BD0"/>
    <w:rsid w:val="00310DE9"/>
    <w:rsid w:val="00310F45"/>
    <w:rsid w:val="0031117B"/>
    <w:rsid w:val="00311606"/>
    <w:rsid w:val="00311CB3"/>
    <w:rsid w:val="00311FCB"/>
    <w:rsid w:val="00312BA1"/>
    <w:rsid w:val="00312FB3"/>
    <w:rsid w:val="00313678"/>
    <w:rsid w:val="003136C6"/>
    <w:rsid w:val="00313943"/>
    <w:rsid w:val="0031497E"/>
    <w:rsid w:val="00314D13"/>
    <w:rsid w:val="00315019"/>
    <w:rsid w:val="00315414"/>
    <w:rsid w:val="00315615"/>
    <w:rsid w:val="00316081"/>
    <w:rsid w:val="003161C0"/>
    <w:rsid w:val="00316279"/>
    <w:rsid w:val="0031678D"/>
    <w:rsid w:val="00316D20"/>
    <w:rsid w:val="00316D4B"/>
    <w:rsid w:val="003173B5"/>
    <w:rsid w:val="003176DC"/>
    <w:rsid w:val="00317760"/>
    <w:rsid w:val="003177E2"/>
    <w:rsid w:val="00317CFB"/>
    <w:rsid w:val="00317E72"/>
    <w:rsid w:val="003204C9"/>
    <w:rsid w:val="00320549"/>
    <w:rsid w:val="0032068B"/>
    <w:rsid w:val="00320916"/>
    <w:rsid w:val="003211A2"/>
    <w:rsid w:val="00321620"/>
    <w:rsid w:val="00321911"/>
    <w:rsid w:val="003221B3"/>
    <w:rsid w:val="003223AF"/>
    <w:rsid w:val="00322E8E"/>
    <w:rsid w:val="00323450"/>
    <w:rsid w:val="003236F0"/>
    <w:rsid w:val="00323B41"/>
    <w:rsid w:val="00323CB0"/>
    <w:rsid w:val="003246DB"/>
    <w:rsid w:val="003248B2"/>
    <w:rsid w:val="00325057"/>
    <w:rsid w:val="003250DA"/>
    <w:rsid w:val="003253AF"/>
    <w:rsid w:val="003255FC"/>
    <w:rsid w:val="00325649"/>
    <w:rsid w:val="003258FB"/>
    <w:rsid w:val="0032594F"/>
    <w:rsid w:val="00325C0F"/>
    <w:rsid w:val="00325CC9"/>
    <w:rsid w:val="003263BC"/>
    <w:rsid w:val="00326763"/>
    <w:rsid w:val="00326A10"/>
    <w:rsid w:val="00326B24"/>
    <w:rsid w:val="00326B89"/>
    <w:rsid w:val="0032705A"/>
    <w:rsid w:val="0032742D"/>
    <w:rsid w:val="00327DD9"/>
    <w:rsid w:val="00330041"/>
    <w:rsid w:val="003300DC"/>
    <w:rsid w:val="003303A7"/>
    <w:rsid w:val="0033084C"/>
    <w:rsid w:val="00330909"/>
    <w:rsid w:val="00330965"/>
    <w:rsid w:val="00330B2A"/>
    <w:rsid w:val="00330F35"/>
    <w:rsid w:val="0033165B"/>
    <w:rsid w:val="003319F4"/>
    <w:rsid w:val="00331A7B"/>
    <w:rsid w:val="00331FE0"/>
    <w:rsid w:val="00332461"/>
    <w:rsid w:val="0033273C"/>
    <w:rsid w:val="00332849"/>
    <w:rsid w:val="00332A8A"/>
    <w:rsid w:val="00332FA6"/>
    <w:rsid w:val="003331E9"/>
    <w:rsid w:val="0033320A"/>
    <w:rsid w:val="003334AE"/>
    <w:rsid w:val="00333927"/>
    <w:rsid w:val="00333940"/>
    <w:rsid w:val="00333FB1"/>
    <w:rsid w:val="003341A0"/>
    <w:rsid w:val="003341C5"/>
    <w:rsid w:val="0033428F"/>
    <w:rsid w:val="00334461"/>
    <w:rsid w:val="00334584"/>
    <w:rsid w:val="00334D5C"/>
    <w:rsid w:val="00334DF2"/>
    <w:rsid w:val="0033566C"/>
    <w:rsid w:val="003358AA"/>
    <w:rsid w:val="00335C53"/>
    <w:rsid w:val="00335CCA"/>
    <w:rsid w:val="00336316"/>
    <w:rsid w:val="003364B5"/>
    <w:rsid w:val="00336523"/>
    <w:rsid w:val="003366FE"/>
    <w:rsid w:val="003367E1"/>
    <w:rsid w:val="003370C2"/>
    <w:rsid w:val="003378B7"/>
    <w:rsid w:val="0034001C"/>
    <w:rsid w:val="00340A7C"/>
    <w:rsid w:val="003416F2"/>
    <w:rsid w:val="0034186C"/>
    <w:rsid w:val="003418DA"/>
    <w:rsid w:val="003418F2"/>
    <w:rsid w:val="0034193B"/>
    <w:rsid w:val="00341DB1"/>
    <w:rsid w:val="00342278"/>
    <w:rsid w:val="003425EA"/>
    <w:rsid w:val="0034322E"/>
    <w:rsid w:val="003433AE"/>
    <w:rsid w:val="003437D2"/>
    <w:rsid w:val="00343FAF"/>
    <w:rsid w:val="00344599"/>
    <w:rsid w:val="00344E9A"/>
    <w:rsid w:val="00344ED0"/>
    <w:rsid w:val="00345657"/>
    <w:rsid w:val="00345952"/>
    <w:rsid w:val="00345B68"/>
    <w:rsid w:val="00345BE2"/>
    <w:rsid w:val="0034628E"/>
    <w:rsid w:val="003469F7"/>
    <w:rsid w:val="0034704C"/>
    <w:rsid w:val="00347371"/>
    <w:rsid w:val="00347B30"/>
    <w:rsid w:val="00347B8F"/>
    <w:rsid w:val="00347BFD"/>
    <w:rsid w:val="00347DE3"/>
    <w:rsid w:val="003504B3"/>
    <w:rsid w:val="00350B26"/>
    <w:rsid w:val="00350D11"/>
    <w:rsid w:val="00350E19"/>
    <w:rsid w:val="00351433"/>
    <w:rsid w:val="00351438"/>
    <w:rsid w:val="00351622"/>
    <w:rsid w:val="0035172F"/>
    <w:rsid w:val="00352048"/>
    <w:rsid w:val="00352267"/>
    <w:rsid w:val="003522C0"/>
    <w:rsid w:val="00352721"/>
    <w:rsid w:val="00352727"/>
    <w:rsid w:val="00353C63"/>
    <w:rsid w:val="003544F0"/>
    <w:rsid w:val="00354809"/>
    <w:rsid w:val="00354A37"/>
    <w:rsid w:val="00354B3C"/>
    <w:rsid w:val="00354B91"/>
    <w:rsid w:val="00354BC9"/>
    <w:rsid w:val="00354C8A"/>
    <w:rsid w:val="0035573E"/>
    <w:rsid w:val="00356339"/>
    <w:rsid w:val="00356569"/>
    <w:rsid w:val="00356CB7"/>
    <w:rsid w:val="00357403"/>
    <w:rsid w:val="00357481"/>
    <w:rsid w:val="00357682"/>
    <w:rsid w:val="0035773B"/>
    <w:rsid w:val="003601B6"/>
    <w:rsid w:val="00360326"/>
    <w:rsid w:val="00360560"/>
    <w:rsid w:val="00360669"/>
    <w:rsid w:val="00360A11"/>
    <w:rsid w:val="00360BB8"/>
    <w:rsid w:val="00360E00"/>
    <w:rsid w:val="003610DA"/>
    <w:rsid w:val="0036185C"/>
    <w:rsid w:val="00361E52"/>
    <w:rsid w:val="00361E5C"/>
    <w:rsid w:val="0036200D"/>
    <w:rsid w:val="00362DAF"/>
    <w:rsid w:val="00362ECC"/>
    <w:rsid w:val="00363102"/>
    <w:rsid w:val="00363253"/>
    <w:rsid w:val="00363BB0"/>
    <w:rsid w:val="00363EAD"/>
    <w:rsid w:val="00363F88"/>
    <w:rsid w:val="0036425D"/>
    <w:rsid w:val="0036452E"/>
    <w:rsid w:val="0036462E"/>
    <w:rsid w:val="003647B2"/>
    <w:rsid w:val="00364DA4"/>
    <w:rsid w:val="00365549"/>
    <w:rsid w:val="00365682"/>
    <w:rsid w:val="00365795"/>
    <w:rsid w:val="00365892"/>
    <w:rsid w:val="00365AFD"/>
    <w:rsid w:val="00365B26"/>
    <w:rsid w:val="00365D13"/>
    <w:rsid w:val="00365F60"/>
    <w:rsid w:val="00366088"/>
    <w:rsid w:val="00366948"/>
    <w:rsid w:val="00366A1C"/>
    <w:rsid w:val="0036702E"/>
    <w:rsid w:val="003673DB"/>
    <w:rsid w:val="003674AC"/>
    <w:rsid w:val="00367DDA"/>
    <w:rsid w:val="003700C6"/>
    <w:rsid w:val="0037012F"/>
    <w:rsid w:val="003704D2"/>
    <w:rsid w:val="00370D33"/>
    <w:rsid w:val="003710D1"/>
    <w:rsid w:val="003713EA"/>
    <w:rsid w:val="003714D6"/>
    <w:rsid w:val="003715BA"/>
    <w:rsid w:val="00371629"/>
    <w:rsid w:val="00371A3A"/>
    <w:rsid w:val="00371A97"/>
    <w:rsid w:val="00372A3C"/>
    <w:rsid w:val="00372CE6"/>
    <w:rsid w:val="00372D16"/>
    <w:rsid w:val="003734EC"/>
    <w:rsid w:val="00373518"/>
    <w:rsid w:val="00373CB3"/>
    <w:rsid w:val="00374548"/>
    <w:rsid w:val="00374833"/>
    <w:rsid w:val="00374BC9"/>
    <w:rsid w:val="00374C8B"/>
    <w:rsid w:val="00374D98"/>
    <w:rsid w:val="00374F8A"/>
    <w:rsid w:val="00375331"/>
    <w:rsid w:val="003763C4"/>
    <w:rsid w:val="003767DF"/>
    <w:rsid w:val="00376AA5"/>
    <w:rsid w:val="00376EC9"/>
    <w:rsid w:val="0037719F"/>
    <w:rsid w:val="003778C5"/>
    <w:rsid w:val="00377A4C"/>
    <w:rsid w:val="00377A61"/>
    <w:rsid w:val="00380370"/>
    <w:rsid w:val="00380C81"/>
    <w:rsid w:val="00380F6B"/>
    <w:rsid w:val="0038141F"/>
    <w:rsid w:val="0038186A"/>
    <w:rsid w:val="00381B47"/>
    <w:rsid w:val="00381B66"/>
    <w:rsid w:val="00381DC6"/>
    <w:rsid w:val="00381E84"/>
    <w:rsid w:val="0038222E"/>
    <w:rsid w:val="00382288"/>
    <w:rsid w:val="003823C2"/>
    <w:rsid w:val="00382A03"/>
    <w:rsid w:val="00382B53"/>
    <w:rsid w:val="00382DF2"/>
    <w:rsid w:val="00382E1B"/>
    <w:rsid w:val="00383A1E"/>
    <w:rsid w:val="00383E21"/>
    <w:rsid w:val="00383F04"/>
    <w:rsid w:val="00383FF6"/>
    <w:rsid w:val="003843E9"/>
    <w:rsid w:val="0038497E"/>
    <w:rsid w:val="00384DD1"/>
    <w:rsid w:val="00384E82"/>
    <w:rsid w:val="00384FDB"/>
    <w:rsid w:val="00385285"/>
    <w:rsid w:val="00385318"/>
    <w:rsid w:val="00385B10"/>
    <w:rsid w:val="00386453"/>
    <w:rsid w:val="0038645C"/>
    <w:rsid w:val="0038660A"/>
    <w:rsid w:val="003869D8"/>
    <w:rsid w:val="00386A4D"/>
    <w:rsid w:val="00386CE1"/>
    <w:rsid w:val="00386F65"/>
    <w:rsid w:val="0038743A"/>
    <w:rsid w:val="003874AB"/>
    <w:rsid w:val="003874F8"/>
    <w:rsid w:val="003877F7"/>
    <w:rsid w:val="00390000"/>
    <w:rsid w:val="00390070"/>
    <w:rsid w:val="003900D2"/>
    <w:rsid w:val="00390A2C"/>
    <w:rsid w:val="00390A5E"/>
    <w:rsid w:val="00390B79"/>
    <w:rsid w:val="00390BA5"/>
    <w:rsid w:val="00390FDD"/>
    <w:rsid w:val="0039127E"/>
    <w:rsid w:val="0039226F"/>
    <w:rsid w:val="00392339"/>
    <w:rsid w:val="00392A19"/>
    <w:rsid w:val="00392A55"/>
    <w:rsid w:val="0039305A"/>
    <w:rsid w:val="003930C5"/>
    <w:rsid w:val="0039320B"/>
    <w:rsid w:val="00393261"/>
    <w:rsid w:val="003933CE"/>
    <w:rsid w:val="00393DB8"/>
    <w:rsid w:val="003943A2"/>
    <w:rsid w:val="00394A56"/>
    <w:rsid w:val="00394E22"/>
    <w:rsid w:val="00395009"/>
    <w:rsid w:val="00395A2E"/>
    <w:rsid w:val="00395B5B"/>
    <w:rsid w:val="00395FF4"/>
    <w:rsid w:val="00396E8F"/>
    <w:rsid w:val="00396F26"/>
    <w:rsid w:val="003970C4"/>
    <w:rsid w:val="00397135"/>
    <w:rsid w:val="003971BA"/>
    <w:rsid w:val="00397723"/>
    <w:rsid w:val="003A000F"/>
    <w:rsid w:val="003A051B"/>
    <w:rsid w:val="003A07AC"/>
    <w:rsid w:val="003A0914"/>
    <w:rsid w:val="003A0D5E"/>
    <w:rsid w:val="003A182C"/>
    <w:rsid w:val="003A19C6"/>
    <w:rsid w:val="003A1B6E"/>
    <w:rsid w:val="003A2017"/>
    <w:rsid w:val="003A2048"/>
    <w:rsid w:val="003A20F9"/>
    <w:rsid w:val="003A25AC"/>
    <w:rsid w:val="003A2972"/>
    <w:rsid w:val="003A2CFE"/>
    <w:rsid w:val="003A2DDF"/>
    <w:rsid w:val="003A348B"/>
    <w:rsid w:val="003A39B6"/>
    <w:rsid w:val="003A3CCD"/>
    <w:rsid w:val="003A4549"/>
    <w:rsid w:val="003A49C0"/>
    <w:rsid w:val="003A4F77"/>
    <w:rsid w:val="003A4FC3"/>
    <w:rsid w:val="003A575B"/>
    <w:rsid w:val="003A5820"/>
    <w:rsid w:val="003A5858"/>
    <w:rsid w:val="003A5B0B"/>
    <w:rsid w:val="003A5FA3"/>
    <w:rsid w:val="003A6055"/>
    <w:rsid w:val="003A62C0"/>
    <w:rsid w:val="003A69D2"/>
    <w:rsid w:val="003A7154"/>
    <w:rsid w:val="003A749D"/>
    <w:rsid w:val="003A76ED"/>
    <w:rsid w:val="003A784E"/>
    <w:rsid w:val="003B074D"/>
    <w:rsid w:val="003B095B"/>
    <w:rsid w:val="003B0DBA"/>
    <w:rsid w:val="003B116F"/>
    <w:rsid w:val="003B147A"/>
    <w:rsid w:val="003B1666"/>
    <w:rsid w:val="003B17BB"/>
    <w:rsid w:val="003B1A3E"/>
    <w:rsid w:val="003B1B30"/>
    <w:rsid w:val="003B1F20"/>
    <w:rsid w:val="003B1FFB"/>
    <w:rsid w:val="003B2003"/>
    <w:rsid w:val="003B2202"/>
    <w:rsid w:val="003B28CE"/>
    <w:rsid w:val="003B32C8"/>
    <w:rsid w:val="003B3C44"/>
    <w:rsid w:val="003B3D63"/>
    <w:rsid w:val="003B3D69"/>
    <w:rsid w:val="003B41E7"/>
    <w:rsid w:val="003B42DA"/>
    <w:rsid w:val="003B43BC"/>
    <w:rsid w:val="003B44C0"/>
    <w:rsid w:val="003B48D7"/>
    <w:rsid w:val="003B48D9"/>
    <w:rsid w:val="003B52BE"/>
    <w:rsid w:val="003B581C"/>
    <w:rsid w:val="003B5855"/>
    <w:rsid w:val="003B5A75"/>
    <w:rsid w:val="003B6087"/>
    <w:rsid w:val="003B60B1"/>
    <w:rsid w:val="003B6A76"/>
    <w:rsid w:val="003B6C52"/>
    <w:rsid w:val="003B6F60"/>
    <w:rsid w:val="003C065C"/>
    <w:rsid w:val="003C0E55"/>
    <w:rsid w:val="003C142F"/>
    <w:rsid w:val="003C1B2A"/>
    <w:rsid w:val="003C1CC6"/>
    <w:rsid w:val="003C207F"/>
    <w:rsid w:val="003C216B"/>
    <w:rsid w:val="003C22E0"/>
    <w:rsid w:val="003C2384"/>
    <w:rsid w:val="003C2561"/>
    <w:rsid w:val="003C290E"/>
    <w:rsid w:val="003C2C29"/>
    <w:rsid w:val="003C2E9C"/>
    <w:rsid w:val="003C37C1"/>
    <w:rsid w:val="003C40F9"/>
    <w:rsid w:val="003C4848"/>
    <w:rsid w:val="003C5AAD"/>
    <w:rsid w:val="003C6276"/>
    <w:rsid w:val="003C6DD6"/>
    <w:rsid w:val="003C73DD"/>
    <w:rsid w:val="003D01BA"/>
    <w:rsid w:val="003D0409"/>
    <w:rsid w:val="003D0C53"/>
    <w:rsid w:val="003D0FB1"/>
    <w:rsid w:val="003D1014"/>
    <w:rsid w:val="003D1306"/>
    <w:rsid w:val="003D1545"/>
    <w:rsid w:val="003D213E"/>
    <w:rsid w:val="003D2B0F"/>
    <w:rsid w:val="003D3060"/>
    <w:rsid w:val="003D3061"/>
    <w:rsid w:val="003D3114"/>
    <w:rsid w:val="003D3EBD"/>
    <w:rsid w:val="003D3F37"/>
    <w:rsid w:val="003D449B"/>
    <w:rsid w:val="003D4E49"/>
    <w:rsid w:val="003D525A"/>
    <w:rsid w:val="003D581F"/>
    <w:rsid w:val="003D6026"/>
    <w:rsid w:val="003D652B"/>
    <w:rsid w:val="003D677D"/>
    <w:rsid w:val="003D68AD"/>
    <w:rsid w:val="003D6BD7"/>
    <w:rsid w:val="003D6BE6"/>
    <w:rsid w:val="003D6D57"/>
    <w:rsid w:val="003D6ECD"/>
    <w:rsid w:val="003D74DF"/>
    <w:rsid w:val="003D7534"/>
    <w:rsid w:val="003D7B11"/>
    <w:rsid w:val="003D7E27"/>
    <w:rsid w:val="003E0751"/>
    <w:rsid w:val="003E0812"/>
    <w:rsid w:val="003E08CD"/>
    <w:rsid w:val="003E147D"/>
    <w:rsid w:val="003E1980"/>
    <w:rsid w:val="003E1AA1"/>
    <w:rsid w:val="003E20A8"/>
    <w:rsid w:val="003E2D88"/>
    <w:rsid w:val="003E3662"/>
    <w:rsid w:val="003E38B8"/>
    <w:rsid w:val="003E3BE8"/>
    <w:rsid w:val="003E3CB6"/>
    <w:rsid w:val="003E431C"/>
    <w:rsid w:val="003E435D"/>
    <w:rsid w:val="003E4392"/>
    <w:rsid w:val="003E52DD"/>
    <w:rsid w:val="003E5660"/>
    <w:rsid w:val="003E5CF9"/>
    <w:rsid w:val="003E6006"/>
    <w:rsid w:val="003E610A"/>
    <w:rsid w:val="003E6B06"/>
    <w:rsid w:val="003E6CFE"/>
    <w:rsid w:val="003E6DC5"/>
    <w:rsid w:val="003E6E57"/>
    <w:rsid w:val="003E70B8"/>
    <w:rsid w:val="003E7509"/>
    <w:rsid w:val="003E7966"/>
    <w:rsid w:val="003E7B1F"/>
    <w:rsid w:val="003E7C24"/>
    <w:rsid w:val="003F009C"/>
    <w:rsid w:val="003F0739"/>
    <w:rsid w:val="003F07EB"/>
    <w:rsid w:val="003F0872"/>
    <w:rsid w:val="003F090C"/>
    <w:rsid w:val="003F10D6"/>
    <w:rsid w:val="003F18BC"/>
    <w:rsid w:val="003F1E1D"/>
    <w:rsid w:val="003F2AB1"/>
    <w:rsid w:val="003F2C91"/>
    <w:rsid w:val="003F3178"/>
    <w:rsid w:val="003F31F5"/>
    <w:rsid w:val="003F3627"/>
    <w:rsid w:val="003F397F"/>
    <w:rsid w:val="003F3A34"/>
    <w:rsid w:val="003F3F00"/>
    <w:rsid w:val="003F4523"/>
    <w:rsid w:val="003F4639"/>
    <w:rsid w:val="003F46A0"/>
    <w:rsid w:val="003F48D2"/>
    <w:rsid w:val="003F4996"/>
    <w:rsid w:val="003F4D30"/>
    <w:rsid w:val="003F51ED"/>
    <w:rsid w:val="003F56A5"/>
    <w:rsid w:val="003F5D06"/>
    <w:rsid w:val="003F605C"/>
    <w:rsid w:val="003F616F"/>
    <w:rsid w:val="003F6520"/>
    <w:rsid w:val="003F697E"/>
    <w:rsid w:val="003F704F"/>
    <w:rsid w:val="003F7114"/>
    <w:rsid w:val="003F7285"/>
    <w:rsid w:val="003F74BD"/>
    <w:rsid w:val="003F74F9"/>
    <w:rsid w:val="003F7772"/>
    <w:rsid w:val="003F77DD"/>
    <w:rsid w:val="003F78B9"/>
    <w:rsid w:val="003F7C1C"/>
    <w:rsid w:val="003F7EB1"/>
    <w:rsid w:val="004003F7"/>
    <w:rsid w:val="00400431"/>
    <w:rsid w:val="0040048F"/>
    <w:rsid w:val="004007B4"/>
    <w:rsid w:val="004010DD"/>
    <w:rsid w:val="00401269"/>
    <w:rsid w:val="00401A4D"/>
    <w:rsid w:val="00401F27"/>
    <w:rsid w:val="004025E6"/>
    <w:rsid w:val="00402769"/>
    <w:rsid w:val="0040284A"/>
    <w:rsid w:val="00402A9E"/>
    <w:rsid w:val="004033A6"/>
    <w:rsid w:val="0040397F"/>
    <w:rsid w:val="00403A00"/>
    <w:rsid w:val="00403A4A"/>
    <w:rsid w:val="00403CEE"/>
    <w:rsid w:val="0040438E"/>
    <w:rsid w:val="00404765"/>
    <w:rsid w:val="00404BE9"/>
    <w:rsid w:val="00404E26"/>
    <w:rsid w:val="0040535F"/>
    <w:rsid w:val="00405B2B"/>
    <w:rsid w:val="00405BD4"/>
    <w:rsid w:val="0040646C"/>
    <w:rsid w:val="0040654E"/>
    <w:rsid w:val="00406C9C"/>
    <w:rsid w:val="00406EDB"/>
    <w:rsid w:val="0040724B"/>
    <w:rsid w:val="004074D9"/>
    <w:rsid w:val="0040790B"/>
    <w:rsid w:val="0040795B"/>
    <w:rsid w:val="00407B77"/>
    <w:rsid w:val="004104CC"/>
    <w:rsid w:val="00410A27"/>
    <w:rsid w:val="00410D4E"/>
    <w:rsid w:val="004117B5"/>
    <w:rsid w:val="00411A28"/>
    <w:rsid w:val="00411B9E"/>
    <w:rsid w:val="00411D87"/>
    <w:rsid w:val="00411E75"/>
    <w:rsid w:val="004125F9"/>
    <w:rsid w:val="00412AF8"/>
    <w:rsid w:val="00412DF6"/>
    <w:rsid w:val="00412FFF"/>
    <w:rsid w:val="004134EB"/>
    <w:rsid w:val="00413501"/>
    <w:rsid w:val="00413FBF"/>
    <w:rsid w:val="0041426C"/>
    <w:rsid w:val="00414960"/>
    <w:rsid w:val="00414A90"/>
    <w:rsid w:val="00414E83"/>
    <w:rsid w:val="00415585"/>
    <w:rsid w:val="00415914"/>
    <w:rsid w:val="004159D7"/>
    <w:rsid w:val="00415A41"/>
    <w:rsid w:val="00415D56"/>
    <w:rsid w:val="0041614D"/>
    <w:rsid w:val="00416668"/>
    <w:rsid w:val="004168CD"/>
    <w:rsid w:val="00416D6F"/>
    <w:rsid w:val="00416D88"/>
    <w:rsid w:val="00416EBB"/>
    <w:rsid w:val="004173B9"/>
    <w:rsid w:val="00417576"/>
    <w:rsid w:val="00417670"/>
    <w:rsid w:val="00417AB5"/>
    <w:rsid w:val="004202C8"/>
    <w:rsid w:val="00420D8F"/>
    <w:rsid w:val="004213F1"/>
    <w:rsid w:val="00421CFF"/>
    <w:rsid w:val="00421D66"/>
    <w:rsid w:val="004220DA"/>
    <w:rsid w:val="004224BD"/>
    <w:rsid w:val="00422ABC"/>
    <w:rsid w:val="004233A9"/>
    <w:rsid w:val="004233AD"/>
    <w:rsid w:val="004234F5"/>
    <w:rsid w:val="00423BCB"/>
    <w:rsid w:val="00423E12"/>
    <w:rsid w:val="00424A04"/>
    <w:rsid w:val="00424F42"/>
    <w:rsid w:val="0042531A"/>
    <w:rsid w:val="00425509"/>
    <w:rsid w:val="004256AC"/>
    <w:rsid w:val="00426023"/>
    <w:rsid w:val="00426C78"/>
    <w:rsid w:val="00426DFD"/>
    <w:rsid w:val="00427A8C"/>
    <w:rsid w:val="00427B8C"/>
    <w:rsid w:val="00427BEA"/>
    <w:rsid w:val="0043047C"/>
    <w:rsid w:val="004306D1"/>
    <w:rsid w:val="00430A8D"/>
    <w:rsid w:val="00430D2A"/>
    <w:rsid w:val="004312C0"/>
    <w:rsid w:val="0043132E"/>
    <w:rsid w:val="00431364"/>
    <w:rsid w:val="0043179B"/>
    <w:rsid w:val="00431817"/>
    <w:rsid w:val="004318BE"/>
    <w:rsid w:val="0043223A"/>
    <w:rsid w:val="00432850"/>
    <w:rsid w:val="00432E94"/>
    <w:rsid w:val="004330F6"/>
    <w:rsid w:val="00433394"/>
    <w:rsid w:val="004339DD"/>
    <w:rsid w:val="00433AB2"/>
    <w:rsid w:val="004343C3"/>
    <w:rsid w:val="00434799"/>
    <w:rsid w:val="00435E6E"/>
    <w:rsid w:val="004365A5"/>
    <w:rsid w:val="00437316"/>
    <w:rsid w:val="00437691"/>
    <w:rsid w:val="00437DB2"/>
    <w:rsid w:val="00437FCB"/>
    <w:rsid w:val="004400C4"/>
    <w:rsid w:val="00440140"/>
    <w:rsid w:val="00440441"/>
    <w:rsid w:val="004408DD"/>
    <w:rsid w:val="00440B1B"/>
    <w:rsid w:val="00440C38"/>
    <w:rsid w:val="0044116D"/>
    <w:rsid w:val="004412CB"/>
    <w:rsid w:val="00441824"/>
    <w:rsid w:val="00441A5F"/>
    <w:rsid w:val="00441AD2"/>
    <w:rsid w:val="00441B71"/>
    <w:rsid w:val="00441F23"/>
    <w:rsid w:val="00442561"/>
    <w:rsid w:val="00442809"/>
    <w:rsid w:val="00442C45"/>
    <w:rsid w:val="00442D6E"/>
    <w:rsid w:val="00443286"/>
    <w:rsid w:val="004436C1"/>
    <w:rsid w:val="004445C9"/>
    <w:rsid w:val="0044461C"/>
    <w:rsid w:val="00444692"/>
    <w:rsid w:val="00444EA7"/>
    <w:rsid w:val="004454D3"/>
    <w:rsid w:val="0044568E"/>
    <w:rsid w:val="004458E0"/>
    <w:rsid w:val="00445DA0"/>
    <w:rsid w:val="004462F8"/>
    <w:rsid w:val="0044669C"/>
    <w:rsid w:val="00446A72"/>
    <w:rsid w:val="00446C25"/>
    <w:rsid w:val="00446C6D"/>
    <w:rsid w:val="00446FB2"/>
    <w:rsid w:val="004470B0"/>
    <w:rsid w:val="0044714E"/>
    <w:rsid w:val="004477C3"/>
    <w:rsid w:val="00447B0F"/>
    <w:rsid w:val="00450267"/>
    <w:rsid w:val="0045031D"/>
    <w:rsid w:val="00450365"/>
    <w:rsid w:val="00450463"/>
    <w:rsid w:val="004509A8"/>
    <w:rsid w:val="00450D48"/>
    <w:rsid w:val="00451059"/>
    <w:rsid w:val="0045118B"/>
    <w:rsid w:val="00451435"/>
    <w:rsid w:val="0045180D"/>
    <w:rsid w:val="00451A2D"/>
    <w:rsid w:val="00451E18"/>
    <w:rsid w:val="00451E40"/>
    <w:rsid w:val="00451EE5"/>
    <w:rsid w:val="004525CB"/>
    <w:rsid w:val="00452833"/>
    <w:rsid w:val="004529F5"/>
    <w:rsid w:val="00452AB7"/>
    <w:rsid w:val="0045325A"/>
    <w:rsid w:val="004540BB"/>
    <w:rsid w:val="0045446D"/>
    <w:rsid w:val="0045459A"/>
    <w:rsid w:val="004545A6"/>
    <w:rsid w:val="004546DB"/>
    <w:rsid w:val="00454742"/>
    <w:rsid w:val="004548F4"/>
    <w:rsid w:val="00454BC7"/>
    <w:rsid w:val="00454C4C"/>
    <w:rsid w:val="00455A52"/>
    <w:rsid w:val="00456402"/>
    <w:rsid w:val="004564E6"/>
    <w:rsid w:val="00456E0E"/>
    <w:rsid w:val="00456F7C"/>
    <w:rsid w:val="00457217"/>
    <w:rsid w:val="00457512"/>
    <w:rsid w:val="00457D19"/>
    <w:rsid w:val="00457E3D"/>
    <w:rsid w:val="0046044E"/>
    <w:rsid w:val="00460D0C"/>
    <w:rsid w:val="00461123"/>
    <w:rsid w:val="004611F0"/>
    <w:rsid w:val="0046120D"/>
    <w:rsid w:val="00461335"/>
    <w:rsid w:val="00461C63"/>
    <w:rsid w:val="00461CC4"/>
    <w:rsid w:val="00461E0E"/>
    <w:rsid w:val="00461E50"/>
    <w:rsid w:val="004622FC"/>
    <w:rsid w:val="004638E8"/>
    <w:rsid w:val="00463B31"/>
    <w:rsid w:val="00463FE5"/>
    <w:rsid w:val="00464448"/>
    <w:rsid w:val="00464A44"/>
    <w:rsid w:val="00465286"/>
    <w:rsid w:val="00465510"/>
    <w:rsid w:val="00465BC9"/>
    <w:rsid w:val="0046605A"/>
    <w:rsid w:val="004660F7"/>
    <w:rsid w:val="00466709"/>
    <w:rsid w:val="0046676F"/>
    <w:rsid w:val="00466878"/>
    <w:rsid w:val="004668AD"/>
    <w:rsid w:val="0046695A"/>
    <w:rsid w:val="00467697"/>
    <w:rsid w:val="00467702"/>
    <w:rsid w:val="004677A6"/>
    <w:rsid w:val="00467829"/>
    <w:rsid w:val="004679DC"/>
    <w:rsid w:val="00467C6E"/>
    <w:rsid w:val="00467DDD"/>
    <w:rsid w:val="004701C6"/>
    <w:rsid w:val="00470A34"/>
    <w:rsid w:val="00470CAB"/>
    <w:rsid w:val="00470E97"/>
    <w:rsid w:val="004722C1"/>
    <w:rsid w:val="00472455"/>
    <w:rsid w:val="00472B5B"/>
    <w:rsid w:val="0047302F"/>
    <w:rsid w:val="0047336B"/>
    <w:rsid w:val="00473E7D"/>
    <w:rsid w:val="004747B4"/>
    <w:rsid w:val="00474A1A"/>
    <w:rsid w:val="00474E5F"/>
    <w:rsid w:val="00474EBB"/>
    <w:rsid w:val="004753F7"/>
    <w:rsid w:val="004758FF"/>
    <w:rsid w:val="0047643E"/>
    <w:rsid w:val="004766FE"/>
    <w:rsid w:val="00476832"/>
    <w:rsid w:val="00476879"/>
    <w:rsid w:val="00476D4F"/>
    <w:rsid w:val="004774B9"/>
    <w:rsid w:val="0047750C"/>
    <w:rsid w:val="0048007F"/>
    <w:rsid w:val="00480134"/>
    <w:rsid w:val="00481399"/>
    <w:rsid w:val="00481EBC"/>
    <w:rsid w:val="004822D6"/>
    <w:rsid w:val="00482DA6"/>
    <w:rsid w:val="00482FD9"/>
    <w:rsid w:val="00483480"/>
    <w:rsid w:val="004836BC"/>
    <w:rsid w:val="00483B54"/>
    <w:rsid w:val="00483E4C"/>
    <w:rsid w:val="00483F6D"/>
    <w:rsid w:val="00484510"/>
    <w:rsid w:val="00484C2B"/>
    <w:rsid w:val="00484E84"/>
    <w:rsid w:val="0048504C"/>
    <w:rsid w:val="004853D6"/>
    <w:rsid w:val="00485465"/>
    <w:rsid w:val="00485533"/>
    <w:rsid w:val="00485766"/>
    <w:rsid w:val="00486B9F"/>
    <w:rsid w:val="00486D26"/>
    <w:rsid w:val="00486D95"/>
    <w:rsid w:val="00486E0F"/>
    <w:rsid w:val="00486E22"/>
    <w:rsid w:val="00487D4C"/>
    <w:rsid w:val="00487E32"/>
    <w:rsid w:val="00487FF9"/>
    <w:rsid w:val="004901F0"/>
    <w:rsid w:val="004904EA"/>
    <w:rsid w:val="00490BD7"/>
    <w:rsid w:val="00491018"/>
    <w:rsid w:val="004917B6"/>
    <w:rsid w:val="00491967"/>
    <w:rsid w:val="00492998"/>
    <w:rsid w:val="00492D77"/>
    <w:rsid w:val="00492D96"/>
    <w:rsid w:val="00493867"/>
    <w:rsid w:val="00493C19"/>
    <w:rsid w:val="004949FD"/>
    <w:rsid w:val="00494D1B"/>
    <w:rsid w:val="00495019"/>
    <w:rsid w:val="00495033"/>
    <w:rsid w:val="004952A4"/>
    <w:rsid w:val="00495815"/>
    <w:rsid w:val="0049591A"/>
    <w:rsid w:val="00495AED"/>
    <w:rsid w:val="00495B2D"/>
    <w:rsid w:val="00496475"/>
    <w:rsid w:val="00496A31"/>
    <w:rsid w:val="00496BB9"/>
    <w:rsid w:val="00496C8B"/>
    <w:rsid w:val="00496E0C"/>
    <w:rsid w:val="00497002"/>
    <w:rsid w:val="00497770"/>
    <w:rsid w:val="004A035C"/>
    <w:rsid w:val="004A044D"/>
    <w:rsid w:val="004A0D0F"/>
    <w:rsid w:val="004A0EE6"/>
    <w:rsid w:val="004A115C"/>
    <w:rsid w:val="004A162D"/>
    <w:rsid w:val="004A1CFC"/>
    <w:rsid w:val="004A1EBB"/>
    <w:rsid w:val="004A1EF7"/>
    <w:rsid w:val="004A2144"/>
    <w:rsid w:val="004A2224"/>
    <w:rsid w:val="004A2B68"/>
    <w:rsid w:val="004A3024"/>
    <w:rsid w:val="004A31CA"/>
    <w:rsid w:val="004A3375"/>
    <w:rsid w:val="004A395C"/>
    <w:rsid w:val="004A39BD"/>
    <w:rsid w:val="004A3AAA"/>
    <w:rsid w:val="004A4329"/>
    <w:rsid w:val="004A435E"/>
    <w:rsid w:val="004A520F"/>
    <w:rsid w:val="004A54D4"/>
    <w:rsid w:val="004A57F9"/>
    <w:rsid w:val="004A5CB1"/>
    <w:rsid w:val="004A5E01"/>
    <w:rsid w:val="004A62AA"/>
    <w:rsid w:val="004A630E"/>
    <w:rsid w:val="004A64AB"/>
    <w:rsid w:val="004A66BC"/>
    <w:rsid w:val="004A6967"/>
    <w:rsid w:val="004A6A95"/>
    <w:rsid w:val="004A71F7"/>
    <w:rsid w:val="004A7BAD"/>
    <w:rsid w:val="004B02D9"/>
    <w:rsid w:val="004B041D"/>
    <w:rsid w:val="004B0A9B"/>
    <w:rsid w:val="004B1218"/>
    <w:rsid w:val="004B12F4"/>
    <w:rsid w:val="004B1360"/>
    <w:rsid w:val="004B1488"/>
    <w:rsid w:val="004B1844"/>
    <w:rsid w:val="004B1862"/>
    <w:rsid w:val="004B1C71"/>
    <w:rsid w:val="004B1E74"/>
    <w:rsid w:val="004B242E"/>
    <w:rsid w:val="004B27E4"/>
    <w:rsid w:val="004B2A03"/>
    <w:rsid w:val="004B2D7D"/>
    <w:rsid w:val="004B3AA2"/>
    <w:rsid w:val="004B3AC7"/>
    <w:rsid w:val="004B3D85"/>
    <w:rsid w:val="004B3EFA"/>
    <w:rsid w:val="004B3FA3"/>
    <w:rsid w:val="004B40C8"/>
    <w:rsid w:val="004B482E"/>
    <w:rsid w:val="004B4FAB"/>
    <w:rsid w:val="004B4FF7"/>
    <w:rsid w:val="004B572A"/>
    <w:rsid w:val="004B578A"/>
    <w:rsid w:val="004B5BF8"/>
    <w:rsid w:val="004B5D00"/>
    <w:rsid w:val="004B5D02"/>
    <w:rsid w:val="004B60F0"/>
    <w:rsid w:val="004B64CC"/>
    <w:rsid w:val="004B68EE"/>
    <w:rsid w:val="004B6D9A"/>
    <w:rsid w:val="004B6EA0"/>
    <w:rsid w:val="004B74BD"/>
    <w:rsid w:val="004B75A2"/>
    <w:rsid w:val="004B7F3D"/>
    <w:rsid w:val="004B7F68"/>
    <w:rsid w:val="004C0264"/>
    <w:rsid w:val="004C038E"/>
    <w:rsid w:val="004C046B"/>
    <w:rsid w:val="004C0E43"/>
    <w:rsid w:val="004C0FF4"/>
    <w:rsid w:val="004C13FC"/>
    <w:rsid w:val="004C1717"/>
    <w:rsid w:val="004C206B"/>
    <w:rsid w:val="004C250C"/>
    <w:rsid w:val="004C2871"/>
    <w:rsid w:val="004C37B4"/>
    <w:rsid w:val="004C3904"/>
    <w:rsid w:val="004C497F"/>
    <w:rsid w:val="004C4CFE"/>
    <w:rsid w:val="004C4E7C"/>
    <w:rsid w:val="004C539C"/>
    <w:rsid w:val="004C53F5"/>
    <w:rsid w:val="004C53F6"/>
    <w:rsid w:val="004C5BBE"/>
    <w:rsid w:val="004C6785"/>
    <w:rsid w:val="004C6B35"/>
    <w:rsid w:val="004C6DCA"/>
    <w:rsid w:val="004C6EF5"/>
    <w:rsid w:val="004C70DD"/>
    <w:rsid w:val="004C77A8"/>
    <w:rsid w:val="004C7EAC"/>
    <w:rsid w:val="004D022A"/>
    <w:rsid w:val="004D04B2"/>
    <w:rsid w:val="004D133F"/>
    <w:rsid w:val="004D14F2"/>
    <w:rsid w:val="004D1842"/>
    <w:rsid w:val="004D1EDB"/>
    <w:rsid w:val="004D24B3"/>
    <w:rsid w:val="004D295D"/>
    <w:rsid w:val="004D2B7E"/>
    <w:rsid w:val="004D3100"/>
    <w:rsid w:val="004D3513"/>
    <w:rsid w:val="004D378D"/>
    <w:rsid w:val="004D3EAA"/>
    <w:rsid w:val="004D45A4"/>
    <w:rsid w:val="004D4C79"/>
    <w:rsid w:val="004D5070"/>
    <w:rsid w:val="004D50FF"/>
    <w:rsid w:val="004D6025"/>
    <w:rsid w:val="004D60D1"/>
    <w:rsid w:val="004D6D1F"/>
    <w:rsid w:val="004D7229"/>
    <w:rsid w:val="004D7961"/>
    <w:rsid w:val="004D7E2A"/>
    <w:rsid w:val="004D7E80"/>
    <w:rsid w:val="004E04DB"/>
    <w:rsid w:val="004E055A"/>
    <w:rsid w:val="004E0831"/>
    <w:rsid w:val="004E08A7"/>
    <w:rsid w:val="004E0A2E"/>
    <w:rsid w:val="004E0B12"/>
    <w:rsid w:val="004E1038"/>
    <w:rsid w:val="004E1196"/>
    <w:rsid w:val="004E1B27"/>
    <w:rsid w:val="004E1C4E"/>
    <w:rsid w:val="004E218B"/>
    <w:rsid w:val="004E2234"/>
    <w:rsid w:val="004E25D0"/>
    <w:rsid w:val="004E299D"/>
    <w:rsid w:val="004E2B01"/>
    <w:rsid w:val="004E2BD0"/>
    <w:rsid w:val="004E34D3"/>
    <w:rsid w:val="004E3B0A"/>
    <w:rsid w:val="004E3C20"/>
    <w:rsid w:val="004E42F1"/>
    <w:rsid w:val="004E435E"/>
    <w:rsid w:val="004E43D7"/>
    <w:rsid w:val="004E462D"/>
    <w:rsid w:val="004E4A87"/>
    <w:rsid w:val="004E4B20"/>
    <w:rsid w:val="004E4B4E"/>
    <w:rsid w:val="004E4F08"/>
    <w:rsid w:val="004E5005"/>
    <w:rsid w:val="004E5033"/>
    <w:rsid w:val="004E548B"/>
    <w:rsid w:val="004E5DA5"/>
    <w:rsid w:val="004E6E3A"/>
    <w:rsid w:val="004E6E9C"/>
    <w:rsid w:val="004E6F29"/>
    <w:rsid w:val="004E72E9"/>
    <w:rsid w:val="004E7615"/>
    <w:rsid w:val="004E7A65"/>
    <w:rsid w:val="004E7C14"/>
    <w:rsid w:val="004F08A1"/>
    <w:rsid w:val="004F08F5"/>
    <w:rsid w:val="004F12B7"/>
    <w:rsid w:val="004F1AAE"/>
    <w:rsid w:val="004F1C50"/>
    <w:rsid w:val="004F1D62"/>
    <w:rsid w:val="004F1D75"/>
    <w:rsid w:val="004F26ED"/>
    <w:rsid w:val="004F2A58"/>
    <w:rsid w:val="004F328F"/>
    <w:rsid w:val="004F352B"/>
    <w:rsid w:val="004F371F"/>
    <w:rsid w:val="004F375E"/>
    <w:rsid w:val="004F40EF"/>
    <w:rsid w:val="004F4180"/>
    <w:rsid w:val="004F44AB"/>
    <w:rsid w:val="004F453C"/>
    <w:rsid w:val="004F46EC"/>
    <w:rsid w:val="004F47BE"/>
    <w:rsid w:val="004F48B6"/>
    <w:rsid w:val="004F4918"/>
    <w:rsid w:val="004F4B0C"/>
    <w:rsid w:val="004F4C20"/>
    <w:rsid w:val="004F59B6"/>
    <w:rsid w:val="004F5AED"/>
    <w:rsid w:val="004F5AF5"/>
    <w:rsid w:val="004F6159"/>
    <w:rsid w:val="004F6355"/>
    <w:rsid w:val="004F67EF"/>
    <w:rsid w:val="004F6D1C"/>
    <w:rsid w:val="004F6DD1"/>
    <w:rsid w:val="004F7C15"/>
    <w:rsid w:val="00500218"/>
    <w:rsid w:val="00500828"/>
    <w:rsid w:val="00500A2D"/>
    <w:rsid w:val="005011D7"/>
    <w:rsid w:val="00501216"/>
    <w:rsid w:val="005013C8"/>
    <w:rsid w:val="00501517"/>
    <w:rsid w:val="00501906"/>
    <w:rsid w:val="005019E1"/>
    <w:rsid w:val="00501D63"/>
    <w:rsid w:val="00502256"/>
    <w:rsid w:val="005024D1"/>
    <w:rsid w:val="005026AA"/>
    <w:rsid w:val="00502D20"/>
    <w:rsid w:val="0050323E"/>
    <w:rsid w:val="005033D1"/>
    <w:rsid w:val="00503707"/>
    <w:rsid w:val="00503964"/>
    <w:rsid w:val="005039EB"/>
    <w:rsid w:val="00503DD7"/>
    <w:rsid w:val="00503F46"/>
    <w:rsid w:val="005046D8"/>
    <w:rsid w:val="00504715"/>
    <w:rsid w:val="00504C8A"/>
    <w:rsid w:val="005059C7"/>
    <w:rsid w:val="00505BD5"/>
    <w:rsid w:val="00506372"/>
    <w:rsid w:val="0050687F"/>
    <w:rsid w:val="00506B1E"/>
    <w:rsid w:val="00506D1E"/>
    <w:rsid w:val="00506E4E"/>
    <w:rsid w:val="005071AE"/>
    <w:rsid w:val="00507915"/>
    <w:rsid w:val="00507A70"/>
    <w:rsid w:val="00510491"/>
    <w:rsid w:val="00510712"/>
    <w:rsid w:val="00511275"/>
    <w:rsid w:val="00511696"/>
    <w:rsid w:val="00512027"/>
    <w:rsid w:val="00513CE2"/>
    <w:rsid w:val="00513D01"/>
    <w:rsid w:val="00513F8F"/>
    <w:rsid w:val="00513FAA"/>
    <w:rsid w:val="00514B87"/>
    <w:rsid w:val="00514DEF"/>
    <w:rsid w:val="00515330"/>
    <w:rsid w:val="00515C14"/>
    <w:rsid w:val="00515CAE"/>
    <w:rsid w:val="005162B6"/>
    <w:rsid w:val="00516715"/>
    <w:rsid w:val="00516A66"/>
    <w:rsid w:val="00516B5A"/>
    <w:rsid w:val="00517018"/>
    <w:rsid w:val="00517199"/>
    <w:rsid w:val="005172B9"/>
    <w:rsid w:val="005178FB"/>
    <w:rsid w:val="00517CB5"/>
    <w:rsid w:val="005207CF"/>
    <w:rsid w:val="00520C63"/>
    <w:rsid w:val="00520FDA"/>
    <w:rsid w:val="00521246"/>
    <w:rsid w:val="00521370"/>
    <w:rsid w:val="00521C0A"/>
    <w:rsid w:val="00522041"/>
    <w:rsid w:val="0052240F"/>
    <w:rsid w:val="005227D8"/>
    <w:rsid w:val="00522905"/>
    <w:rsid w:val="00522A7D"/>
    <w:rsid w:val="005230F8"/>
    <w:rsid w:val="00523398"/>
    <w:rsid w:val="0052391E"/>
    <w:rsid w:val="00523EAC"/>
    <w:rsid w:val="00523FFF"/>
    <w:rsid w:val="00524020"/>
    <w:rsid w:val="005249F1"/>
    <w:rsid w:val="005254BD"/>
    <w:rsid w:val="005257EB"/>
    <w:rsid w:val="005263B7"/>
    <w:rsid w:val="005268C2"/>
    <w:rsid w:val="00526E42"/>
    <w:rsid w:val="00527367"/>
    <w:rsid w:val="005273F2"/>
    <w:rsid w:val="00527677"/>
    <w:rsid w:val="00527907"/>
    <w:rsid w:val="00527CD2"/>
    <w:rsid w:val="00530665"/>
    <w:rsid w:val="0053085F"/>
    <w:rsid w:val="005308A8"/>
    <w:rsid w:val="00530CC2"/>
    <w:rsid w:val="00530EBC"/>
    <w:rsid w:val="00531090"/>
    <w:rsid w:val="005315CD"/>
    <w:rsid w:val="00531B29"/>
    <w:rsid w:val="00531B71"/>
    <w:rsid w:val="00531EBC"/>
    <w:rsid w:val="0053204C"/>
    <w:rsid w:val="005322A8"/>
    <w:rsid w:val="005322A9"/>
    <w:rsid w:val="005324AB"/>
    <w:rsid w:val="00532AF3"/>
    <w:rsid w:val="00532E75"/>
    <w:rsid w:val="00532E9B"/>
    <w:rsid w:val="005339B2"/>
    <w:rsid w:val="00533F1B"/>
    <w:rsid w:val="00534091"/>
    <w:rsid w:val="0053435B"/>
    <w:rsid w:val="0053437D"/>
    <w:rsid w:val="00534592"/>
    <w:rsid w:val="005345A8"/>
    <w:rsid w:val="0053498B"/>
    <w:rsid w:val="00534B48"/>
    <w:rsid w:val="0053502F"/>
    <w:rsid w:val="00535707"/>
    <w:rsid w:val="005363CE"/>
    <w:rsid w:val="0053646E"/>
    <w:rsid w:val="00536496"/>
    <w:rsid w:val="00536620"/>
    <w:rsid w:val="005367D3"/>
    <w:rsid w:val="00536C65"/>
    <w:rsid w:val="00536F5E"/>
    <w:rsid w:val="0053732B"/>
    <w:rsid w:val="00537370"/>
    <w:rsid w:val="0053794E"/>
    <w:rsid w:val="00537A8E"/>
    <w:rsid w:val="005400A5"/>
    <w:rsid w:val="005400D1"/>
    <w:rsid w:val="00540BC7"/>
    <w:rsid w:val="0054111C"/>
    <w:rsid w:val="005413B6"/>
    <w:rsid w:val="0054152A"/>
    <w:rsid w:val="0054153C"/>
    <w:rsid w:val="00541741"/>
    <w:rsid w:val="00542106"/>
    <w:rsid w:val="00542DFC"/>
    <w:rsid w:val="00542EE4"/>
    <w:rsid w:val="0054330D"/>
    <w:rsid w:val="00543572"/>
    <w:rsid w:val="0054375B"/>
    <w:rsid w:val="0054395D"/>
    <w:rsid w:val="005439BE"/>
    <w:rsid w:val="00543CF3"/>
    <w:rsid w:val="00544018"/>
    <w:rsid w:val="0054409A"/>
    <w:rsid w:val="005441E2"/>
    <w:rsid w:val="00544D28"/>
    <w:rsid w:val="005456EB"/>
    <w:rsid w:val="00545763"/>
    <w:rsid w:val="00545E1C"/>
    <w:rsid w:val="00545FF2"/>
    <w:rsid w:val="005465E4"/>
    <w:rsid w:val="005469F9"/>
    <w:rsid w:val="005474BB"/>
    <w:rsid w:val="00547BA4"/>
    <w:rsid w:val="00547BF3"/>
    <w:rsid w:val="0055013F"/>
    <w:rsid w:val="00550541"/>
    <w:rsid w:val="005506C9"/>
    <w:rsid w:val="0055098F"/>
    <w:rsid w:val="00550CFC"/>
    <w:rsid w:val="005510D6"/>
    <w:rsid w:val="00551AD3"/>
    <w:rsid w:val="005520E3"/>
    <w:rsid w:val="005525D1"/>
    <w:rsid w:val="005531EE"/>
    <w:rsid w:val="00553794"/>
    <w:rsid w:val="0055390A"/>
    <w:rsid w:val="00553FAD"/>
    <w:rsid w:val="00554034"/>
    <w:rsid w:val="00554310"/>
    <w:rsid w:val="0055443D"/>
    <w:rsid w:val="0055559B"/>
    <w:rsid w:val="00555BE1"/>
    <w:rsid w:val="00555C1E"/>
    <w:rsid w:val="00556183"/>
    <w:rsid w:val="00556211"/>
    <w:rsid w:val="00556AAC"/>
    <w:rsid w:val="00556AFD"/>
    <w:rsid w:val="00556C61"/>
    <w:rsid w:val="00560116"/>
    <w:rsid w:val="005601E5"/>
    <w:rsid w:val="005602CD"/>
    <w:rsid w:val="00560CF5"/>
    <w:rsid w:val="00561997"/>
    <w:rsid w:val="00561A06"/>
    <w:rsid w:val="0056236A"/>
    <w:rsid w:val="005623D1"/>
    <w:rsid w:val="00562539"/>
    <w:rsid w:val="0056262F"/>
    <w:rsid w:val="00563776"/>
    <w:rsid w:val="00563785"/>
    <w:rsid w:val="0056382A"/>
    <w:rsid w:val="00563A32"/>
    <w:rsid w:val="005640E5"/>
    <w:rsid w:val="0056465D"/>
    <w:rsid w:val="005648C1"/>
    <w:rsid w:val="00564A7F"/>
    <w:rsid w:val="00565573"/>
    <w:rsid w:val="005658F0"/>
    <w:rsid w:val="00565B7F"/>
    <w:rsid w:val="00565E8A"/>
    <w:rsid w:val="0056611B"/>
    <w:rsid w:val="00566140"/>
    <w:rsid w:val="00566662"/>
    <w:rsid w:val="0056673C"/>
    <w:rsid w:val="005669B2"/>
    <w:rsid w:val="005673B1"/>
    <w:rsid w:val="00567832"/>
    <w:rsid w:val="0057005D"/>
    <w:rsid w:val="00570293"/>
    <w:rsid w:val="00570C34"/>
    <w:rsid w:val="00571707"/>
    <w:rsid w:val="0057174C"/>
    <w:rsid w:val="00571D92"/>
    <w:rsid w:val="00571E71"/>
    <w:rsid w:val="00571E8C"/>
    <w:rsid w:val="005721E0"/>
    <w:rsid w:val="00572406"/>
    <w:rsid w:val="00572D5B"/>
    <w:rsid w:val="00572F79"/>
    <w:rsid w:val="00573D26"/>
    <w:rsid w:val="00574125"/>
    <w:rsid w:val="005748B7"/>
    <w:rsid w:val="00574AE5"/>
    <w:rsid w:val="00574E03"/>
    <w:rsid w:val="00575114"/>
    <w:rsid w:val="005753E6"/>
    <w:rsid w:val="005758A7"/>
    <w:rsid w:val="0057649E"/>
    <w:rsid w:val="00576557"/>
    <w:rsid w:val="00576845"/>
    <w:rsid w:val="005769A8"/>
    <w:rsid w:val="005771B7"/>
    <w:rsid w:val="00577340"/>
    <w:rsid w:val="00580107"/>
    <w:rsid w:val="00580533"/>
    <w:rsid w:val="00580A27"/>
    <w:rsid w:val="00580A7B"/>
    <w:rsid w:val="00580B9C"/>
    <w:rsid w:val="00581530"/>
    <w:rsid w:val="00581CBE"/>
    <w:rsid w:val="005825C9"/>
    <w:rsid w:val="00582A47"/>
    <w:rsid w:val="00582BC3"/>
    <w:rsid w:val="00583877"/>
    <w:rsid w:val="00583A49"/>
    <w:rsid w:val="005846E4"/>
    <w:rsid w:val="00584EDA"/>
    <w:rsid w:val="005855E9"/>
    <w:rsid w:val="005856DC"/>
    <w:rsid w:val="00585A08"/>
    <w:rsid w:val="00585F9B"/>
    <w:rsid w:val="00586095"/>
    <w:rsid w:val="00586531"/>
    <w:rsid w:val="00590512"/>
    <w:rsid w:val="005908FE"/>
    <w:rsid w:val="00590D9C"/>
    <w:rsid w:val="0059123B"/>
    <w:rsid w:val="00591304"/>
    <w:rsid w:val="005918AA"/>
    <w:rsid w:val="00591A02"/>
    <w:rsid w:val="00592068"/>
    <w:rsid w:val="005924DD"/>
    <w:rsid w:val="00592733"/>
    <w:rsid w:val="00593341"/>
    <w:rsid w:val="00593504"/>
    <w:rsid w:val="0059368D"/>
    <w:rsid w:val="00593CCC"/>
    <w:rsid w:val="005948BF"/>
    <w:rsid w:val="005949A6"/>
    <w:rsid w:val="005949B9"/>
    <w:rsid w:val="00594D56"/>
    <w:rsid w:val="00594F24"/>
    <w:rsid w:val="005951F0"/>
    <w:rsid w:val="00595530"/>
    <w:rsid w:val="00595F8C"/>
    <w:rsid w:val="00596156"/>
    <w:rsid w:val="0059624C"/>
    <w:rsid w:val="0059638F"/>
    <w:rsid w:val="005965FA"/>
    <w:rsid w:val="005966F6"/>
    <w:rsid w:val="00596AB9"/>
    <w:rsid w:val="00596E3C"/>
    <w:rsid w:val="00597228"/>
    <w:rsid w:val="00597262"/>
    <w:rsid w:val="0059730D"/>
    <w:rsid w:val="0059748A"/>
    <w:rsid w:val="00597C8E"/>
    <w:rsid w:val="00597CE9"/>
    <w:rsid w:val="00597F89"/>
    <w:rsid w:val="005A05A0"/>
    <w:rsid w:val="005A0784"/>
    <w:rsid w:val="005A0786"/>
    <w:rsid w:val="005A0A4A"/>
    <w:rsid w:val="005A0C40"/>
    <w:rsid w:val="005A0D05"/>
    <w:rsid w:val="005A13F2"/>
    <w:rsid w:val="005A163B"/>
    <w:rsid w:val="005A1D71"/>
    <w:rsid w:val="005A1EE8"/>
    <w:rsid w:val="005A1FA0"/>
    <w:rsid w:val="005A26EC"/>
    <w:rsid w:val="005A28C0"/>
    <w:rsid w:val="005A2994"/>
    <w:rsid w:val="005A2C11"/>
    <w:rsid w:val="005A3528"/>
    <w:rsid w:val="005A3813"/>
    <w:rsid w:val="005A3E99"/>
    <w:rsid w:val="005A46C5"/>
    <w:rsid w:val="005A4A02"/>
    <w:rsid w:val="005A4ECC"/>
    <w:rsid w:val="005A5399"/>
    <w:rsid w:val="005A5A46"/>
    <w:rsid w:val="005A5E1C"/>
    <w:rsid w:val="005A6030"/>
    <w:rsid w:val="005A66E2"/>
    <w:rsid w:val="005A67FD"/>
    <w:rsid w:val="005A6BE9"/>
    <w:rsid w:val="005A6E50"/>
    <w:rsid w:val="005A72A1"/>
    <w:rsid w:val="005A7384"/>
    <w:rsid w:val="005A760B"/>
    <w:rsid w:val="005A7B4B"/>
    <w:rsid w:val="005A7BDC"/>
    <w:rsid w:val="005A7CDA"/>
    <w:rsid w:val="005A7D27"/>
    <w:rsid w:val="005A7D9B"/>
    <w:rsid w:val="005B0059"/>
    <w:rsid w:val="005B008D"/>
    <w:rsid w:val="005B0181"/>
    <w:rsid w:val="005B06D1"/>
    <w:rsid w:val="005B0D7C"/>
    <w:rsid w:val="005B1084"/>
    <w:rsid w:val="005B14CA"/>
    <w:rsid w:val="005B1B30"/>
    <w:rsid w:val="005B1B76"/>
    <w:rsid w:val="005B1E49"/>
    <w:rsid w:val="005B1ECF"/>
    <w:rsid w:val="005B2D42"/>
    <w:rsid w:val="005B2DED"/>
    <w:rsid w:val="005B34A4"/>
    <w:rsid w:val="005B3CBB"/>
    <w:rsid w:val="005B3EAF"/>
    <w:rsid w:val="005B3FAA"/>
    <w:rsid w:val="005B4387"/>
    <w:rsid w:val="005B4624"/>
    <w:rsid w:val="005B4912"/>
    <w:rsid w:val="005B591D"/>
    <w:rsid w:val="005B65AA"/>
    <w:rsid w:val="005B671E"/>
    <w:rsid w:val="005B6B60"/>
    <w:rsid w:val="005B6ECB"/>
    <w:rsid w:val="005B6F71"/>
    <w:rsid w:val="005B73B6"/>
    <w:rsid w:val="005B751A"/>
    <w:rsid w:val="005B7552"/>
    <w:rsid w:val="005B76DC"/>
    <w:rsid w:val="005B7816"/>
    <w:rsid w:val="005B7968"/>
    <w:rsid w:val="005B7CC2"/>
    <w:rsid w:val="005B7F7D"/>
    <w:rsid w:val="005C0270"/>
    <w:rsid w:val="005C04E2"/>
    <w:rsid w:val="005C0A8F"/>
    <w:rsid w:val="005C0FAE"/>
    <w:rsid w:val="005C114F"/>
    <w:rsid w:val="005C1FB9"/>
    <w:rsid w:val="005C2DBC"/>
    <w:rsid w:val="005C2DF1"/>
    <w:rsid w:val="005C2F7D"/>
    <w:rsid w:val="005C3164"/>
    <w:rsid w:val="005C3832"/>
    <w:rsid w:val="005C3932"/>
    <w:rsid w:val="005C393D"/>
    <w:rsid w:val="005C3A23"/>
    <w:rsid w:val="005C40D7"/>
    <w:rsid w:val="005C41E5"/>
    <w:rsid w:val="005C568E"/>
    <w:rsid w:val="005C59CE"/>
    <w:rsid w:val="005C5B45"/>
    <w:rsid w:val="005C5D10"/>
    <w:rsid w:val="005C60D2"/>
    <w:rsid w:val="005C62EE"/>
    <w:rsid w:val="005C633C"/>
    <w:rsid w:val="005C64F2"/>
    <w:rsid w:val="005C65C7"/>
    <w:rsid w:val="005C667E"/>
    <w:rsid w:val="005C66E0"/>
    <w:rsid w:val="005C6A9B"/>
    <w:rsid w:val="005C7129"/>
    <w:rsid w:val="005C797F"/>
    <w:rsid w:val="005D002C"/>
    <w:rsid w:val="005D02F8"/>
    <w:rsid w:val="005D03C0"/>
    <w:rsid w:val="005D0889"/>
    <w:rsid w:val="005D1E58"/>
    <w:rsid w:val="005D1E5C"/>
    <w:rsid w:val="005D2CC0"/>
    <w:rsid w:val="005D35FC"/>
    <w:rsid w:val="005D3E85"/>
    <w:rsid w:val="005D3F1A"/>
    <w:rsid w:val="005D3FDB"/>
    <w:rsid w:val="005D40DA"/>
    <w:rsid w:val="005D430E"/>
    <w:rsid w:val="005D471B"/>
    <w:rsid w:val="005D4C66"/>
    <w:rsid w:val="005D4D7B"/>
    <w:rsid w:val="005D502D"/>
    <w:rsid w:val="005D5198"/>
    <w:rsid w:val="005D59DC"/>
    <w:rsid w:val="005D5B9B"/>
    <w:rsid w:val="005D6290"/>
    <w:rsid w:val="005D696F"/>
    <w:rsid w:val="005D6F77"/>
    <w:rsid w:val="005D763F"/>
    <w:rsid w:val="005D76DE"/>
    <w:rsid w:val="005D7856"/>
    <w:rsid w:val="005D7E20"/>
    <w:rsid w:val="005D7E95"/>
    <w:rsid w:val="005D7F64"/>
    <w:rsid w:val="005E0082"/>
    <w:rsid w:val="005E011F"/>
    <w:rsid w:val="005E01E6"/>
    <w:rsid w:val="005E0292"/>
    <w:rsid w:val="005E06A5"/>
    <w:rsid w:val="005E09DB"/>
    <w:rsid w:val="005E12E8"/>
    <w:rsid w:val="005E13FF"/>
    <w:rsid w:val="005E14FD"/>
    <w:rsid w:val="005E1631"/>
    <w:rsid w:val="005E1C9A"/>
    <w:rsid w:val="005E1DD5"/>
    <w:rsid w:val="005E201F"/>
    <w:rsid w:val="005E214D"/>
    <w:rsid w:val="005E23FB"/>
    <w:rsid w:val="005E24F3"/>
    <w:rsid w:val="005E2533"/>
    <w:rsid w:val="005E2B3A"/>
    <w:rsid w:val="005E2C63"/>
    <w:rsid w:val="005E2EEC"/>
    <w:rsid w:val="005E3478"/>
    <w:rsid w:val="005E36C4"/>
    <w:rsid w:val="005E3791"/>
    <w:rsid w:val="005E3A0C"/>
    <w:rsid w:val="005E473C"/>
    <w:rsid w:val="005E4816"/>
    <w:rsid w:val="005E4F9B"/>
    <w:rsid w:val="005E504B"/>
    <w:rsid w:val="005E5152"/>
    <w:rsid w:val="005E51D8"/>
    <w:rsid w:val="005E59F4"/>
    <w:rsid w:val="005E5C71"/>
    <w:rsid w:val="005E6528"/>
    <w:rsid w:val="005E66E3"/>
    <w:rsid w:val="005E70ED"/>
    <w:rsid w:val="005E720F"/>
    <w:rsid w:val="005E73E0"/>
    <w:rsid w:val="005E78FB"/>
    <w:rsid w:val="005E7C74"/>
    <w:rsid w:val="005F1016"/>
    <w:rsid w:val="005F12C3"/>
    <w:rsid w:val="005F1F1B"/>
    <w:rsid w:val="005F2619"/>
    <w:rsid w:val="005F2A45"/>
    <w:rsid w:val="005F2AFB"/>
    <w:rsid w:val="005F2CED"/>
    <w:rsid w:val="005F3085"/>
    <w:rsid w:val="005F32AA"/>
    <w:rsid w:val="005F32E0"/>
    <w:rsid w:val="005F3442"/>
    <w:rsid w:val="005F38B8"/>
    <w:rsid w:val="005F3B9A"/>
    <w:rsid w:val="005F3C28"/>
    <w:rsid w:val="005F3C7A"/>
    <w:rsid w:val="005F3EDE"/>
    <w:rsid w:val="005F4213"/>
    <w:rsid w:val="005F42E4"/>
    <w:rsid w:val="005F4A7E"/>
    <w:rsid w:val="005F4A9B"/>
    <w:rsid w:val="005F4F9E"/>
    <w:rsid w:val="005F53D6"/>
    <w:rsid w:val="005F5823"/>
    <w:rsid w:val="005F58E9"/>
    <w:rsid w:val="005F5ACD"/>
    <w:rsid w:val="005F6382"/>
    <w:rsid w:val="005F64C8"/>
    <w:rsid w:val="005F65EC"/>
    <w:rsid w:val="005F6677"/>
    <w:rsid w:val="005F68DC"/>
    <w:rsid w:val="005F6E4E"/>
    <w:rsid w:val="005F719D"/>
    <w:rsid w:val="005F7515"/>
    <w:rsid w:val="005F769B"/>
    <w:rsid w:val="005F7AC2"/>
    <w:rsid w:val="005F7EC0"/>
    <w:rsid w:val="00600062"/>
    <w:rsid w:val="006001EA"/>
    <w:rsid w:val="0060034A"/>
    <w:rsid w:val="00600590"/>
    <w:rsid w:val="00600858"/>
    <w:rsid w:val="0060114F"/>
    <w:rsid w:val="00601320"/>
    <w:rsid w:val="00601370"/>
    <w:rsid w:val="00601640"/>
    <w:rsid w:val="00601764"/>
    <w:rsid w:val="006018F3"/>
    <w:rsid w:val="00601CF8"/>
    <w:rsid w:val="00602350"/>
    <w:rsid w:val="0060271F"/>
    <w:rsid w:val="0060298C"/>
    <w:rsid w:val="00602AC6"/>
    <w:rsid w:val="00602C49"/>
    <w:rsid w:val="00603A80"/>
    <w:rsid w:val="00603AB9"/>
    <w:rsid w:val="00603EDA"/>
    <w:rsid w:val="00604766"/>
    <w:rsid w:val="006047A1"/>
    <w:rsid w:val="006047FB"/>
    <w:rsid w:val="00604E21"/>
    <w:rsid w:val="00604EE9"/>
    <w:rsid w:val="00605635"/>
    <w:rsid w:val="006056ED"/>
    <w:rsid w:val="00605B5D"/>
    <w:rsid w:val="00605CDB"/>
    <w:rsid w:val="00605DC2"/>
    <w:rsid w:val="00605EAE"/>
    <w:rsid w:val="006060E0"/>
    <w:rsid w:val="00606282"/>
    <w:rsid w:val="00606324"/>
    <w:rsid w:val="0060646D"/>
    <w:rsid w:val="00606493"/>
    <w:rsid w:val="006064E5"/>
    <w:rsid w:val="00606834"/>
    <w:rsid w:val="00606BE7"/>
    <w:rsid w:val="00606DC9"/>
    <w:rsid w:val="0060714F"/>
    <w:rsid w:val="00607178"/>
    <w:rsid w:val="00607BD6"/>
    <w:rsid w:val="0061006D"/>
    <w:rsid w:val="00610474"/>
    <w:rsid w:val="006106CD"/>
    <w:rsid w:val="00610A4F"/>
    <w:rsid w:val="00610BCD"/>
    <w:rsid w:val="00611D08"/>
    <w:rsid w:val="00611ECD"/>
    <w:rsid w:val="00611FE3"/>
    <w:rsid w:val="00612284"/>
    <w:rsid w:val="00612561"/>
    <w:rsid w:val="006125DA"/>
    <w:rsid w:val="00612720"/>
    <w:rsid w:val="00612736"/>
    <w:rsid w:val="00612C69"/>
    <w:rsid w:val="006133E0"/>
    <w:rsid w:val="00613600"/>
    <w:rsid w:val="00613AE4"/>
    <w:rsid w:val="00614126"/>
    <w:rsid w:val="00614303"/>
    <w:rsid w:val="00614617"/>
    <w:rsid w:val="00614795"/>
    <w:rsid w:val="0061523B"/>
    <w:rsid w:val="00615255"/>
    <w:rsid w:val="006157B8"/>
    <w:rsid w:val="00615833"/>
    <w:rsid w:val="006158AE"/>
    <w:rsid w:val="00615AC4"/>
    <w:rsid w:val="00615BCF"/>
    <w:rsid w:val="00615CF5"/>
    <w:rsid w:val="00615F18"/>
    <w:rsid w:val="00616155"/>
    <w:rsid w:val="00616309"/>
    <w:rsid w:val="0061637E"/>
    <w:rsid w:val="00616553"/>
    <w:rsid w:val="0061720E"/>
    <w:rsid w:val="0061787C"/>
    <w:rsid w:val="00617894"/>
    <w:rsid w:val="00617BF6"/>
    <w:rsid w:val="00617C2F"/>
    <w:rsid w:val="00617E07"/>
    <w:rsid w:val="00617ED3"/>
    <w:rsid w:val="00620047"/>
    <w:rsid w:val="006207DA"/>
    <w:rsid w:val="00620AA7"/>
    <w:rsid w:val="00621C76"/>
    <w:rsid w:val="00622061"/>
    <w:rsid w:val="006222EF"/>
    <w:rsid w:val="0062248A"/>
    <w:rsid w:val="00622D41"/>
    <w:rsid w:val="00622DB5"/>
    <w:rsid w:val="00622ED6"/>
    <w:rsid w:val="00622EFE"/>
    <w:rsid w:val="006230A6"/>
    <w:rsid w:val="00623717"/>
    <w:rsid w:val="00623A0F"/>
    <w:rsid w:val="00623B78"/>
    <w:rsid w:val="00624368"/>
    <w:rsid w:val="006244B4"/>
    <w:rsid w:val="006245A0"/>
    <w:rsid w:val="006249FB"/>
    <w:rsid w:val="00624F29"/>
    <w:rsid w:val="006254D5"/>
    <w:rsid w:val="00625DBF"/>
    <w:rsid w:val="0062602D"/>
    <w:rsid w:val="00626344"/>
    <w:rsid w:val="00626A16"/>
    <w:rsid w:val="00627724"/>
    <w:rsid w:val="0062789A"/>
    <w:rsid w:val="006278B1"/>
    <w:rsid w:val="00627FA6"/>
    <w:rsid w:val="006301F2"/>
    <w:rsid w:val="00630A14"/>
    <w:rsid w:val="00630C2A"/>
    <w:rsid w:val="00630CD7"/>
    <w:rsid w:val="00630D6C"/>
    <w:rsid w:val="00631126"/>
    <w:rsid w:val="0063138D"/>
    <w:rsid w:val="00631661"/>
    <w:rsid w:val="00631C99"/>
    <w:rsid w:val="00631FDD"/>
    <w:rsid w:val="00632422"/>
    <w:rsid w:val="00632B7C"/>
    <w:rsid w:val="006335C9"/>
    <w:rsid w:val="006339F5"/>
    <w:rsid w:val="0063427A"/>
    <w:rsid w:val="006344AB"/>
    <w:rsid w:val="00634D5D"/>
    <w:rsid w:val="00634EA2"/>
    <w:rsid w:val="006357E3"/>
    <w:rsid w:val="006358D2"/>
    <w:rsid w:val="00635DCE"/>
    <w:rsid w:val="00636087"/>
    <w:rsid w:val="00636947"/>
    <w:rsid w:val="00636C1E"/>
    <w:rsid w:val="00637790"/>
    <w:rsid w:val="006402DC"/>
    <w:rsid w:val="00640B7B"/>
    <w:rsid w:val="006412C6"/>
    <w:rsid w:val="006414E1"/>
    <w:rsid w:val="0064153D"/>
    <w:rsid w:val="00641554"/>
    <w:rsid w:val="006417B9"/>
    <w:rsid w:val="00642264"/>
    <w:rsid w:val="006427C0"/>
    <w:rsid w:val="00643825"/>
    <w:rsid w:val="0064395F"/>
    <w:rsid w:val="00643DE3"/>
    <w:rsid w:val="00643F91"/>
    <w:rsid w:val="0064478E"/>
    <w:rsid w:val="00644AD9"/>
    <w:rsid w:val="006452A7"/>
    <w:rsid w:val="006455FF"/>
    <w:rsid w:val="00645B44"/>
    <w:rsid w:val="00645B4C"/>
    <w:rsid w:val="006460B9"/>
    <w:rsid w:val="006460FE"/>
    <w:rsid w:val="0064707F"/>
    <w:rsid w:val="006474D9"/>
    <w:rsid w:val="006479C1"/>
    <w:rsid w:val="00647C60"/>
    <w:rsid w:val="00647F8B"/>
    <w:rsid w:val="0065002E"/>
    <w:rsid w:val="00650308"/>
    <w:rsid w:val="00650627"/>
    <w:rsid w:val="00650CD2"/>
    <w:rsid w:val="00651637"/>
    <w:rsid w:val="00651754"/>
    <w:rsid w:val="00651CC5"/>
    <w:rsid w:val="00651E1B"/>
    <w:rsid w:val="00651E35"/>
    <w:rsid w:val="00652036"/>
    <w:rsid w:val="006520A5"/>
    <w:rsid w:val="0065221B"/>
    <w:rsid w:val="00652336"/>
    <w:rsid w:val="00652956"/>
    <w:rsid w:val="00652A46"/>
    <w:rsid w:val="00652F6F"/>
    <w:rsid w:val="0065325A"/>
    <w:rsid w:val="00654041"/>
    <w:rsid w:val="00654257"/>
    <w:rsid w:val="0065427E"/>
    <w:rsid w:val="006542F1"/>
    <w:rsid w:val="006545CE"/>
    <w:rsid w:val="0065462C"/>
    <w:rsid w:val="006546DB"/>
    <w:rsid w:val="0065492C"/>
    <w:rsid w:val="00654BDA"/>
    <w:rsid w:val="00654C17"/>
    <w:rsid w:val="00654DE3"/>
    <w:rsid w:val="00654F12"/>
    <w:rsid w:val="00654FD3"/>
    <w:rsid w:val="00655462"/>
    <w:rsid w:val="00655613"/>
    <w:rsid w:val="00655747"/>
    <w:rsid w:val="00655972"/>
    <w:rsid w:val="00656320"/>
    <w:rsid w:val="0065664E"/>
    <w:rsid w:val="00656EC2"/>
    <w:rsid w:val="00657120"/>
    <w:rsid w:val="0065736C"/>
    <w:rsid w:val="0065755D"/>
    <w:rsid w:val="00657BA7"/>
    <w:rsid w:val="00657D0F"/>
    <w:rsid w:val="00657E32"/>
    <w:rsid w:val="00657E49"/>
    <w:rsid w:val="006602BE"/>
    <w:rsid w:val="00660B78"/>
    <w:rsid w:val="00661188"/>
    <w:rsid w:val="0066153E"/>
    <w:rsid w:val="00661BF7"/>
    <w:rsid w:val="006620F9"/>
    <w:rsid w:val="0066241D"/>
    <w:rsid w:val="00662EF1"/>
    <w:rsid w:val="006632F8"/>
    <w:rsid w:val="00663332"/>
    <w:rsid w:val="00663B27"/>
    <w:rsid w:val="00663B87"/>
    <w:rsid w:val="00663C5B"/>
    <w:rsid w:val="00663F01"/>
    <w:rsid w:val="00664659"/>
    <w:rsid w:val="006649FC"/>
    <w:rsid w:val="00664B9A"/>
    <w:rsid w:val="0066534D"/>
    <w:rsid w:val="00665619"/>
    <w:rsid w:val="00665675"/>
    <w:rsid w:val="00665861"/>
    <w:rsid w:val="00665884"/>
    <w:rsid w:val="0066589F"/>
    <w:rsid w:val="00665A32"/>
    <w:rsid w:val="00665C39"/>
    <w:rsid w:val="00665DE5"/>
    <w:rsid w:val="00665ED5"/>
    <w:rsid w:val="006668E1"/>
    <w:rsid w:val="00666A30"/>
    <w:rsid w:val="00666B1F"/>
    <w:rsid w:val="00666B8C"/>
    <w:rsid w:val="00666FD1"/>
    <w:rsid w:val="006679E7"/>
    <w:rsid w:val="00667B61"/>
    <w:rsid w:val="00667B92"/>
    <w:rsid w:val="00667D97"/>
    <w:rsid w:val="00667FD0"/>
    <w:rsid w:val="006700E6"/>
    <w:rsid w:val="006702BF"/>
    <w:rsid w:val="0067065B"/>
    <w:rsid w:val="00670A62"/>
    <w:rsid w:val="00670CDD"/>
    <w:rsid w:val="00670EF5"/>
    <w:rsid w:val="006713DC"/>
    <w:rsid w:val="0067146E"/>
    <w:rsid w:val="00671F55"/>
    <w:rsid w:val="0067231C"/>
    <w:rsid w:val="00672615"/>
    <w:rsid w:val="00672735"/>
    <w:rsid w:val="006727B4"/>
    <w:rsid w:val="00672907"/>
    <w:rsid w:val="00672C7C"/>
    <w:rsid w:val="00672EC9"/>
    <w:rsid w:val="00673B06"/>
    <w:rsid w:val="00674406"/>
    <w:rsid w:val="006745C7"/>
    <w:rsid w:val="00674D4F"/>
    <w:rsid w:val="0067530E"/>
    <w:rsid w:val="006753AC"/>
    <w:rsid w:val="006757D4"/>
    <w:rsid w:val="00675952"/>
    <w:rsid w:val="00675DFF"/>
    <w:rsid w:val="00675FA4"/>
    <w:rsid w:val="006764AF"/>
    <w:rsid w:val="00676F6A"/>
    <w:rsid w:val="006770E6"/>
    <w:rsid w:val="0067715A"/>
    <w:rsid w:val="0067726F"/>
    <w:rsid w:val="006775E8"/>
    <w:rsid w:val="00677825"/>
    <w:rsid w:val="00677938"/>
    <w:rsid w:val="006802FC"/>
    <w:rsid w:val="00680749"/>
    <w:rsid w:val="0068077A"/>
    <w:rsid w:val="00680F9E"/>
    <w:rsid w:val="00681463"/>
    <w:rsid w:val="0068195E"/>
    <w:rsid w:val="00681D5A"/>
    <w:rsid w:val="00682763"/>
    <w:rsid w:val="006827B0"/>
    <w:rsid w:val="00682B80"/>
    <w:rsid w:val="00683239"/>
    <w:rsid w:val="0068349A"/>
    <w:rsid w:val="006836CA"/>
    <w:rsid w:val="00683F1D"/>
    <w:rsid w:val="006841F7"/>
    <w:rsid w:val="006843D6"/>
    <w:rsid w:val="00685026"/>
    <w:rsid w:val="00685CC8"/>
    <w:rsid w:val="0068609E"/>
    <w:rsid w:val="006860B6"/>
    <w:rsid w:val="00686442"/>
    <w:rsid w:val="00686EE4"/>
    <w:rsid w:val="006877DB"/>
    <w:rsid w:val="006878B7"/>
    <w:rsid w:val="00687DA6"/>
    <w:rsid w:val="00687E10"/>
    <w:rsid w:val="006900C6"/>
    <w:rsid w:val="00690295"/>
    <w:rsid w:val="006904E4"/>
    <w:rsid w:val="00690854"/>
    <w:rsid w:val="006909AC"/>
    <w:rsid w:val="00690BAC"/>
    <w:rsid w:val="00690C3A"/>
    <w:rsid w:val="00690D90"/>
    <w:rsid w:val="00690FB1"/>
    <w:rsid w:val="006913AF"/>
    <w:rsid w:val="006916B9"/>
    <w:rsid w:val="0069183F"/>
    <w:rsid w:val="00691859"/>
    <w:rsid w:val="00691DF8"/>
    <w:rsid w:val="0069243A"/>
    <w:rsid w:val="00692AFE"/>
    <w:rsid w:val="00692C32"/>
    <w:rsid w:val="00693179"/>
    <w:rsid w:val="0069339B"/>
    <w:rsid w:val="00693469"/>
    <w:rsid w:val="00693921"/>
    <w:rsid w:val="00693B45"/>
    <w:rsid w:val="00693C72"/>
    <w:rsid w:val="00693EFF"/>
    <w:rsid w:val="0069439F"/>
    <w:rsid w:val="00694621"/>
    <w:rsid w:val="0069476C"/>
    <w:rsid w:val="00694770"/>
    <w:rsid w:val="0069493F"/>
    <w:rsid w:val="00694AAE"/>
    <w:rsid w:val="006951B3"/>
    <w:rsid w:val="0069539D"/>
    <w:rsid w:val="00695817"/>
    <w:rsid w:val="00695D7F"/>
    <w:rsid w:val="00695F91"/>
    <w:rsid w:val="0069644E"/>
    <w:rsid w:val="006964B5"/>
    <w:rsid w:val="00696685"/>
    <w:rsid w:val="006971F7"/>
    <w:rsid w:val="00697691"/>
    <w:rsid w:val="006A0BAC"/>
    <w:rsid w:val="006A1402"/>
    <w:rsid w:val="006A1894"/>
    <w:rsid w:val="006A195E"/>
    <w:rsid w:val="006A1E75"/>
    <w:rsid w:val="006A1ED3"/>
    <w:rsid w:val="006A1F8F"/>
    <w:rsid w:val="006A218C"/>
    <w:rsid w:val="006A21B9"/>
    <w:rsid w:val="006A23AC"/>
    <w:rsid w:val="006A2873"/>
    <w:rsid w:val="006A30E2"/>
    <w:rsid w:val="006A3160"/>
    <w:rsid w:val="006A3588"/>
    <w:rsid w:val="006A3BFD"/>
    <w:rsid w:val="006A3C43"/>
    <w:rsid w:val="006A3D35"/>
    <w:rsid w:val="006A41CB"/>
    <w:rsid w:val="006A45A1"/>
    <w:rsid w:val="006A46D3"/>
    <w:rsid w:val="006A49E5"/>
    <w:rsid w:val="006A4C03"/>
    <w:rsid w:val="006A4D71"/>
    <w:rsid w:val="006A4E05"/>
    <w:rsid w:val="006A4FD5"/>
    <w:rsid w:val="006A5330"/>
    <w:rsid w:val="006A576D"/>
    <w:rsid w:val="006A6062"/>
    <w:rsid w:val="006A6488"/>
    <w:rsid w:val="006A65E3"/>
    <w:rsid w:val="006A6EAE"/>
    <w:rsid w:val="006A6F77"/>
    <w:rsid w:val="006A6FD3"/>
    <w:rsid w:val="006A729B"/>
    <w:rsid w:val="006A7455"/>
    <w:rsid w:val="006A74FC"/>
    <w:rsid w:val="006A76F0"/>
    <w:rsid w:val="006A7792"/>
    <w:rsid w:val="006A7AC3"/>
    <w:rsid w:val="006B01FD"/>
    <w:rsid w:val="006B045F"/>
    <w:rsid w:val="006B0487"/>
    <w:rsid w:val="006B06B8"/>
    <w:rsid w:val="006B0948"/>
    <w:rsid w:val="006B09A5"/>
    <w:rsid w:val="006B0B9C"/>
    <w:rsid w:val="006B0E6C"/>
    <w:rsid w:val="006B11C4"/>
    <w:rsid w:val="006B14DC"/>
    <w:rsid w:val="006B1687"/>
    <w:rsid w:val="006B1F61"/>
    <w:rsid w:val="006B2033"/>
    <w:rsid w:val="006B309D"/>
    <w:rsid w:val="006B32F7"/>
    <w:rsid w:val="006B37BB"/>
    <w:rsid w:val="006B3883"/>
    <w:rsid w:val="006B39DA"/>
    <w:rsid w:val="006B3C80"/>
    <w:rsid w:val="006B3E2F"/>
    <w:rsid w:val="006B3E56"/>
    <w:rsid w:val="006B4219"/>
    <w:rsid w:val="006B4356"/>
    <w:rsid w:val="006B4856"/>
    <w:rsid w:val="006B50B9"/>
    <w:rsid w:val="006B515E"/>
    <w:rsid w:val="006B53CE"/>
    <w:rsid w:val="006B5767"/>
    <w:rsid w:val="006B6139"/>
    <w:rsid w:val="006B651A"/>
    <w:rsid w:val="006B68F8"/>
    <w:rsid w:val="006B69E9"/>
    <w:rsid w:val="006B6A3D"/>
    <w:rsid w:val="006B7056"/>
    <w:rsid w:val="006B73C5"/>
    <w:rsid w:val="006B7D03"/>
    <w:rsid w:val="006C01F9"/>
    <w:rsid w:val="006C02F1"/>
    <w:rsid w:val="006C0759"/>
    <w:rsid w:val="006C0E9D"/>
    <w:rsid w:val="006C1456"/>
    <w:rsid w:val="006C173D"/>
    <w:rsid w:val="006C1A9F"/>
    <w:rsid w:val="006C1F1E"/>
    <w:rsid w:val="006C22A1"/>
    <w:rsid w:val="006C2741"/>
    <w:rsid w:val="006C2881"/>
    <w:rsid w:val="006C29E9"/>
    <w:rsid w:val="006C2A63"/>
    <w:rsid w:val="006C3159"/>
    <w:rsid w:val="006C3208"/>
    <w:rsid w:val="006C3994"/>
    <w:rsid w:val="006C42EB"/>
    <w:rsid w:val="006C49BD"/>
    <w:rsid w:val="006C4CD0"/>
    <w:rsid w:val="006C5151"/>
    <w:rsid w:val="006C529C"/>
    <w:rsid w:val="006C5966"/>
    <w:rsid w:val="006C5A09"/>
    <w:rsid w:val="006C5B67"/>
    <w:rsid w:val="006C5DA2"/>
    <w:rsid w:val="006C6616"/>
    <w:rsid w:val="006C68DB"/>
    <w:rsid w:val="006C6BBA"/>
    <w:rsid w:val="006C6DED"/>
    <w:rsid w:val="006C7BD9"/>
    <w:rsid w:val="006C7C16"/>
    <w:rsid w:val="006C7FF1"/>
    <w:rsid w:val="006D0A74"/>
    <w:rsid w:val="006D0C84"/>
    <w:rsid w:val="006D0EE6"/>
    <w:rsid w:val="006D10A2"/>
    <w:rsid w:val="006D1251"/>
    <w:rsid w:val="006D1403"/>
    <w:rsid w:val="006D18F1"/>
    <w:rsid w:val="006D1A89"/>
    <w:rsid w:val="006D1AAD"/>
    <w:rsid w:val="006D23A6"/>
    <w:rsid w:val="006D2467"/>
    <w:rsid w:val="006D275A"/>
    <w:rsid w:val="006D29C4"/>
    <w:rsid w:val="006D2B46"/>
    <w:rsid w:val="006D2FDE"/>
    <w:rsid w:val="006D3655"/>
    <w:rsid w:val="006D421B"/>
    <w:rsid w:val="006D50A2"/>
    <w:rsid w:val="006D5D52"/>
    <w:rsid w:val="006D6796"/>
    <w:rsid w:val="006D696A"/>
    <w:rsid w:val="006D716F"/>
    <w:rsid w:val="006D728F"/>
    <w:rsid w:val="006D791B"/>
    <w:rsid w:val="006D7B7B"/>
    <w:rsid w:val="006D7C97"/>
    <w:rsid w:val="006D7FF1"/>
    <w:rsid w:val="006E0770"/>
    <w:rsid w:val="006E07BF"/>
    <w:rsid w:val="006E0CED"/>
    <w:rsid w:val="006E119B"/>
    <w:rsid w:val="006E1B49"/>
    <w:rsid w:val="006E20E2"/>
    <w:rsid w:val="006E214F"/>
    <w:rsid w:val="006E21B6"/>
    <w:rsid w:val="006E22B1"/>
    <w:rsid w:val="006E23E8"/>
    <w:rsid w:val="006E305E"/>
    <w:rsid w:val="006E339C"/>
    <w:rsid w:val="006E33E3"/>
    <w:rsid w:val="006E344F"/>
    <w:rsid w:val="006E346E"/>
    <w:rsid w:val="006E3835"/>
    <w:rsid w:val="006E3E0E"/>
    <w:rsid w:val="006E3E9B"/>
    <w:rsid w:val="006E4151"/>
    <w:rsid w:val="006E4978"/>
    <w:rsid w:val="006E4D40"/>
    <w:rsid w:val="006E4E65"/>
    <w:rsid w:val="006E513A"/>
    <w:rsid w:val="006E5384"/>
    <w:rsid w:val="006E588D"/>
    <w:rsid w:val="006E5951"/>
    <w:rsid w:val="006E5971"/>
    <w:rsid w:val="006E5AFB"/>
    <w:rsid w:val="006E63D9"/>
    <w:rsid w:val="006E65FD"/>
    <w:rsid w:val="006E6E69"/>
    <w:rsid w:val="006E6F07"/>
    <w:rsid w:val="006E6F89"/>
    <w:rsid w:val="006E7482"/>
    <w:rsid w:val="006E7A5B"/>
    <w:rsid w:val="006E7D74"/>
    <w:rsid w:val="006F03BB"/>
    <w:rsid w:val="006F06CB"/>
    <w:rsid w:val="006F0F53"/>
    <w:rsid w:val="006F1200"/>
    <w:rsid w:val="006F19D4"/>
    <w:rsid w:val="006F1E31"/>
    <w:rsid w:val="006F1E36"/>
    <w:rsid w:val="006F21F3"/>
    <w:rsid w:val="006F22E6"/>
    <w:rsid w:val="006F241B"/>
    <w:rsid w:val="006F26C1"/>
    <w:rsid w:val="006F28C4"/>
    <w:rsid w:val="006F2FFF"/>
    <w:rsid w:val="006F3353"/>
    <w:rsid w:val="006F3DA4"/>
    <w:rsid w:val="006F3E9B"/>
    <w:rsid w:val="006F3F8D"/>
    <w:rsid w:val="006F41E8"/>
    <w:rsid w:val="006F4249"/>
    <w:rsid w:val="006F4524"/>
    <w:rsid w:val="006F478E"/>
    <w:rsid w:val="006F4AE2"/>
    <w:rsid w:val="006F52B0"/>
    <w:rsid w:val="006F5399"/>
    <w:rsid w:val="006F5B5C"/>
    <w:rsid w:val="006F5DCD"/>
    <w:rsid w:val="006F6730"/>
    <w:rsid w:val="006F6801"/>
    <w:rsid w:val="006F76FC"/>
    <w:rsid w:val="006F782C"/>
    <w:rsid w:val="006F7940"/>
    <w:rsid w:val="006F7F8A"/>
    <w:rsid w:val="00700327"/>
    <w:rsid w:val="0070056E"/>
    <w:rsid w:val="00700B32"/>
    <w:rsid w:val="00701037"/>
    <w:rsid w:val="007017C0"/>
    <w:rsid w:val="00701FD7"/>
    <w:rsid w:val="007024A0"/>
    <w:rsid w:val="00702BB2"/>
    <w:rsid w:val="00702D19"/>
    <w:rsid w:val="00702F90"/>
    <w:rsid w:val="007039DF"/>
    <w:rsid w:val="00703C81"/>
    <w:rsid w:val="007043A4"/>
    <w:rsid w:val="00704AE7"/>
    <w:rsid w:val="00704E98"/>
    <w:rsid w:val="00704F63"/>
    <w:rsid w:val="007055F1"/>
    <w:rsid w:val="00705600"/>
    <w:rsid w:val="00705AD4"/>
    <w:rsid w:val="00705C5B"/>
    <w:rsid w:val="00705DE3"/>
    <w:rsid w:val="00705DEB"/>
    <w:rsid w:val="00705ED6"/>
    <w:rsid w:val="00705FD0"/>
    <w:rsid w:val="0070688F"/>
    <w:rsid w:val="00706D8E"/>
    <w:rsid w:val="00707043"/>
    <w:rsid w:val="007073B8"/>
    <w:rsid w:val="007074A0"/>
    <w:rsid w:val="00707754"/>
    <w:rsid w:val="00707C4D"/>
    <w:rsid w:val="00710727"/>
    <w:rsid w:val="00710A02"/>
    <w:rsid w:val="00711496"/>
    <w:rsid w:val="00711662"/>
    <w:rsid w:val="00711925"/>
    <w:rsid w:val="00711928"/>
    <w:rsid w:val="00711DB3"/>
    <w:rsid w:val="00711FAA"/>
    <w:rsid w:val="0071204A"/>
    <w:rsid w:val="00712060"/>
    <w:rsid w:val="007120CC"/>
    <w:rsid w:val="0071212C"/>
    <w:rsid w:val="00712311"/>
    <w:rsid w:val="00712673"/>
    <w:rsid w:val="00712B6E"/>
    <w:rsid w:val="00712E87"/>
    <w:rsid w:val="0071308E"/>
    <w:rsid w:val="00713140"/>
    <w:rsid w:val="00713285"/>
    <w:rsid w:val="00714555"/>
    <w:rsid w:val="007149B5"/>
    <w:rsid w:val="00714D25"/>
    <w:rsid w:val="00714DC8"/>
    <w:rsid w:val="00714DE2"/>
    <w:rsid w:val="00714FD8"/>
    <w:rsid w:val="007152D6"/>
    <w:rsid w:val="00715A5D"/>
    <w:rsid w:val="00715C3B"/>
    <w:rsid w:val="00715D16"/>
    <w:rsid w:val="00716190"/>
    <w:rsid w:val="00716479"/>
    <w:rsid w:val="0071693C"/>
    <w:rsid w:val="00717442"/>
    <w:rsid w:val="00717493"/>
    <w:rsid w:val="007175DB"/>
    <w:rsid w:val="00717711"/>
    <w:rsid w:val="007200D6"/>
    <w:rsid w:val="007209B5"/>
    <w:rsid w:val="007214D0"/>
    <w:rsid w:val="007215F1"/>
    <w:rsid w:val="007218D9"/>
    <w:rsid w:val="00721C75"/>
    <w:rsid w:val="00721CF6"/>
    <w:rsid w:val="00721ED8"/>
    <w:rsid w:val="00721F4D"/>
    <w:rsid w:val="00721F7D"/>
    <w:rsid w:val="00722072"/>
    <w:rsid w:val="00722356"/>
    <w:rsid w:val="007224E6"/>
    <w:rsid w:val="007227BE"/>
    <w:rsid w:val="00722CE3"/>
    <w:rsid w:val="007231FF"/>
    <w:rsid w:val="007234F9"/>
    <w:rsid w:val="007239D2"/>
    <w:rsid w:val="00723D59"/>
    <w:rsid w:val="00723F88"/>
    <w:rsid w:val="007241D3"/>
    <w:rsid w:val="007249A9"/>
    <w:rsid w:val="00724A40"/>
    <w:rsid w:val="00725293"/>
    <w:rsid w:val="00725D2C"/>
    <w:rsid w:val="00725DAA"/>
    <w:rsid w:val="0072606F"/>
    <w:rsid w:val="007260AC"/>
    <w:rsid w:val="00726212"/>
    <w:rsid w:val="00726419"/>
    <w:rsid w:val="007264C0"/>
    <w:rsid w:val="00726AD8"/>
    <w:rsid w:val="0072703C"/>
    <w:rsid w:val="0072789A"/>
    <w:rsid w:val="00727D3C"/>
    <w:rsid w:val="00730947"/>
    <w:rsid w:val="00730CA3"/>
    <w:rsid w:val="00730CB9"/>
    <w:rsid w:val="00731D00"/>
    <w:rsid w:val="00731F17"/>
    <w:rsid w:val="00732B37"/>
    <w:rsid w:val="00732C3F"/>
    <w:rsid w:val="00732C82"/>
    <w:rsid w:val="0073316F"/>
    <w:rsid w:val="00733325"/>
    <w:rsid w:val="00733516"/>
    <w:rsid w:val="0073358B"/>
    <w:rsid w:val="00733966"/>
    <w:rsid w:val="00733DD3"/>
    <w:rsid w:val="00733E50"/>
    <w:rsid w:val="007343E1"/>
    <w:rsid w:val="00734599"/>
    <w:rsid w:val="00734754"/>
    <w:rsid w:val="00734912"/>
    <w:rsid w:val="00734A7B"/>
    <w:rsid w:val="00735088"/>
    <w:rsid w:val="007358DB"/>
    <w:rsid w:val="007358FB"/>
    <w:rsid w:val="007367A7"/>
    <w:rsid w:val="007367E0"/>
    <w:rsid w:val="00736B69"/>
    <w:rsid w:val="00736E6A"/>
    <w:rsid w:val="00736EB1"/>
    <w:rsid w:val="0073700F"/>
    <w:rsid w:val="0073740F"/>
    <w:rsid w:val="00737A2E"/>
    <w:rsid w:val="00740FAD"/>
    <w:rsid w:val="0074102F"/>
    <w:rsid w:val="00741306"/>
    <w:rsid w:val="00741467"/>
    <w:rsid w:val="007422AB"/>
    <w:rsid w:val="0074260F"/>
    <w:rsid w:val="007428D8"/>
    <w:rsid w:val="00742A00"/>
    <w:rsid w:val="00743E05"/>
    <w:rsid w:val="00743EAF"/>
    <w:rsid w:val="0074443A"/>
    <w:rsid w:val="00744620"/>
    <w:rsid w:val="00744AD3"/>
    <w:rsid w:val="00744D3F"/>
    <w:rsid w:val="00745227"/>
    <w:rsid w:val="00745B47"/>
    <w:rsid w:val="00745FA5"/>
    <w:rsid w:val="00746507"/>
    <w:rsid w:val="00746744"/>
    <w:rsid w:val="00746790"/>
    <w:rsid w:val="007467AB"/>
    <w:rsid w:val="00746FF0"/>
    <w:rsid w:val="007476BB"/>
    <w:rsid w:val="00747D0E"/>
    <w:rsid w:val="00750291"/>
    <w:rsid w:val="00750346"/>
    <w:rsid w:val="007508BD"/>
    <w:rsid w:val="007509E9"/>
    <w:rsid w:val="00750DEA"/>
    <w:rsid w:val="00750E21"/>
    <w:rsid w:val="00750E99"/>
    <w:rsid w:val="00750F46"/>
    <w:rsid w:val="007513C5"/>
    <w:rsid w:val="007513DA"/>
    <w:rsid w:val="00751AD1"/>
    <w:rsid w:val="00751B95"/>
    <w:rsid w:val="00751E47"/>
    <w:rsid w:val="00751ECF"/>
    <w:rsid w:val="00752151"/>
    <w:rsid w:val="007525F0"/>
    <w:rsid w:val="00752816"/>
    <w:rsid w:val="00752BAC"/>
    <w:rsid w:val="00752BAF"/>
    <w:rsid w:val="00752D67"/>
    <w:rsid w:val="00753026"/>
    <w:rsid w:val="00753362"/>
    <w:rsid w:val="00753D58"/>
    <w:rsid w:val="00754169"/>
    <w:rsid w:val="007544A4"/>
    <w:rsid w:val="00754568"/>
    <w:rsid w:val="00754693"/>
    <w:rsid w:val="007547E5"/>
    <w:rsid w:val="00754EF7"/>
    <w:rsid w:val="00754FEA"/>
    <w:rsid w:val="00755435"/>
    <w:rsid w:val="0075568F"/>
    <w:rsid w:val="00756013"/>
    <w:rsid w:val="00756456"/>
    <w:rsid w:val="007568FC"/>
    <w:rsid w:val="00756E5D"/>
    <w:rsid w:val="00756FE3"/>
    <w:rsid w:val="00757373"/>
    <w:rsid w:val="0075752F"/>
    <w:rsid w:val="007576E2"/>
    <w:rsid w:val="00757D68"/>
    <w:rsid w:val="007605C0"/>
    <w:rsid w:val="007605D9"/>
    <w:rsid w:val="00761568"/>
    <w:rsid w:val="007615EB"/>
    <w:rsid w:val="00761C23"/>
    <w:rsid w:val="007622CE"/>
    <w:rsid w:val="00762628"/>
    <w:rsid w:val="00762D09"/>
    <w:rsid w:val="0076312B"/>
    <w:rsid w:val="0076354E"/>
    <w:rsid w:val="00763C5A"/>
    <w:rsid w:val="00763D31"/>
    <w:rsid w:val="00763D3C"/>
    <w:rsid w:val="00764552"/>
    <w:rsid w:val="00764681"/>
    <w:rsid w:val="007653EC"/>
    <w:rsid w:val="00765417"/>
    <w:rsid w:val="00765860"/>
    <w:rsid w:val="00765D32"/>
    <w:rsid w:val="00765EA7"/>
    <w:rsid w:val="00766048"/>
    <w:rsid w:val="007661C6"/>
    <w:rsid w:val="00766C84"/>
    <w:rsid w:val="00766DAF"/>
    <w:rsid w:val="00766DD8"/>
    <w:rsid w:val="00766E0E"/>
    <w:rsid w:val="00767221"/>
    <w:rsid w:val="0076767F"/>
    <w:rsid w:val="007676CE"/>
    <w:rsid w:val="00767758"/>
    <w:rsid w:val="00767ABC"/>
    <w:rsid w:val="00767BD0"/>
    <w:rsid w:val="00767C06"/>
    <w:rsid w:val="00767DBA"/>
    <w:rsid w:val="00770530"/>
    <w:rsid w:val="00770F27"/>
    <w:rsid w:val="00771088"/>
    <w:rsid w:val="007710A1"/>
    <w:rsid w:val="00771572"/>
    <w:rsid w:val="0077183D"/>
    <w:rsid w:val="007724D0"/>
    <w:rsid w:val="007725AB"/>
    <w:rsid w:val="0077275F"/>
    <w:rsid w:val="00772C78"/>
    <w:rsid w:val="00772CC9"/>
    <w:rsid w:val="00772D04"/>
    <w:rsid w:val="00773615"/>
    <w:rsid w:val="007736D4"/>
    <w:rsid w:val="0077388C"/>
    <w:rsid w:val="00774095"/>
    <w:rsid w:val="00774263"/>
    <w:rsid w:val="00774B7D"/>
    <w:rsid w:val="00774F9A"/>
    <w:rsid w:val="00775062"/>
    <w:rsid w:val="0077631B"/>
    <w:rsid w:val="00776364"/>
    <w:rsid w:val="007763C1"/>
    <w:rsid w:val="0077679F"/>
    <w:rsid w:val="007768CA"/>
    <w:rsid w:val="00776A7D"/>
    <w:rsid w:val="00776DEC"/>
    <w:rsid w:val="00777053"/>
    <w:rsid w:val="007772F6"/>
    <w:rsid w:val="00777336"/>
    <w:rsid w:val="00777408"/>
    <w:rsid w:val="007774AE"/>
    <w:rsid w:val="007776A9"/>
    <w:rsid w:val="00777827"/>
    <w:rsid w:val="007778B9"/>
    <w:rsid w:val="00777AE5"/>
    <w:rsid w:val="00780516"/>
    <w:rsid w:val="007814D5"/>
    <w:rsid w:val="00781AB5"/>
    <w:rsid w:val="00781F37"/>
    <w:rsid w:val="0078262B"/>
    <w:rsid w:val="007828BD"/>
    <w:rsid w:val="00782A17"/>
    <w:rsid w:val="00782D09"/>
    <w:rsid w:val="00782D84"/>
    <w:rsid w:val="00782E0D"/>
    <w:rsid w:val="0078312B"/>
    <w:rsid w:val="007832C1"/>
    <w:rsid w:val="00783BD4"/>
    <w:rsid w:val="00783BED"/>
    <w:rsid w:val="00783C73"/>
    <w:rsid w:val="00783DD7"/>
    <w:rsid w:val="00784161"/>
    <w:rsid w:val="00784517"/>
    <w:rsid w:val="00784709"/>
    <w:rsid w:val="007855A5"/>
    <w:rsid w:val="007855F3"/>
    <w:rsid w:val="00785D09"/>
    <w:rsid w:val="0078609C"/>
    <w:rsid w:val="00786218"/>
    <w:rsid w:val="0078687D"/>
    <w:rsid w:val="007869BA"/>
    <w:rsid w:val="007870D2"/>
    <w:rsid w:val="00787674"/>
    <w:rsid w:val="007876C0"/>
    <w:rsid w:val="007877A4"/>
    <w:rsid w:val="00787805"/>
    <w:rsid w:val="00787BBA"/>
    <w:rsid w:val="007900F0"/>
    <w:rsid w:val="007901DD"/>
    <w:rsid w:val="007904E2"/>
    <w:rsid w:val="00790CA9"/>
    <w:rsid w:val="0079118C"/>
    <w:rsid w:val="00791272"/>
    <w:rsid w:val="00791282"/>
    <w:rsid w:val="007915AE"/>
    <w:rsid w:val="007917AE"/>
    <w:rsid w:val="007918AA"/>
    <w:rsid w:val="00791E92"/>
    <w:rsid w:val="00792141"/>
    <w:rsid w:val="0079293E"/>
    <w:rsid w:val="007929B2"/>
    <w:rsid w:val="00792A0D"/>
    <w:rsid w:val="00792A35"/>
    <w:rsid w:val="00792D84"/>
    <w:rsid w:val="007931F7"/>
    <w:rsid w:val="007933FB"/>
    <w:rsid w:val="007935D9"/>
    <w:rsid w:val="00793A17"/>
    <w:rsid w:val="00793A2B"/>
    <w:rsid w:val="00793FF6"/>
    <w:rsid w:val="00794389"/>
    <w:rsid w:val="00794DDC"/>
    <w:rsid w:val="00794DEB"/>
    <w:rsid w:val="00794E61"/>
    <w:rsid w:val="00794FF0"/>
    <w:rsid w:val="0079511D"/>
    <w:rsid w:val="0079512F"/>
    <w:rsid w:val="007955FF"/>
    <w:rsid w:val="00795810"/>
    <w:rsid w:val="00795A7F"/>
    <w:rsid w:val="00795DA7"/>
    <w:rsid w:val="007964F6"/>
    <w:rsid w:val="00796908"/>
    <w:rsid w:val="00796CF1"/>
    <w:rsid w:val="007976FB"/>
    <w:rsid w:val="007978F6"/>
    <w:rsid w:val="007A06C8"/>
    <w:rsid w:val="007A086A"/>
    <w:rsid w:val="007A0956"/>
    <w:rsid w:val="007A09EF"/>
    <w:rsid w:val="007A0AE5"/>
    <w:rsid w:val="007A125C"/>
    <w:rsid w:val="007A1594"/>
    <w:rsid w:val="007A15D5"/>
    <w:rsid w:val="007A1675"/>
    <w:rsid w:val="007A1B68"/>
    <w:rsid w:val="007A1E35"/>
    <w:rsid w:val="007A2234"/>
    <w:rsid w:val="007A27E9"/>
    <w:rsid w:val="007A2C34"/>
    <w:rsid w:val="007A31FF"/>
    <w:rsid w:val="007A36A3"/>
    <w:rsid w:val="007A38D3"/>
    <w:rsid w:val="007A3EAE"/>
    <w:rsid w:val="007A42B2"/>
    <w:rsid w:val="007A42E2"/>
    <w:rsid w:val="007A4D40"/>
    <w:rsid w:val="007A5249"/>
    <w:rsid w:val="007A570A"/>
    <w:rsid w:val="007A57C4"/>
    <w:rsid w:val="007A5941"/>
    <w:rsid w:val="007A5F61"/>
    <w:rsid w:val="007A680F"/>
    <w:rsid w:val="007A6AB6"/>
    <w:rsid w:val="007A78FD"/>
    <w:rsid w:val="007A7B6B"/>
    <w:rsid w:val="007A7E1C"/>
    <w:rsid w:val="007B04C4"/>
    <w:rsid w:val="007B06A0"/>
    <w:rsid w:val="007B09F2"/>
    <w:rsid w:val="007B0CE9"/>
    <w:rsid w:val="007B0E38"/>
    <w:rsid w:val="007B0E79"/>
    <w:rsid w:val="007B2089"/>
    <w:rsid w:val="007B2CB4"/>
    <w:rsid w:val="007B300E"/>
    <w:rsid w:val="007B3028"/>
    <w:rsid w:val="007B32FC"/>
    <w:rsid w:val="007B34D8"/>
    <w:rsid w:val="007B3683"/>
    <w:rsid w:val="007B3D3A"/>
    <w:rsid w:val="007B3E10"/>
    <w:rsid w:val="007B45E5"/>
    <w:rsid w:val="007B469D"/>
    <w:rsid w:val="007B53A4"/>
    <w:rsid w:val="007B56E9"/>
    <w:rsid w:val="007B5783"/>
    <w:rsid w:val="007B587B"/>
    <w:rsid w:val="007B5957"/>
    <w:rsid w:val="007B5F92"/>
    <w:rsid w:val="007B6144"/>
    <w:rsid w:val="007B61B7"/>
    <w:rsid w:val="007B64DA"/>
    <w:rsid w:val="007B663F"/>
    <w:rsid w:val="007B6798"/>
    <w:rsid w:val="007B68E7"/>
    <w:rsid w:val="007B6BB5"/>
    <w:rsid w:val="007B6CAC"/>
    <w:rsid w:val="007B6DA9"/>
    <w:rsid w:val="007B6FDD"/>
    <w:rsid w:val="007B76F4"/>
    <w:rsid w:val="007B78BD"/>
    <w:rsid w:val="007B7A5C"/>
    <w:rsid w:val="007B7EF0"/>
    <w:rsid w:val="007B7FBC"/>
    <w:rsid w:val="007C0020"/>
    <w:rsid w:val="007C1172"/>
    <w:rsid w:val="007C11CB"/>
    <w:rsid w:val="007C11EC"/>
    <w:rsid w:val="007C138B"/>
    <w:rsid w:val="007C1561"/>
    <w:rsid w:val="007C16FD"/>
    <w:rsid w:val="007C2125"/>
    <w:rsid w:val="007C217A"/>
    <w:rsid w:val="007C2CC2"/>
    <w:rsid w:val="007C3F7D"/>
    <w:rsid w:val="007C404B"/>
    <w:rsid w:val="007C420B"/>
    <w:rsid w:val="007C42F8"/>
    <w:rsid w:val="007C43CA"/>
    <w:rsid w:val="007C462D"/>
    <w:rsid w:val="007C505B"/>
    <w:rsid w:val="007C50D6"/>
    <w:rsid w:val="007C5397"/>
    <w:rsid w:val="007C5D59"/>
    <w:rsid w:val="007C5DFE"/>
    <w:rsid w:val="007C5FD4"/>
    <w:rsid w:val="007C64CF"/>
    <w:rsid w:val="007C6AB6"/>
    <w:rsid w:val="007C720F"/>
    <w:rsid w:val="007C7C6E"/>
    <w:rsid w:val="007C7F2D"/>
    <w:rsid w:val="007D0817"/>
    <w:rsid w:val="007D0996"/>
    <w:rsid w:val="007D0AE2"/>
    <w:rsid w:val="007D123A"/>
    <w:rsid w:val="007D1C6A"/>
    <w:rsid w:val="007D1C90"/>
    <w:rsid w:val="007D1C91"/>
    <w:rsid w:val="007D1F2A"/>
    <w:rsid w:val="007D20C7"/>
    <w:rsid w:val="007D21FA"/>
    <w:rsid w:val="007D269E"/>
    <w:rsid w:val="007D27F6"/>
    <w:rsid w:val="007D303A"/>
    <w:rsid w:val="007D35AB"/>
    <w:rsid w:val="007D36A0"/>
    <w:rsid w:val="007D391E"/>
    <w:rsid w:val="007D42D7"/>
    <w:rsid w:val="007D4946"/>
    <w:rsid w:val="007D4B50"/>
    <w:rsid w:val="007D4BCD"/>
    <w:rsid w:val="007D5BDC"/>
    <w:rsid w:val="007D5F6C"/>
    <w:rsid w:val="007D687B"/>
    <w:rsid w:val="007D6B89"/>
    <w:rsid w:val="007D6FE1"/>
    <w:rsid w:val="007D7180"/>
    <w:rsid w:val="007D75F0"/>
    <w:rsid w:val="007D7C1C"/>
    <w:rsid w:val="007D7F23"/>
    <w:rsid w:val="007E0451"/>
    <w:rsid w:val="007E05BF"/>
    <w:rsid w:val="007E05E0"/>
    <w:rsid w:val="007E0BB1"/>
    <w:rsid w:val="007E1B8C"/>
    <w:rsid w:val="007E22E3"/>
    <w:rsid w:val="007E23DC"/>
    <w:rsid w:val="007E2F1D"/>
    <w:rsid w:val="007E32E8"/>
    <w:rsid w:val="007E35C1"/>
    <w:rsid w:val="007E367E"/>
    <w:rsid w:val="007E37E9"/>
    <w:rsid w:val="007E3876"/>
    <w:rsid w:val="007E3989"/>
    <w:rsid w:val="007E3B0F"/>
    <w:rsid w:val="007E3C39"/>
    <w:rsid w:val="007E4523"/>
    <w:rsid w:val="007E45A7"/>
    <w:rsid w:val="007E4787"/>
    <w:rsid w:val="007E57C9"/>
    <w:rsid w:val="007E5CD1"/>
    <w:rsid w:val="007E5D2E"/>
    <w:rsid w:val="007E613C"/>
    <w:rsid w:val="007E6149"/>
    <w:rsid w:val="007E63CF"/>
    <w:rsid w:val="007E6AB6"/>
    <w:rsid w:val="007E6AD5"/>
    <w:rsid w:val="007E72C5"/>
    <w:rsid w:val="007E76AD"/>
    <w:rsid w:val="007E7E19"/>
    <w:rsid w:val="007E7ED4"/>
    <w:rsid w:val="007E7F90"/>
    <w:rsid w:val="007F0237"/>
    <w:rsid w:val="007F0268"/>
    <w:rsid w:val="007F03D8"/>
    <w:rsid w:val="007F03F1"/>
    <w:rsid w:val="007F08F2"/>
    <w:rsid w:val="007F0977"/>
    <w:rsid w:val="007F0DBA"/>
    <w:rsid w:val="007F0E93"/>
    <w:rsid w:val="007F0FD5"/>
    <w:rsid w:val="007F104B"/>
    <w:rsid w:val="007F127C"/>
    <w:rsid w:val="007F17A8"/>
    <w:rsid w:val="007F1E4B"/>
    <w:rsid w:val="007F1EB9"/>
    <w:rsid w:val="007F2594"/>
    <w:rsid w:val="007F25AB"/>
    <w:rsid w:val="007F3543"/>
    <w:rsid w:val="007F35F6"/>
    <w:rsid w:val="007F363C"/>
    <w:rsid w:val="007F3705"/>
    <w:rsid w:val="007F40EC"/>
    <w:rsid w:val="007F425B"/>
    <w:rsid w:val="007F4D47"/>
    <w:rsid w:val="007F5799"/>
    <w:rsid w:val="007F61B1"/>
    <w:rsid w:val="007F64AE"/>
    <w:rsid w:val="007F666D"/>
    <w:rsid w:val="007F6725"/>
    <w:rsid w:val="007F6839"/>
    <w:rsid w:val="007F6BD1"/>
    <w:rsid w:val="007F71AE"/>
    <w:rsid w:val="007F7A72"/>
    <w:rsid w:val="007F7CA4"/>
    <w:rsid w:val="007F7CE7"/>
    <w:rsid w:val="007F7DC3"/>
    <w:rsid w:val="007F7EB8"/>
    <w:rsid w:val="00800171"/>
    <w:rsid w:val="00800263"/>
    <w:rsid w:val="008006C9"/>
    <w:rsid w:val="00800926"/>
    <w:rsid w:val="00800E91"/>
    <w:rsid w:val="0080141F"/>
    <w:rsid w:val="008016F6"/>
    <w:rsid w:val="00801E4E"/>
    <w:rsid w:val="00801F3C"/>
    <w:rsid w:val="00802483"/>
    <w:rsid w:val="008029D5"/>
    <w:rsid w:val="008032DB"/>
    <w:rsid w:val="008038DB"/>
    <w:rsid w:val="00803C6A"/>
    <w:rsid w:val="008042AD"/>
    <w:rsid w:val="008044A0"/>
    <w:rsid w:val="00804591"/>
    <w:rsid w:val="00804692"/>
    <w:rsid w:val="0080543E"/>
    <w:rsid w:val="00805544"/>
    <w:rsid w:val="0080577D"/>
    <w:rsid w:val="00805859"/>
    <w:rsid w:val="00805F10"/>
    <w:rsid w:val="008061DE"/>
    <w:rsid w:val="008066E0"/>
    <w:rsid w:val="00806A48"/>
    <w:rsid w:val="00806B5D"/>
    <w:rsid w:val="00806D6E"/>
    <w:rsid w:val="00806EDC"/>
    <w:rsid w:val="00807088"/>
    <w:rsid w:val="008074A2"/>
    <w:rsid w:val="008100A9"/>
    <w:rsid w:val="00810489"/>
    <w:rsid w:val="00810A3F"/>
    <w:rsid w:val="00810B43"/>
    <w:rsid w:val="00810D37"/>
    <w:rsid w:val="00810D71"/>
    <w:rsid w:val="00810F81"/>
    <w:rsid w:val="0081148E"/>
    <w:rsid w:val="00811895"/>
    <w:rsid w:val="00811B37"/>
    <w:rsid w:val="0081272C"/>
    <w:rsid w:val="00812897"/>
    <w:rsid w:val="008128D9"/>
    <w:rsid w:val="00812934"/>
    <w:rsid w:val="00812973"/>
    <w:rsid w:val="00812B5B"/>
    <w:rsid w:val="00812BFF"/>
    <w:rsid w:val="00813085"/>
    <w:rsid w:val="008131A7"/>
    <w:rsid w:val="008131D7"/>
    <w:rsid w:val="0081339B"/>
    <w:rsid w:val="008134E3"/>
    <w:rsid w:val="008136E3"/>
    <w:rsid w:val="008138EB"/>
    <w:rsid w:val="00813CC4"/>
    <w:rsid w:val="00814658"/>
    <w:rsid w:val="008148F7"/>
    <w:rsid w:val="00814A62"/>
    <w:rsid w:val="00815721"/>
    <w:rsid w:val="0081582A"/>
    <w:rsid w:val="0081595F"/>
    <w:rsid w:val="00815A3B"/>
    <w:rsid w:val="00815B2E"/>
    <w:rsid w:val="00815DB1"/>
    <w:rsid w:val="00816F44"/>
    <w:rsid w:val="00820946"/>
    <w:rsid w:val="0082095C"/>
    <w:rsid w:val="00820F7C"/>
    <w:rsid w:val="008215D6"/>
    <w:rsid w:val="00821751"/>
    <w:rsid w:val="00821755"/>
    <w:rsid w:val="00821D20"/>
    <w:rsid w:val="00821F3C"/>
    <w:rsid w:val="00822069"/>
    <w:rsid w:val="008221B5"/>
    <w:rsid w:val="008225DB"/>
    <w:rsid w:val="00822833"/>
    <w:rsid w:val="00822879"/>
    <w:rsid w:val="008229F8"/>
    <w:rsid w:val="00822E77"/>
    <w:rsid w:val="00822FE6"/>
    <w:rsid w:val="0082330C"/>
    <w:rsid w:val="00823894"/>
    <w:rsid w:val="008238C3"/>
    <w:rsid w:val="00823D1C"/>
    <w:rsid w:val="00823D5D"/>
    <w:rsid w:val="00823EEC"/>
    <w:rsid w:val="0082416E"/>
    <w:rsid w:val="008244AD"/>
    <w:rsid w:val="008245EA"/>
    <w:rsid w:val="00824AF4"/>
    <w:rsid w:val="00824C97"/>
    <w:rsid w:val="00824E15"/>
    <w:rsid w:val="00825233"/>
    <w:rsid w:val="0082566A"/>
    <w:rsid w:val="00825760"/>
    <w:rsid w:val="00825C9A"/>
    <w:rsid w:val="00825EE2"/>
    <w:rsid w:val="00826281"/>
    <w:rsid w:val="008265EC"/>
    <w:rsid w:val="00826608"/>
    <w:rsid w:val="00827143"/>
    <w:rsid w:val="008273D1"/>
    <w:rsid w:val="0082788F"/>
    <w:rsid w:val="00827B79"/>
    <w:rsid w:val="00827FD8"/>
    <w:rsid w:val="008302D2"/>
    <w:rsid w:val="0083043A"/>
    <w:rsid w:val="00830A54"/>
    <w:rsid w:val="00830F7E"/>
    <w:rsid w:val="008310DE"/>
    <w:rsid w:val="00831146"/>
    <w:rsid w:val="00831521"/>
    <w:rsid w:val="008315A6"/>
    <w:rsid w:val="0083241B"/>
    <w:rsid w:val="0083251B"/>
    <w:rsid w:val="008327FC"/>
    <w:rsid w:val="00832BE0"/>
    <w:rsid w:val="00832CDA"/>
    <w:rsid w:val="00832CF1"/>
    <w:rsid w:val="008334D3"/>
    <w:rsid w:val="0083375A"/>
    <w:rsid w:val="0083377C"/>
    <w:rsid w:val="00833A86"/>
    <w:rsid w:val="00833E4B"/>
    <w:rsid w:val="00833E93"/>
    <w:rsid w:val="008345AD"/>
    <w:rsid w:val="008347E8"/>
    <w:rsid w:val="00834C6F"/>
    <w:rsid w:val="008353DE"/>
    <w:rsid w:val="00835468"/>
    <w:rsid w:val="0083566E"/>
    <w:rsid w:val="00835881"/>
    <w:rsid w:val="00835A0D"/>
    <w:rsid w:val="008360B8"/>
    <w:rsid w:val="00836103"/>
    <w:rsid w:val="00836137"/>
    <w:rsid w:val="00836654"/>
    <w:rsid w:val="00836CA9"/>
    <w:rsid w:val="008376EA"/>
    <w:rsid w:val="0083790D"/>
    <w:rsid w:val="00837C4B"/>
    <w:rsid w:val="00837F29"/>
    <w:rsid w:val="008401CA"/>
    <w:rsid w:val="0084026B"/>
    <w:rsid w:val="00841640"/>
    <w:rsid w:val="008423D1"/>
    <w:rsid w:val="008423EE"/>
    <w:rsid w:val="008429E3"/>
    <w:rsid w:val="00842EDD"/>
    <w:rsid w:val="008433E2"/>
    <w:rsid w:val="008436AD"/>
    <w:rsid w:val="008437A0"/>
    <w:rsid w:val="008439A9"/>
    <w:rsid w:val="00844210"/>
    <w:rsid w:val="0084431D"/>
    <w:rsid w:val="0084478C"/>
    <w:rsid w:val="008447AC"/>
    <w:rsid w:val="0084526E"/>
    <w:rsid w:val="0084564F"/>
    <w:rsid w:val="00845827"/>
    <w:rsid w:val="008458A4"/>
    <w:rsid w:val="00845B4C"/>
    <w:rsid w:val="00845C55"/>
    <w:rsid w:val="00845D3F"/>
    <w:rsid w:val="008460F6"/>
    <w:rsid w:val="008469A3"/>
    <w:rsid w:val="00846A86"/>
    <w:rsid w:val="00850089"/>
    <w:rsid w:val="008504B8"/>
    <w:rsid w:val="00850781"/>
    <w:rsid w:val="008508D0"/>
    <w:rsid w:val="00850920"/>
    <w:rsid w:val="00850ED9"/>
    <w:rsid w:val="00851552"/>
    <w:rsid w:val="0085171E"/>
    <w:rsid w:val="00851968"/>
    <w:rsid w:val="00851B7B"/>
    <w:rsid w:val="00851C80"/>
    <w:rsid w:val="00852009"/>
    <w:rsid w:val="00852719"/>
    <w:rsid w:val="008528AE"/>
    <w:rsid w:val="00852BC5"/>
    <w:rsid w:val="00852BF7"/>
    <w:rsid w:val="008530B0"/>
    <w:rsid w:val="008533A9"/>
    <w:rsid w:val="008533CE"/>
    <w:rsid w:val="00853A9E"/>
    <w:rsid w:val="00853E9B"/>
    <w:rsid w:val="00854A1A"/>
    <w:rsid w:val="00854CCA"/>
    <w:rsid w:val="0085566E"/>
    <w:rsid w:val="00855E85"/>
    <w:rsid w:val="00856189"/>
    <w:rsid w:val="00856A34"/>
    <w:rsid w:val="00856A88"/>
    <w:rsid w:val="00856FC8"/>
    <w:rsid w:val="00857529"/>
    <w:rsid w:val="008577FC"/>
    <w:rsid w:val="00857DEB"/>
    <w:rsid w:val="00860EC5"/>
    <w:rsid w:val="00860FEB"/>
    <w:rsid w:val="008617E6"/>
    <w:rsid w:val="00861A09"/>
    <w:rsid w:val="00861EC7"/>
    <w:rsid w:val="00861FC0"/>
    <w:rsid w:val="0086223C"/>
    <w:rsid w:val="00862355"/>
    <w:rsid w:val="008625D2"/>
    <w:rsid w:val="0086280C"/>
    <w:rsid w:val="00862A99"/>
    <w:rsid w:val="0086474E"/>
    <w:rsid w:val="00864AC0"/>
    <w:rsid w:val="0086508C"/>
    <w:rsid w:val="008656A1"/>
    <w:rsid w:val="00865839"/>
    <w:rsid w:val="00865840"/>
    <w:rsid w:val="00865A84"/>
    <w:rsid w:val="00865AD6"/>
    <w:rsid w:val="00865B75"/>
    <w:rsid w:val="00865CC5"/>
    <w:rsid w:val="00865D01"/>
    <w:rsid w:val="00865D26"/>
    <w:rsid w:val="0086654D"/>
    <w:rsid w:val="0086720C"/>
    <w:rsid w:val="0086733B"/>
    <w:rsid w:val="00867B51"/>
    <w:rsid w:val="00867C15"/>
    <w:rsid w:val="00867C33"/>
    <w:rsid w:val="00867CD2"/>
    <w:rsid w:val="00867F7C"/>
    <w:rsid w:val="00870136"/>
    <w:rsid w:val="008706AD"/>
    <w:rsid w:val="00870B5C"/>
    <w:rsid w:val="00870D75"/>
    <w:rsid w:val="00871207"/>
    <w:rsid w:val="00871599"/>
    <w:rsid w:val="0087176D"/>
    <w:rsid w:val="008722B4"/>
    <w:rsid w:val="008722B8"/>
    <w:rsid w:val="008722E6"/>
    <w:rsid w:val="0087275F"/>
    <w:rsid w:val="00872D80"/>
    <w:rsid w:val="00872EE6"/>
    <w:rsid w:val="0087356D"/>
    <w:rsid w:val="008740E3"/>
    <w:rsid w:val="008743F3"/>
    <w:rsid w:val="008746B5"/>
    <w:rsid w:val="008748D9"/>
    <w:rsid w:val="00874A6A"/>
    <w:rsid w:val="00874C01"/>
    <w:rsid w:val="00874EB2"/>
    <w:rsid w:val="0087505D"/>
    <w:rsid w:val="008752A4"/>
    <w:rsid w:val="008756FA"/>
    <w:rsid w:val="00875CEC"/>
    <w:rsid w:val="00875DDB"/>
    <w:rsid w:val="008760AE"/>
    <w:rsid w:val="008764D9"/>
    <w:rsid w:val="00876813"/>
    <w:rsid w:val="00876A05"/>
    <w:rsid w:val="00876AB2"/>
    <w:rsid w:val="0087715B"/>
    <w:rsid w:val="008774CE"/>
    <w:rsid w:val="008776AF"/>
    <w:rsid w:val="00877A0C"/>
    <w:rsid w:val="00877F31"/>
    <w:rsid w:val="008809EB"/>
    <w:rsid w:val="00881F65"/>
    <w:rsid w:val="008822B3"/>
    <w:rsid w:val="00882486"/>
    <w:rsid w:val="008826B3"/>
    <w:rsid w:val="00882757"/>
    <w:rsid w:val="00882B04"/>
    <w:rsid w:val="00882B75"/>
    <w:rsid w:val="00882C3E"/>
    <w:rsid w:val="00882C99"/>
    <w:rsid w:val="008838D4"/>
    <w:rsid w:val="008839FB"/>
    <w:rsid w:val="00883ACE"/>
    <w:rsid w:val="00883AFC"/>
    <w:rsid w:val="00883DB4"/>
    <w:rsid w:val="00883F48"/>
    <w:rsid w:val="008840E2"/>
    <w:rsid w:val="00884671"/>
    <w:rsid w:val="0088484B"/>
    <w:rsid w:val="0088512D"/>
    <w:rsid w:val="0088515F"/>
    <w:rsid w:val="008856AB"/>
    <w:rsid w:val="00885B61"/>
    <w:rsid w:val="00885D7C"/>
    <w:rsid w:val="00886039"/>
    <w:rsid w:val="00886262"/>
    <w:rsid w:val="00886265"/>
    <w:rsid w:val="00886304"/>
    <w:rsid w:val="00886874"/>
    <w:rsid w:val="00886965"/>
    <w:rsid w:val="00886B4C"/>
    <w:rsid w:val="00886ECF"/>
    <w:rsid w:val="00887A87"/>
    <w:rsid w:val="008901D6"/>
    <w:rsid w:val="00890295"/>
    <w:rsid w:val="0089077A"/>
    <w:rsid w:val="008909F9"/>
    <w:rsid w:val="00890A35"/>
    <w:rsid w:val="00890D8D"/>
    <w:rsid w:val="00890EB5"/>
    <w:rsid w:val="00890F08"/>
    <w:rsid w:val="00891189"/>
    <w:rsid w:val="00891212"/>
    <w:rsid w:val="00891250"/>
    <w:rsid w:val="00891743"/>
    <w:rsid w:val="00891A2F"/>
    <w:rsid w:val="00891B6F"/>
    <w:rsid w:val="0089253A"/>
    <w:rsid w:val="00892982"/>
    <w:rsid w:val="00892993"/>
    <w:rsid w:val="008934EF"/>
    <w:rsid w:val="00893626"/>
    <w:rsid w:val="00893788"/>
    <w:rsid w:val="00893921"/>
    <w:rsid w:val="00893B29"/>
    <w:rsid w:val="0089412A"/>
    <w:rsid w:val="00894426"/>
    <w:rsid w:val="00894550"/>
    <w:rsid w:val="008947B3"/>
    <w:rsid w:val="008949BD"/>
    <w:rsid w:val="00894C10"/>
    <w:rsid w:val="00895C92"/>
    <w:rsid w:val="00896244"/>
    <w:rsid w:val="00896B48"/>
    <w:rsid w:val="00896FCE"/>
    <w:rsid w:val="008972DF"/>
    <w:rsid w:val="00897322"/>
    <w:rsid w:val="00897893"/>
    <w:rsid w:val="00897C41"/>
    <w:rsid w:val="00897D9A"/>
    <w:rsid w:val="008A003C"/>
    <w:rsid w:val="008A0148"/>
    <w:rsid w:val="008A03BE"/>
    <w:rsid w:val="008A06F1"/>
    <w:rsid w:val="008A0C28"/>
    <w:rsid w:val="008A12BA"/>
    <w:rsid w:val="008A1444"/>
    <w:rsid w:val="008A17CB"/>
    <w:rsid w:val="008A192B"/>
    <w:rsid w:val="008A1AD7"/>
    <w:rsid w:val="008A2118"/>
    <w:rsid w:val="008A281C"/>
    <w:rsid w:val="008A38D7"/>
    <w:rsid w:val="008A3A5D"/>
    <w:rsid w:val="008A3D0F"/>
    <w:rsid w:val="008A4016"/>
    <w:rsid w:val="008A42D6"/>
    <w:rsid w:val="008A4504"/>
    <w:rsid w:val="008A4F84"/>
    <w:rsid w:val="008A51CD"/>
    <w:rsid w:val="008A5541"/>
    <w:rsid w:val="008A58B2"/>
    <w:rsid w:val="008A5AB6"/>
    <w:rsid w:val="008A5C97"/>
    <w:rsid w:val="008A5DD5"/>
    <w:rsid w:val="008A5E6E"/>
    <w:rsid w:val="008A65CE"/>
    <w:rsid w:val="008A734D"/>
    <w:rsid w:val="008A7794"/>
    <w:rsid w:val="008A7C88"/>
    <w:rsid w:val="008A7D28"/>
    <w:rsid w:val="008A7D3F"/>
    <w:rsid w:val="008B003B"/>
    <w:rsid w:val="008B00B6"/>
    <w:rsid w:val="008B044B"/>
    <w:rsid w:val="008B0532"/>
    <w:rsid w:val="008B06B6"/>
    <w:rsid w:val="008B0736"/>
    <w:rsid w:val="008B076C"/>
    <w:rsid w:val="008B0B24"/>
    <w:rsid w:val="008B0B4D"/>
    <w:rsid w:val="008B10BC"/>
    <w:rsid w:val="008B137C"/>
    <w:rsid w:val="008B18C6"/>
    <w:rsid w:val="008B1CE2"/>
    <w:rsid w:val="008B3B8C"/>
    <w:rsid w:val="008B3D57"/>
    <w:rsid w:val="008B427D"/>
    <w:rsid w:val="008B4565"/>
    <w:rsid w:val="008B4AE6"/>
    <w:rsid w:val="008B504A"/>
    <w:rsid w:val="008B523F"/>
    <w:rsid w:val="008B61DD"/>
    <w:rsid w:val="008B6493"/>
    <w:rsid w:val="008B6CF3"/>
    <w:rsid w:val="008B6E61"/>
    <w:rsid w:val="008B73B5"/>
    <w:rsid w:val="008B771D"/>
    <w:rsid w:val="008B7AEF"/>
    <w:rsid w:val="008C00D0"/>
    <w:rsid w:val="008C0473"/>
    <w:rsid w:val="008C04A2"/>
    <w:rsid w:val="008C05EB"/>
    <w:rsid w:val="008C09AD"/>
    <w:rsid w:val="008C0B1E"/>
    <w:rsid w:val="008C0B54"/>
    <w:rsid w:val="008C0D7D"/>
    <w:rsid w:val="008C0E95"/>
    <w:rsid w:val="008C103B"/>
    <w:rsid w:val="008C1421"/>
    <w:rsid w:val="008C1596"/>
    <w:rsid w:val="008C1679"/>
    <w:rsid w:val="008C1824"/>
    <w:rsid w:val="008C1A6E"/>
    <w:rsid w:val="008C2804"/>
    <w:rsid w:val="008C2B0D"/>
    <w:rsid w:val="008C311D"/>
    <w:rsid w:val="008C3428"/>
    <w:rsid w:val="008C3B22"/>
    <w:rsid w:val="008C4531"/>
    <w:rsid w:val="008C4BB3"/>
    <w:rsid w:val="008C50BB"/>
    <w:rsid w:val="008C5740"/>
    <w:rsid w:val="008C5D89"/>
    <w:rsid w:val="008C63FE"/>
    <w:rsid w:val="008C7001"/>
    <w:rsid w:val="008C738B"/>
    <w:rsid w:val="008C7898"/>
    <w:rsid w:val="008C7945"/>
    <w:rsid w:val="008C7C1A"/>
    <w:rsid w:val="008D0C63"/>
    <w:rsid w:val="008D0E04"/>
    <w:rsid w:val="008D0F58"/>
    <w:rsid w:val="008D1092"/>
    <w:rsid w:val="008D128F"/>
    <w:rsid w:val="008D145D"/>
    <w:rsid w:val="008D14A3"/>
    <w:rsid w:val="008D1BF1"/>
    <w:rsid w:val="008D24CE"/>
    <w:rsid w:val="008D27DF"/>
    <w:rsid w:val="008D28C4"/>
    <w:rsid w:val="008D2A29"/>
    <w:rsid w:val="008D2CDC"/>
    <w:rsid w:val="008D36F3"/>
    <w:rsid w:val="008D38EE"/>
    <w:rsid w:val="008D3D93"/>
    <w:rsid w:val="008D40A2"/>
    <w:rsid w:val="008D4B7C"/>
    <w:rsid w:val="008D52E3"/>
    <w:rsid w:val="008D535D"/>
    <w:rsid w:val="008D53DA"/>
    <w:rsid w:val="008D562E"/>
    <w:rsid w:val="008D5B9F"/>
    <w:rsid w:val="008D5C05"/>
    <w:rsid w:val="008D5E46"/>
    <w:rsid w:val="008D67B4"/>
    <w:rsid w:val="008D6C36"/>
    <w:rsid w:val="008D6D7B"/>
    <w:rsid w:val="008D71F5"/>
    <w:rsid w:val="008D7255"/>
    <w:rsid w:val="008D73C7"/>
    <w:rsid w:val="008D7980"/>
    <w:rsid w:val="008D79CD"/>
    <w:rsid w:val="008D7DB7"/>
    <w:rsid w:val="008D7EF7"/>
    <w:rsid w:val="008D7FAA"/>
    <w:rsid w:val="008E0723"/>
    <w:rsid w:val="008E083F"/>
    <w:rsid w:val="008E0C34"/>
    <w:rsid w:val="008E1904"/>
    <w:rsid w:val="008E2762"/>
    <w:rsid w:val="008E29A8"/>
    <w:rsid w:val="008E3819"/>
    <w:rsid w:val="008E3836"/>
    <w:rsid w:val="008E478D"/>
    <w:rsid w:val="008E480B"/>
    <w:rsid w:val="008E49C8"/>
    <w:rsid w:val="008E4A44"/>
    <w:rsid w:val="008E4AD8"/>
    <w:rsid w:val="008E4B3E"/>
    <w:rsid w:val="008E4D2B"/>
    <w:rsid w:val="008E565F"/>
    <w:rsid w:val="008E5C39"/>
    <w:rsid w:val="008E6065"/>
    <w:rsid w:val="008E638A"/>
    <w:rsid w:val="008E6610"/>
    <w:rsid w:val="008E718A"/>
    <w:rsid w:val="008E757C"/>
    <w:rsid w:val="008E7D08"/>
    <w:rsid w:val="008E7D8A"/>
    <w:rsid w:val="008F06F5"/>
    <w:rsid w:val="008F0A4D"/>
    <w:rsid w:val="008F0C05"/>
    <w:rsid w:val="008F0C25"/>
    <w:rsid w:val="008F145D"/>
    <w:rsid w:val="008F1704"/>
    <w:rsid w:val="008F182F"/>
    <w:rsid w:val="008F1936"/>
    <w:rsid w:val="008F1CF7"/>
    <w:rsid w:val="008F1D39"/>
    <w:rsid w:val="008F1D64"/>
    <w:rsid w:val="008F1E7E"/>
    <w:rsid w:val="008F1F1D"/>
    <w:rsid w:val="008F1F67"/>
    <w:rsid w:val="008F2531"/>
    <w:rsid w:val="008F25B3"/>
    <w:rsid w:val="008F273D"/>
    <w:rsid w:val="008F2A69"/>
    <w:rsid w:val="008F2ED1"/>
    <w:rsid w:val="008F3037"/>
    <w:rsid w:val="008F308F"/>
    <w:rsid w:val="008F30D5"/>
    <w:rsid w:val="008F3172"/>
    <w:rsid w:val="008F32ED"/>
    <w:rsid w:val="008F3C73"/>
    <w:rsid w:val="008F3CA0"/>
    <w:rsid w:val="008F3D25"/>
    <w:rsid w:val="008F4556"/>
    <w:rsid w:val="008F521A"/>
    <w:rsid w:val="008F590C"/>
    <w:rsid w:val="008F5BFB"/>
    <w:rsid w:val="008F5EB9"/>
    <w:rsid w:val="008F62B1"/>
    <w:rsid w:val="008F6409"/>
    <w:rsid w:val="008F641D"/>
    <w:rsid w:val="008F64ED"/>
    <w:rsid w:val="008F6E15"/>
    <w:rsid w:val="008F6FAF"/>
    <w:rsid w:val="008F718F"/>
    <w:rsid w:val="008F7202"/>
    <w:rsid w:val="008F738F"/>
    <w:rsid w:val="008F73CA"/>
    <w:rsid w:val="008F7791"/>
    <w:rsid w:val="008F7868"/>
    <w:rsid w:val="008F79B6"/>
    <w:rsid w:val="008F7C7E"/>
    <w:rsid w:val="00900DCE"/>
    <w:rsid w:val="00900E17"/>
    <w:rsid w:val="00900EF6"/>
    <w:rsid w:val="00901067"/>
    <w:rsid w:val="009011F1"/>
    <w:rsid w:val="00901CDC"/>
    <w:rsid w:val="009021FA"/>
    <w:rsid w:val="009024BC"/>
    <w:rsid w:val="0090253C"/>
    <w:rsid w:val="0090276A"/>
    <w:rsid w:val="00902B6D"/>
    <w:rsid w:val="00902CFB"/>
    <w:rsid w:val="009030BA"/>
    <w:rsid w:val="00903260"/>
    <w:rsid w:val="009033E6"/>
    <w:rsid w:val="009035D7"/>
    <w:rsid w:val="009035E6"/>
    <w:rsid w:val="00903C18"/>
    <w:rsid w:val="00903ECD"/>
    <w:rsid w:val="0090420E"/>
    <w:rsid w:val="009047B6"/>
    <w:rsid w:val="00904907"/>
    <w:rsid w:val="0090510E"/>
    <w:rsid w:val="00905320"/>
    <w:rsid w:val="00905839"/>
    <w:rsid w:val="00905AD0"/>
    <w:rsid w:val="00906573"/>
    <w:rsid w:val="009066AE"/>
    <w:rsid w:val="009068B8"/>
    <w:rsid w:val="00906A80"/>
    <w:rsid w:val="00906F05"/>
    <w:rsid w:val="00907137"/>
    <w:rsid w:val="00907A19"/>
    <w:rsid w:val="00907BA8"/>
    <w:rsid w:val="00907C49"/>
    <w:rsid w:val="00907DEE"/>
    <w:rsid w:val="009106DB"/>
    <w:rsid w:val="00910975"/>
    <w:rsid w:val="009109AF"/>
    <w:rsid w:val="00910D9D"/>
    <w:rsid w:val="00910E46"/>
    <w:rsid w:val="00910EB6"/>
    <w:rsid w:val="009112F7"/>
    <w:rsid w:val="00911750"/>
    <w:rsid w:val="00911837"/>
    <w:rsid w:val="009118FF"/>
    <w:rsid w:val="00911C54"/>
    <w:rsid w:val="00912159"/>
    <w:rsid w:val="009121EF"/>
    <w:rsid w:val="009122BE"/>
    <w:rsid w:val="00912AB5"/>
    <w:rsid w:val="00912BAC"/>
    <w:rsid w:val="00912EA4"/>
    <w:rsid w:val="009130A3"/>
    <w:rsid w:val="00913368"/>
    <w:rsid w:val="00913424"/>
    <w:rsid w:val="009134B0"/>
    <w:rsid w:val="00913650"/>
    <w:rsid w:val="009140DD"/>
    <w:rsid w:val="00914428"/>
    <w:rsid w:val="00914673"/>
    <w:rsid w:val="00914DCB"/>
    <w:rsid w:val="00915738"/>
    <w:rsid w:val="00915A7B"/>
    <w:rsid w:val="009162B8"/>
    <w:rsid w:val="009163C4"/>
    <w:rsid w:val="009164CB"/>
    <w:rsid w:val="00917137"/>
    <w:rsid w:val="009175A0"/>
    <w:rsid w:val="00917A0C"/>
    <w:rsid w:val="00917A73"/>
    <w:rsid w:val="00917A7A"/>
    <w:rsid w:val="00917D49"/>
    <w:rsid w:val="00920549"/>
    <w:rsid w:val="009207B3"/>
    <w:rsid w:val="00920855"/>
    <w:rsid w:val="009209F3"/>
    <w:rsid w:val="00920CFD"/>
    <w:rsid w:val="0092172C"/>
    <w:rsid w:val="00921C04"/>
    <w:rsid w:val="00921CDB"/>
    <w:rsid w:val="00922CA4"/>
    <w:rsid w:val="00922DDB"/>
    <w:rsid w:val="00922ED3"/>
    <w:rsid w:val="009230BC"/>
    <w:rsid w:val="009230C1"/>
    <w:rsid w:val="00923162"/>
    <w:rsid w:val="009231F9"/>
    <w:rsid w:val="00923233"/>
    <w:rsid w:val="0092331C"/>
    <w:rsid w:val="0092361B"/>
    <w:rsid w:val="00923D6E"/>
    <w:rsid w:val="00923EAC"/>
    <w:rsid w:val="0092482D"/>
    <w:rsid w:val="00924A88"/>
    <w:rsid w:val="00924AA1"/>
    <w:rsid w:val="00924AD4"/>
    <w:rsid w:val="00924C55"/>
    <w:rsid w:val="0092550C"/>
    <w:rsid w:val="0092591D"/>
    <w:rsid w:val="0092696D"/>
    <w:rsid w:val="00927826"/>
    <w:rsid w:val="0092786D"/>
    <w:rsid w:val="00927E2B"/>
    <w:rsid w:val="00927E34"/>
    <w:rsid w:val="00930468"/>
    <w:rsid w:val="009306E9"/>
    <w:rsid w:val="009307F9"/>
    <w:rsid w:val="00930884"/>
    <w:rsid w:val="009308EF"/>
    <w:rsid w:val="00930B5E"/>
    <w:rsid w:val="00931412"/>
    <w:rsid w:val="0093156D"/>
    <w:rsid w:val="009315F4"/>
    <w:rsid w:val="0093171D"/>
    <w:rsid w:val="00931A61"/>
    <w:rsid w:val="00931C8E"/>
    <w:rsid w:val="00931DD9"/>
    <w:rsid w:val="00931E19"/>
    <w:rsid w:val="00932731"/>
    <w:rsid w:val="00932A10"/>
    <w:rsid w:val="00932C8C"/>
    <w:rsid w:val="00933A53"/>
    <w:rsid w:val="009341B1"/>
    <w:rsid w:val="0093428A"/>
    <w:rsid w:val="009349AA"/>
    <w:rsid w:val="00934A3F"/>
    <w:rsid w:val="0093510B"/>
    <w:rsid w:val="009359B2"/>
    <w:rsid w:val="00935A52"/>
    <w:rsid w:val="009361CA"/>
    <w:rsid w:val="00936373"/>
    <w:rsid w:val="0093704F"/>
    <w:rsid w:val="00937368"/>
    <w:rsid w:val="009373CB"/>
    <w:rsid w:val="009376C9"/>
    <w:rsid w:val="00937C6B"/>
    <w:rsid w:val="0094038B"/>
    <w:rsid w:val="009403B5"/>
    <w:rsid w:val="009403FD"/>
    <w:rsid w:val="009404D7"/>
    <w:rsid w:val="00940979"/>
    <w:rsid w:val="00940E87"/>
    <w:rsid w:val="00941336"/>
    <w:rsid w:val="00941498"/>
    <w:rsid w:val="00941919"/>
    <w:rsid w:val="009419BC"/>
    <w:rsid w:val="00942153"/>
    <w:rsid w:val="0094275C"/>
    <w:rsid w:val="00942B0B"/>
    <w:rsid w:val="00942E70"/>
    <w:rsid w:val="00943423"/>
    <w:rsid w:val="0094376D"/>
    <w:rsid w:val="00943C15"/>
    <w:rsid w:val="00943D33"/>
    <w:rsid w:val="00943E7A"/>
    <w:rsid w:val="0094438F"/>
    <w:rsid w:val="009443F1"/>
    <w:rsid w:val="0094462F"/>
    <w:rsid w:val="009446AC"/>
    <w:rsid w:val="009446F8"/>
    <w:rsid w:val="00944AFF"/>
    <w:rsid w:val="009450D1"/>
    <w:rsid w:val="0094531E"/>
    <w:rsid w:val="00945768"/>
    <w:rsid w:val="009457A6"/>
    <w:rsid w:val="0094581C"/>
    <w:rsid w:val="00945911"/>
    <w:rsid w:val="00945A65"/>
    <w:rsid w:val="00945C8A"/>
    <w:rsid w:val="00945CD6"/>
    <w:rsid w:val="00946058"/>
    <w:rsid w:val="0094621C"/>
    <w:rsid w:val="009462AD"/>
    <w:rsid w:val="009462FD"/>
    <w:rsid w:val="00946450"/>
    <w:rsid w:val="00946789"/>
    <w:rsid w:val="00947641"/>
    <w:rsid w:val="00947AF7"/>
    <w:rsid w:val="00947B1B"/>
    <w:rsid w:val="00947E6D"/>
    <w:rsid w:val="00947F5C"/>
    <w:rsid w:val="009508D2"/>
    <w:rsid w:val="00950902"/>
    <w:rsid w:val="00950B06"/>
    <w:rsid w:val="00950B7D"/>
    <w:rsid w:val="00950DB7"/>
    <w:rsid w:val="00951998"/>
    <w:rsid w:val="00952074"/>
    <w:rsid w:val="00952138"/>
    <w:rsid w:val="00952404"/>
    <w:rsid w:val="009527AE"/>
    <w:rsid w:val="00952C1C"/>
    <w:rsid w:val="00952D9C"/>
    <w:rsid w:val="00952DDB"/>
    <w:rsid w:val="00952DF2"/>
    <w:rsid w:val="00952F25"/>
    <w:rsid w:val="009530A2"/>
    <w:rsid w:val="00953666"/>
    <w:rsid w:val="00953AC0"/>
    <w:rsid w:val="00953BB6"/>
    <w:rsid w:val="00953BC7"/>
    <w:rsid w:val="00953C86"/>
    <w:rsid w:val="00953D4F"/>
    <w:rsid w:val="0095425E"/>
    <w:rsid w:val="0095454E"/>
    <w:rsid w:val="00954602"/>
    <w:rsid w:val="009546F5"/>
    <w:rsid w:val="009547AF"/>
    <w:rsid w:val="009549FA"/>
    <w:rsid w:val="00954E55"/>
    <w:rsid w:val="0095527D"/>
    <w:rsid w:val="009552FE"/>
    <w:rsid w:val="009553DE"/>
    <w:rsid w:val="0095564E"/>
    <w:rsid w:val="009561CF"/>
    <w:rsid w:val="00956513"/>
    <w:rsid w:val="009568CE"/>
    <w:rsid w:val="00956D8C"/>
    <w:rsid w:val="00956F50"/>
    <w:rsid w:val="00957483"/>
    <w:rsid w:val="00957E10"/>
    <w:rsid w:val="00957E3E"/>
    <w:rsid w:val="00960513"/>
    <w:rsid w:val="0096054A"/>
    <w:rsid w:val="0096058F"/>
    <w:rsid w:val="009610F2"/>
    <w:rsid w:val="00961315"/>
    <w:rsid w:val="00961883"/>
    <w:rsid w:val="00961943"/>
    <w:rsid w:val="0096236B"/>
    <w:rsid w:val="0096263E"/>
    <w:rsid w:val="0096267C"/>
    <w:rsid w:val="00962B32"/>
    <w:rsid w:val="00962C16"/>
    <w:rsid w:val="00963058"/>
    <w:rsid w:val="009630FF"/>
    <w:rsid w:val="009637EC"/>
    <w:rsid w:val="00963A9D"/>
    <w:rsid w:val="00964002"/>
    <w:rsid w:val="00964427"/>
    <w:rsid w:val="009647E4"/>
    <w:rsid w:val="009648B2"/>
    <w:rsid w:val="00964AFC"/>
    <w:rsid w:val="00964C61"/>
    <w:rsid w:val="00964D10"/>
    <w:rsid w:val="0096547C"/>
    <w:rsid w:val="00965F01"/>
    <w:rsid w:val="009661A5"/>
    <w:rsid w:val="00966259"/>
    <w:rsid w:val="00966745"/>
    <w:rsid w:val="00966DFF"/>
    <w:rsid w:val="00967C62"/>
    <w:rsid w:val="00967FC8"/>
    <w:rsid w:val="00970072"/>
    <w:rsid w:val="00971287"/>
    <w:rsid w:val="0097177C"/>
    <w:rsid w:val="00971BDF"/>
    <w:rsid w:val="009721E6"/>
    <w:rsid w:val="009726D1"/>
    <w:rsid w:val="00972CB0"/>
    <w:rsid w:val="00972EF0"/>
    <w:rsid w:val="009735A8"/>
    <w:rsid w:val="009737A5"/>
    <w:rsid w:val="00973971"/>
    <w:rsid w:val="009740E9"/>
    <w:rsid w:val="00974536"/>
    <w:rsid w:val="009745A1"/>
    <w:rsid w:val="0097479B"/>
    <w:rsid w:val="00974967"/>
    <w:rsid w:val="00974DA7"/>
    <w:rsid w:val="009752D1"/>
    <w:rsid w:val="00975B6B"/>
    <w:rsid w:val="00976079"/>
    <w:rsid w:val="00976D58"/>
    <w:rsid w:val="00976FAC"/>
    <w:rsid w:val="00977126"/>
    <w:rsid w:val="009801CA"/>
    <w:rsid w:val="009807D5"/>
    <w:rsid w:val="00980925"/>
    <w:rsid w:val="00981518"/>
    <w:rsid w:val="00981AF5"/>
    <w:rsid w:val="00981B4E"/>
    <w:rsid w:val="0098242E"/>
    <w:rsid w:val="00982E1A"/>
    <w:rsid w:val="00983368"/>
    <w:rsid w:val="009833E0"/>
    <w:rsid w:val="00983693"/>
    <w:rsid w:val="00983839"/>
    <w:rsid w:val="00983A6E"/>
    <w:rsid w:val="00983B03"/>
    <w:rsid w:val="00983BA0"/>
    <w:rsid w:val="0098405A"/>
    <w:rsid w:val="00984C59"/>
    <w:rsid w:val="00984F2B"/>
    <w:rsid w:val="00985C3E"/>
    <w:rsid w:val="00985C90"/>
    <w:rsid w:val="00985D78"/>
    <w:rsid w:val="009863B2"/>
    <w:rsid w:val="009864AB"/>
    <w:rsid w:val="00986833"/>
    <w:rsid w:val="00986894"/>
    <w:rsid w:val="00986CBD"/>
    <w:rsid w:val="00986CEC"/>
    <w:rsid w:val="009870CF"/>
    <w:rsid w:val="00987240"/>
    <w:rsid w:val="009874CB"/>
    <w:rsid w:val="009876A5"/>
    <w:rsid w:val="009879D9"/>
    <w:rsid w:val="00987C30"/>
    <w:rsid w:val="009903BE"/>
    <w:rsid w:val="00990667"/>
    <w:rsid w:val="00990703"/>
    <w:rsid w:val="00990A82"/>
    <w:rsid w:val="00991252"/>
    <w:rsid w:val="009912BE"/>
    <w:rsid w:val="0099143D"/>
    <w:rsid w:val="00991907"/>
    <w:rsid w:val="00991919"/>
    <w:rsid w:val="00991D66"/>
    <w:rsid w:val="00992078"/>
    <w:rsid w:val="00992176"/>
    <w:rsid w:val="00992883"/>
    <w:rsid w:val="00992FD4"/>
    <w:rsid w:val="0099308D"/>
    <w:rsid w:val="009934A4"/>
    <w:rsid w:val="00993507"/>
    <w:rsid w:val="00993534"/>
    <w:rsid w:val="009938D3"/>
    <w:rsid w:val="00993B17"/>
    <w:rsid w:val="00993B37"/>
    <w:rsid w:val="009944F8"/>
    <w:rsid w:val="0099465F"/>
    <w:rsid w:val="009949DD"/>
    <w:rsid w:val="00994B3B"/>
    <w:rsid w:val="00994C06"/>
    <w:rsid w:val="00995584"/>
    <w:rsid w:val="009959B8"/>
    <w:rsid w:val="00995A38"/>
    <w:rsid w:val="00995AA3"/>
    <w:rsid w:val="00996691"/>
    <w:rsid w:val="009969CC"/>
    <w:rsid w:val="00996CCE"/>
    <w:rsid w:val="00996EBF"/>
    <w:rsid w:val="00997248"/>
    <w:rsid w:val="0099732B"/>
    <w:rsid w:val="009976DF"/>
    <w:rsid w:val="009977A8"/>
    <w:rsid w:val="00997A59"/>
    <w:rsid w:val="009A000F"/>
    <w:rsid w:val="009A02A3"/>
    <w:rsid w:val="009A0BDC"/>
    <w:rsid w:val="009A0CD9"/>
    <w:rsid w:val="009A1075"/>
    <w:rsid w:val="009A1364"/>
    <w:rsid w:val="009A179C"/>
    <w:rsid w:val="009A1BF4"/>
    <w:rsid w:val="009A1C25"/>
    <w:rsid w:val="009A1D2E"/>
    <w:rsid w:val="009A1D6A"/>
    <w:rsid w:val="009A1EB9"/>
    <w:rsid w:val="009A29E9"/>
    <w:rsid w:val="009A2EDF"/>
    <w:rsid w:val="009A38B9"/>
    <w:rsid w:val="009A39B3"/>
    <w:rsid w:val="009A39DF"/>
    <w:rsid w:val="009A4430"/>
    <w:rsid w:val="009A467E"/>
    <w:rsid w:val="009A47D2"/>
    <w:rsid w:val="009A487F"/>
    <w:rsid w:val="009A48EC"/>
    <w:rsid w:val="009A4A38"/>
    <w:rsid w:val="009A52D1"/>
    <w:rsid w:val="009A5342"/>
    <w:rsid w:val="009A5916"/>
    <w:rsid w:val="009A5A4F"/>
    <w:rsid w:val="009A5BEC"/>
    <w:rsid w:val="009A5C10"/>
    <w:rsid w:val="009A72AD"/>
    <w:rsid w:val="009A7827"/>
    <w:rsid w:val="009A7E6A"/>
    <w:rsid w:val="009B028C"/>
    <w:rsid w:val="009B06CB"/>
    <w:rsid w:val="009B080D"/>
    <w:rsid w:val="009B0DFA"/>
    <w:rsid w:val="009B104E"/>
    <w:rsid w:val="009B17EE"/>
    <w:rsid w:val="009B1991"/>
    <w:rsid w:val="009B1A49"/>
    <w:rsid w:val="009B1E22"/>
    <w:rsid w:val="009B2959"/>
    <w:rsid w:val="009B3260"/>
    <w:rsid w:val="009B3877"/>
    <w:rsid w:val="009B3969"/>
    <w:rsid w:val="009B3B2E"/>
    <w:rsid w:val="009B3C7A"/>
    <w:rsid w:val="009B401A"/>
    <w:rsid w:val="009B419A"/>
    <w:rsid w:val="009B42C1"/>
    <w:rsid w:val="009B4350"/>
    <w:rsid w:val="009B442D"/>
    <w:rsid w:val="009B4F27"/>
    <w:rsid w:val="009B50BC"/>
    <w:rsid w:val="009B5BF1"/>
    <w:rsid w:val="009B5D12"/>
    <w:rsid w:val="009B5EE9"/>
    <w:rsid w:val="009B60A5"/>
    <w:rsid w:val="009B6880"/>
    <w:rsid w:val="009B69C3"/>
    <w:rsid w:val="009B6B2E"/>
    <w:rsid w:val="009B6E38"/>
    <w:rsid w:val="009B7589"/>
    <w:rsid w:val="009B7D11"/>
    <w:rsid w:val="009C008D"/>
    <w:rsid w:val="009C0893"/>
    <w:rsid w:val="009C08B0"/>
    <w:rsid w:val="009C09F8"/>
    <w:rsid w:val="009C0E80"/>
    <w:rsid w:val="009C11E3"/>
    <w:rsid w:val="009C13E5"/>
    <w:rsid w:val="009C162D"/>
    <w:rsid w:val="009C17B9"/>
    <w:rsid w:val="009C1E01"/>
    <w:rsid w:val="009C2189"/>
    <w:rsid w:val="009C2591"/>
    <w:rsid w:val="009C262E"/>
    <w:rsid w:val="009C32E7"/>
    <w:rsid w:val="009C36F7"/>
    <w:rsid w:val="009C381F"/>
    <w:rsid w:val="009C399A"/>
    <w:rsid w:val="009C43F4"/>
    <w:rsid w:val="009C46DE"/>
    <w:rsid w:val="009C4C2D"/>
    <w:rsid w:val="009C4E49"/>
    <w:rsid w:val="009C53B5"/>
    <w:rsid w:val="009C56F8"/>
    <w:rsid w:val="009C5830"/>
    <w:rsid w:val="009C5BEF"/>
    <w:rsid w:val="009C6880"/>
    <w:rsid w:val="009C72A4"/>
    <w:rsid w:val="009C7AC7"/>
    <w:rsid w:val="009C7DF4"/>
    <w:rsid w:val="009D03E2"/>
    <w:rsid w:val="009D059E"/>
    <w:rsid w:val="009D07C0"/>
    <w:rsid w:val="009D0E04"/>
    <w:rsid w:val="009D0F96"/>
    <w:rsid w:val="009D1085"/>
    <w:rsid w:val="009D1212"/>
    <w:rsid w:val="009D1551"/>
    <w:rsid w:val="009D16C7"/>
    <w:rsid w:val="009D186F"/>
    <w:rsid w:val="009D1A18"/>
    <w:rsid w:val="009D228B"/>
    <w:rsid w:val="009D2414"/>
    <w:rsid w:val="009D25B2"/>
    <w:rsid w:val="009D2AFB"/>
    <w:rsid w:val="009D3158"/>
    <w:rsid w:val="009D347A"/>
    <w:rsid w:val="009D3E87"/>
    <w:rsid w:val="009D4061"/>
    <w:rsid w:val="009D4918"/>
    <w:rsid w:val="009D4C84"/>
    <w:rsid w:val="009D5519"/>
    <w:rsid w:val="009D570C"/>
    <w:rsid w:val="009D5759"/>
    <w:rsid w:val="009D576F"/>
    <w:rsid w:val="009D5AFB"/>
    <w:rsid w:val="009D5EF8"/>
    <w:rsid w:val="009D61F7"/>
    <w:rsid w:val="009D6395"/>
    <w:rsid w:val="009D66C2"/>
    <w:rsid w:val="009D7162"/>
    <w:rsid w:val="009D71A0"/>
    <w:rsid w:val="009E007A"/>
    <w:rsid w:val="009E0455"/>
    <w:rsid w:val="009E066F"/>
    <w:rsid w:val="009E0B47"/>
    <w:rsid w:val="009E1017"/>
    <w:rsid w:val="009E168E"/>
    <w:rsid w:val="009E1994"/>
    <w:rsid w:val="009E1AE4"/>
    <w:rsid w:val="009E2105"/>
    <w:rsid w:val="009E2322"/>
    <w:rsid w:val="009E2420"/>
    <w:rsid w:val="009E26B5"/>
    <w:rsid w:val="009E3949"/>
    <w:rsid w:val="009E4E29"/>
    <w:rsid w:val="009E4F01"/>
    <w:rsid w:val="009E5403"/>
    <w:rsid w:val="009E5579"/>
    <w:rsid w:val="009E55C1"/>
    <w:rsid w:val="009E584E"/>
    <w:rsid w:val="009E5C6D"/>
    <w:rsid w:val="009E5CA9"/>
    <w:rsid w:val="009E5D0A"/>
    <w:rsid w:val="009E5E23"/>
    <w:rsid w:val="009E5F0A"/>
    <w:rsid w:val="009E6153"/>
    <w:rsid w:val="009E666A"/>
    <w:rsid w:val="009E66CC"/>
    <w:rsid w:val="009E67FD"/>
    <w:rsid w:val="009E687E"/>
    <w:rsid w:val="009E6B02"/>
    <w:rsid w:val="009E71E6"/>
    <w:rsid w:val="009E7ADD"/>
    <w:rsid w:val="009E7B35"/>
    <w:rsid w:val="009E7F1E"/>
    <w:rsid w:val="009F04AC"/>
    <w:rsid w:val="009F0A3F"/>
    <w:rsid w:val="009F0E3E"/>
    <w:rsid w:val="009F1564"/>
    <w:rsid w:val="009F1D9D"/>
    <w:rsid w:val="009F1DB3"/>
    <w:rsid w:val="009F207E"/>
    <w:rsid w:val="009F2177"/>
    <w:rsid w:val="009F2B33"/>
    <w:rsid w:val="009F2EA2"/>
    <w:rsid w:val="009F313D"/>
    <w:rsid w:val="009F3156"/>
    <w:rsid w:val="009F328C"/>
    <w:rsid w:val="009F3915"/>
    <w:rsid w:val="009F3DA7"/>
    <w:rsid w:val="009F4473"/>
    <w:rsid w:val="009F44DC"/>
    <w:rsid w:val="009F4721"/>
    <w:rsid w:val="009F4C1B"/>
    <w:rsid w:val="009F4D68"/>
    <w:rsid w:val="009F4DEB"/>
    <w:rsid w:val="009F50A4"/>
    <w:rsid w:val="009F50E3"/>
    <w:rsid w:val="009F552C"/>
    <w:rsid w:val="009F58BA"/>
    <w:rsid w:val="009F5A9E"/>
    <w:rsid w:val="009F5C25"/>
    <w:rsid w:val="009F5F3A"/>
    <w:rsid w:val="009F678E"/>
    <w:rsid w:val="009F67F6"/>
    <w:rsid w:val="009F69C5"/>
    <w:rsid w:val="009F7C63"/>
    <w:rsid w:val="009F7EEA"/>
    <w:rsid w:val="00A002AD"/>
    <w:rsid w:val="00A0045F"/>
    <w:rsid w:val="00A0049F"/>
    <w:rsid w:val="00A00BA7"/>
    <w:rsid w:val="00A00CFD"/>
    <w:rsid w:val="00A01260"/>
    <w:rsid w:val="00A01324"/>
    <w:rsid w:val="00A01396"/>
    <w:rsid w:val="00A01CF7"/>
    <w:rsid w:val="00A02648"/>
    <w:rsid w:val="00A02B93"/>
    <w:rsid w:val="00A02F80"/>
    <w:rsid w:val="00A03186"/>
    <w:rsid w:val="00A033AC"/>
    <w:rsid w:val="00A03F51"/>
    <w:rsid w:val="00A0405F"/>
    <w:rsid w:val="00A045F3"/>
    <w:rsid w:val="00A047A2"/>
    <w:rsid w:val="00A049AE"/>
    <w:rsid w:val="00A04BB2"/>
    <w:rsid w:val="00A04F2D"/>
    <w:rsid w:val="00A05F56"/>
    <w:rsid w:val="00A06019"/>
    <w:rsid w:val="00A061AC"/>
    <w:rsid w:val="00A061C6"/>
    <w:rsid w:val="00A06681"/>
    <w:rsid w:val="00A068D4"/>
    <w:rsid w:val="00A07917"/>
    <w:rsid w:val="00A07FCE"/>
    <w:rsid w:val="00A10AA0"/>
    <w:rsid w:val="00A10C85"/>
    <w:rsid w:val="00A1128A"/>
    <w:rsid w:val="00A11349"/>
    <w:rsid w:val="00A11500"/>
    <w:rsid w:val="00A11782"/>
    <w:rsid w:val="00A11A4D"/>
    <w:rsid w:val="00A11C4E"/>
    <w:rsid w:val="00A11D92"/>
    <w:rsid w:val="00A11E55"/>
    <w:rsid w:val="00A120CD"/>
    <w:rsid w:val="00A1279C"/>
    <w:rsid w:val="00A13624"/>
    <w:rsid w:val="00A1385B"/>
    <w:rsid w:val="00A13B2A"/>
    <w:rsid w:val="00A13FB1"/>
    <w:rsid w:val="00A1450C"/>
    <w:rsid w:val="00A14C68"/>
    <w:rsid w:val="00A15308"/>
    <w:rsid w:val="00A1596F"/>
    <w:rsid w:val="00A15D8F"/>
    <w:rsid w:val="00A16A8A"/>
    <w:rsid w:val="00A16EE9"/>
    <w:rsid w:val="00A1710A"/>
    <w:rsid w:val="00A17DD1"/>
    <w:rsid w:val="00A17E0D"/>
    <w:rsid w:val="00A20306"/>
    <w:rsid w:val="00A20580"/>
    <w:rsid w:val="00A20643"/>
    <w:rsid w:val="00A20690"/>
    <w:rsid w:val="00A20861"/>
    <w:rsid w:val="00A20929"/>
    <w:rsid w:val="00A20C25"/>
    <w:rsid w:val="00A212EE"/>
    <w:rsid w:val="00A215DA"/>
    <w:rsid w:val="00A217D0"/>
    <w:rsid w:val="00A2182F"/>
    <w:rsid w:val="00A22018"/>
    <w:rsid w:val="00A22244"/>
    <w:rsid w:val="00A2274D"/>
    <w:rsid w:val="00A22D72"/>
    <w:rsid w:val="00A231C5"/>
    <w:rsid w:val="00A23716"/>
    <w:rsid w:val="00A23784"/>
    <w:rsid w:val="00A23A1D"/>
    <w:rsid w:val="00A23C10"/>
    <w:rsid w:val="00A23EDC"/>
    <w:rsid w:val="00A24455"/>
    <w:rsid w:val="00A2470A"/>
    <w:rsid w:val="00A249EB"/>
    <w:rsid w:val="00A24A6C"/>
    <w:rsid w:val="00A2525B"/>
    <w:rsid w:val="00A2618D"/>
    <w:rsid w:val="00A266E7"/>
    <w:rsid w:val="00A2726E"/>
    <w:rsid w:val="00A272C3"/>
    <w:rsid w:val="00A2763B"/>
    <w:rsid w:val="00A27960"/>
    <w:rsid w:val="00A300FB"/>
    <w:rsid w:val="00A301E2"/>
    <w:rsid w:val="00A30720"/>
    <w:rsid w:val="00A30761"/>
    <w:rsid w:val="00A30801"/>
    <w:rsid w:val="00A308E5"/>
    <w:rsid w:val="00A30ABE"/>
    <w:rsid w:val="00A31281"/>
    <w:rsid w:val="00A314BF"/>
    <w:rsid w:val="00A31BFD"/>
    <w:rsid w:val="00A31CAD"/>
    <w:rsid w:val="00A31D6A"/>
    <w:rsid w:val="00A31ED6"/>
    <w:rsid w:val="00A320B4"/>
    <w:rsid w:val="00A32563"/>
    <w:rsid w:val="00A32841"/>
    <w:rsid w:val="00A32A84"/>
    <w:rsid w:val="00A32CA9"/>
    <w:rsid w:val="00A32D8E"/>
    <w:rsid w:val="00A32F46"/>
    <w:rsid w:val="00A3308B"/>
    <w:rsid w:val="00A33107"/>
    <w:rsid w:val="00A33284"/>
    <w:rsid w:val="00A3332D"/>
    <w:rsid w:val="00A334CD"/>
    <w:rsid w:val="00A33724"/>
    <w:rsid w:val="00A353BD"/>
    <w:rsid w:val="00A35A1B"/>
    <w:rsid w:val="00A35A41"/>
    <w:rsid w:val="00A35C50"/>
    <w:rsid w:val="00A360EF"/>
    <w:rsid w:val="00A365FB"/>
    <w:rsid w:val="00A3677A"/>
    <w:rsid w:val="00A367B1"/>
    <w:rsid w:val="00A36827"/>
    <w:rsid w:val="00A36F35"/>
    <w:rsid w:val="00A370BF"/>
    <w:rsid w:val="00A370F3"/>
    <w:rsid w:val="00A371C7"/>
    <w:rsid w:val="00A3738D"/>
    <w:rsid w:val="00A3769A"/>
    <w:rsid w:val="00A37BE6"/>
    <w:rsid w:val="00A37DCB"/>
    <w:rsid w:val="00A40219"/>
    <w:rsid w:val="00A4065B"/>
    <w:rsid w:val="00A41991"/>
    <w:rsid w:val="00A41995"/>
    <w:rsid w:val="00A41A3E"/>
    <w:rsid w:val="00A42138"/>
    <w:rsid w:val="00A4218D"/>
    <w:rsid w:val="00A423D4"/>
    <w:rsid w:val="00A426C2"/>
    <w:rsid w:val="00A42837"/>
    <w:rsid w:val="00A4299E"/>
    <w:rsid w:val="00A43193"/>
    <w:rsid w:val="00A431A4"/>
    <w:rsid w:val="00A434A0"/>
    <w:rsid w:val="00A437DC"/>
    <w:rsid w:val="00A43A87"/>
    <w:rsid w:val="00A44558"/>
    <w:rsid w:val="00A448AD"/>
    <w:rsid w:val="00A459DE"/>
    <w:rsid w:val="00A459DF"/>
    <w:rsid w:val="00A45D6A"/>
    <w:rsid w:val="00A45F21"/>
    <w:rsid w:val="00A4602D"/>
    <w:rsid w:val="00A463C3"/>
    <w:rsid w:val="00A464A8"/>
    <w:rsid w:val="00A4668C"/>
    <w:rsid w:val="00A466CF"/>
    <w:rsid w:val="00A46890"/>
    <w:rsid w:val="00A46E25"/>
    <w:rsid w:val="00A46F00"/>
    <w:rsid w:val="00A4794D"/>
    <w:rsid w:val="00A47A0D"/>
    <w:rsid w:val="00A47C6E"/>
    <w:rsid w:val="00A47D24"/>
    <w:rsid w:val="00A47E8F"/>
    <w:rsid w:val="00A50246"/>
    <w:rsid w:val="00A5039E"/>
    <w:rsid w:val="00A50944"/>
    <w:rsid w:val="00A50C96"/>
    <w:rsid w:val="00A50E0A"/>
    <w:rsid w:val="00A50FDF"/>
    <w:rsid w:val="00A51137"/>
    <w:rsid w:val="00A51D7A"/>
    <w:rsid w:val="00A51EF1"/>
    <w:rsid w:val="00A523EB"/>
    <w:rsid w:val="00A52CFC"/>
    <w:rsid w:val="00A52E01"/>
    <w:rsid w:val="00A53729"/>
    <w:rsid w:val="00A53CCE"/>
    <w:rsid w:val="00A543AD"/>
    <w:rsid w:val="00A543BF"/>
    <w:rsid w:val="00A54795"/>
    <w:rsid w:val="00A549C5"/>
    <w:rsid w:val="00A54CC6"/>
    <w:rsid w:val="00A54D22"/>
    <w:rsid w:val="00A5522E"/>
    <w:rsid w:val="00A56320"/>
    <w:rsid w:val="00A564D0"/>
    <w:rsid w:val="00A569E6"/>
    <w:rsid w:val="00A56F6E"/>
    <w:rsid w:val="00A56F73"/>
    <w:rsid w:val="00A570ED"/>
    <w:rsid w:val="00A5734F"/>
    <w:rsid w:val="00A602F3"/>
    <w:rsid w:val="00A605C9"/>
    <w:rsid w:val="00A60D5D"/>
    <w:rsid w:val="00A611D9"/>
    <w:rsid w:val="00A61368"/>
    <w:rsid w:val="00A61445"/>
    <w:rsid w:val="00A6159C"/>
    <w:rsid w:val="00A61B21"/>
    <w:rsid w:val="00A620C1"/>
    <w:rsid w:val="00A625E4"/>
    <w:rsid w:val="00A626B6"/>
    <w:rsid w:val="00A63488"/>
    <w:rsid w:val="00A63676"/>
    <w:rsid w:val="00A63B93"/>
    <w:rsid w:val="00A64085"/>
    <w:rsid w:val="00A64B65"/>
    <w:rsid w:val="00A64D8C"/>
    <w:rsid w:val="00A64F5D"/>
    <w:rsid w:val="00A65210"/>
    <w:rsid w:val="00A65511"/>
    <w:rsid w:val="00A65657"/>
    <w:rsid w:val="00A658D8"/>
    <w:rsid w:val="00A658E3"/>
    <w:rsid w:val="00A65B82"/>
    <w:rsid w:val="00A65D32"/>
    <w:rsid w:val="00A666C0"/>
    <w:rsid w:val="00A66765"/>
    <w:rsid w:val="00A667BF"/>
    <w:rsid w:val="00A66819"/>
    <w:rsid w:val="00A66AE2"/>
    <w:rsid w:val="00A66C4B"/>
    <w:rsid w:val="00A66D20"/>
    <w:rsid w:val="00A66E5F"/>
    <w:rsid w:val="00A670C5"/>
    <w:rsid w:val="00A67274"/>
    <w:rsid w:val="00A67AA1"/>
    <w:rsid w:val="00A704D5"/>
    <w:rsid w:val="00A70F22"/>
    <w:rsid w:val="00A713DB"/>
    <w:rsid w:val="00A7140B"/>
    <w:rsid w:val="00A71833"/>
    <w:rsid w:val="00A7190B"/>
    <w:rsid w:val="00A71E95"/>
    <w:rsid w:val="00A720D8"/>
    <w:rsid w:val="00A7218E"/>
    <w:rsid w:val="00A721F3"/>
    <w:rsid w:val="00A725E3"/>
    <w:rsid w:val="00A72729"/>
    <w:rsid w:val="00A7282E"/>
    <w:rsid w:val="00A72927"/>
    <w:rsid w:val="00A72A57"/>
    <w:rsid w:val="00A72BB8"/>
    <w:rsid w:val="00A72D4B"/>
    <w:rsid w:val="00A73C7D"/>
    <w:rsid w:val="00A73E47"/>
    <w:rsid w:val="00A7468C"/>
    <w:rsid w:val="00A74E89"/>
    <w:rsid w:val="00A7509E"/>
    <w:rsid w:val="00A75C9A"/>
    <w:rsid w:val="00A7609E"/>
    <w:rsid w:val="00A76209"/>
    <w:rsid w:val="00A765E0"/>
    <w:rsid w:val="00A76BAF"/>
    <w:rsid w:val="00A77316"/>
    <w:rsid w:val="00A7737B"/>
    <w:rsid w:val="00A800AE"/>
    <w:rsid w:val="00A80140"/>
    <w:rsid w:val="00A806E1"/>
    <w:rsid w:val="00A80D67"/>
    <w:rsid w:val="00A811DF"/>
    <w:rsid w:val="00A812D8"/>
    <w:rsid w:val="00A8141A"/>
    <w:rsid w:val="00A81B47"/>
    <w:rsid w:val="00A81E7B"/>
    <w:rsid w:val="00A82457"/>
    <w:rsid w:val="00A8335F"/>
    <w:rsid w:val="00A8365B"/>
    <w:rsid w:val="00A8371A"/>
    <w:rsid w:val="00A83B84"/>
    <w:rsid w:val="00A83B98"/>
    <w:rsid w:val="00A83C03"/>
    <w:rsid w:val="00A83EAF"/>
    <w:rsid w:val="00A84AD3"/>
    <w:rsid w:val="00A8541E"/>
    <w:rsid w:val="00A85764"/>
    <w:rsid w:val="00A85AA8"/>
    <w:rsid w:val="00A85ABC"/>
    <w:rsid w:val="00A86062"/>
    <w:rsid w:val="00A86132"/>
    <w:rsid w:val="00A86281"/>
    <w:rsid w:val="00A86455"/>
    <w:rsid w:val="00A86789"/>
    <w:rsid w:val="00A86940"/>
    <w:rsid w:val="00A86AEF"/>
    <w:rsid w:val="00A87936"/>
    <w:rsid w:val="00A879DD"/>
    <w:rsid w:val="00A87D2B"/>
    <w:rsid w:val="00A87FB9"/>
    <w:rsid w:val="00A90CE8"/>
    <w:rsid w:val="00A91137"/>
    <w:rsid w:val="00A911D1"/>
    <w:rsid w:val="00A912E6"/>
    <w:rsid w:val="00A913C7"/>
    <w:rsid w:val="00A913E2"/>
    <w:rsid w:val="00A917C9"/>
    <w:rsid w:val="00A91CB4"/>
    <w:rsid w:val="00A91FE8"/>
    <w:rsid w:val="00A920A8"/>
    <w:rsid w:val="00A920CC"/>
    <w:rsid w:val="00A92F1C"/>
    <w:rsid w:val="00A931A8"/>
    <w:rsid w:val="00A937CE"/>
    <w:rsid w:val="00A938B0"/>
    <w:rsid w:val="00A948EA"/>
    <w:rsid w:val="00A94D36"/>
    <w:rsid w:val="00A94E07"/>
    <w:rsid w:val="00A94E2C"/>
    <w:rsid w:val="00A94F81"/>
    <w:rsid w:val="00A9503C"/>
    <w:rsid w:val="00A953E6"/>
    <w:rsid w:val="00A959CC"/>
    <w:rsid w:val="00A95EE2"/>
    <w:rsid w:val="00A961C5"/>
    <w:rsid w:val="00A969F6"/>
    <w:rsid w:val="00A96B7E"/>
    <w:rsid w:val="00A96D58"/>
    <w:rsid w:val="00A96D8D"/>
    <w:rsid w:val="00A972B8"/>
    <w:rsid w:val="00A9735B"/>
    <w:rsid w:val="00A97381"/>
    <w:rsid w:val="00A9791C"/>
    <w:rsid w:val="00AA083F"/>
    <w:rsid w:val="00AA0F74"/>
    <w:rsid w:val="00AA120E"/>
    <w:rsid w:val="00AA1279"/>
    <w:rsid w:val="00AA17F2"/>
    <w:rsid w:val="00AA1C19"/>
    <w:rsid w:val="00AA1ECB"/>
    <w:rsid w:val="00AA1F6C"/>
    <w:rsid w:val="00AA216A"/>
    <w:rsid w:val="00AA23E0"/>
    <w:rsid w:val="00AA2B8B"/>
    <w:rsid w:val="00AA39DB"/>
    <w:rsid w:val="00AA4332"/>
    <w:rsid w:val="00AA45B1"/>
    <w:rsid w:val="00AA48CC"/>
    <w:rsid w:val="00AA4C63"/>
    <w:rsid w:val="00AA4E79"/>
    <w:rsid w:val="00AA4F62"/>
    <w:rsid w:val="00AA52BF"/>
    <w:rsid w:val="00AA55B0"/>
    <w:rsid w:val="00AA58CE"/>
    <w:rsid w:val="00AA5B84"/>
    <w:rsid w:val="00AA5D1D"/>
    <w:rsid w:val="00AA60DC"/>
    <w:rsid w:val="00AA6787"/>
    <w:rsid w:val="00AA696B"/>
    <w:rsid w:val="00AA7008"/>
    <w:rsid w:val="00AA783A"/>
    <w:rsid w:val="00AA7C35"/>
    <w:rsid w:val="00AA7D4C"/>
    <w:rsid w:val="00AB014C"/>
    <w:rsid w:val="00AB01ED"/>
    <w:rsid w:val="00AB0204"/>
    <w:rsid w:val="00AB023F"/>
    <w:rsid w:val="00AB02AE"/>
    <w:rsid w:val="00AB06C7"/>
    <w:rsid w:val="00AB06FE"/>
    <w:rsid w:val="00AB08C9"/>
    <w:rsid w:val="00AB0AB3"/>
    <w:rsid w:val="00AB0B05"/>
    <w:rsid w:val="00AB0B65"/>
    <w:rsid w:val="00AB0E83"/>
    <w:rsid w:val="00AB0F38"/>
    <w:rsid w:val="00AB12EA"/>
    <w:rsid w:val="00AB1404"/>
    <w:rsid w:val="00AB1B01"/>
    <w:rsid w:val="00AB1E65"/>
    <w:rsid w:val="00AB23CC"/>
    <w:rsid w:val="00AB26D9"/>
    <w:rsid w:val="00AB27C7"/>
    <w:rsid w:val="00AB300D"/>
    <w:rsid w:val="00AB31B3"/>
    <w:rsid w:val="00AB356C"/>
    <w:rsid w:val="00AB398A"/>
    <w:rsid w:val="00AB3ED9"/>
    <w:rsid w:val="00AB473C"/>
    <w:rsid w:val="00AB4C35"/>
    <w:rsid w:val="00AB504B"/>
    <w:rsid w:val="00AB560F"/>
    <w:rsid w:val="00AB5765"/>
    <w:rsid w:val="00AB5893"/>
    <w:rsid w:val="00AB6117"/>
    <w:rsid w:val="00AB6376"/>
    <w:rsid w:val="00AB6671"/>
    <w:rsid w:val="00AB68CA"/>
    <w:rsid w:val="00AB6937"/>
    <w:rsid w:val="00AB69BB"/>
    <w:rsid w:val="00AB6E2F"/>
    <w:rsid w:val="00AB7023"/>
    <w:rsid w:val="00AB772F"/>
    <w:rsid w:val="00AB7AA6"/>
    <w:rsid w:val="00AB7C9F"/>
    <w:rsid w:val="00AC0897"/>
    <w:rsid w:val="00AC0C78"/>
    <w:rsid w:val="00AC0FFA"/>
    <w:rsid w:val="00AC107C"/>
    <w:rsid w:val="00AC1EBC"/>
    <w:rsid w:val="00AC21C0"/>
    <w:rsid w:val="00AC23A0"/>
    <w:rsid w:val="00AC24F8"/>
    <w:rsid w:val="00AC26CD"/>
    <w:rsid w:val="00AC2E9D"/>
    <w:rsid w:val="00AC31B0"/>
    <w:rsid w:val="00AC3496"/>
    <w:rsid w:val="00AC34E2"/>
    <w:rsid w:val="00AC360D"/>
    <w:rsid w:val="00AC364E"/>
    <w:rsid w:val="00AC392C"/>
    <w:rsid w:val="00AC3961"/>
    <w:rsid w:val="00AC3F37"/>
    <w:rsid w:val="00AC42FB"/>
    <w:rsid w:val="00AC4817"/>
    <w:rsid w:val="00AC4908"/>
    <w:rsid w:val="00AC4B4D"/>
    <w:rsid w:val="00AC4D0A"/>
    <w:rsid w:val="00AC4E92"/>
    <w:rsid w:val="00AC4F28"/>
    <w:rsid w:val="00AC53DB"/>
    <w:rsid w:val="00AC5473"/>
    <w:rsid w:val="00AC5641"/>
    <w:rsid w:val="00AC5E98"/>
    <w:rsid w:val="00AC67E2"/>
    <w:rsid w:val="00AC6C5F"/>
    <w:rsid w:val="00AC73D4"/>
    <w:rsid w:val="00AC794E"/>
    <w:rsid w:val="00AC7CD1"/>
    <w:rsid w:val="00AD0080"/>
    <w:rsid w:val="00AD0D16"/>
    <w:rsid w:val="00AD10D7"/>
    <w:rsid w:val="00AD115B"/>
    <w:rsid w:val="00AD1196"/>
    <w:rsid w:val="00AD12DA"/>
    <w:rsid w:val="00AD14C9"/>
    <w:rsid w:val="00AD1F6D"/>
    <w:rsid w:val="00AD2466"/>
    <w:rsid w:val="00AD2C78"/>
    <w:rsid w:val="00AD3BDF"/>
    <w:rsid w:val="00AD3D6C"/>
    <w:rsid w:val="00AD40C0"/>
    <w:rsid w:val="00AD49E0"/>
    <w:rsid w:val="00AD57B9"/>
    <w:rsid w:val="00AD57CA"/>
    <w:rsid w:val="00AD5C0C"/>
    <w:rsid w:val="00AD69BC"/>
    <w:rsid w:val="00AD6DD2"/>
    <w:rsid w:val="00AD7923"/>
    <w:rsid w:val="00AD7D83"/>
    <w:rsid w:val="00AE028C"/>
    <w:rsid w:val="00AE0E24"/>
    <w:rsid w:val="00AE1151"/>
    <w:rsid w:val="00AE1E1E"/>
    <w:rsid w:val="00AE2039"/>
    <w:rsid w:val="00AE2340"/>
    <w:rsid w:val="00AE2430"/>
    <w:rsid w:val="00AE286C"/>
    <w:rsid w:val="00AE2C1E"/>
    <w:rsid w:val="00AE30BE"/>
    <w:rsid w:val="00AE3461"/>
    <w:rsid w:val="00AE34EF"/>
    <w:rsid w:val="00AE3626"/>
    <w:rsid w:val="00AE3635"/>
    <w:rsid w:val="00AE3ECB"/>
    <w:rsid w:val="00AE45A4"/>
    <w:rsid w:val="00AE45C4"/>
    <w:rsid w:val="00AE46B7"/>
    <w:rsid w:val="00AE492D"/>
    <w:rsid w:val="00AE4A45"/>
    <w:rsid w:val="00AE4AED"/>
    <w:rsid w:val="00AE5167"/>
    <w:rsid w:val="00AE5557"/>
    <w:rsid w:val="00AE5696"/>
    <w:rsid w:val="00AE583E"/>
    <w:rsid w:val="00AE587D"/>
    <w:rsid w:val="00AE5B78"/>
    <w:rsid w:val="00AE5EF2"/>
    <w:rsid w:val="00AE6467"/>
    <w:rsid w:val="00AE6B56"/>
    <w:rsid w:val="00AE6E4E"/>
    <w:rsid w:val="00AE7490"/>
    <w:rsid w:val="00AE769A"/>
    <w:rsid w:val="00AE7934"/>
    <w:rsid w:val="00AE7D8A"/>
    <w:rsid w:val="00AF027D"/>
    <w:rsid w:val="00AF0602"/>
    <w:rsid w:val="00AF07D6"/>
    <w:rsid w:val="00AF0C0C"/>
    <w:rsid w:val="00AF0F4D"/>
    <w:rsid w:val="00AF0F52"/>
    <w:rsid w:val="00AF1125"/>
    <w:rsid w:val="00AF11A0"/>
    <w:rsid w:val="00AF2391"/>
    <w:rsid w:val="00AF245F"/>
    <w:rsid w:val="00AF2A43"/>
    <w:rsid w:val="00AF3135"/>
    <w:rsid w:val="00AF3143"/>
    <w:rsid w:val="00AF373B"/>
    <w:rsid w:val="00AF3742"/>
    <w:rsid w:val="00AF3E02"/>
    <w:rsid w:val="00AF3FC8"/>
    <w:rsid w:val="00AF408F"/>
    <w:rsid w:val="00AF445E"/>
    <w:rsid w:val="00AF457C"/>
    <w:rsid w:val="00AF4608"/>
    <w:rsid w:val="00AF4872"/>
    <w:rsid w:val="00AF49FA"/>
    <w:rsid w:val="00AF4FDB"/>
    <w:rsid w:val="00AF5424"/>
    <w:rsid w:val="00AF57D9"/>
    <w:rsid w:val="00AF5B73"/>
    <w:rsid w:val="00AF6075"/>
    <w:rsid w:val="00AF61CB"/>
    <w:rsid w:val="00AF707B"/>
    <w:rsid w:val="00AF7151"/>
    <w:rsid w:val="00AF71FF"/>
    <w:rsid w:val="00AF72F7"/>
    <w:rsid w:val="00AF7922"/>
    <w:rsid w:val="00AF7F5B"/>
    <w:rsid w:val="00B009AD"/>
    <w:rsid w:val="00B00C55"/>
    <w:rsid w:val="00B00FC8"/>
    <w:rsid w:val="00B010D0"/>
    <w:rsid w:val="00B01697"/>
    <w:rsid w:val="00B0173A"/>
    <w:rsid w:val="00B0173E"/>
    <w:rsid w:val="00B01CE5"/>
    <w:rsid w:val="00B01E32"/>
    <w:rsid w:val="00B021D6"/>
    <w:rsid w:val="00B0233B"/>
    <w:rsid w:val="00B0254A"/>
    <w:rsid w:val="00B02603"/>
    <w:rsid w:val="00B03278"/>
    <w:rsid w:val="00B032C9"/>
    <w:rsid w:val="00B038BC"/>
    <w:rsid w:val="00B03998"/>
    <w:rsid w:val="00B039B0"/>
    <w:rsid w:val="00B03DD8"/>
    <w:rsid w:val="00B04627"/>
    <w:rsid w:val="00B046CE"/>
    <w:rsid w:val="00B04CB5"/>
    <w:rsid w:val="00B04DD9"/>
    <w:rsid w:val="00B04E5C"/>
    <w:rsid w:val="00B050B8"/>
    <w:rsid w:val="00B050C1"/>
    <w:rsid w:val="00B0535D"/>
    <w:rsid w:val="00B0576B"/>
    <w:rsid w:val="00B05E4F"/>
    <w:rsid w:val="00B068AE"/>
    <w:rsid w:val="00B06F10"/>
    <w:rsid w:val="00B07393"/>
    <w:rsid w:val="00B076A1"/>
    <w:rsid w:val="00B07C54"/>
    <w:rsid w:val="00B07D09"/>
    <w:rsid w:val="00B10AD1"/>
    <w:rsid w:val="00B10CAC"/>
    <w:rsid w:val="00B10D2A"/>
    <w:rsid w:val="00B10F50"/>
    <w:rsid w:val="00B10F9E"/>
    <w:rsid w:val="00B111A2"/>
    <w:rsid w:val="00B11493"/>
    <w:rsid w:val="00B11993"/>
    <w:rsid w:val="00B11DF6"/>
    <w:rsid w:val="00B121DA"/>
    <w:rsid w:val="00B1227A"/>
    <w:rsid w:val="00B13080"/>
    <w:rsid w:val="00B132C8"/>
    <w:rsid w:val="00B13398"/>
    <w:rsid w:val="00B134A9"/>
    <w:rsid w:val="00B137D0"/>
    <w:rsid w:val="00B13857"/>
    <w:rsid w:val="00B13D4C"/>
    <w:rsid w:val="00B143F5"/>
    <w:rsid w:val="00B14704"/>
    <w:rsid w:val="00B154D7"/>
    <w:rsid w:val="00B156CC"/>
    <w:rsid w:val="00B15737"/>
    <w:rsid w:val="00B15791"/>
    <w:rsid w:val="00B164E6"/>
    <w:rsid w:val="00B16506"/>
    <w:rsid w:val="00B16B7B"/>
    <w:rsid w:val="00B20041"/>
    <w:rsid w:val="00B204D6"/>
    <w:rsid w:val="00B205F8"/>
    <w:rsid w:val="00B20C70"/>
    <w:rsid w:val="00B20EEE"/>
    <w:rsid w:val="00B21330"/>
    <w:rsid w:val="00B21ABD"/>
    <w:rsid w:val="00B21B89"/>
    <w:rsid w:val="00B21DD2"/>
    <w:rsid w:val="00B21EF8"/>
    <w:rsid w:val="00B21F57"/>
    <w:rsid w:val="00B21F9F"/>
    <w:rsid w:val="00B221A0"/>
    <w:rsid w:val="00B228B2"/>
    <w:rsid w:val="00B22924"/>
    <w:rsid w:val="00B22D31"/>
    <w:rsid w:val="00B22DD5"/>
    <w:rsid w:val="00B22F51"/>
    <w:rsid w:val="00B23CE3"/>
    <w:rsid w:val="00B2439E"/>
    <w:rsid w:val="00B2442B"/>
    <w:rsid w:val="00B2454F"/>
    <w:rsid w:val="00B251AE"/>
    <w:rsid w:val="00B25330"/>
    <w:rsid w:val="00B254E8"/>
    <w:rsid w:val="00B2586C"/>
    <w:rsid w:val="00B2604A"/>
    <w:rsid w:val="00B26131"/>
    <w:rsid w:val="00B266D5"/>
    <w:rsid w:val="00B26D99"/>
    <w:rsid w:val="00B26E11"/>
    <w:rsid w:val="00B272C7"/>
    <w:rsid w:val="00B275D0"/>
    <w:rsid w:val="00B275DD"/>
    <w:rsid w:val="00B27BD2"/>
    <w:rsid w:val="00B3018A"/>
    <w:rsid w:val="00B308C0"/>
    <w:rsid w:val="00B3091E"/>
    <w:rsid w:val="00B30A1B"/>
    <w:rsid w:val="00B310E3"/>
    <w:rsid w:val="00B31391"/>
    <w:rsid w:val="00B3164A"/>
    <w:rsid w:val="00B3169A"/>
    <w:rsid w:val="00B31942"/>
    <w:rsid w:val="00B326A4"/>
    <w:rsid w:val="00B32733"/>
    <w:rsid w:val="00B32AC4"/>
    <w:rsid w:val="00B32B94"/>
    <w:rsid w:val="00B32BDD"/>
    <w:rsid w:val="00B32F78"/>
    <w:rsid w:val="00B333EC"/>
    <w:rsid w:val="00B333FF"/>
    <w:rsid w:val="00B33BAD"/>
    <w:rsid w:val="00B34271"/>
    <w:rsid w:val="00B343BB"/>
    <w:rsid w:val="00B34697"/>
    <w:rsid w:val="00B34744"/>
    <w:rsid w:val="00B34A26"/>
    <w:rsid w:val="00B34CA4"/>
    <w:rsid w:val="00B35246"/>
    <w:rsid w:val="00B35AE4"/>
    <w:rsid w:val="00B361F8"/>
    <w:rsid w:val="00B362D8"/>
    <w:rsid w:val="00B362DD"/>
    <w:rsid w:val="00B365A3"/>
    <w:rsid w:val="00B36A7E"/>
    <w:rsid w:val="00B36FFE"/>
    <w:rsid w:val="00B37199"/>
    <w:rsid w:val="00B3757F"/>
    <w:rsid w:val="00B37762"/>
    <w:rsid w:val="00B379AE"/>
    <w:rsid w:val="00B4067C"/>
    <w:rsid w:val="00B40C03"/>
    <w:rsid w:val="00B41043"/>
    <w:rsid w:val="00B411DB"/>
    <w:rsid w:val="00B4222C"/>
    <w:rsid w:val="00B426D2"/>
    <w:rsid w:val="00B427FC"/>
    <w:rsid w:val="00B431FF"/>
    <w:rsid w:val="00B43223"/>
    <w:rsid w:val="00B433DE"/>
    <w:rsid w:val="00B43DBC"/>
    <w:rsid w:val="00B43F62"/>
    <w:rsid w:val="00B445EE"/>
    <w:rsid w:val="00B445FE"/>
    <w:rsid w:val="00B448C8"/>
    <w:rsid w:val="00B449CD"/>
    <w:rsid w:val="00B449FB"/>
    <w:rsid w:val="00B45238"/>
    <w:rsid w:val="00B45B6B"/>
    <w:rsid w:val="00B45F99"/>
    <w:rsid w:val="00B45FB1"/>
    <w:rsid w:val="00B462DC"/>
    <w:rsid w:val="00B4636E"/>
    <w:rsid w:val="00B46C42"/>
    <w:rsid w:val="00B46E3E"/>
    <w:rsid w:val="00B4735A"/>
    <w:rsid w:val="00B476AE"/>
    <w:rsid w:val="00B47B48"/>
    <w:rsid w:val="00B47E10"/>
    <w:rsid w:val="00B5001A"/>
    <w:rsid w:val="00B5038E"/>
    <w:rsid w:val="00B5174F"/>
    <w:rsid w:val="00B51E07"/>
    <w:rsid w:val="00B51E49"/>
    <w:rsid w:val="00B52029"/>
    <w:rsid w:val="00B522D6"/>
    <w:rsid w:val="00B524D5"/>
    <w:rsid w:val="00B5266D"/>
    <w:rsid w:val="00B526EA"/>
    <w:rsid w:val="00B528C3"/>
    <w:rsid w:val="00B52E48"/>
    <w:rsid w:val="00B53109"/>
    <w:rsid w:val="00B53183"/>
    <w:rsid w:val="00B53359"/>
    <w:rsid w:val="00B533D2"/>
    <w:rsid w:val="00B533D7"/>
    <w:rsid w:val="00B53793"/>
    <w:rsid w:val="00B53836"/>
    <w:rsid w:val="00B53CA7"/>
    <w:rsid w:val="00B53E82"/>
    <w:rsid w:val="00B54096"/>
    <w:rsid w:val="00B54633"/>
    <w:rsid w:val="00B548DF"/>
    <w:rsid w:val="00B553B4"/>
    <w:rsid w:val="00B554AD"/>
    <w:rsid w:val="00B55982"/>
    <w:rsid w:val="00B56671"/>
    <w:rsid w:val="00B56B03"/>
    <w:rsid w:val="00B56C37"/>
    <w:rsid w:val="00B56D5B"/>
    <w:rsid w:val="00B56DED"/>
    <w:rsid w:val="00B56F47"/>
    <w:rsid w:val="00B57A09"/>
    <w:rsid w:val="00B57AFA"/>
    <w:rsid w:val="00B57D3C"/>
    <w:rsid w:val="00B57EDA"/>
    <w:rsid w:val="00B601CC"/>
    <w:rsid w:val="00B60607"/>
    <w:rsid w:val="00B6072F"/>
    <w:rsid w:val="00B608F9"/>
    <w:rsid w:val="00B60B38"/>
    <w:rsid w:val="00B6117A"/>
    <w:rsid w:val="00B61205"/>
    <w:rsid w:val="00B614C1"/>
    <w:rsid w:val="00B614CA"/>
    <w:rsid w:val="00B61AF1"/>
    <w:rsid w:val="00B6221D"/>
    <w:rsid w:val="00B626D6"/>
    <w:rsid w:val="00B626EC"/>
    <w:rsid w:val="00B6274B"/>
    <w:rsid w:val="00B62D98"/>
    <w:rsid w:val="00B62EB4"/>
    <w:rsid w:val="00B640FB"/>
    <w:rsid w:val="00B64409"/>
    <w:rsid w:val="00B645BC"/>
    <w:rsid w:val="00B64C0C"/>
    <w:rsid w:val="00B64CDE"/>
    <w:rsid w:val="00B64FA7"/>
    <w:rsid w:val="00B6516A"/>
    <w:rsid w:val="00B651D4"/>
    <w:rsid w:val="00B651D8"/>
    <w:rsid w:val="00B6539B"/>
    <w:rsid w:val="00B65569"/>
    <w:rsid w:val="00B655E7"/>
    <w:rsid w:val="00B65729"/>
    <w:rsid w:val="00B659D0"/>
    <w:rsid w:val="00B65B93"/>
    <w:rsid w:val="00B65F7E"/>
    <w:rsid w:val="00B66216"/>
    <w:rsid w:val="00B66285"/>
    <w:rsid w:val="00B662A9"/>
    <w:rsid w:val="00B66373"/>
    <w:rsid w:val="00B66760"/>
    <w:rsid w:val="00B66797"/>
    <w:rsid w:val="00B66DE3"/>
    <w:rsid w:val="00B66F0F"/>
    <w:rsid w:val="00B671CB"/>
    <w:rsid w:val="00B67588"/>
    <w:rsid w:val="00B675C6"/>
    <w:rsid w:val="00B67ACE"/>
    <w:rsid w:val="00B67B01"/>
    <w:rsid w:val="00B67D5A"/>
    <w:rsid w:val="00B67E10"/>
    <w:rsid w:val="00B67EDE"/>
    <w:rsid w:val="00B70119"/>
    <w:rsid w:val="00B70E2E"/>
    <w:rsid w:val="00B71247"/>
    <w:rsid w:val="00B714F0"/>
    <w:rsid w:val="00B71976"/>
    <w:rsid w:val="00B71BBD"/>
    <w:rsid w:val="00B724CF"/>
    <w:rsid w:val="00B729EB"/>
    <w:rsid w:val="00B72CB6"/>
    <w:rsid w:val="00B730F4"/>
    <w:rsid w:val="00B73309"/>
    <w:rsid w:val="00B74863"/>
    <w:rsid w:val="00B74B8B"/>
    <w:rsid w:val="00B74F16"/>
    <w:rsid w:val="00B74FCA"/>
    <w:rsid w:val="00B757D9"/>
    <w:rsid w:val="00B75A54"/>
    <w:rsid w:val="00B75CE5"/>
    <w:rsid w:val="00B75ED9"/>
    <w:rsid w:val="00B760B8"/>
    <w:rsid w:val="00B765C9"/>
    <w:rsid w:val="00B77027"/>
    <w:rsid w:val="00B771A0"/>
    <w:rsid w:val="00B775AE"/>
    <w:rsid w:val="00B7769E"/>
    <w:rsid w:val="00B7781F"/>
    <w:rsid w:val="00B77B3C"/>
    <w:rsid w:val="00B77E39"/>
    <w:rsid w:val="00B808B1"/>
    <w:rsid w:val="00B80D9C"/>
    <w:rsid w:val="00B81245"/>
    <w:rsid w:val="00B81563"/>
    <w:rsid w:val="00B8157F"/>
    <w:rsid w:val="00B81B6C"/>
    <w:rsid w:val="00B820CF"/>
    <w:rsid w:val="00B8244B"/>
    <w:rsid w:val="00B824BF"/>
    <w:rsid w:val="00B82527"/>
    <w:rsid w:val="00B82968"/>
    <w:rsid w:val="00B82AC2"/>
    <w:rsid w:val="00B82FAF"/>
    <w:rsid w:val="00B830E7"/>
    <w:rsid w:val="00B8427A"/>
    <w:rsid w:val="00B845AC"/>
    <w:rsid w:val="00B8477A"/>
    <w:rsid w:val="00B84E61"/>
    <w:rsid w:val="00B8538C"/>
    <w:rsid w:val="00B856C3"/>
    <w:rsid w:val="00B85B29"/>
    <w:rsid w:val="00B85CB9"/>
    <w:rsid w:val="00B85D2C"/>
    <w:rsid w:val="00B85EF6"/>
    <w:rsid w:val="00B86619"/>
    <w:rsid w:val="00B87416"/>
    <w:rsid w:val="00B87C79"/>
    <w:rsid w:val="00B87D3D"/>
    <w:rsid w:val="00B90691"/>
    <w:rsid w:val="00B90991"/>
    <w:rsid w:val="00B909F8"/>
    <w:rsid w:val="00B90B55"/>
    <w:rsid w:val="00B91094"/>
    <w:rsid w:val="00B91104"/>
    <w:rsid w:val="00B91557"/>
    <w:rsid w:val="00B9155D"/>
    <w:rsid w:val="00B916F5"/>
    <w:rsid w:val="00B9191F"/>
    <w:rsid w:val="00B91B46"/>
    <w:rsid w:val="00B935CB"/>
    <w:rsid w:val="00B94317"/>
    <w:rsid w:val="00B9438C"/>
    <w:rsid w:val="00B947C6"/>
    <w:rsid w:val="00B95344"/>
    <w:rsid w:val="00B957F5"/>
    <w:rsid w:val="00B95DB1"/>
    <w:rsid w:val="00B95E5B"/>
    <w:rsid w:val="00B9640D"/>
    <w:rsid w:val="00B96D7E"/>
    <w:rsid w:val="00B975D7"/>
    <w:rsid w:val="00B978AB"/>
    <w:rsid w:val="00B97CCF"/>
    <w:rsid w:val="00B97DBC"/>
    <w:rsid w:val="00BA0081"/>
    <w:rsid w:val="00BA0BE4"/>
    <w:rsid w:val="00BA1443"/>
    <w:rsid w:val="00BA1D35"/>
    <w:rsid w:val="00BA25ED"/>
    <w:rsid w:val="00BA2DDD"/>
    <w:rsid w:val="00BA3154"/>
    <w:rsid w:val="00BA36E2"/>
    <w:rsid w:val="00BA428D"/>
    <w:rsid w:val="00BA44FB"/>
    <w:rsid w:val="00BA46FC"/>
    <w:rsid w:val="00BA4722"/>
    <w:rsid w:val="00BA4723"/>
    <w:rsid w:val="00BA5654"/>
    <w:rsid w:val="00BA6024"/>
    <w:rsid w:val="00BA612A"/>
    <w:rsid w:val="00BA63ED"/>
    <w:rsid w:val="00BA663C"/>
    <w:rsid w:val="00BA66D0"/>
    <w:rsid w:val="00BA6C74"/>
    <w:rsid w:val="00BA6CA5"/>
    <w:rsid w:val="00BA70AA"/>
    <w:rsid w:val="00BA71A2"/>
    <w:rsid w:val="00BA7696"/>
    <w:rsid w:val="00BB03A4"/>
    <w:rsid w:val="00BB0445"/>
    <w:rsid w:val="00BB051F"/>
    <w:rsid w:val="00BB057B"/>
    <w:rsid w:val="00BB07B2"/>
    <w:rsid w:val="00BB0ABE"/>
    <w:rsid w:val="00BB122A"/>
    <w:rsid w:val="00BB136B"/>
    <w:rsid w:val="00BB1396"/>
    <w:rsid w:val="00BB1B68"/>
    <w:rsid w:val="00BB1F07"/>
    <w:rsid w:val="00BB2689"/>
    <w:rsid w:val="00BB2786"/>
    <w:rsid w:val="00BB285F"/>
    <w:rsid w:val="00BB2ABA"/>
    <w:rsid w:val="00BB3925"/>
    <w:rsid w:val="00BB3957"/>
    <w:rsid w:val="00BB39B3"/>
    <w:rsid w:val="00BB40DC"/>
    <w:rsid w:val="00BB55D0"/>
    <w:rsid w:val="00BB58C1"/>
    <w:rsid w:val="00BB64B8"/>
    <w:rsid w:val="00BB6582"/>
    <w:rsid w:val="00BB66D8"/>
    <w:rsid w:val="00BB6B0A"/>
    <w:rsid w:val="00BB6B60"/>
    <w:rsid w:val="00BB6BE0"/>
    <w:rsid w:val="00BB6DB4"/>
    <w:rsid w:val="00BB7099"/>
    <w:rsid w:val="00BB716F"/>
    <w:rsid w:val="00BB7340"/>
    <w:rsid w:val="00BB7D51"/>
    <w:rsid w:val="00BB7EDD"/>
    <w:rsid w:val="00BC00A6"/>
    <w:rsid w:val="00BC02EC"/>
    <w:rsid w:val="00BC0613"/>
    <w:rsid w:val="00BC07B2"/>
    <w:rsid w:val="00BC07F9"/>
    <w:rsid w:val="00BC0D0A"/>
    <w:rsid w:val="00BC0D1D"/>
    <w:rsid w:val="00BC0E40"/>
    <w:rsid w:val="00BC16BE"/>
    <w:rsid w:val="00BC188C"/>
    <w:rsid w:val="00BC1F70"/>
    <w:rsid w:val="00BC233C"/>
    <w:rsid w:val="00BC26FF"/>
    <w:rsid w:val="00BC28BD"/>
    <w:rsid w:val="00BC3360"/>
    <w:rsid w:val="00BC3516"/>
    <w:rsid w:val="00BC39C5"/>
    <w:rsid w:val="00BC3C92"/>
    <w:rsid w:val="00BC4805"/>
    <w:rsid w:val="00BC4919"/>
    <w:rsid w:val="00BC4C6A"/>
    <w:rsid w:val="00BC4F25"/>
    <w:rsid w:val="00BC514E"/>
    <w:rsid w:val="00BC55B5"/>
    <w:rsid w:val="00BC55E9"/>
    <w:rsid w:val="00BC560A"/>
    <w:rsid w:val="00BC5627"/>
    <w:rsid w:val="00BC56BC"/>
    <w:rsid w:val="00BC6057"/>
    <w:rsid w:val="00BC6061"/>
    <w:rsid w:val="00BC62E5"/>
    <w:rsid w:val="00BC6439"/>
    <w:rsid w:val="00BC64B8"/>
    <w:rsid w:val="00BC6547"/>
    <w:rsid w:val="00BC6C60"/>
    <w:rsid w:val="00BC6EF6"/>
    <w:rsid w:val="00BC7567"/>
    <w:rsid w:val="00BD0BBD"/>
    <w:rsid w:val="00BD1756"/>
    <w:rsid w:val="00BD18D2"/>
    <w:rsid w:val="00BD2000"/>
    <w:rsid w:val="00BD20EC"/>
    <w:rsid w:val="00BD30F9"/>
    <w:rsid w:val="00BD3993"/>
    <w:rsid w:val="00BD3A06"/>
    <w:rsid w:val="00BD3F24"/>
    <w:rsid w:val="00BD425A"/>
    <w:rsid w:val="00BD4364"/>
    <w:rsid w:val="00BD4BBA"/>
    <w:rsid w:val="00BD4C1A"/>
    <w:rsid w:val="00BD4F52"/>
    <w:rsid w:val="00BD5A89"/>
    <w:rsid w:val="00BD6623"/>
    <w:rsid w:val="00BD68EF"/>
    <w:rsid w:val="00BD6A92"/>
    <w:rsid w:val="00BD6BCF"/>
    <w:rsid w:val="00BD6D0E"/>
    <w:rsid w:val="00BD73FB"/>
    <w:rsid w:val="00BD7653"/>
    <w:rsid w:val="00BE0052"/>
    <w:rsid w:val="00BE05CE"/>
    <w:rsid w:val="00BE084D"/>
    <w:rsid w:val="00BE0B86"/>
    <w:rsid w:val="00BE10E4"/>
    <w:rsid w:val="00BE11BA"/>
    <w:rsid w:val="00BE1314"/>
    <w:rsid w:val="00BE144D"/>
    <w:rsid w:val="00BE1897"/>
    <w:rsid w:val="00BE18EC"/>
    <w:rsid w:val="00BE1965"/>
    <w:rsid w:val="00BE1A0E"/>
    <w:rsid w:val="00BE1DD2"/>
    <w:rsid w:val="00BE237F"/>
    <w:rsid w:val="00BE251C"/>
    <w:rsid w:val="00BE28E2"/>
    <w:rsid w:val="00BE28F6"/>
    <w:rsid w:val="00BE2C57"/>
    <w:rsid w:val="00BE2F58"/>
    <w:rsid w:val="00BE3264"/>
    <w:rsid w:val="00BE339A"/>
    <w:rsid w:val="00BE34F8"/>
    <w:rsid w:val="00BE3764"/>
    <w:rsid w:val="00BE3787"/>
    <w:rsid w:val="00BE387D"/>
    <w:rsid w:val="00BE3918"/>
    <w:rsid w:val="00BE3ABA"/>
    <w:rsid w:val="00BE3BC6"/>
    <w:rsid w:val="00BE3C1A"/>
    <w:rsid w:val="00BE3C28"/>
    <w:rsid w:val="00BE4595"/>
    <w:rsid w:val="00BE46A1"/>
    <w:rsid w:val="00BE4A60"/>
    <w:rsid w:val="00BE4D44"/>
    <w:rsid w:val="00BE5124"/>
    <w:rsid w:val="00BE53C1"/>
    <w:rsid w:val="00BE5771"/>
    <w:rsid w:val="00BE5CBC"/>
    <w:rsid w:val="00BE5D86"/>
    <w:rsid w:val="00BE5FF0"/>
    <w:rsid w:val="00BE64A4"/>
    <w:rsid w:val="00BE693E"/>
    <w:rsid w:val="00BE69CF"/>
    <w:rsid w:val="00BE6AAD"/>
    <w:rsid w:val="00BE6F06"/>
    <w:rsid w:val="00BE72D8"/>
    <w:rsid w:val="00BE74B7"/>
    <w:rsid w:val="00BE78AE"/>
    <w:rsid w:val="00BE7F0F"/>
    <w:rsid w:val="00BE7FC6"/>
    <w:rsid w:val="00BF001C"/>
    <w:rsid w:val="00BF05BF"/>
    <w:rsid w:val="00BF0CB6"/>
    <w:rsid w:val="00BF10F7"/>
    <w:rsid w:val="00BF110E"/>
    <w:rsid w:val="00BF1798"/>
    <w:rsid w:val="00BF1CB9"/>
    <w:rsid w:val="00BF24DF"/>
    <w:rsid w:val="00BF29C7"/>
    <w:rsid w:val="00BF2AF4"/>
    <w:rsid w:val="00BF2FEA"/>
    <w:rsid w:val="00BF323C"/>
    <w:rsid w:val="00BF32F6"/>
    <w:rsid w:val="00BF378A"/>
    <w:rsid w:val="00BF3A90"/>
    <w:rsid w:val="00BF402A"/>
    <w:rsid w:val="00BF4EE5"/>
    <w:rsid w:val="00BF522B"/>
    <w:rsid w:val="00BF5749"/>
    <w:rsid w:val="00BF5A66"/>
    <w:rsid w:val="00BF5C7F"/>
    <w:rsid w:val="00BF5D1F"/>
    <w:rsid w:val="00BF6D2C"/>
    <w:rsid w:val="00BF6EEF"/>
    <w:rsid w:val="00BF707B"/>
    <w:rsid w:val="00BF75CF"/>
    <w:rsid w:val="00BF7962"/>
    <w:rsid w:val="00C007FC"/>
    <w:rsid w:val="00C0082B"/>
    <w:rsid w:val="00C00CE0"/>
    <w:rsid w:val="00C01291"/>
    <w:rsid w:val="00C0131E"/>
    <w:rsid w:val="00C013C8"/>
    <w:rsid w:val="00C0212F"/>
    <w:rsid w:val="00C02185"/>
    <w:rsid w:val="00C0253C"/>
    <w:rsid w:val="00C02781"/>
    <w:rsid w:val="00C0287B"/>
    <w:rsid w:val="00C02CFB"/>
    <w:rsid w:val="00C02FF2"/>
    <w:rsid w:val="00C03103"/>
    <w:rsid w:val="00C033FD"/>
    <w:rsid w:val="00C036CA"/>
    <w:rsid w:val="00C03AAA"/>
    <w:rsid w:val="00C03ACF"/>
    <w:rsid w:val="00C03B0C"/>
    <w:rsid w:val="00C03B8E"/>
    <w:rsid w:val="00C03D61"/>
    <w:rsid w:val="00C0409D"/>
    <w:rsid w:val="00C0497A"/>
    <w:rsid w:val="00C04A36"/>
    <w:rsid w:val="00C04B21"/>
    <w:rsid w:val="00C04D0B"/>
    <w:rsid w:val="00C05050"/>
    <w:rsid w:val="00C052D6"/>
    <w:rsid w:val="00C054F7"/>
    <w:rsid w:val="00C05886"/>
    <w:rsid w:val="00C058D4"/>
    <w:rsid w:val="00C0596F"/>
    <w:rsid w:val="00C06047"/>
    <w:rsid w:val="00C06378"/>
    <w:rsid w:val="00C06420"/>
    <w:rsid w:val="00C0796C"/>
    <w:rsid w:val="00C07C30"/>
    <w:rsid w:val="00C10B55"/>
    <w:rsid w:val="00C10C39"/>
    <w:rsid w:val="00C10E7E"/>
    <w:rsid w:val="00C10E98"/>
    <w:rsid w:val="00C11EDC"/>
    <w:rsid w:val="00C123EF"/>
    <w:rsid w:val="00C128BC"/>
    <w:rsid w:val="00C12FA2"/>
    <w:rsid w:val="00C13052"/>
    <w:rsid w:val="00C133F8"/>
    <w:rsid w:val="00C13B43"/>
    <w:rsid w:val="00C13C56"/>
    <w:rsid w:val="00C13C69"/>
    <w:rsid w:val="00C13D8B"/>
    <w:rsid w:val="00C14272"/>
    <w:rsid w:val="00C14A9A"/>
    <w:rsid w:val="00C14B1D"/>
    <w:rsid w:val="00C151BB"/>
    <w:rsid w:val="00C153C6"/>
    <w:rsid w:val="00C15514"/>
    <w:rsid w:val="00C155F8"/>
    <w:rsid w:val="00C1586B"/>
    <w:rsid w:val="00C15BA2"/>
    <w:rsid w:val="00C15E4E"/>
    <w:rsid w:val="00C15EE8"/>
    <w:rsid w:val="00C15F89"/>
    <w:rsid w:val="00C16873"/>
    <w:rsid w:val="00C16906"/>
    <w:rsid w:val="00C17D00"/>
    <w:rsid w:val="00C17EC1"/>
    <w:rsid w:val="00C17EE2"/>
    <w:rsid w:val="00C20581"/>
    <w:rsid w:val="00C205B7"/>
    <w:rsid w:val="00C2060D"/>
    <w:rsid w:val="00C208F0"/>
    <w:rsid w:val="00C20ADA"/>
    <w:rsid w:val="00C20CA1"/>
    <w:rsid w:val="00C20DA7"/>
    <w:rsid w:val="00C2115A"/>
    <w:rsid w:val="00C214F8"/>
    <w:rsid w:val="00C21503"/>
    <w:rsid w:val="00C218C2"/>
    <w:rsid w:val="00C21A6E"/>
    <w:rsid w:val="00C21E74"/>
    <w:rsid w:val="00C2239B"/>
    <w:rsid w:val="00C23297"/>
    <w:rsid w:val="00C23336"/>
    <w:rsid w:val="00C2390B"/>
    <w:rsid w:val="00C23AEE"/>
    <w:rsid w:val="00C24027"/>
    <w:rsid w:val="00C2439B"/>
    <w:rsid w:val="00C24B6C"/>
    <w:rsid w:val="00C24C14"/>
    <w:rsid w:val="00C259CE"/>
    <w:rsid w:val="00C25AC0"/>
    <w:rsid w:val="00C25B1B"/>
    <w:rsid w:val="00C25C8E"/>
    <w:rsid w:val="00C25E7D"/>
    <w:rsid w:val="00C26035"/>
    <w:rsid w:val="00C267BA"/>
    <w:rsid w:val="00C26D29"/>
    <w:rsid w:val="00C26DAD"/>
    <w:rsid w:val="00C274D5"/>
    <w:rsid w:val="00C278E3"/>
    <w:rsid w:val="00C30389"/>
    <w:rsid w:val="00C307C5"/>
    <w:rsid w:val="00C30ACC"/>
    <w:rsid w:val="00C30FFB"/>
    <w:rsid w:val="00C3119F"/>
    <w:rsid w:val="00C313C2"/>
    <w:rsid w:val="00C3155F"/>
    <w:rsid w:val="00C31A3B"/>
    <w:rsid w:val="00C32034"/>
    <w:rsid w:val="00C321D4"/>
    <w:rsid w:val="00C323BD"/>
    <w:rsid w:val="00C3293B"/>
    <w:rsid w:val="00C32A3D"/>
    <w:rsid w:val="00C33403"/>
    <w:rsid w:val="00C3369E"/>
    <w:rsid w:val="00C33756"/>
    <w:rsid w:val="00C33DF6"/>
    <w:rsid w:val="00C342B0"/>
    <w:rsid w:val="00C34616"/>
    <w:rsid w:val="00C347F1"/>
    <w:rsid w:val="00C34813"/>
    <w:rsid w:val="00C34ECF"/>
    <w:rsid w:val="00C35572"/>
    <w:rsid w:val="00C35A5C"/>
    <w:rsid w:val="00C35FFB"/>
    <w:rsid w:val="00C36415"/>
    <w:rsid w:val="00C36539"/>
    <w:rsid w:val="00C366D5"/>
    <w:rsid w:val="00C368EC"/>
    <w:rsid w:val="00C3693F"/>
    <w:rsid w:val="00C369E8"/>
    <w:rsid w:val="00C36B39"/>
    <w:rsid w:val="00C36D8E"/>
    <w:rsid w:val="00C3733A"/>
    <w:rsid w:val="00C3771E"/>
    <w:rsid w:val="00C377CD"/>
    <w:rsid w:val="00C400C8"/>
    <w:rsid w:val="00C40229"/>
    <w:rsid w:val="00C4022B"/>
    <w:rsid w:val="00C40967"/>
    <w:rsid w:val="00C40A5D"/>
    <w:rsid w:val="00C40C1D"/>
    <w:rsid w:val="00C40D72"/>
    <w:rsid w:val="00C41104"/>
    <w:rsid w:val="00C4143F"/>
    <w:rsid w:val="00C4159C"/>
    <w:rsid w:val="00C4182B"/>
    <w:rsid w:val="00C41E3D"/>
    <w:rsid w:val="00C42A3E"/>
    <w:rsid w:val="00C42C20"/>
    <w:rsid w:val="00C431AC"/>
    <w:rsid w:val="00C431B6"/>
    <w:rsid w:val="00C435D4"/>
    <w:rsid w:val="00C43ABE"/>
    <w:rsid w:val="00C43ADD"/>
    <w:rsid w:val="00C43D7F"/>
    <w:rsid w:val="00C440F9"/>
    <w:rsid w:val="00C44828"/>
    <w:rsid w:val="00C448CD"/>
    <w:rsid w:val="00C450D4"/>
    <w:rsid w:val="00C450DF"/>
    <w:rsid w:val="00C45352"/>
    <w:rsid w:val="00C46497"/>
    <w:rsid w:val="00C46C64"/>
    <w:rsid w:val="00C46EA6"/>
    <w:rsid w:val="00C471A3"/>
    <w:rsid w:val="00C47403"/>
    <w:rsid w:val="00C47420"/>
    <w:rsid w:val="00C47767"/>
    <w:rsid w:val="00C47ECD"/>
    <w:rsid w:val="00C47EE6"/>
    <w:rsid w:val="00C504B5"/>
    <w:rsid w:val="00C50693"/>
    <w:rsid w:val="00C50AD1"/>
    <w:rsid w:val="00C513FA"/>
    <w:rsid w:val="00C514C9"/>
    <w:rsid w:val="00C51698"/>
    <w:rsid w:val="00C517FE"/>
    <w:rsid w:val="00C51C90"/>
    <w:rsid w:val="00C51ED6"/>
    <w:rsid w:val="00C52029"/>
    <w:rsid w:val="00C52488"/>
    <w:rsid w:val="00C52D10"/>
    <w:rsid w:val="00C537B7"/>
    <w:rsid w:val="00C53B11"/>
    <w:rsid w:val="00C53E8F"/>
    <w:rsid w:val="00C540EC"/>
    <w:rsid w:val="00C54565"/>
    <w:rsid w:val="00C54617"/>
    <w:rsid w:val="00C550EA"/>
    <w:rsid w:val="00C5569B"/>
    <w:rsid w:val="00C56570"/>
    <w:rsid w:val="00C56C95"/>
    <w:rsid w:val="00C5715F"/>
    <w:rsid w:val="00C57245"/>
    <w:rsid w:val="00C572EE"/>
    <w:rsid w:val="00C573A2"/>
    <w:rsid w:val="00C57429"/>
    <w:rsid w:val="00C5743F"/>
    <w:rsid w:val="00C57911"/>
    <w:rsid w:val="00C57CEB"/>
    <w:rsid w:val="00C605BB"/>
    <w:rsid w:val="00C60AEF"/>
    <w:rsid w:val="00C611AD"/>
    <w:rsid w:val="00C61812"/>
    <w:rsid w:val="00C61924"/>
    <w:rsid w:val="00C61AB2"/>
    <w:rsid w:val="00C61B3D"/>
    <w:rsid w:val="00C61EFC"/>
    <w:rsid w:val="00C61F0F"/>
    <w:rsid w:val="00C623BB"/>
    <w:rsid w:val="00C6343E"/>
    <w:rsid w:val="00C639C9"/>
    <w:rsid w:val="00C63B84"/>
    <w:rsid w:val="00C640FE"/>
    <w:rsid w:val="00C642AE"/>
    <w:rsid w:val="00C64463"/>
    <w:rsid w:val="00C6475B"/>
    <w:rsid w:val="00C64945"/>
    <w:rsid w:val="00C64964"/>
    <w:rsid w:val="00C64988"/>
    <w:rsid w:val="00C64BA6"/>
    <w:rsid w:val="00C65163"/>
    <w:rsid w:val="00C654FB"/>
    <w:rsid w:val="00C66033"/>
    <w:rsid w:val="00C667ED"/>
    <w:rsid w:val="00C66B17"/>
    <w:rsid w:val="00C66F4B"/>
    <w:rsid w:val="00C672D8"/>
    <w:rsid w:val="00C67603"/>
    <w:rsid w:val="00C67638"/>
    <w:rsid w:val="00C67DD1"/>
    <w:rsid w:val="00C67E2D"/>
    <w:rsid w:val="00C700AF"/>
    <w:rsid w:val="00C700B3"/>
    <w:rsid w:val="00C70C06"/>
    <w:rsid w:val="00C71C24"/>
    <w:rsid w:val="00C71EE0"/>
    <w:rsid w:val="00C72296"/>
    <w:rsid w:val="00C730E9"/>
    <w:rsid w:val="00C73216"/>
    <w:rsid w:val="00C73526"/>
    <w:rsid w:val="00C738FE"/>
    <w:rsid w:val="00C73A53"/>
    <w:rsid w:val="00C73C50"/>
    <w:rsid w:val="00C740D4"/>
    <w:rsid w:val="00C7421E"/>
    <w:rsid w:val="00C74274"/>
    <w:rsid w:val="00C7456C"/>
    <w:rsid w:val="00C74655"/>
    <w:rsid w:val="00C74D85"/>
    <w:rsid w:val="00C750C5"/>
    <w:rsid w:val="00C75117"/>
    <w:rsid w:val="00C75173"/>
    <w:rsid w:val="00C75181"/>
    <w:rsid w:val="00C75235"/>
    <w:rsid w:val="00C7580E"/>
    <w:rsid w:val="00C75877"/>
    <w:rsid w:val="00C7628C"/>
    <w:rsid w:val="00C76BA6"/>
    <w:rsid w:val="00C77328"/>
    <w:rsid w:val="00C774AB"/>
    <w:rsid w:val="00C77C5D"/>
    <w:rsid w:val="00C77F37"/>
    <w:rsid w:val="00C77F48"/>
    <w:rsid w:val="00C803C1"/>
    <w:rsid w:val="00C8053E"/>
    <w:rsid w:val="00C809AA"/>
    <w:rsid w:val="00C80D53"/>
    <w:rsid w:val="00C80FD7"/>
    <w:rsid w:val="00C81086"/>
    <w:rsid w:val="00C813F0"/>
    <w:rsid w:val="00C81F17"/>
    <w:rsid w:val="00C81F1B"/>
    <w:rsid w:val="00C8211E"/>
    <w:rsid w:val="00C829F3"/>
    <w:rsid w:val="00C83206"/>
    <w:rsid w:val="00C83BB5"/>
    <w:rsid w:val="00C83C4E"/>
    <w:rsid w:val="00C83DBA"/>
    <w:rsid w:val="00C843E8"/>
    <w:rsid w:val="00C84B1F"/>
    <w:rsid w:val="00C854B0"/>
    <w:rsid w:val="00C85AA8"/>
    <w:rsid w:val="00C85DB0"/>
    <w:rsid w:val="00C8662A"/>
    <w:rsid w:val="00C8667C"/>
    <w:rsid w:val="00C867BE"/>
    <w:rsid w:val="00C86D73"/>
    <w:rsid w:val="00C86E2B"/>
    <w:rsid w:val="00C86F0B"/>
    <w:rsid w:val="00C87543"/>
    <w:rsid w:val="00C87674"/>
    <w:rsid w:val="00C87809"/>
    <w:rsid w:val="00C87AC5"/>
    <w:rsid w:val="00C87BED"/>
    <w:rsid w:val="00C87F17"/>
    <w:rsid w:val="00C87F70"/>
    <w:rsid w:val="00C90093"/>
    <w:rsid w:val="00C9029D"/>
    <w:rsid w:val="00C90499"/>
    <w:rsid w:val="00C90824"/>
    <w:rsid w:val="00C90CA4"/>
    <w:rsid w:val="00C9124C"/>
    <w:rsid w:val="00C91402"/>
    <w:rsid w:val="00C9166E"/>
    <w:rsid w:val="00C916FA"/>
    <w:rsid w:val="00C9199A"/>
    <w:rsid w:val="00C91F62"/>
    <w:rsid w:val="00C925C4"/>
    <w:rsid w:val="00C92A79"/>
    <w:rsid w:val="00C92C95"/>
    <w:rsid w:val="00C9317F"/>
    <w:rsid w:val="00C93198"/>
    <w:rsid w:val="00C932A2"/>
    <w:rsid w:val="00C9345A"/>
    <w:rsid w:val="00C9382E"/>
    <w:rsid w:val="00C939BA"/>
    <w:rsid w:val="00C94300"/>
    <w:rsid w:val="00C9456C"/>
    <w:rsid w:val="00C94761"/>
    <w:rsid w:val="00C949B5"/>
    <w:rsid w:val="00C94F2C"/>
    <w:rsid w:val="00C950BB"/>
    <w:rsid w:val="00C953A0"/>
    <w:rsid w:val="00C95520"/>
    <w:rsid w:val="00C95D93"/>
    <w:rsid w:val="00C95E97"/>
    <w:rsid w:val="00C960A6"/>
    <w:rsid w:val="00C963A4"/>
    <w:rsid w:val="00C96661"/>
    <w:rsid w:val="00C9690D"/>
    <w:rsid w:val="00C96DEE"/>
    <w:rsid w:val="00C96EA3"/>
    <w:rsid w:val="00C96ECF"/>
    <w:rsid w:val="00C9711A"/>
    <w:rsid w:val="00C972C4"/>
    <w:rsid w:val="00C9760A"/>
    <w:rsid w:val="00C9764A"/>
    <w:rsid w:val="00C97DC6"/>
    <w:rsid w:val="00C97F18"/>
    <w:rsid w:val="00CA0786"/>
    <w:rsid w:val="00CA0908"/>
    <w:rsid w:val="00CA0984"/>
    <w:rsid w:val="00CA0CFB"/>
    <w:rsid w:val="00CA0F45"/>
    <w:rsid w:val="00CA1305"/>
    <w:rsid w:val="00CA181B"/>
    <w:rsid w:val="00CA1A3B"/>
    <w:rsid w:val="00CA1BC8"/>
    <w:rsid w:val="00CA1D18"/>
    <w:rsid w:val="00CA223C"/>
    <w:rsid w:val="00CA24C8"/>
    <w:rsid w:val="00CA2500"/>
    <w:rsid w:val="00CA256C"/>
    <w:rsid w:val="00CA2951"/>
    <w:rsid w:val="00CA2A16"/>
    <w:rsid w:val="00CA2BB8"/>
    <w:rsid w:val="00CA2C87"/>
    <w:rsid w:val="00CA3279"/>
    <w:rsid w:val="00CA3523"/>
    <w:rsid w:val="00CA366B"/>
    <w:rsid w:val="00CA3726"/>
    <w:rsid w:val="00CA3996"/>
    <w:rsid w:val="00CA3E48"/>
    <w:rsid w:val="00CA3FAA"/>
    <w:rsid w:val="00CA3FDD"/>
    <w:rsid w:val="00CA4295"/>
    <w:rsid w:val="00CA43C6"/>
    <w:rsid w:val="00CA4AC4"/>
    <w:rsid w:val="00CA4E72"/>
    <w:rsid w:val="00CA4FDC"/>
    <w:rsid w:val="00CA58CB"/>
    <w:rsid w:val="00CA5C7F"/>
    <w:rsid w:val="00CA5D38"/>
    <w:rsid w:val="00CA5EBB"/>
    <w:rsid w:val="00CA619B"/>
    <w:rsid w:val="00CA65B7"/>
    <w:rsid w:val="00CA67C3"/>
    <w:rsid w:val="00CA6FB0"/>
    <w:rsid w:val="00CA72B2"/>
    <w:rsid w:val="00CA72F4"/>
    <w:rsid w:val="00CA758E"/>
    <w:rsid w:val="00CA7AF3"/>
    <w:rsid w:val="00CB06AE"/>
    <w:rsid w:val="00CB0A4E"/>
    <w:rsid w:val="00CB0E8D"/>
    <w:rsid w:val="00CB1042"/>
    <w:rsid w:val="00CB129C"/>
    <w:rsid w:val="00CB12B9"/>
    <w:rsid w:val="00CB1B38"/>
    <w:rsid w:val="00CB1D43"/>
    <w:rsid w:val="00CB1EBD"/>
    <w:rsid w:val="00CB2862"/>
    <w:rsid w:val="00CB2B47"/>
    <w:rsid w:val="00CB2FBF"/>
    <w:rsid w:val="00CB3D04"/>
    <w:rsid w:val="00CB445E"/>
    <w:rsid w:val="00CB46D1"/>
    <w:rsid w:val="00CB4CF2"/>
    <w:rsid w:val="00CB5526"/>
    <w:rsid w:val="00CB57E4"/>
    <w:rsid w:val="00CB59F1"/>
    <w:rsid w:val="00CB5FD4"/>
    <w:rsid w:val="00CB600A"/>
    <w:rsid w:val="00CB61EE"/>
    <w:rsid w:val="00CB6690"/>
    <w:rsid w:val="00CB6694"/>
    <w:rsid w:val="00CB6BFA"/>
    <w:rsid w:val="00CB7236"/>
    <w:rsid w:val="00CB74DE"/>
    <w:rsid w:val="00CB75D5"/>
    <w:rsid w:val="00CB7939"/>
    <w:rsid w:val="00CB79E3"/>
    <w:rsid w:val="00CB7B1A"/>
    <w:rsid w:val="00CC01E4"/>
    <w:rsid w:val="00CC0804"/>
    <w:rsid w:val="00CC0A7D"/>
    <w:rsid w:val="00CC0AF3"/>
    <w:rsid w:val="00CC100B"/>
    <w:rsid w:val="00CC11A5"/>
    <w:rsid w:val="00CC14BD"/>
    <w:rsid w:val="00CC1743"/>
    <w:rsid w:val="00CC18C5"/>
    <w:rsid w:val="00CC19F9"/>
    <w:rsid w:val="00CC1E62"/>
    <w:rsid w:val="00CC20D2"/>
    <w:rsid w:val="00CC2552"/>
    <w:rsid w:val="00CC25B6"/>
    <w:rsid w:val="00CC25F2"/>
    <w:rsid w:val="00CC29D8"/>
    <w:rsid w:val="00CC2AB6"/>
    <w:rsid w:val="00CC2C57"/>
    <w:rsid w:val="00CC2D07"/>
    <w:rsid w:val="00CC2E50"/>
    <w:rsid w:val="00CC2FA4"/>
    <w:rsid w:val="00CC30D0"/>
    <w:rsid w:val="00CC351C"/>
    <w:rsid w:val="00CC3701"/>
    <w:rsid w:val="00CC3C39"/>
    <w:rsid w:val="00CC3C7B"/>
    <w:rsid w:val="00CC4689"/>
    <w:rsid w:val="00CC4E97"/>
    <w:rsid w:val="00CC53AB"/>
    <w:rsid w:val="00CC53BE"/>
    <w:rsid w:val="00CC58F4"/>
    <w:rsid w:val="00CC59BE"/>
    <w:rsid w:val="00CC5DED"/>
    <w:rsid w:val="00CC61D2"/>
    <w:rsid w:val="00CC64FA"/>
    <w:rsid w:val="00CC6745"/>
    <w:rsid w:val="00CC6A54"/>
    <w:rsid w:val="00CC6B1F"/>
    <w:rsid w:val="00CC6D3D"/>
    <w:rsid w:val="00CC6DE6"/>
    <w:rsid w:val="00CC6F55"/>
    <w:rsid w:val="00CC760A"/>
    <w:rsid w:val="00CC7B07"/>
    <w:rsid w:val="00CC7B51"/>
    <w:rsid w:val="00CC7B80"/>
    <w:rsid w:val="00CC7FAF"/>
    <w:rsid w:val="00CD02E8"/>
    <w:rsid w:val="00CD0489"/>
    <w:rsid w:val="00CD0BD9"/>
    <w:rsid w:val="00CD0D9D"/>
    <w:rsid w:val="00CD0E41"/>
    <w:rsid w:val="00CD0E94"/>
    <w:rsid w:val="00CD14F1"/>
    <w:rsid w:val="00CD1607"/>
    <w:rsid w:val="00CD1991"/>
    <w:rsid w:val="00CD1C02"/>
    <w:rsid w:val="00CD1F93"/>
    <w:rsid w:val="00CD251F"/>
    <w:rsid w:val="00CD3072"/>
    <w:rsid w:val="00CD310D"/>
    <w:rsid w:val="00CD323A"/>
    <w:rsid w:val="00CD3753"/>
    <w:rsid w:val="00CD3A0B"/>
    <w:rsid w:val="00CD3ADB"/>
    <w:rsid w:val="00CD4190"/>
    <w:rsid w:val="00CD421B"/>
    <w:rsid w:val="00CD4423"/>
    <w:rsid w:val="00CD4465"/>
    <w:rsid w:val="00CD462D"/>
    <w:rsid w:val="00CD4632"/>
    <w:rsid w:val="00CD46CE"/>
    <w:rsid w:val="00CD4B80"/>
    <w:rsid w:val="00CD5528"/>
    <w:rsid w:val="00CD57FF"/>
    <w:rsid w:val="00CD5A2A"/>
    <w:rsid w:val="00CD5A6A"/>
    <w:rsid w:val="00CD6580"/>
    <w:rsid w:val="00CD6F3D"/>
    <w:rsid w:val="00CD7454"/>
    <w:rsid w:val="00CD7CC2"/>
    <w:rsid w:val="00CD7DD6"/>
    <w:rsid w:val="00CE0105"/>
    <w:rsid w:val="00CE0108"/>
    <w:rsid w:val="00CE04EE"/>
    <w:rsid w:val="00CE0D50"/>
    <w:rsid w:val="00CE0DFF"/>
    <w:rsid w:val="00CE0E82"/>
    <w:rsid w:val="00CE126A"/>
    <w:rsid w:val="00CE1419"/>
    <w:rsid w:val="00CE1685"/>
    <w:rsid w:val="00CE1715"/>
    <w:rsid w:val="00CE181F"/>
    <w:rsid w:val="00CE1BE6"/>
    <w:rsid w:val="00CE1C3E"/>
    <w:rsid w:val="00CE2399"/>
    <w:rsid w:val="00CE2B5F"/>
    <w:rsid w:val="00CE3826"/>
    <w:rsid w:val="00CE422B"/>
    <w:rsid w:val="00CE430C"/>
    <w:rsid w:val="00CE442D"/>
    <w:rsid w:val="00CE454F"/>
    <w:rsid w:val="00CE48DA"/>
    <w:rsid w:val="00CE4B8B"/>
    <w:rsid w:val="00CE510E"/>
    <w:rsid w:val="00CE5339"/>
    <w:rsid w:val="00CE5685"/>
    <w:rsid w:val="00CE56EB"/>
    <w:rsid w:val="00CE608E"/>
    <w:rsid w:val="00CE6197"/>
    <w:rsid w:val="00CE6201"/>
    <w:rsid w:val="00CE671F"/>
    <w:rsid w:val="00CE6733"/>
    <w:rsid w:val="00CE6781"/>
    <w:rsid w:val="00CE6CE8"/>
    <w:rsid w:val="00CE6DE8"/>
    <w:rsid w:val="00CE6E25"/>
    <w:rsid w:val="00CE6ECC"/>
    <w:rsid w:val="00CE6F69"/>
    <w:rsid w:val="00CE72E5"/>
    <w:rsid w:val="00CE7816"/>
    <w:rsid w:val="00CE79F8"/>
    <w:rsid w:val="00CE7BE2"/>
    <w:rsid w:val="00CF0DCC"/>
    <w:rsid w:val="00CF0F40"/>
    <w:rsid w:val="00CF1278"/>
    <w:rsid w:val="00CF148F"/>
    <w:rsid w:val="00CF17E8"/>
    <w:rsid w:val="00CF1904"/>
    <w:rsid w:val="00CF1B03"/>
    <w:rsid w:val="00CF1D71"/>
    <w:rsid w:val="00CF1D9D"/>
    <w:rsid w:val="00CF2A4C"/>
    <w:rsid w:val="00CF2D53"/>
    <w:rsid w:val="00CF3E1E"/>
    <w:rsid w:val="00CF3E6D"/>
    <w:rsid w:val="00CF43A3"/>
    <w:rsid w:val="00CF456D"/>
    <w:rsid w:val="00CF4A4F"/>
    <w:rsid w:val="00CF4C24"/>
    <w:rsid w:val="00CF60B3"/>
    <w:rsid w:val="00CF675F"/>
    <w:rsid w:val="00CF6FCB"/>
    <w:rsid w:val="00CF6FE1"/>
    <w:rsid w:val="00CF73B4"/>
    <w:rsid w:val="00CF76B5"/>
    <w:rsid w:val="00CF7D0D"/>
    <w:rsid w:val="00CF7EA3"/>
    <w:rsid w:val="00D003C0"/>
    <w:rsid w:val="00D0054B"/>
    <w:rsid w:val="00D00E9D"/>
    <w:rsid w:val="00D01416"/>
    <w:rsid w:val="00D017C6"/>
    <w:rsid w:val="00D01C87"/>
    <w:rsid w:val="00D01EA0"/>
    <w:rsid w:val="00D01EB5"/>
    <w:rsid w:val="00D02634"/>
    <w:rsid w:val="00D02657"/>
    <w:rsid w:val="00D029A0"/>
    <w:rsid w:val="00D029A1"/>
    <w:rsid w:val="00D02AB8"/>
    <w:rsid w:val="00D02BF2"/>
    <w:rsid w:val="00D02DF9"/>
    <w:rsid w:val="00D02E8D"/>
    <w:rsid w:val="00D0381C"/>
    <w:rsid w:val="00D03D1B"/>
    <w:rsid w:val="00D03D2B"/>
    <w:rsid w:val="00D0415E"/>
    <w:rsid w:val="00D04248"/>
    <w:rsid w:val="00D042F1"/>
    <w:rsid w:val="00D0453E"/>
    <w:rsid w:val="00D048E2"/>
    <w:rsid w:val="00D04A38"/>
    <w:rsid w:val="00D058E1"/>
    <w:rsid w:val="00D05E32"/>
    <w:rsid w:val="00D05EF4"/>
    <w:rsid w:val="00D065AB"/>
    <w:rsid w:val="00D0666F"/>
    <w:rsid w:val="00D066EB"/>
    <w:rsid w:val="00D068FA"/>
    <w:rsid w:val="00D073CB"/>
    <w:rsid w:val="00D07683"/>
    <w:rsid w:val="00D07B81"/>
    <w:rsid w:val="00D114F9"/>
    <w:rsid w:val="00D11639"/>
    <w:rsid w:val="00D118B6"/>
    <w:rsid w:val="00D11C72"/>
    <w:rsid w:val="00D11E9B"/>
    <w:rsid w:val="00D11F16"/>
    <w:rsid w:val="00D124AE"/>
    <w:rsid w:val="00D124CC"/>
    <w:rsid w:val="00D1293E"/>
    <w:rsid w:val="00D12CCA"/>
    <w:rsid w:val="00D12D67"/>
    <w:rsid w:val="00D13531"/>
    <w:rsid w:val="00D136C2"/>
    <w:rsid w:val="00D1419A"/>
    <w:rsid w:val="00D144F8"/>
    <w:rsid w:val="00D1460A"/>
    <w:rsid w:val="00D1474F"/>
    <w:rsid w:val="00D149A7"/>
    <w:rsid w:val="00D14A0E"/>
    <w:rsid w:val="00D14A8D"/>
    <w:rsid w:val="00D155CE"/>
    <w:rsid w:val="00D157BA"/>
    <w:rsid w:val="00D1598A"/>
    <w:rsid w:val="00D169BB"/>
    <w:rsid w:val="00D16BA2"/>
    <w:rsid w:val="00D16D80"/>
    <w:rsid w:val="00D17EB7"/>
    <w:rsid w:val="00D17F51"/>
    <w:rsid w:val="00D20674"/>
    <w:rsid w:val="00D20696"/>
    <w:rsid w:val="00D207D9"/>
    <w:rsid w:val="00D210E6"/>
    <w:rsid w:val="00D2113A"/>
    <w:rsid w:val="00D214E7"/>
    <w:rsid w:val="00D215FD"/>
    <w:rsid w:val="00D21A1A"/>
    <w:rsid w:val="00D21AD6"/>
    <w:rsid w:val="00D21ADF"/>
    <w:rsid w:val="00D21B12"/>
    <w:rsid w:val="00D22165"/>
    <w:rsid w:val="00D22ACE"/>
    <w:rsid w:val="00D22B62"/>
    <w:rsid w:val="00D22BCD"/>
    <w:rsid w:val="00D22D8C"/>
    <w:rsid w:val="00D233CE"/>
    <w:rsid w:val="00D23512"/>
    <w:rsid w:val="00D238BF"/>
    <w:rsid w:val="00D23B09"/>
    <w:rsid w:val="00D23F27"/>
    <w:rsid w:val="00D23F36"/>
    <w:rsid w:val="00D2426B"/>
    <w:rsid w:val="00D245F4"/>
    <w:rsid w:val="00D24770"/>
    <w:rsid w:val="00D252BF"/>
    <w:rsid w:val="00D2579B"/>
    <w:rsid w:val="00D25A2D"/>
    <w:rsid w:val="00D25CE7"/>
    <w:rsid w:val="00D25D20"/>
    <w:rsid w:val="00D25DEC"/>
    <w:rsid w:val="00D260F9"/>
    <w:rsid w:val="00D268E5"/>
    <w:rsid w:val="00D269FE"/>
    <w:rsid w:val="00D26CDE"/>
    <w:rsid w:val="00D26DDD"/>
    <w:rsid w:val="00D26E3A"/>
    <w:rsid w:val="00D272CD"/>
    <w:rsid w:val="00D27489"/>
    <w:rsid w:val="00D276EA"/>
    <w:rsid w:val="00D278ED"/>
    <w:rsid w:val="00D279E6"/>
    <w:rsid w:val="00D27DAB"/>
    <w:rsid w:val="00D3041D"/>
    <w:rsid w:val="00D30669"/>
    <w:rsid w:val="00D30B89"/>
    <w:rsid w:val="00D312C8"/>
    <w:rsid w:val="00D3135A"/>
    <w:rsid w:val="00D31538"/>
    <w:rsid w:val="00D31A6F"/>
    <w:rsid w:val="00D31F64"/>
    <w:rsid w:val="00D32249"/>
    <w:rsid w:val="00D32401"/>
    <w:rsid w:val="00D32BDF"/>
    <w:rsid w:val="00D32CA0"/>
    <w:rsid w:val="00D32FFA"/>
    <w:rsid w:val="00D33388"/>
    <w:rsid w:val="00D33DD9"/>
    <w:rsid w:val="00D34706"/>
    <w:rsid w:val="00D34707"/>
    <w:rsid w:val="00D35040"/>
    <w:rsid w:val="00D355CE"/>
    <w:rsid w:val="00D35E4E"/>
    <w:rsid w:val="00D361FD"/>
    <w:rsid w:val="00D367C9"/>
    <w:rsid w:val="00D367F3"/>
    <w:rsid w:val="00D36A41"/>
    <w:rsid w:val="00D36B09"/>
    <w:rsid w:val="00D36CFE"/>
    <w:rsid w:val="00D37476"/>
    <w:rsid w:val="00D37870"/>
    <w:rsid w:val="00D37995"/>
    <w:rsid w:val="00D37D5D"/>
    <w:rsid w:val="00D37E4D"/>
    <w:rsid w:val="00D37F20"/>
    <w:rsid w:val="00D40278"/>
    <w:rsid w:val="00D40F85"/>
    <w:rsid w:val="00D41006"/>
    <w:rsid w:val="00D41166"/>
    <w:rsid w:val="00D416BD"/>
    <w:rsid w:val="00D419F7"/>
    <w:rsid w:val="00D4272D"/>
    <w:rsid w:val="00D4275C"/>
    <w:rsid w:val="00D42C5D"/>
    <w:rsid w:val="00D42CB2"/>
    <w:rsid w:val="00D42CC6"/>
    <w:rsid w:val="00D42D0C"/>
    <w:rsid w:val="00D43977"/>
    <w:rsid w:val="00D43B8B"/>
    <w:rsid w:val="00D4406D"/>
    <w:rsid w:val="00D4498F"/>
    <w:rsid w:val="00D44C87"/>
    <w:rsid w:val="00D44CEE"/>
    <w:rsid w:val="00D45504"/>
    <w:rsid w:val="00D45A1E"/>
    <w:rsid w:val="00D46862"/>
    <w:rsid w:val="00D46AF3"/>
    <w:rsid w:val="00D46D3D"/>
    <w:rsid w:val="00D473B7"/>
    <w:rsid w:val="00D5000C"/>
    <w:rsid w:val="00D5016B"/>
    <w:rsid w:val="00D50256"/>
    <w:rsid w:val="00D5070C"/>
    <w:rsid w:val="00D50ACC"/>
    <w:rsid w:val="00D518A7"/>
    <w:rsid w:val="00D518E7"/>
    <w:rsid w:val="00D52290"/>
    <w:rsid w:val="00D533C6"/>
    <w:rsid w:val="00D53583"/>
    <w:rsid w:val="00D535E9"/>
    <w:rsid w:val="00D53958"/>
    <w:rsid w:val="00D53EBA"/>
    <w:rsid w:val="00D5410B"/>
    <w:rsid w:val="00D54176"/>
    <w:rsid w:val="00D54774"/>
    <w:rsid w:val="00D54975"/>
    <w:rsid w:val="00D54B86"/>
    <w:rsid w:val="00D54C4F"/>
    <w:rsid w:val="00D54C55"/>
    <w:rsid w:val="00D54EFA"/>
    <w:rsid w:val="00D55214"/>
    <w:rsid w:val="00D553E0"/>
    <w:rsid w:val="00D556A0"/>
    <w:rsid w:val="00D55B98"/>
    <w:rsid w:val="00D55E48"/>
    <w:rsid w:val="00D5605B"/>
    <w:rsid w:val="00D563F3"/>
    <w:rsid w:val="00D565B1"/>
    <w:rsid w:val="00D56C3B"/>
    <w:rsid w:val="00D56D9E"/>
    <w:rsid w:val="00D57585"/>
    <w:rsid w:val="00D57813"/>
    <w:rsid w:val="00D57D2A"/>
    <w:rsid w:val="00D61387"/>
    <w:rsid w:val="00D61ADA"/>
    <w:rsid w:val="00D621D7"/>
    <w:rsid w:val="00D6223A"/>
    <w:rsid w:val="00D6282D"/>
    <w:rsid w:val="00D629C4"/>
    <w:rsid w:val="00D62B14"/>
    <w:rsid w:val="00D62B61"/>
    <w:rsid w:val="00D62BFD"/>
    <w:rsid w:val="00D62F6C"/>
    <w:rsid w:val="00D63000"/>
    <w:rsid w:val="00D6335B"/>
    <w:rsid w:val="00D633F7"/>
    <w:rsid w:val="00D63AF8"/>
    <w:rsid w:val="00D63B0F"/>
    <w:rsid w:val="00D63F1E"/>
    <w:rsid w:val="00D64666"/>
    <w:rsid w:val="00D64D8F"/>
    <w:rsid w:val="00D66A7A"/>
    <w:rsid w:val="00D66D88"/>
    <w:rsid w:val="00D66F70"/>
    <w:rsid w:val="00D67121"/>
    <w:rsid w:val="00D67481"/>
    <w:rsid w:val="00D6751D"/>
    <w:rsid w:val="00D67F6D"/>
    <w:rsid w:val="00D702CB"/>
    <w:rsid w:val="00D708C7"/>
    <w:rsid w:val="00D70B11"/>
    <w:rsid w:val="00D710B6"/>
    <w:rsid w:val="00D71554"/>
    <w:rsid w:val="00D71E73"/>
    <w:rsid w:val="00D72065"/>
    <w:rsid w:val="00D7246B"/>
    <w:rsid w:val="00D726FC"/>
    <w:rsid w:val="00D72925"/>
    <w:rsid w:val="00D72D57"/>
    <w:rsid w:val="00D72DC9"/>
    <w:rsid w:val="00D72E64"/>
    <w:rsid w:val="00D72F27"/>
    <w:rsid w:val="00D73175"/>
    <w:rsid w:val="00D732C1"/>
    <w:rsid w:val="00D7333B"/>
    <w:rsid w:val="00D7355D"/>
    <w:rsid w:val="00D73669"/>
    <w:rsid w:val="00D73732"/>
    <w:rsid w:val="00D73BA0"/>
    <w:rsid w:val="00D73C25"/>
    <w:rsid w:val="00D73F9D"/>
    <w:rsid w:val="00D745E5"/>
    <w:rsid w:val="00D74764"/>
    <w:rsid w:val="00D750E0"/>
    <w:rsid w:val="00D751E3"/>
    <w:rsid w:val="00D754AA"/>
    <w:rsid w:val="00D7573E"/>
    <w:rsid w:val="00D75850"/>
    <w:rsid w:val="00D75944"/>
    <w:rsid w:val="00D75950"/>
    <w:rsid w:val="00D75A15"/>
    <w:rsid w:val="00D76045"/>
    <w:rsid w:val="00D761AD"/>
    <w:rsid w:val="00D76670"/>
    <w:rsid w:val="00D766FA"/>
    <w:rsid w:val="00D76F6D"/>
    <w:rsid w:val="00D803CA"/>
    <w:rsid w:val="00D805CF"/>
    <w:rsid w:val="00D80BB7"/>
    <w:rsid w:val="00D80E1C"/>
    <w:rsid w:val="00D81165"/>
    <w:rsid w:val="00D81339"/>
    <w:rsid w:val="00D814E7"/>
    <w:rsid w:val="00D81B6F"/>
    <w:rsid w:val="00D8227D"/>
    <w:rsid w:val="00D825E9"/>
    <w:rsid w:val="00D826BE"/>
    <w:rsid w:val="00D82B30"/>
    <w:rsid w:val="00D82BAA"/>
    <w:rsid w:val="00D82BD6"/>
    <w:rsid w:val="00D83316"/>
    <w:rsid w:val="00D8347E"/>
    <w:rsid w:val="00D83486"/>
    <w:rsid w:val="00D83EC1"/>
    <w:rsid w:val="00D843F9"/>
    <w:rsid w:val="00D84450"/>
    <w:rsid w:val="00D844B1"/>
    <w:rsid w:val="00D844B9"/>
    <w:rsid w:val="00D85151"/>
    <w:rsid w:val="00D858FC"/>
    <w:rsid w:val="00D859AF"/>
    <w:rsid w:val="00D85EF7"/>
    <w:rsid w:val="00D861EB"/>
    <w:rsid w:val="00D86DD5"/>
    <w:rsid w:val="00D8798F"/>
    <w:rsid w:val="00D87B09"/>
    <w:rsid w:val="00D87BC3"/>
    <w:rsid w:val="00D87EA0"/>
    <w:rsid w:val="00D87F60"/>
    <w:rsid w:val="00D90251"/>
    <w:rsid w:val="00D90D51"/>
    <w:rsid w:val="00D917AD"/>
    <w:rsid w:val="00D92014"/>
    <w:rsid w:val="00D92BA1"/>
    <w:rsid w:val="00D930BC"/>
    <w:rsid w:val="00D930C0"/>
    <w:rsid w:val="00D93667"/>
    <w:rsid w:val="00D9396D"/>
    <w:rsid w:val="00D93B0C"/>
    <w:rsid w:val="00D94254"/>
    <w:rsid w:val="00D945E3"/>
    <w:rsid w:val="00D94ADB"/>
    <w:rsid w:val="00D94BB5"/>
    <w:rsid w:val="00D94DB5"/>
    <w:rsid w:val="00D94F43"/>
    <w:rsid w:val="00D950F8"/>
    <w:rsid w:val="00D957EE"/>
    <w:rsid w:val="00D95A9B"/>
    <w:rsid w:val="00D96071"/>
    <w:rsid w:val="00D96A69"/>
    <w:rsid w:val="00D970E5"/>
    <w:rsid w:val="00D97CC3"/>
    <w:rsid w:val="00DA01B7"/>
    <w:rsid w:val="00DA0792"/>
    <w:rsid w:val="00DA08E0"/>
    <w:rsid w:val="00DA0B51"/>
    <w:rsid w:val="00DA0EBE"/>
    <w:rsid w:val="00DA104D"/>
    <w:rsid w:val="00DA1404"/>
    <w:rsid w:val="00DA1CC2"/>
    <w:rsid w:val="00DA1EEB"/>
    <w:rsid w:val="00DA21FD"/>
    <w:rsid w:val="00DA29A1"/>
    <w:rsid w:val="00DA3688"/>
    <w:rsid w:val="00DA3CAA"/>
    <w:rsid w:val="00DA3D8F"/>
    <w:rsid w:val="00DA4140"/>
    <w:rsid w:val="00DA4BA9"/>
    <w:rsid w:val="00DA55A3"/>
    <w:rsid w:val="00DA5761"/>
    <w:rsid w:val="00DA5ACE"/>
    <w:rsid w:val="00DA5EE1"/>
    <w:rsid w:val="00DA61CD"/>
    <w:rsid w:val="00DA694E"/>
    <w:rsid w:val="00DA6AAE"/>
    <w:rsid w:val="00DA6C00"/>
    <w:rsid w:val="00DA6D54"/>
    <w:rsid w:val="00DA6F86"/>
    <w:rsid w:val="00DA7ADD"/>
    <w:rsid w:val="00DA7AF3"/>
    <w:rsid w:val="00DA7C29"/>
    <w:rsid w:val="00DB080F"/>
    <w:rsid w:val="00DB08C0"/>
    <w:rsid w:val="00DB090B"/>
    <w:rsid w:val="00DB0A67"/>
    <w:rsid w:val="00DB0FE3"/>
    <w:rsid w:val="00DB1226"/>
    <w:rsid w:val="00DB132C"/>
    <w:rsid w:val="00DB13DF"/>
    <w:rsid w:val="00DB1720"/>
    <w:rsid w:val="00DB1772"/>
    <w:rsid w:val="00DB1B52"/>
    <w:rsid w:val="00DB1CB7"/>
    <w:rsid w:val="00DB1E84"/>
    <w:rsid w:val="00DB2139"/>
    <w:rsid w:val="00DB27EA"/>
    <w:rsid w:val="00DB28C1"/>
    <w:rsid w:val="00DB2DD0"/>
    <w:rsid w:val="00DB2DFC"/>
    <w:rsid w:val="00DB31B8"/>
    <w:rsid w:val="00DB3268"/>
    <w:rsid w:val="00DB34CD"/>
    <w:rsid w:val="00DB350A"/>
    <w:rsid w:val="00DB3EBD"/>
    <w:rsid w:val="00DB463F"/>
    <w:rsid w:val="00DB4B20"/>
    <w:rsid w:val="00DB4B71"/>
    <w:rsid w:val="00DB51B8"/>
    <w:rsid w:val="00DB51C4"/>
    <w:rsid w:val="00DB56E9"/>
    <w:rsid w:val="00DB5A44"/>
    <w:rsid w:val="00DB6514"/>
    <w:rsid w:val="00DB65BB"/>
    <w:rsid w:val="00DB6D06"/>
    <w:rsid w:val="00DB6EBC"/>
    <w:rsid w:val="00DB74BA"/>
    <w:rsid w:val="00DB7525"/>
    <w:rsid w:val="00DB76CA"/>
    <w:rsid w:val="00DB7925"/>
    <w:rsid w:val="00DB7DFD"/>
    <w:rsid w:val="00DC0771"/>
    <w:rsid w:val="00DC091A"/>
    <w:rsid w:val="00DC0A32"/>
    <w:rsid w:val="00DC0A91"/>
    <w:rsid w:val="00DC0B8C"/>
    <w:rsid w:val="00DC0BBC"/>
    <w:rsid w:val="00DC0C58"/>
    <w:rsid w:val="00DC0CFE"/>
    <w:rsid w:val="00DC1373"/>
    <w:rsid w:val="00DC16D3"/>
    <w:rsid w:val="00DC18A5"/>
    <w:rsid w:val="00DC1902"/>
    <w:rsid w:val="00DC1B36"/>
    <w:rsid w:val="00DC2594"/>
    <w:rsid w:val="00DC2935"/>
    <w:rsid w:val="00DC29E8"/>
    <w:rsid w:val="00DC2CD6"/>
    <w:rsid w:val="00DC306F"/>
    <w:rsid w:val="00DC3162"/>
    <w:rsid w:val="00DC3215"/>
    <w:rsid w:val="00DC32B9"/>
    <w:rsid w:val="00DC3993"/>
    <w:rsid w:val="00DC39EA"/>
    <w:rsid w:val="00DC3AD9"/>
    <w:rsid w:val="00DC3DF1"/>
    <w:rsid w:val="00DC3E3C"/>
    <w:rsid w:val="00DC3F21"/>
    <w:rsid w:val="00DC43BE"/>
    <w:rsid w:val="00DC46D5"/>
    <w:rsid w:val="00DC48E9"/>
    <w:rsid w:val="00DC4C32"/>
    <w:rsid w:val="00DC52DD"/>
    <w:rsid w:val="00DC685C"/>
    <w:rsid w:val="00DC6E5A"/>
    <w:rsid w:val="00DC6F87"/>
    <w:rsid w:val="00DC7507"/>
    <w:rsid w:val="00DC771C"/>
    <w:rsid w:val="00DC7A3B"/>
    <w:rsid w:val="00DC7B9C"/>
    <w:rsid w:val="00DC7EAB"/>
    <w:rsid w:val="00DD0175"/>
    <w:rsid w:val="00DD0391"/>
    <w:rsid w:val="00DD046B"/>
    <w:rsid w:val="00DD06A3"/>
    <w:rsid w:val="00DD0866"/>
    <w:rsid w:val="00DD118D"/>
    <w:rsid w:val="00DD11BF"/>
    <w:rsid w:val="00DD12A9"/>
    <w:rsid w:val="00DD1445"/>
    <w:rsid w:val="00DD14C3"/>
    <w:rsid w:val="00DD1B71"/>
    <w:rsid w:val="00DD1E5F"/>
    <w:rsid w:val="00DD2192"/>
    <w:rsid w:val="00DD2A54"/>
    <w:rsid w:val="00DD2C90"/>
    <w:rsid w:val="00DD2CE8"/>
    <w:rsid w:val="00DD2DB3"/>
    <w:rsid w:val="00DD4599"/>
    <w:rsid w:val="00DD46A2"/>
    <w:rsid w:val="00DD4899"/>
    <w:rsid w:val="00DD48FA"/>
    <w:rsid w:val="00DD5109"/>
    <w:rsid w:val="00DD558E"/>
    <w:rsid w:val="00DD55AC"/>
    <w:rsid w:val="00DD5699"/>
    <w:rsid w:val="00DD5EA5"/>
    <w:rsid w:val="00DD5ED4"/>
    <w:rsid w:val="00DD6196"/>
    <w:rsid w:val="00DD657F"/>
    <w:rsid w:val="00DD681D"/>
    <w:rsid w:val="00DD69E0"/>
    <w:rsid w:val="00DD6BFE"/>
    <w:rsid w:val="00DD7552"/>
    <w:rsid w:val="00DD7620"/>
    <w:rsid w:val="00DD7CD3"/>
    <w:rsid w:val="00DE05A7"/>
    <w:rsid w:val="00DE061A"/>
    <w:rsid w:val="00DE096E"/>
    <w:rsid w:val="00DE09D4"/>
    <w:rsid w:val="00DE0B7D"/>
    <w:rsid w:val="00DE1087"/>
    <w:rsid w:val="00DE1716"/>
    <w:rsid w:val="00DE296A"/>
    <w:rsid w:val="00DE2D5E"/>
    <w:rsid w:val="00DE2D91"/>
    <w:rsid w:val="00DE31CC"/>
    <w:rsid w:val="00DE3277"/>
    <w:rsid w:val="00DE352B"/>
    <w:rsid w:val="00DE449C"/>
    <w:rsid w:val="00DE4593"/>
    <w:rsid w:val="00DE4FDE"/>
    <w:rsid w:val="00DE53EA"/>
    <w:rsid w:val="00DE62D8"/>
    <w:rsid w:val="00DE70F4"/>
    <w:rsid w:val="00DE73B0"/>
    <w:rsid w:val="00DE7583"/>
    <w:rsid w:val="00DE7775"/>
    <w:rsid w:val="00DF0107"/>
    <w:rsid w:val="00DF05DD"/>
    <w:rsid w:val="00DF0E1A"/>
    <w:rsid w:val="00DF0F3A"/>
    <w:rsid w:val="00DF0FEA"/>
    <w:rsid w:val="00DF12BC"/>
    <w:rsid w:val="00DF1447"/>
    <w:rsid w:val="00DF1509"/>
    <w:rsid w:val="00DF1547"/>
    <w:rsid w:val="00DF1787"/>
    <w:rsid w:val="00DF1BF8"/>
    <w:rsid w:val="00DF1FF5"/>
    <w:rsid w:val="00DF261B"/>
    <w:rsid w:val="00DF2A29"/>
    <w:rsid w:val="00DF2E3C"/>
    <w:rsid w:val="00DF30C8"/>
    <w:rsid w:val="00DF3310"/>
    <w:rsid w:val="00DF34C1"/>
    <w:rsid w:val="00DF34D8"/>
    <w:rsid w:val="00DF403E"/>
    <w:rsid w:val="00DF4380"/>
    <w:rsid w:val="00DF44A3"/>
    <w:rsid w:val="00DF46F8"/>
    <w:rsid w:val="00DF4766"/>
    <w:rsid w:val="00DF4964"/>
    <w:rsid w:val="00DF4AF7"/>
    <w:rsid w:val="00DF4D64"/>
    <w:rsid w:val="00DF54C1"/>
    <w:rsid w:val="00DF5DCE"/>
    <w:rsid w:val="00DF5DE5"/>
    <w:rsid w:val="00DF5EA5"/>
    <w:rsid w:val="00DF6025"/>
    <w:rsid w:val="00DF64B5"/>
    <w:rsid w:val="00DF688B"/>
    <w:rsid w:val="00DF6B92"/>
    <w:rsid w:val="00DF764A"/>
    <w:rsid w:val="00DF7A4F"/>
    <w:rsid w:val="00DF7D39"/>
    <w:rsid w:val="00DF7DC0"/>
    <w:rsid w:val="00E0041A"/>
    <w:rsid w:val="00E00548"/>
    <w:rsid w:val="00E00596"/>
    <w:rsid w:val="00E0065D"/>
    <w:rsid w:val="00E0080C"/>
    <w:rsid w:val="00E00BAF"/>
    <w:rsid w:val="00E00CFE"/>
    <w:rsid w:val="00E00E4F"/>
    <w:rsid w:val="00E0126D"/>
    <w:rsid w:val="00E01292"/>
    <w:rsid w:val="00E0197C"/>
    <w:rsid w:val="00E023E0"/>
    <w:rsid w:val="00E026E6"/>
    <w:rsid w:val="00E02716"/>
    <w:rsid w:val="00E03841"/>
    <w:rsid w:val="00E03EC0"/>
    <w:rsid w:val="00E0491F"/>
    <w:rsid w:val="00E04A04"/>
    <w:rsid w:val="00E04BDD"/>
    <w:rsid w:val="00E04F9B"/>
    <w:rsid w:val="00E05806"/>
    <w:rsid w:val="00E058B7"/>
    <w:rsid w:val="00E05A83"/>
    <w:rsid w:val="00E05BC4"/>
    <w:rsid w:val="00E0626D"/>
    <w:rsid w:val="00E06B90"/>
    <w:rsid w:val="00E06D62"/>
    <w:rsid w:val="00E07380"/>
    <w:rsid w:val="00E07A71"/>
    <w:rsid w:val="00E07F87"/>
    <w:rsid w:val="00E104FE"/>
    <w:rsid w:val="00E10C8B"/>
    <w:rsid w:val="00E10E72"/>
    <w:rsid w:val="00E11D8E"/>
    <w:rsid w:val="00E124FE"/>
    <w:rsid w:val="00E126A3"/>
    <w:rsid w:val="00E12897"/>
    <w:rsid w:val="00E12A80"/>
    <w:rsid w:val="00E12C73"/>
    <w:rsid w:val="00E13C19"/>
    <w:rsid w:val="00E14680"/>
    <w:rsid w:val="00E1488E"/>
    <w:rsid w:val="00E14C47"/>
    <w:rsid w:val="00E15403"/>
    <w:rsid w:val="00E15632"/>
    <w:rsid w:val="00E15649"/>
    <w:rsid w:val="00E15A3D"/>
    <w:rsid w:val="00E15B35"/>
    <w:rsid w:val="00E15DAE"/>
    <w:rsid w:val="00E15F25"/>
    <w:rsid w:val="00E163B9"/>
    <w:rsid w:val="00E16668"/>
    <w:rsid w:val="00E16C45"/>
    <w:rsid w:val="00E16E78"/>
    <w:rsid w:val="00E16EC5"/>
    <w:rsid w:val="00E17027"/>
    <w:rsid w:val="00E17120"/>
    <w:rsid w:val="00E1721D"/>
    <w:rsid w:val="00E17F2F"/>
    <w:rsid w:val="00E2006D"/>
    <w:rsid w:val="00E204D4"/>
    <w:rsid w:val="00E2054A"/>
    <w:rsid w:val="00E2111A"/>
    <w:rsid w:val="00E217B2"/>
    <w:rsid w:val="00E219EA"/>
    <w:rsid w:val="00E21A14"/>
    <w:rsid w:val="00E21B1A"/>
    <w:rsid w:val="00E21B74"/>
    <w:rsid w:val="00E21E27"/>
    <w:rsid w:val="00E2238D"/>
    <w:rsid w:val="00E225B5"/>
    <w:rsid w:val="00E22773"/>
    <w:rsid w:val="00E227C0"/>
    <w:rsid w:val="00E22C7A"/>
    <w:rsid w:val="00E22E24"/>
    <w:rsid w:val="00E2312D"/>
    <w:rsid w:val="00E2342A"/>
    <w:rsid w:val="00E2359A"/>
    <w:rsid w:val="00E236D5"/>
    <w:rsid w:val="00E236E3"/>
    <w:rsid w:val="00E23820"/>
    <w:rsid w:val="00E238EB"/>
    <w:rsid w:val="00E23AAF"/>
    <w:rsid w:val="00E23B49"/>
    <w:rsid w:val="00E23DC8"/>
    <w:rsid w:val="00E240DF"/>
    <w:rsid w:val="00E245FE"/>
    <w:rsid w:val="00E24D1B"/>
    <w:rsid w:val="00E2500B"/>
    <w:rsid w:val="00E252FD"/>
    <w:rsid w:val="00E2567C"/>
    <w:rsid w:val="00E256C1"/>
    <w:rsid w:val="00E2579C"/>
    <w:rsid w:val="00E25E18"/>
    <w:rsid w:val="00E26445"/>
    <w:rsid w:val="00E2663B"/>
    <w:rsid w:val="00E26797"/>
    <w:rsid w:val="00E2747D"/>
    <w:rsid w:val="00E27653"/>
    <w:rsid w:val="00E2766B"/>
    <w:rsid w:val="00E27B35"/>
    <w:rsid w:val="00E304FA"/>
    <w:rsid w:val="00E307D7"/>
    <w:rsid w:val="00E30DAD"/>
    <w:rsid w:val="00E31546"/>
    <w:rsid w:val="00E31D7C"/>
    <w:rsid w:val="00E322F9"/>
    <w:rsid w:val="00E324BA"/>
    <w:rsid w:val="00E32E0D"/>
    <w:rsid w:val="00E33450"/>
    <w:rsid w:val="00E34022"/>
    <w:rsid w:val="00E34992"/>
    <w:rsid w:val="00E34C7B"/>
    <w:rsid w:val="00E34D8F"/>
    <w:rsid w:val="00E34EA7"/>
    <w:rsid w:val="00E3515F"/>
    <w:rsid w:val="00E35E16"/>
    <w:rsid w:val="00E36100"/>
    <w:rsid w:val="00E36E44"/>
    <w:rsid w:val="00E374E5"/>
    <w:rsid w:val="00E37578"/>
    <w:rsid w:val="00E37893"/>
    <w:rsid w:val="00E37D71"/>
    <w:rsid w:val="00E40268"/>
    <w:rsid w:val="00E404E6"/>
    <w:rsid w:val="00E41122"/>
    <w:rsid w:val="00E41832"/>
    <w:rsid w:val="00E418D5"/>
    <w:rsid w:val="00E42165"/>
    <w:rsid w:val="00E42358"/>
    <w:rsid w:val="00E42A2C"/>
    <w:rsid w:val="00E42DE5"/>
    <w:rsid w:val="00E42F72"/>
    <w:rsid w:val="00E433A7"/>
    <w:rsid w:val="00E436F1"/>
    <w:rsid w:val="00E43FB0"/>
    <w:rsid w:val="00E4452F"/>
    <w:rsid w:val="00E44A75"/>
    <w:rsid w:val="00E4528A"/>
    <w:rsid w:val="00E4584C"/>
    <w:rsid w:val="00E45AB3"/>
    <w:rsid w:val="00E46122"/>
    <w:rsid w:val="00E461ED"/>
    <w:rsid w:val="00E4687F"/>
    <w:rsid w:val="00E4697A"/>
    <w:rsid w:val="00E46C35"/>
    <w:rsid w:val="00E46CC9"/>
    <w:rsid w:val="00E470B3"/>
    <w:rsid w:val="00E474EE"/>
    <w:rsid w:val="00E475B9"/>
    <w:rsid w:val="00E47723"/>
    <w:rsid w:val="00E50A56"/>
    <w:rsid w:val="00E50A71"/>
    <w:rsid w:val="00E5137B"/>
    <w:rsid w:val="00E51517"/>
    <w:rsid w:val="00E518FE"/>
    <w:rsid w:val="00E51D0B"/>
    <w:rsid w:val="00E52496"/>
    <w:rsid w:val="00E52E03"/>
    <w:rsid w:val="00E53689"/>
    <w:rsid w:val="00E537C1"/>
    <w:rsid w:val="00E53DB8"/>
    <w:rsid w:val="00E54956"/>
    <w:rsid w:val="00E54986"/>
    <w:rsid w:val="00E54C82"/>
    <w:rsid w:val="00E552C5"/>
    <w:rsid w:val="00E55424"/>
    <w:rsid w:val="00E55C96"/>
    <w:rsid w:val="00E55D40"/>
    <w:rsid w:val="00E55E6E"/>
    <w:rsid w:val="00E55E93"/>
    <w:rsid w:val="00E56702"/>
    <w:rsid w:val="00E567FB"/>
    <w:rsid w:val="00E56A0F"/>
    <w:rsid w:val="00E56D2D"/>
    <w:rsid w:val="00E57901"/>
    <w:rsid w:val="00E57CF5"/>
    <w:rsid w:val="00E6025A"/>
    <w:rsid w:val="00E60695"/>
    <w:rsid w:val="00E60A7E"/>
    <w:rsid w:val="00E60F2F"/>
    <w:rsid w:val="00E60FEE"/>
    <w:rsid w:val="00E61055"/>
    <w:rsid w:val="00E61B3D"/>
    <w:rsid w:val="00E62158"/>
    <w:rsid w:val="00E62166"/>
    <w:rsid w:val="00E621AD"/>
    <w:rsid w:val="00E622B8"/>
    <w:rsid w:val="00E62920"/>
    <w:rsid w:val="00E62A1B"/>
    <w:rsid w:val="00E62B6D"/>
    <w:rsid w:val="00E635DE"/>
    <w:rsid w:val="00E6379F"/>
    <w:rsid w:val="00E6418C"/>
    <w:rsid w:val="00E641CB"/>
    <w:rsid w:val="00E6429D"/>
    <w:rsid w:val="00E64632"/>
    <w:rsid w:val="00E64923"/>
    <w:rsid w:val="00E64B19"/>
    <w:rsid w:val="00E65036"/>
    <w:rsid w:val="00E65383"/>
    <w:rsid w:val="00E6593A"/>
    <w:rsid w:val="00E659A3"/>
    <w:rsid w:val="00E65BB4"/>
    <w:rsid w:val="00E6647B"/>
    <w:rsid w:val="00E66736"/>
    <w:rsid w:val="00E66EDA"/>
    <w:rsid w:val="00E673F0"/>
    <w:rsid w:val="00E67622"/>
    <w:rsid w:val="00E679BF"/>
    <w:rsid w:val="00E67AA8"/>
    <w:rsid w:val="00E67C84"/>
    <w:rsid w:val="00E67DA9"/>
    <w:rsid w:val="00E7006F"/>
    <w:rsid w:val="00E703A6"/>
    <w:rsid w:val="00E7061F"/>
    <w:rsid w:val="00E7077A"/>
    <w:rsid w:val="00E71124"/>
    <w:rsid w:val="00E723DD"/>
    <w:rsid w:val="00E727B5"/>
    <w:rsid w:val="00E73019"/>
    <w:rsid w:val="00E73156"/>
    <w:rsid w:val="00E738E6"/>
    <w:rsid w:val="00E73BAE"/>
    <w:rsid w:val="00E741F1"/>
    <w:rsid w:val="00E74881"/>
    <w:rsid w:val="00E7488B"/>
    <w:rsid w:val="00E74A93"/>
    <w:rsid w:val="00E75031"/>
    <w:rsid w:val="00E750D4"/>
    <w:rsid w:val="00E7512C"/>
    <w:rsid w:val="00E76166"/>
    <w:rsid w:val="00E76405"/>
    <w:rsid w:val="00E76AC9"/>
    <w:rsid w:val="00E76DE6"/>
    <w:rsid w:val="00E770F4"/>
    <w:rsid w:val="00E773D5"/>
    <w:rsid w:val="00E8130B"/>
    <w:rsid w:val="00E82198"/>
    <w:rsid w:val="00E82248"/>
    <w:rsid w:val="00E8233E"/>
    <w:rsid w:val="00E82561"/>
    <w:rsid w:val="00E825A2"/>
    <w:rsid w:val="00E82A5F"/>
    <w:rsid w:val="00E82AAF"/>
    <w:rsid w:val="00E836D1"/>
    <w:rsid w:val="00E83953"/>
    <w:rsid w:val="00E841D4"/>
    <w:rsid w:val="00E8471A"/>
    <w:rsid w:val="00E8493D"/>
    <w:rsid w:val="00E851B4"/>
    <w:rsid w:val="00E85230"/>
    <w:rsid w:val="00E85270"/>
    <w:rsid w:val="00E853E2"/>
    <w:rsid w:val="00E855EE"/>
    <w:rsid w:val="00E85769"/>
    <w:rsid w:val="00E8626A"/>
    <w:rsid w:val="00E86273"/>
    <w:rsid w:val="00E86547"/>
    <w:rsid w:val="00E86C6D"/>
    <w:rsid w:val="00E87527"/>
    <w:rsid w:val="00E8755B"/>
    <w:rsid w:val="00E87BEA"/>
    <w:rsid w:val="00E87D5E"/>
    <w:rsid w:val="00E9037E"/>
    <w:rsid w:val="00E906A3"/>
    <w:rsid w:val="00E91631"/>
    <w:rsid w:val="00E91DE1"/>
    <w:rsid w:val="00E91EA9"/>
    <w:rsid w:val="00E92048"/>
    <w:rsid w:val="00E9213D"/>
    <w:rsid w:val="00E92AFB"/>
    <w:rsid w:val="00E92BF2"/>
    <w:rsid w:val="00E92C01"/>
    <w:rsid w:val="00E92C6E"/>
    <w:rsid w:val="00E92D08"/>
    <w:rsid w:val="00E92EAE"/>
    <w:rsid w:val="00E93047"/>
    <w:rsid w:val="00E932E3"/>
    <w:rsid w:val="00E936F3"/>
    <w:rsid w:val="00E937CE"/>
    <w:rsid w:val="00E9398A"/>
    <w:rsid w:val="00E93A33"/>
    <w:rsid w:val="00E9448A"/>
    <w:rsid w:val="00E94666"/>
    <w:rsid w:val="00E94B54"/>
    <w:rsid w:val="00E94C6A"/>
    <w:rsid w:val="00E94FE7"/>
    <w:rsid w:val="00E95357"/>
    <w:rsid w:val="00E95389"/>
    <w:rsid w:val="00E95456"/>
    <w:rsid w:val="00E9573F"/>
    <w:rsid w:val="00E95A34"/>
    <w:rsid w:val="00E95AEC"/>
    <w:rsid w:val="00E9666C"/>
    <w:rsid w:val="00E96706"/>
    <w:rsid w:val="00E96717"/>
    <w:rsid w:val="00E97024"/>
    <w:rsid w:val="00E970D8"/>
    <w:rsid w:val="00E97286"/>
    <w:rsid w:val="00E9752C"/>
    <w:rsid w:val="00E97C0F"/>
    <w:rsid w:val="00EA03F8"/>
    <w:rsid w:val="00EA04A7"/>
    <w:rsid w:val="00EA05B6"/>
    <w:rsid w:val="00EA1824"/>
    <w:rsid w:val="00EA1A72"/>
    <w:rsid w:val="00EA1DB1"/>
    <w:rsid w:val="00EA2316"/>
    <w:rsid w:val="00EA27E9"/>
    <w:rsid w:val="00EA283B"/>
    <w:rsid w:val="00EA2DF9"/>
    <w:rsid w:val="00EA2FE5"/>
    <w:rsid w:val="00EA304D"/>
    <w:rsid w:val="00EA3B21"/>
    <w:rsid w:val="00EA3C41"/>
    <w:rsid w:val="00EA43F3"/>
    <w:rsid w:val="00EA4614"/>
    <w:rsid w:val="00EA48FA"/>
    <w:rsid w:val="00EA4D0A"/>
    <w:rsid w:val="00EA4E62"/>
    <w:rsid w:val="00EA5312"/>
    <w:rsid w:val="00EA5A1C"/>
    <w:rsid w:val="00EA5AE9"/>
    <w:rsid w:val="00EA5BE0"/>
    <w:rsid w:val="00EA6213"/>
    <w:rsid w:val="00EA62DE"/>
    <w:rsid w:val="00EA663F"/>
    <w:rsid w:val="00EA6B48"/>
    <w:rsid w:val="00EA6FD8"/>
    <w:rsid w:val="00EA7205"/>
    <w:rsid w:val="00EA727D"/>
    <w:rsid w:val="00EA7483"/>
    <w:rsid w:val="00EA7589"/>
    <w:rsid w:val="00EA75B0"/>
    <w:rsid w:val="00EA7BE8"/>
    <w:rsid w:val="00EB06A8"/>
    <w:rsid w:val="00EB0A40"/>
    <w:rsid w:val="00EB0B28"/>
    <w:rsid w:val="00EB12F6"/>
    <w:rsid w:val="00EB153C"/>
    <w:rsid w:val="00EB161B"/>
    <w:rsid w:val="00EB196E"/>
    <w:rsid w:val="00EB1B26"/>
    <w:rsid w:val="00EB2101"/>
    <w:rsid w:val="00EB26A7"/>
    <w:rsid w:val="00EB26DA"/>
    <w:rsid w:val="00EB27CA"/>
    <w:rsid w:val="00EB27DA"/>
    <w:rsid w:val="00EB2F33"/>
    <w:rsid w:val="00EB31D8"/>
    <w:rsid w:val="00EB3422"/>
    <w:rsid w:val="00EB3C7F"/>
    <w:rsid w:val="00EB3C97"/>
    <w:rsid w:val="00EB40AE"/>
    <w:rsid w:val="00EB42EA"/>
    <w:rsid w:val="00EB48F0"/>
    <w:rsid w:val="00EB4EF0"/>
    <w:rsid w:val="00EB5424"/>
    <w:rsid w:val="00EB5472"/>
    <w:rsid w:val="00EB5486"/>
    <w:rsid w:val="00EB54C1"/>
    <w:rsid w:val="00EB5844"/>
    <w:rsid w:val="00EB5852"/>
    <w:rsid w:val="00EB5881"/>
    <w:rsid w:val="00EB5905"/>
    <w:rsid w:val="00EB5DB8"/>
    <w:rsid w:val="00EB5FBB"/>
    <w:rsid w:val="00EB6016"/>
    <w:rsid w:val="00EB62C8"/>
    <w:rsid w:val="00EB657D"/>
    <w:rsid w:val="00EB6D94"/>
    <w:rsid w:val="00EB7460"/>
    <w:rsid w:val="00EB7754"/>
    <w:rsid w:val="00EB77D2"/>
    <w:rsid w:val="00EB7C64"/>
    <w:rsid w:val="00EC078C"/>
    <w:rsid w:val="00EC1D8B"/>
    <w:rsid w:val="00EC222B"/>
    <w:rsid w:val="00EC24BD"/>
    <w:rsid w:val="00EC25DA"/>
    <w:rsid w:val="00EC260B"/>
    <w:rsid w:val="00EC27D5"/>
    <w:rsid w:val="00EC282A"/>
    <w:rsid w:val="00EC28EC"/>
    <w:rsid w:val="00EC298F"/>
    <w:rsid w:val="00EC34A4"/>
    <w:rsid w:val="00EC353F"/>
    <w:rsid w:val="00EC3720"/>
    <w:rsid w:val="00EC3746"/>
    <w:rsid w:val="00EC379E"/>
    <w:rsid w:val="00EC430D"/>
    <w:rsid w:val="00EC43AB"/>
    <w:rsid w:val="00EC4F41"/>
    <w:rsid w:val="00EC55D2"/>
    <w:rsid w:val="00EC607A"/>
    <w:rsid w:val="00EC61BB"/>
    <w:rsid w:val="00EC6387"/>
    <w:rsid w:val="00EC68AF"/>
    <w:rsid w:val="00EC6C11"/>
    <w:rsid w:val="00EC6FF0"/>
    <w:rsid w:val="00EC70E6"/>
    <w:rsid w:val="00EC78DD"/>
    <w:rsid w:val="00EC7A42"/>
    <w:rsid w:val="00ED0276"/>
    <w:rsid w:val="00ED0D53"/>
    <w:rsid w:val="00ED17B3"/>
    <w:rsid w:val="00ED203B"/>
    <w:rsid w:val="00ED3134"/>
    <w:rsid w:val="00ED34B0"/>
    <w:rsid w:val="00ED3890"/>
    <w:rsid w:val="00ED39EB"/>
    <w:rsid w:val="00ED3C0B"/>
    <w:rsid w:val="00ED3EBA"/>
    <w:rsid w:val="00ED3F5D"/>
    <w:rsid w:val="00ED4032"/>
    <w:rsid w:val="00ED4A3B"/>
    <w:rsid w:val="00ED5920"/>
    <w:rsid w:val="00ED5CAB"/>
    <w:rsid w:val="00ED634B"/>
    <w:rsid w:val="00ED658E"/>
    <w:rsid w:val="00ED6DA6"/>
    <w:rsid w:val="00ED7592"/>
    <w:rsid w:val="00ED7E85"/>
    <w:rsid w:val="00EE08B0"/>
    <w:rsid w:val="00EE09A7"/>
    <w:rsid w:val="00EE1120"/>
    <w:rsid w:val="00EE1439"/>
    <w:rsid w:val="00EE1758"/>
    <w:rsid w:val="00EE21D6"/>
    <w:rsid w:val="00EE2640"/>
    <w:rsid w:val="00EE3249"/>
    <w:rsid w:val="00EE33C5"/>
    <w:rsid w:val="00EE3678"/>
    <w:rsid w:val="00EE3DD6"/>
    <w:rsid w:val="00EE44B5"/>
    <w:rsid w:val="00EE44CF"/>
    <w:rsid w:val="00EE46D2"/>
    <w:rsid w:val="00EE4C7A"/>
    <w:rsid w:val="00EE4D75"/>
    <w:rsid w:val="00EE50D5"/>
    <w:rsid w:val="00EE51D2"/>
    <w:rsid w:val="00EE54EF"/>
    <w:rsid w:val="00EE5617"/>
    <w:rsid w:val="00EE5C23"/>
    <w:rsid w:val="00EE5FC4"/>
    <w:rsid w:val="00EE6A6A"/>
    <w:rsid w:val="00EE6DC4"/>
    <w:rsid w:val="00EE6FDB"/>
    <w:rsid w:val="00EE7FD4"/>
    <w:rsid w:val="00EF0137"/>
    <w:rsid w:val="00EF0774"/>
    <w:rsid w:val="00EF077D"/>
    <w:rsid w:val="00EF0959"/>
    <w:rsid w:val="00EF17F1"/>
    <w:rsid w:val="00EF18F6"/>
    <w:rsid w:val="00EF2043"/>
    <w:rsid w:val="00EF2FE2"/>
    <w:rsid w:val="00EF3262"/>
    <w:rsid w:val="00EF3547"/>
    <w:rsid w:val="00EF36B7"/>
    <w:rsid w:val="00EF378F"/>
    <w:rsid w:val="00EF3991"/>
    <w:rsid w:val="00EF3CC5"/>
    <w:rsid w:val="00EF4686"/>
    <w:rsid w:val="00EF483D"/>
    <w:rsid w:val="00EF4F7F"/>
    <w:rsid w:val="00EF5D7E"/>
    <w:rsid w:val="00EF5F1C"/>
    <w:rsid w:val="00EF5F8E"/>
    <w:rsid w:val="00EF652C"/>
    <w:rsid w:val="00EF695F"/>
    <w:rsid w:val="00EF6DD9"/>
    <w:rsid w:val="00EF7200"/>
    <w:rsid w:val="00EF7B60"/>
    <w:rsid w:val="00EF7C21"/>
    <w:rsid w:val="00EF7D1E"/>
    <w:rsid w:val="00EF7E2C"/>
    <w:rsid w:val="00EF7EA5"/>
    <w:rsid w:val="00F003DF"/>
    <w:rsid w:val="00F0097E"/>
    <w:rsid w:val="00F00CFF"/>
    <w:rsid w:val="00F01258"/>
    <w:rsid w:val="00F019C5"/>
    <w:rsid w:val="00F01B4E"/>
    <w:rsid w:val="00F02235"/>
    <w:rsid w:val="00F032DA"/>
    <w:rsid w:val="00F0342F"/>
    <w:rsid w:val="00F03690"/>
    <w:rsid w:val="00F03A94"/>
    <w:rsid w:val="00F0428C"/>
    <w:rsid w:val="00F0539F"/>
    <w:rsid w:val="00F053E6"/>
    <w:rsid w:val="00F05448"/>
    <w:rsid w:val="00F05510"/>
    <w:rsid w:val="00F059AB"/>
    <w:rsid w:val="00F05A23"/>
    <w:rsid w:val="00F05BB4"/>
    <w:rsid w:val="00F05EF4"/>
    <w:rsid w:val="00F0669E"/>
    <w:rsid w:val="00F066D2"/>
    <w:rsid w:val="00F06B08"/>
    <w:rsid w:val="00F06C27"/>
    <w:rsid w:val="00F06CA0"/>
    <w:rsid w:val="00F07471"/>
    <w:rsid w:val="00F079B2"/>
    <w:rsid w:val="00F10A1E"/>
    <w:rsid w:val="00F10B35"/>
    <w:rsid w:val="00F10B77"/>
    <w:rsid w:val="00F11634"/>
    <w:rsid w:val="00F11675"/>
    <w:rsid w:val="00F11742"/>
    <w:rsid w:val="00F11812"/>
    <w:rsid w:val="00F11D08"/>
    <w:rsid w:val="00F11DD5"/>
    <w:rsid w:val="00F11E1A"/>
    <w:rsid w:val="00F121BD"/>
    <w:rsid w:val="00F123F1"/>
    <w:rsid w:val="00F12428"/>
    <w:rsid w:val="00F1270A"/>
    <w:rsid w:val="00F128C3"/>
    <w:rsid w:val="00F129C0"/>
    <w:rsid w:val="00F1300D"/>
    <w:rsid w:val="00F1321F"/>
    <w:rsid w:val="00F1369D"/>
    <w:rsid w:val="00F13CC9"/>
    <w:rsid w:val="00F13E10"/>
    <w:rsid w:val="00F14F3B"/>
    <w:rsid w:val="00F14FEC"/>
    <w:rsid w:val="00F15187"/>
    <w:rsid w:val="00F15C08"/>
    <w:rsid w:val="00F16009"/>
    <w:rsid w:val="00F170D2"/>
    <w:rsid w:val="00F171C3"/>
    <w:rsid w:val="00F17239"/>
    <w:rsid w:val="00F17F70"/>
    <w:rsid w:val="00F20048"/>
    <w:rsid w:val="00F201D7"/>
    <w:rsid w:val="00F20340"/>
    <w:rsid w:val="00F20731"/>
    <w:rsid w:val="00F209C5"/>
    <w:rsid w:val="00F21035"/>
    <w:rsid w:val="00F210AD"/>
    <w:rsid w:val="00F21431"/>
    <w:rsid w:val="00F218C0"/>
    <w:rsid w:val="00F21BEA"/>
    <w:rsid w:val="00F21BF2"/>
    <w:rsid w:val="00F21D35"/>
    <w:rsid w:val="00F2221A"/>
    <w:rsid w:val="00F22254"/>
    <w:rsid w:val="00F22406"/>
    <w:rsid w:val="00F22579"/>
    <w:rsid w:val="00F22636"/>
    <w:rsid w:val="00F2297C"/>
    <w:rsid w:val="00F22A1A"/>
    <w:rsid w:val="00F22AA1"/>
    <w:rsid w:val="00F22B3A"/>
    <w:rsid w:val="00F22C56"/>
    <w:rsid w:val="00F233F0"/>
    <w:rsid w:val="00F239C5"/>
    <w:rsid w:val="00F24097"/>
    <w:rsid w:val="00F24546"/>
    <w:rsid w:val="00F24DDA"/>
    <w:rsid w:val="00F24EA2"/>
    <w:rsid w:val="00F2529B"/>
    <w:rsid w:val="00F2556F"/>
    <w:rsid w:val="00F25845"/>
    <w:rsid w:val="00F2607D"/>
    <w:rsid w:val="00F261C3"/>
    <w:rsid w:val="00F268C5"/>
    <w:rsid w:val="00F26B65"/>
    <w:rsid w:val="00F273C1"/>
    <w:rsid w:val="00F2746D"/>
    <w:rsid w:val="00F2780F"/>
    <w:rsid w:val="00F27D61"/>
    <w:rsid w:val="00F27D8A"/>
    <w:rsid w:val="00F300C5"/>
    <w:rsid w:val="00F30602"/>
    <w:rsid w:val="00F306BB"/>
    <w:rsid w:val="00F30913"/>
    <w:rsid w:val="00F313FF"/>
    <w:rsid w:val="00F316A7"/>
    <w:rsid w:val="00F316D5"/>
    <w:rsid w:val="00F31D66"/>
    <w:rsid w:val="00F31F29"/>
    <w:rsid w:val="00F3203D"/>
    <w:rsid w:val="00F3246F"/>
    <w:rsid w:val="00F32543"/>
    <w:rsid w:val="00F329BC"/>
    <w:rsid w:val="00F32A25"/>
    <w:rsid w:val="00F32E9A"/>
    <w:rsid w:val="00F331E6"/>
    <w:rsid w:val="00F336C3"/>
    <w:rsid w:val="00F336F7"/>
    <w:rsid w:val="00F341C6"/>
    <w:rsid w:val="00F342E2"/>
    <w:rsid w:val="00F34771"/>
    <w:rsid w:val="00F34BA8"/>
    <w:rsid w:val="00F34C12"/>
    <w:rsid w:val="00F34FDA"/>
    <w:rsid w:val="00F351DF"/>
    <w:rsid w:val="00F3537F"/>
    <w:rsid w:val="00F35878"/>
    <w:rsid w:val="00F363D8"/>
    <w:rsid w:val="00F3650E"/>
    <w:rsid w:val="00F367EA"/>
    <w:rsid w:val="00F36F11"/>
    <w:rsid w:val="00F377B0"/>
    <w:rsid w:val="00F37A06"/>
    <w:rsid w:val="00F404A6"/>
    <w:rsid w:val="00F4053E"/>
    <w:rsid w:val="00F406B0"/>
    <w:rsid w:val="00F407A3"/>
    <w:rsid w:val="00F40CE0"/>
    <w:rsid w:val="00F40E49"/>
    <w:rsid w:val="00F41421"/>
    <w:rsid w:val="00F41453"/>
    <w:rsid w:val="00F41673"/>
    <w:rsid w:val="00F41DD3"/>
    <w:rsid w:val="00F41DF7"/>
    <w:rsid w:val="00F421A1"/>
    <w:rsid w:val="00F4223E"/>
    <w:rsid w:val="00F424FF"/>
    <w:rsid w:val="00F42EC5"/>
    <w:rsid w:val="00F430C7"/>
    <w:rsid w:val="00F4321F"/>
    <w:rsid w:val="00F433CA"/>
    <w:rsid w:val="00F436F0"/>
    <w:rsid w:val="00F43966"/>
    <w:rsid w:val="00F43A8E"/>
    <w:rsid w:val="00F43AF1"/>
    <w:rsid w:val="00F440D9"/>
    <w:rsid w:val="00F440ED"/>
    <w:rsid w:val="00F442A6"/>
    <w:rsid w:val="00F44674"/>
    <w:rsid w:val="00F449BA"/>
    <w:rsid w:val="00F44FC7"/>
    <w:rsid w:val="00F457AF"/>
    <w:rsid w:val="00F457F0"/>
    <w:rsid w:val="00F4593D"/>
    <w:rsid w:val="00F45FE6"/>
    <w:rsid w:val="00F461AA"/>
    <w:rsid w:val="00F462ED"/>
    <w:rsid w:val="00F46CF7"/>
    <w:rsid w:val="00F46DEF"/>
    <w:rsid w:val="00F47249"/>
    <w:rsid w:val="00F4775D"/>
    <w:rsid w:val="00F47FA8"/>
    <w:rsid w:val="00F5007C"/>
    <w:rsid w:val="00F50190"/>
    <w:rsid w:val="00F50BB8"/>
    <w:rsid w:val="00F50C40"/>
    <w:rsid w:val="00F50CDB"/>
    <w:rsid w:val="00F5138D"/>
    <w:rsid w:val="00F5142C"/>
    <w:rsid w:val="00F515D7"/>
    <w:rsid w:val="00F51B23"/>
    <w:rsid w:val="00F523A5"/>
    <w:rsid w:val="00F531E0"/>
    <w:rsid w:val="00F53295"/>
    <w:rsid w:val="00F532A0"/>
    <w:rsid w:val="00F53863"/>
    <w:rsid w:val="00F541C2"/>
    <w:rsid w:val="00F54298"/>
    <w:rsid w:val="00F542D5"/>
    <w:rsid w:val="00F54DF8"/>
    <w:rsid w:val="00F551F2"/>
    <w:rsid w:val="00F555EB"/>
    <w:rsid w:val="00F558B2"/>
    <w:rsid w:val="00F55D03"/>
    <w:rsid w:val="00F55F42"/>
    <w:rsid w:val="00F560E7"/>
    <w:rsid w:val="00F56275"/>
    <w:rsid w:val="00F56815"/>
    <w:rsid w:val="00F56B87"/>
    <w:rsid w:val="00F5741F"/>
    <w:rsid w:val="00F5744A"/>
    <w:rsid w:val="00F57A87"/>
    <w:rsid w:val="00F57F30"/>
    <w:rsid w:val="00F601AC"/>
    <w:rsid w:val="00F6067E"/>
    <w:rsid w:val="00F606DE"/>
    <w:rsid w:val="00F60D95"/>
    <w:rsid w:val="00F60EA8"/>
    <w:rsid w:val="00F6111E"/>
    <w:rsid w:val="00F61B63"/>
    <w:rsid w:val="00F6206D"/>
    <w:rsid w:val="00F624F8"/>
    <w:rsid w:val="00F62876"/>
    <w:rsid w:val="00F62A1B"/>
    <w:rsid w:val="00F62CC8"/>
    <w:rsid w:val="00F637CC"/>
    <w:rsid w:val="00F63AEC"/>
    <w:rsid w:val="00F63CA3"/>
    <w:rsid w:val="00F641C0"/>
    <w:rsid w:val="00F6426A"/>
    <w:rsid w:val="00F6498D"/>
    <w:rsid w:val="00F656CF"/>
    <w:rsid w:val="00F6585E"/>
    <w:rsid w:val="00F66AE6"/>
    <w:rsid w:val="00F66B8E"/>
    <w:rsid w:val="00F67CFA"/>
    <w:rsid w:val="00F700E3"/>
    <w:rsid w:val="00F70395"/>
    <w:rsid w:val="00F70555"/>
    <w:rsid w:val="00F71018"/>
    <w:rsid w:val="00F712EF"/>
    <w:rsid w:val="00F71359"/>
    <w:rsid w:val="00F71897"/>
    <w:rsid w:val="00F71CB9"/>
    <w:rsid w:val="00F71F5D"/>
    <w:rsid w:val="00F72641"/>
    <w:rsid w:val="00F72649"/>
    <w:rsid w:val="00F72B72"/>
    <w:rsid w:val="00F72DA5"/>
    <w:rsid w:val="00F737DB"/>
    <w:rsid w:val="00F73DDB"/>
    <w:rsid w:val="00F73EB6"/>
    <w:rsid w:val="00F740B9"/>
    <w:rsid w:val="00F74368"/>
    <w:rsid w:val="00F743E6"/>
    <w:rsid w:val="00F746BC"/>
    <w:rsid w:val="00F74AE0"/>
    <w:rsid w:val="00F74F2C"/>
    <w:rsid w:val="00F7529E"/>
    <w:rsid w:val="00F758B0"/>
    <w:rsid w:val="00F75C34"/>
    <w:rsid w:val="00F76193"/>
    <w:rsid w:val="00F7654A"/>
    <w:rsid w:val="00F76D5F"/>
    <w:rsid w:val="00F76EB0"/>
    <w:rsid w:val="00F76F19"/>
    <w:rsid w:val="00F771DC"/>
    <w:rsid w:val="00F779A3"/>
    <w:rsid w:val="00F77ABD"/>
    <w:rsid w:val="00F77C00"/>
    <w:rsid w:val="00F80C38"/>
    <w:rsid w:val="00F81529"/>
    <w:rsid w:val="00F81D4E"/>
    <w:rsid w:val="00F81E3B"/>
    <w:rsid w:val="00F81E90"/>
    <w:rsid w:val="00F81F9D"/>
    <w:rsid w:val="00F8248D"/>
    <w:rsid w:val="00F8273E"/>
    <w:rsid w:val="00F82960"/>
    <w:rsid w:val="00F82AE6"/>
    <w:rsid w:val="00F82EA6"/>
    <w:rsid w:val="00F82FD7"/>
    <w:rsid w:val="00F832AF"/>
    <w:rsid w:val="00F8352B"/>
    <w:rsid w:val="00F83BF3"/>
    <w:rsid w:val="00F83D9D"/>
    <w:rsid w:val="00F83EF2"/>
    <w:rsid w:val="00F84065"/>
    <w:rsid w:val="00F8445F"/>
    <w:rsid w:val="00F84911"/>
    <w:rsid w:val="00F84B5F"/>
    <w:rsid w:val="00F85435"/>
    <w:rsid w:val="00F85BBB"/>
    <w:rsid w:val="00F85C82"/>
    <w:rsid w:val="00F85E2A"/>
    <w:rsid w:val="00F86AE3"/>
    <w:rsid w:val="00F8748D"/>
    <w:rsid w:val="00F8763C"/>
    <w:rsid w:val="00F87851"/>
    <w:rsid w:val="00F9078C"/>
    <w:rsid w:val="00F91306"/>
    <w:rsid w:val="00F91668"/>
    <w:rsid w:val="00F9176E"/>
    <w:rsid w:val="00F9187A"/>
    <w:rsid w:val="00F919CE"/>
    <w:rsid w:val="00F925C3"/>
    <w:rsid w:val="00F926DB"/>
    <w:rsid w:val="00F92CBD"/>
    <w:rsid w:val="00F93686"/>
    <w:rsid w:val="00F93C54"/>
    <w:rsid w:val="00F93D59"/>
    <w:rsid w:val="00F940EE"/>
    <w:rsid w:val="00F9455A"/>
    <w:rsid w:val="00F94647"/>
    <w:rsid w:val="00F946F0"/>
    <w:rsid w:val="00F9480C"/>
    <w:rsid w:val="00F94D11"/>
    <w:rsid w:val="00F94F2F"/>
    <w:rsid w:val="00F950E5"/>
    <w:rsid w:val="00F95257"/>
    <w:rsid w:val="00F953AD"/>
    <w:rsid w:val="00F95A89"/>
    <w:rsid w:val="00F95A96"/>
    <w:rsid w:val="00F95DB6"/>
    <w:rsid w:val="00F960F0"/>
    <w:rsid w:val="00F965FA"/>
    <w:rsid w:val="00F96A37"/>
    <w:rsid w:val="00F96F3D"/>
    <w:rsid w:val="00F9705D"/>
    <w:rsid w:val="00F971C5"/>
    <w:rsid w:val="00F9744C"/>
    <w:rsid w:val="00F97794"/>
    <w:rsid w:val="00F97991"/>
    <w:rsid w:val="00F97BD0"/>
    <w:rsid w:val="00F97E8F"/>
    <w:rsid w:val="00FA02EC"/>
    <w:rsid w:val="00FA045C"/>
    <w:rsid w:val="00FA0F65"/>
    <w:rsid w:val="00FA0FC3"/>
    <w:rsid w:val="00FA11B8"/>
    <w:rsid w:val="00FA1378"/>
    <w:rsid w:val="00FA16A5"/>
    <w:rsid w:val="00FA1881"/>
    <w:rsid w:val="00FA1B80"/>
    <w:rsid w:val="00FA1D72"/>
    <w:rsid w:val="00FA1F21"/>
    <w:rsid w:val="00FA25A5"/>
    <w:rsid w:val="00FA2A2A"/>
    <w:rsid w:val="00FA2BB3"/>
    <w:rsid w:val="00FA2FD4"/>
    <w:rsid w:val="00FA2FF1"/>
    <w:rsid w:val="00FA2FF5"/>
    <w:rsid w:val="00FA31A1"/>
    <w:rsid w:val="00FA31B9"/>
    <w:rsid w:val="00FA321F"/>
    <w:rsid w:val="00FA3244"/>
    <w:rsid w:val="00FA3531"/>
    <w:rsid w:val="00FA45CD"/>
    <w:rsid w:val="00FA4787"/>
    <w:rsid w:val="00FA4D59"/>
    <w:rsid w:val="00FA58EF"/>
    <w:rsid w:val="00FA5D02"/>
    <w:rsid w:val="00FA61BE"/>
    <w:rsid w:val="00FA647E"/>
    <w:rsid w:val="00FA6918"/>
    <w:rsid w:val="00FA7123"/>
    <w:rsid w:val="00FA7142"/>
    <w:rsid w:val="00FA7350"/>
    <w:rsid w:val="00FA7513"/>
    <w:rsid w:val="00FA77C9"/>
    <w:rsid w:val="00FA798B"/>
    <w:rsid w:val="00FA7A99"/>
    <w:rsid w:val="00FA7CF9"/>
    <w:rsid w:val="00FA7E32"/>
    <w:rsid w:val="00FB0440"/>
    <w:rsid w:val="00FB0756"/>
    <w:rsid w:val="00FB09E5"/>
    <w:rsid w:val="00FB0E24"/>
    <w:rsid w:val="00FB0F21"/>
    <w:rsid w:val="00FB1103"/>
    <w:rsid w:val="00FB1D0C"/>
    <w:rsid w:val="00FB1D0D"/>
    <w:rsid w:val="00FB25F3"/>
    <w:rsid w:val="00FB2EC9"/>
    <w:rsid w:val="00FB32B8"/>
    <w:rsid w:val="00FB605E"/>
    <w:rsid w:val="00FB644A"/>
    <w:rsid w:val="00FB6BA2"/>
    <w:rsid w:val="00FB6CCA"/>
    <w:rsid w:val="00FB6E29"/>
    <w:rsid w:val="00FB737B"/>
    <w:rsid w:val="00FB77D5"/>
    <w:rsid w:val="00FB7D84"/>
    <w:rsid w:val="00FC0E61"/>
    <w:rsid w:val="00FC0F1C"/>
    <w:rsid w:val="00FC0FF1"/>
    <w:rsid w:val="00FC10B0"/>
    <w:rsid w:val="00FC1139"/>
    <w:rsid w:val="00FC1560"/>
    <w:rsid w:val="00FC18A2"/>
    <w:rsid w:val="00FC1AFE"/>
    <w:rsid w:val="00FC1D90"/>
    <w:rsid w:val="00FC2043"/>
    <w:rsid w:val="00FC2534"/>
    <w:rsid w:val="00FC26D1"/>
    <w:rsid w:val="00FC282F"/>
    <w:rsid w:val="00FC2AA3"/>
    <w:rsid w:val="00FC2EEC"/>
    <w:rsid w:val="00FC3207"/>
    <w:rsid w:val="00FC3379"/>
    <w:rsid w:val="00FC33CB"/>
    <w:rsid w:val="00FC387C"/>
    <w:rsid w:val="00FC4015"/>
    <w:rsid w:val="00FC40A7"/>
    <w:rsid w:val="00FC4620"/>
    <w:rsid w:val="00FC46B8"/>
    <w:rsid w:val="00FC51AF"/>
    <w:rsid w:val="00FC592F"/>
    <w:rsid w:val="00FC5A04"/>
    <w:rsid w:val="00FC60E3"/>
    <w:rsid w:val="00FC6155"/>
    <w:rsid w:val="00FC65AE"/>
    <w:rsid w:val="00FC6946"/>
    <w:rsid w:val="00FC6FA7"/>
    <w:rsid w:val="00FC6FF9"/>
    <w:rsid w:val="00FC76FD"/>
    <w:rsid w:val="00FC780D"/>
    <w:rsid w:val="00FC7ADE"/>
    <w:rsid w:val="00FC7B69"/>
    <w:rsid w:val="00FC7E2D"/>
    <w:rsid w:val="00FD009A"/>
    <w:rsid w:val="00FD00CB"/>
    <w:rsid w:val="00FD072C"/>
    <w:rsid w:val="00FD14C8"/>
    <w:rsid w:val="00FD2591"/>
    <w:rsid w:val="00FD2931"/>
    <w:rsid w:val="00FD2D7F"/>
    <w:rsid w:val="00FD2DEC"/>
    <w:rsid w:val="00FD2EB0"/>
    <w:rsid w:val="00FD3787"/>
    <w:rsid w:val="00FD3AAC"/>
    <w:rsid w:val="00FD3F72"/>
    <w:rsid w:val="00FD4493"/>
    <w:rsid w:val="00FD4C41"/>
    <w:rsid w:val="00FD4E4B"/>
    <w:rsid w:val="00FD51AE"/>
    <w:rsid w:val="00FD5F55"/>
    <w:rsid w:val="00FD6109"/>
    <w:rsid w:val="00FD6747"/>
    <w:rsid w:val="00FD6850"/>
    <w:rsid w:val="00FD68E4"/>
    <w:rsid w:val="00FD73C3"/>
    <w:rsid w:val="00FD7671"/>
    <w:rsid w:val="00FD7792"/>
    <w:rsid w:val="00FD7C77"/>
    <w:rsid w:val="00FE0023"/>
    <w:rsid w:val="00FE03F0"/>
    <w:rsid w:val="00FE041E"/>
    <w:rsid w:val="00FE09C9"/>
    <w:rsid w:val="00FE09CC"/>
    <w:rsid w:val="00FE0EC0"/>
    <w:rsid w:val="00FE124E"/>
    <w:rsid w:val="00FE15C4"/>
    <w:rsid w:val="00FE201A"/>
    <w:rsid w:val="00FE202A"/>
    <w:rsid w:val="00FE249B"/>
    <w:rsid w:val="00FE254D"/>
    <w:rsid w:val="00FE2603"/>
    <w:rsid w:val="00FE2C54"/>
    <w:rsid w:val="00FE2F7D"/>
    <w:rsid w:val="00FE2FCD"/>
    <w:rsid w:val="00FE343A"/>
    <w:rsid w:val="00FE3626"/>
    <w:rsid w:val="00FE36B5"/>
    <w:rsid w:val="00FE36F3"/>
    <w:rsid w:val="00FE3BBE"/>
    <w:rsid w:val="00FE3EF6"/>
    <w:rsid w:val="00FE409D"/>
    <w:rsid w:val="00FE411C"/>
    <w:rsid w:val="00FE489F"/>
    <w:rsid w:val="00FE56D2"/>
    <w:rsid w:val="00FE59D6"/>
    <w:rsid w:val="00FE5A5C"/>
    <w:rsid w:val="00FE6208"/>
    <w:rsid w:val="00FE6518"/>
    <w:rsid w:val="00FE6564"/>
    <w:rsid w:val="00FE67A0"/>
    <w:rsid w:val="00FE6917"/>
    <w:rsid w:val="00FE69E4"/>
    <w:rsid w:val="00FE6E01"/>
    <w:rsid w:val="00FE6FC7"/>
    <w:rsid w:val="00FE7246"/>
    <w:rsid w:val="00FE729D"/>
    <w:rsid w:val="00FE7AB4"/>
    <w:rsid w:val="00FE7C96"/>
    <w:rsid w:val="00FF00D0"/>
    <w:rsid w:val="00FF0555"/>
    <w:rsid w:val="00FF0647"/>
    <w:rsid w:val="00FF0818"/>
    <w:rsid w:val="00FF0C26"/>
    <w:rsid w:val="00FF0F55"/>
    <w:rsid w:val="00FF120E"/>
    <w:rsid w:val="00FF1649"/>
    <w:rsid w:val="00FF1985"/>
    <w:rsid w:val="00FF1D82"/>
    <w:rsid w:val="00FF1E3C"/>
    <w:rsid w:val="00FF1E57"/>
    <w:rsid w:val="00FF26B2"/>
    <w:rsid w:val="00FF29BF"/>
    <w:rsid w:val="00FF2D65"/>
    <w:rsid w:val="00FF2D96"/>
    <w:rsid w:val="00FF3560"/>
    <w:rsid w:val="00FF35DE"/>
    <w:rsid w:val="00FF3656"/>
    <w:rsid w:val="00FF380F"/>
    <w:rsid w:val="00FF3997"/>
    <w:rsid w:val="00FF3BD0"/>
    <w:rsid w:val="00FF3D18"/>
    <w:rsid w:val="00FF3D93"/>
    <w:rsid w:val="00FF3DD6"/>
    <w:rsid w:val="00FF3F20"/>
    <w:rsid w:val="00FF425B"/>
    <w:rsid w:val="00FF4885"/>
    <w:rsid w:val="00FF48AE"/>
    <w:rsid w:val="00FF4C18"/>
    <w:rsid w:val="00FF504A"/>
    <w:rsid w:val="00FF5480"/>
    <w:rsid w:val="00FF550C"/>
    <w:rsid w:val="00FF5887"/>
    <w:rsid w:val="00FF5AFA"/>
    <w:rsid w:val="00FF5B3C"/>
    <w:rsid w:val="00FF5F23"/>
    <w:rsid w:val="00FF6172"/>
    <w:rsid w:val="00FF6FED"/>
    <w:rsid w:val="00FF7079"/>
    <w:rsid w:val="00FF78C7"/>
    <w:rsid w:val="00FF7D22"/>
    <w:rsid w:val="01195121"/>
    <w:rsid w:val="0461256A"/>
    <w:rsid w:val="048B5BE2"/>
    <w:rsid w:val="05180776"/>
    <w:rsid w:val="0766384E"/>
    <w:rsid w:val="08052A3C"/>
    <w:rsid w:val="08F82B41"/>
    <w:rsid w:val="097544AF"/>
    <w:rsid w:val="09E7432D"/>
    <w:rsid w:val="0AB52A5C"/>
    <w:rsid w:val="0B4D42B0"/>
    <w:rsid w:val="0CB867EC"/>
    <w:rsid w:val="102B2C68"/>
    <w:rsid w:val="1085356C"/>
    <w:rsid w:val="116C2743"/>
    <w:rsid w:val="13194470"/>
    <w:rsid w:val="134F57F3"/>
    <w:rsid w:val="13C20488"/>
    <w:rsid w:val="14052059"/>
    <w:rsid w:val="14134EC7"/>
    <w:rsid w:val="15076514"/>
    <w:rsid w:val="17717E5F"/>
    <w:rsid w:val="17762D4F"/>
    <w:rsid w:val="18DB00B1"/>
    <w:rsid w:val="19F23AD4"/>
    <w:rsid w:val="1A666E71"/>
    <w:rsid w:val="1BF328A2"/>
    <w:rsid w:val="1CEF20EA"/>
    <w:rsid w:val="1E2B6D2A"/>
    <w:rsid w:val="1FFF4611"/>
    <w:rsid w:val="2014519D"/>
    <w:rsid w:val="201B6A86"/>
    <w:rsid w:val="25CD0F51"/>
    <w:rsid w:val="260C06A0"/>
    <w:rsid w:val="275D0A7C"/>
    <w:rsid w:val="28AD07D6"/>
    <w:rsid w:val="29BD0F10"/>
    <w:rsid w:val="2B007FBE"/>
    <w:rsid w:val="2B6F32B8"/>
    <w:rsid w:val="2B91322F"/>
    <w:rsid w:val="2DB36949"/>
    <w:rsid w:val="2F273855"/>
    <w:rsid w:val="2FDF0BE5"/>
    <w:rsid w:val="3029612C"/>
    <w:rsid w:val="30B35500"/>
    <w:rsid w:val="322E55E0"/>
    <w:rsid w:val="325D4B44"/>
    <w:rsid w:val="32E65528"/>
    <w:rsid w:val="33CA063F"/>
    <w:rsid w:val="352000B7"/>
    <w:rsid w:val="357922AE"/>
    <w:rsid w:val="35946D26"/>
    <w:rsid w:val="36EF5138"/>
    <w:rsid w:val="38E01480"/>
    <w:rsid w:val="3C8064BE"/>
    <w:rsid w:val="3D001093"/>
    <w:rsid w:val="3D374DC6"/>
    <w:rsid w:val="3F31702D"/>
    <w:rsid w:val="3FAF27CF"/>
    <w:rsid w:val="3FC110B6"/>
    <w:rsid w:val="41F100F1"/>
    <w:rsid w:val="41F42520"/>
    <w:rsid w:val="424505EE"/>
    <w:rsid w:val="43B64113"/>
    <w:rsid w:val="43B803A0"/>
    <w:rsid w:val="44847EA1"/>
    <w:rsid w:val="45155E19"/>
    <w:rsid w:val="45411DB8"/>
    <w:rsid w:val="45E3518C"/>
    <w:rsid w:val="47237D71"/>
    <w:rsid w:val="48FE165A"/>
    <w:rsid w:val="49F42EAF"/>
    <w:rsid w:val="4A0D08DF"/>
    <w:rsid w:val="4A747F3E"/>
    <w:rsid w:val="4B0F26E1"/>
    <w:rsid w:val="4BB80D45"/>
    <w:rsid w:val="4DA628CB"/>
    <w:rsid w:val="4DF078E3"/>
    <w:rsid w:val="50426B99"/>
    <w:rsid w:val="53563C96"/>
    <w:rsid w:val="5399626B"/>
    <w:rsid w:val="54687B0A"/>
    <w:rsid w:val="548337AD"/>
    <w:rsid w:val="558A5AFA"/>
    <w:rsid w:val="56526571"/>
    <w:rsid w:val="576732E5"/>
    <w:rsid w:val="585A342D"/>
    <w:rsid w:val="5AC24BAE"/>
    <w:rsid w:val="5AEB35C3"/>
    <w:rsid w:val="5CF91A34"/>
    <w:rsid w:val="5E67502D"/>
    <w:rsid w:val="5EC53626"/>
    <w:rsid w:val="60527E96"/>
    <w:rsid w:val="60E509BF"/>
    <w:rsid w:val="61E71B32"/>
    <w:rsid w:val="631E50AB"/>
    <w:rsid w:val="63641EBA"/>
    <w:rsid w:val="639549FB"/>
    <w:rsid w:val="63CE5BCA"/>
    <w:rsid w:val="65DD1DE9"/>
    <w:rsid w:val="660F760B"/>
    <w:rsid w:val="66EB4C77"/>
    <w:rsid w:val="67677B58"/>
    <w:rsid w:val="67E97F14"/>
    <w:rsid w:val="67EB3CE9"/>
    <w:rsid w:val="69B468FE"/>
    <w:rsid w:val="6A4A7544"/>
    <w:rsid w:val="6A925AC2"/>
    <w:rsid w:val="6B0C18F7"/>
    <w:rsid w:val="6CB83818"/>
    <w:rsid w:val="6CCC236C"/>
    <w:rsid w:val="6D37588B"/>
    <w:rsid w:val="6EF54DA9"/>
    <w:rsid w:val="6F073D6B"/>
    <w:rsid w:val="6FC51889"/>
    <w:rsid w:val="7129459D"/>
    <w:rsid w:val="717719E4"/>
    <w:rsid w:val="728B0038"/>
    <w:rsid w:val="72973E6B"/>
    <w:rsid w:val="74CA3048"/>
    <w:rsid w:val="7682521B"/>
    <w:rsid w:val="773D7394"/>
    <w:rsid w:val="778B1A4D"/>
    <w:rsid w:val="77941A69"/>
    <w:rsid w:val="7947274B"/>
    <w:rsid w:val="7A033062"/>
    <w:rsid w:val="7A87385E"/>
    <w:rsid w:val="7BD61BAC"/>
    <w:rsid w:val="7DCD5023"/>
    <w:rsid w:val="7E455439"/>
    <w:rsid w:val="7EF11F1C"/>
    <w:rsid w:val="7F504522"/>
    <w:rsid w:val="DC3FBCFB"/>
    <w:rsid w:val="EDE912B0"/>
    <w:rsid w:val="FFCD6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iPriority="0"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8"/>
    <w:autoRedefine/>
    <w:qFormat/>
    <w:uiPriority w:val="0"/>
    <w:pPr>
      <w:keepNext/>
      <w:keepLines/>
      <w:spacing w:line="360" w:lineRule="auto"/>
      <w:jc w:val="center"/>
      <w:outlineLvl w:val="0"/>
    </w:pPr>
    <w:rPr>
      <w:b/>
      <w:bCs/>
      <w:kern w:val="44"/>
      <w:sz w:val="24"/>
      <w:szCs w:val="44"/>
    </w:rPr>
  </w:style>
  <w:style w:type="paragraph" w:styleId="3">
    <w:name w:val="heading 2"/>
    <w:basedOn w:val="1"/>
    <w:next w:val="1"/>
    <w:link w:val="70"/>
    <w:autoRedefine/>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294"/>
    <w:autoRedefine/>
    <w:qFormat/>
    <w:uiPriority w:val="0"/>
    <w:pPr>
      <w:keepNext/>
      <w:keepLines/>
      <w:tabs>
        <w:tab w:val="left" w:pos="1740"/>
      </w:tabs>
      <w:spacing w:before="260" w:line="413" w:lineRule="auto"/>
      <w:ind w:left="1740"/>
      <w:outlineLvl w:val="2"/>
    </w:pPr>
    <w:rPr>
      <w:b/>
      <w:bCs/>
      <w:kern w:val="0"/>
      <w:sz w:val="32"/>
      <w:szCs w:val="32"/>
    </w:rPr>
  </w:style>
  <w:style w:type="paragraph" w:styleId="5">
    <w:name w:val="heading 4"/>
    <w:basedOn w:val="1"/>
    <w:next w:val="6"/>
    <w:link w:val="295"/>
    <w:autoRedefine/>
    <w:qFormat/>
    <w:uiPriority w:val="0"/>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296"/>
    <w:autoRedefine/>
    <w:qFormat/>
    <w:uiPriority w:val="9"/>
    <w:pPr>
      <w:keepNext/>
      <w:keepLines/>
      <w:tabs>
        <w:tab w:val="left" w:pos="2580"/>
      </w:tabs>
      <w:spacing w:before="280" w:line="372" w:lineRule="auto"/>
      <w:outlineLvl w:val="4"/>
    </w:pPr>
    <w:rPr>
      <w:b/>
      <w:bCs/>
      <w:kern w:val="0"/>
      <w:sz w:val="28"/>
      <w:szCs w:val="28"/>
    </w:rPr>
  </w:style>
  <w:style w:type="paragraph" w:styleId="8">
    <w:name w:val="heading 6"/>
    <w:basedOn w:val="1"/>
    <w:next w:val="1"/>
    <w:link w:val="297"/>
    <w:autoRedefine/>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9">
    <w:name w:val="heading 7"/>
    <w:basedOn w:val="1"/>
    <w:next w:val="10"/>
    <w:link w:val="298"/>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1">
    <w:name w:val="heading 8"/>
    <w:basedOn w:val="1"/>
    <w:next w:val="1"/>
    <w:link w:val="299"/>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2">
    <w:name w:val="heading 9"/>
    <w:basedOn w:val="1"/>
    <w:next w:val="1"/>
    <w:link w:val="300"/>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53">
    <w:name w:val="Default Paragraph Font"/>
    <w:autoRedefine/>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link w:val="332"/>
    <w:autoRedefine/>
    <w:qFormat/>
    <w:uiPriority w:val="0"/>
    <w:pPr>
      <w:ind w:firstLine="420"/>
    </w:pPr>
    <w:rPr>
      <w:rFonts w:ascii="Calibri" w:hAnsi="Calibri"/>
      <w:szCs w:val="22"/>
    </w:rPr>
  </w:style>
  <w:style w:type="paragraph" w:customStyle="1" w:styleId="10">
    <w:name w:val="文档正文"/>
    <w:basedOn w:val="1"/>
    <w:autoRedefine/>
    <w:qFormat/>
    <w:uiPriority w:val="0"/>
    <w:pPr>
      <w:adjustRightInd w:val="0"/>
      <w:spacing w:before="60" w:line="360" w:lineRule="atLeast"/>
      <w:ind w:firstLine="482"/>
      <w:textAlignment w:val="baseline"/>
    </w:pPr>
    <w:rPr>
      <w:sz w:val="24"/>
    </w:rPr>
  </w:style>
  <w:style w:type="paragraph" w:styleId="13">
    <w:name w:val="toc 7"/>
    <w:basedOn w:val="1"/>
    <w:next w:val="1"/>
    <w:autoRedefine/>
    <w:qFormat/>
    <w:uiPriority w:val="39"/>
    <w:pPr>
      <w:ind w:left="1200" w:leftChars="1200"/>
    </w:pPr>
    <w:rPr>
      <w:szCs w:val="20"/>
    </w:rPr>
  </w:style>
  <w:style w:type="paragraph" w:styleId="14">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5">
    <w:name w:val="caption"/>
    <w:basedOn w:val="1"/>
    <w:next w:val="1"/>
    <w:autoRedefine/>
    <w:qFormat/>
    <w:uiPriority w:val="0"/>
    <w:pPr>
      <w:spacing w:before="152" w:after="160"/>
    </w:pPr>
    <w:rPr>
      <w:rFonts w:ascii="Arial" w:hAnsi="Arial" w:eastAsia="黑体" w:cs="Arial"/>
      <w:sz w:val="20"/>
      <w:szCs w:val="20"/>
    </w:rPr>
  </w:style>
  <w:style w:type="paragraph" w:styleId="16">
    <w:name w:val="index 5"/>
    <w:basedOn w:val="1"/>
    <w:next w:val="1"/>
    <w:autoRedefine/>
    <w:qFormat/>
    <w:uiPriority w:val="0"/>
    <w:pPr>
      <w:spacing w:line="500" w:lineRule="exact"/>
      <w:ind w:left="800" w:firstLine="5632"/>
    </w:pPr>
  </w:style>
  <w:style w:type="paragraph" w:styleId="17">
    <w:name w:val="Document Map"/>
    <w:basedOn w:val="1"/>
    <w:link w:val="383"/>
    <w:autoRedefine/>
    <w:qFormat/>
    <w:uiPriority w:val="0"/>
    <w:pPr>
      <w:shd w:val="clear" w:color="auto" w:fill="000080"/>
      <w:spacing w:afterLines="100" w:line="360" w:lineRule="auto"/>
      <w:ind w:firstLine="200" w:firstLineChars="200"/>
    </w:pPr>
    <w:rPr>
      <w:rFonts w:ascii="Calibri" w:hAnsi="Calibri"/>
      <w:kern w:val="0"/>
      <w:sz w:val="24"/>
    </w:rPr>
  </w:style>
  <w:style w:type="paragraph" w:styleId="18">
    <w:name w:val="annotation text"/>
    <w:basedOn w:val="1"/>
    <w:link w:val="350"/>
    <w:autoRedefine/>
    <w:qFormat/>
    <w:uiPriority w:val="0"/>
    <w:pPr>
      <w:spacing w:afterLines="100" w:line="360" w:lineRule="auto"/>
      <w:ind w:firstLine="200" w:firstLineChars="200"/>
      <w:jc w:val="left"/>
    </w:pPr>
    <w:rPr>
      <w:rFonts w:ascii="Calibri" w:hAnsi="Calibri"/>
      <w:kern w:val="0"/>
      <w:sz w:val="24"/>
    </w:rPr>
  </w:style>
  <w:style w:type="paragraph" w:styleId="19">
    <w:name w:val="Body Text 3"/>
    <w:basedOn w:val="1"/>
    <w:link w:val="380"/>
    <w:autoRedefine/>
    <w:qFormat/>
    <w:uiPriority w:val="0"/>
    <w:pPr>
      <w:snapToGrid w:val="0"/>
      <w:spacing w:before="50" w:after="50"/>
    </w:pPr>
    <w:rPr>
      <w:rFonts w:ascii="Calibri" w:hAnsi="宋体" w:eastAsia="仿宋_GB2312"/>
      <w:b/>
      <w:bCs/>
      <w:kern w:val="0"/>
      <w:sz w:val="24"/>
      <w:szCs w:val="20"/>
    </w:rPr>
  </w:style>
  <w:style w:type="paragraph" w:styleId="20">
    <w:name w:val="Body Text"/>
    <w:basedOn w:val="1"/>
    <w:next w:val="1"/>
    <w:link w:val="328"/>
    <w:autoRedefine/>
    <w:qFormat/>
    <w:uiPriority w:val="0"/>
    <w:pPr>
      <w:spacing w:after="120"/>
    </w:pPr>
    <w:rPr>
      <w:rFonts w:ascii="Calibri" w:hAnsi="Calibri"/>
      <w:kern w:val="0"/>
      <w:sz w:val="28"/>
    </w:rPr>
  </w:style>
  <w:style w:type="paragraph" w:styleId="21">
    <w:name w:val="Body Text Indent"/>
    <w:basedOn w:val="1"/>
    <w:link w:val="305"/>
    <w:autoRedefine/>
    <w:unhideWhenUsed/>
    <w:qFormat/>
    <w:uiPriority w:val="0"/>
    <w:pPr>
      <w:spacing w:after="120"/>
      <w:ind w:left="420" w:leftChars="200"/>
    </w:pPr>
    <w:rPr>
      <w:kern w:val="0"/>
      <w:sz w:val="20"/>
    </w:rPr>
  </w:style>
  <w:style w:type="paragraph" w:styleId="22">
    <w:name w:val="List Number 3"/>
    <w:basedOn w:val="1"/>
    <w:autoRedefine/>
    <w:qFormat/>
    <w:uiPriority w:val="0"/>
    <w:pPr>
      <w:tabs>
        <w:tab w:val="left" w:pos="1200"/>
      </w:tabs>
      <w:ind w:left="1200" w:hanging="360"/>
    </w:pPr>
  </w:style>
  <w:style w:type="paragraph" w:styleId="23">
    <w:name w:val="List 2"/>
    <w:basedOn w:val="1"/>
    <w:autoRedefine/>
    <w:qFormat/>
    <w:uiPriority w:val="0"/>
    <w:pPr>
      <w:ind w:left="100" w:leftChars="200" w:hanging="200" w:hangingChars="200"/>
    </w:pPr>
    <w:rPr>
      <w:sz w:val="28"/>
    </w:rPr>
  </w:style>
  <w:style w:type="paragraph" w:styleId="24">
    <w:name w:val="index 4"/>
    <w:basedOn w:val="1"/>
    <w:next w:val="1"/>
    <w:autoRedefine/>
    <w:qFormat/>
    <w:uiPriority w:val="0"/>
    <w:pPr>
      <w:ind w:left="600" w:leftChars="600"/>
    </w:pPr>
  </w:style>
  <w:style w:type="paragraph" w:styleId="25">
    <w:name w:val="toc 5"/>
    <w:basedOn w:val="1"/>
    <w:next w:val="1"/>
    <w:autoRedefine/>
    <w:qFormat/>
    <w:uiPriority w:val="39"/>
    <w:pPr>
      <w:ind w:left="800" w:leftChars="800"/>
    </w:pPr>
    <w:rPr>
      <w:szCs w:val="20"/>
    </w:rPr>
  </w:style>
  <w:style w:type="paragraph" w:styleId="26">
    <w:name w:val="toc 3"/>
    <w:basedOn w:val="1"/>
    <w:next w:val="1"/>
    <w:autoRedefine/>
    <w:qFormat/>
    <w:uiPriority w:val="39"/>
    <w:pPr>
      <w:spacing w:line="360" w:lineRule="auto"/>
      <w:ind w:left="480" w:firstLine="200" w:firstLineChars="200"/>
      <w:jc w:val="left"/>
    </w:pPr>
    <w:rPr>
      <w:i/>
      <w:iCs/>
      <w:sz w:val="20"/>
      <w:szCs w:val="20"/>
    </w:rPr>
  </w:style>
  <w:style w:type="paragraph" w:styleId="27">
    <w:name w:val="Plain Text"/>
    <w:basedOn w:val="1"/>
    <w:link w:val="377"/>
    <w:autoRedefine/>
    <w:qFormat/>
    <w:uiPriority w:val="0"/>
    <w:pPr>
      <w:spacing w:beforeLines="50" w:afterLines="50" w:line="400" w:lineRule="exact"/>
    </w:pPr>
    <w:rPr>
      <w:rFonts w:ascii="宋体" w:hAnsi="Courier New"/>
      <w:kern w:val="0"/>
      <w:sz w:val="24"/>
    </w:rPr>
  </w:style>
  <w:style w:type="paragraph" w:styleId="28">
    <w:name w:val="toc 8"/>
    <w:basedOn w:val="1"/>
    <w:next w:val="1"/>
    <w:autoRedefine/>
    <w:qFormat/>
    <w:uiPriority w:val="39"/>
    <w:pPr>
      <w:ind w:left="1400" w:leftChars="1400"/>
    </w:pPr>
    <w:rPr>
      <w:szCs w:val="20"/>
    </w:rPr>
  </w:style>
  <w:style w:type="paragraph" w:styleId="29">
    <w:name w:val="Date"/>
    <w:basedOn w:val="1"/>
    <w:next w:val="1"/>
    <w:link w:val="361"/>
    <w:autoRedefine/>
    <w:qFormat/>
    <w:uiPriority w:val="0"/>
    <w:pPr>
      <w:ind w:left="2500" w:leftChars="2500"/>
    </w:pPr>
    <w:rPr>
      <w:rFonts w:ascii="Calibri" w:hAnsi="Calibri" w:eastAsia="楷体_GB2312"/>
      <w:kern w:val="0"/>
      <w:sz w:val="32"/>
      <w:szCs w:val="20"/>
    </w:rPr>
  </w:style>
  <w:style w:type="paragraph" w:styleId="30">
    <w:name w:val="Body Text Indent 2"/>
    <w:basedOn w:val="1"/>
    <w:link w:val="355"/>
    <w:autoRedefine/>
    <w:qFormat/>
    <w:uiPriority w:val="0"/>
    <w:pPr>
      <w:snapToGrid w:val="0"/>
      <w:ind w:firstLine="542" w:firstLineChars="225"/>
    </w:pPr>
    <w:rPr>
      <w:rFonts w:ascii="仿宋_GB2312" w:hAnsi="宋体"/>
      <w:b/>
      <w:bCs/>
      <w:color w:val="000000"/>
      <w:kern w:val="0"/>
      <w:sz w:val="24"/>
    </w:rPr>
  </w:style>
  <w:style w:type="paragraph" w:styleId="31">
    <w:name w:val="Balloon Text"/>
    <w:basedOn w:val="1"/>
    <w:link w:val="302"/>
    <w:autoRedefine/>
    <w:unhideWhenUsed/>
    <w:qFormat/>
    <w:uiPriority w:val="0"/>
    <w:rPr>
      <w:rFonts w:ascii="Calibri" w:hAnsi="Calibri"/>
      <w:kern w:val="0"/>
      <w:sz w:val="16"/>
      <w:szCs w:val="16"/>
    </w:rPr>
  </w:style>
  <w:style w:type="paragraph" w:styleId="32">
    <w:name w:val="footer"/>
    <w:basedOn w:val="1"/>
    <w:link w:val="293"/>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33">
    <w:name w:val="header"/>
    <w:basedOn w:val="1"/>
    <w:link w:val="292"/>
    <w:autoRedefine/>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4">
    <w:name w:val="toc 1"/>
    <w:basedOn w:val="1"/>
    <w:next w:val="1"/>
    <w:autoRedefine/>
    <w:qFormat/>
    <w:uiPriority w:val="39"/>
  </w:style>
  <w:style w:type="paragraph" w:styleId="35">
    <w:name w:val="toc 4"/>
    <w:basedOn w:val="1"/>
    <w:next w:val="1"/>
    <w:autoRedefine/>
    <w:qFormat/>
    <w:uiPriority w:val="39"/>
    <w:pPr>
      <w:ind w:left="600" w:leftChars="600"/>
    </w:pPr>
    <w:rPr>
      <w:szCs w:val="20"/>
    </w:rPr>
  </w:style>
  <w:style w:type="paragraph" w:styleId="36">
    <w:name w:val="Subtitle"/>
    <w:basedOn w:val="1"/>
    <w:next w:val="1"/>
    <w:link w:val="342"/>
    <w:autoRedefine/>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autoRedefine/>
    <w:qFormat/>
    <w:uiPriority w:val="0"/>
    <w:pPr>
      <w:ind w:left="200" w:hanging="200" w:hangingChars="200"/>
    </w:pPr>
    <w:rPr>
      <w:sz w:val="28"/>
    </w:rPr>
  </w:style>
  <w:style w:type="paragraph" w:styleId="38">
    <w:name w:val="footnote text"/>
    <w:basedOn w:val="1"/>
    <w:link w:val="312"/>
    <w:autoRedefine/>
    <w:qFormat/>
    <w:uiPriority w:val="99"/>
    <w:pPr>
      <w:adjustRightInd w:val="0"/>
      <w:snapToGrid w:val="0"/>
      <w:spacing w:before="60" w:line="360" w:lineRule="atLeast"/>
      <w:ind w:firstLine="482"/>
      <w:jc w:val="left"/>
      <w:textAlignment w:val="baseline"/>
    </w:pPr>
    <w:rPr>
      <w:rFonts w:ascii="Calibri" w:hAnsi="Calibri"/>
      <w:kern w:val="0"/>
      <w:sz w:val="18"/>
    </w:rPr>
  </w:style>
  <w:style w:type="paragraph" w:styleId="39">
    <w:name w:val="toc 6"/>
    <w:basedOn w:val="1"/>
    <w:next w:val="1"/>
    <w:autoRedefine/>
    <w:qFormat/>
    <w:uiPriority w:val="39"/>
    <w:pPr>
      <w:ind w:left="1000" w:leftChars="1000"/>
    </w:pPr>
    <w:rPr>
      <w:szCs w:val="20"/>
    </w:rPr>
  </w:style>
  <w:style w:type="paragraph" w:styleId="40">
    <w:name w:val="Body Text Indent 3"/>
    <w:basedOn w:val="1"/>
    <w:link w:val="352"/>
    <w:autoRedefine/>
    <w:qFormat/>
    <w:uiPriority w:val="0"/>
    <w:pPr>
      <w:snapToGrid w:val="0"/>
      <w:ind w:firstLine="480" w:firstLineChars="200"/>
      <w:jc w:val="left"/>
    </w:pPr>
    <w:rPr>
      <w:rFonts w:ascii="仿宋_GB2312" w:hAnsi="宋体" w:eastAsia="仿宋_GB2312"/>
      <w:color w:val="000000"/>
      <w:kern w:val="0"/>
      <w:sz w:val="24"/>
    </w:rPr>
  </w:style>
  <w:style w:type="paragraph" w:styleId="41">
    <w:name w:val="toc 2"/>
    <w:basedOn w:val="1"/>
    <w:next w:val="1"/>
    <w:autoRedefine/>
    <w:unhideWhenUsed/>
    <w:qFormat/>
    <w:uiPriority w:val="39"/>
    <w:pPr>
      <w:ind w:left="420" w:leftChars="200"/>
    </w:pPr>
  </w:style>
  <w:style w:type="paragraph" w:styleId="42">
    <w:name w:val="toc 9"/>
    <w:basedOn w:val="1"/>
    <w:next w:val="1"/>
    <w:autoRedefine/>
    <w:qFormat/>
    <w:uiPriority w:val="39"/>
    <w:pPr>
      <w:ind w:left="1600" w:leftChars="1600"/>
    </w:pPr>
    <w:rPr>
      <w:szCs w:val="20"/>
    </w:rPr>
  </w:style>
  <w:style w:type="paragraph" w:styleId="43">
    <w:name w:val="Body Text 2"/>
    <w:basedOn w:val="1"/>
    <w:link w:val="357"/>
    <w:autoRedefine/>
    <w:qFormat/>
    <w:uiPriority w:val="0"/>
    <w:pPr>
      <w:widowControl/>
      <w:snapToGrid w:val="0"/>
      <w:spacing w:before="50" w:afterLines="50" w:line="400" w:lineRule="exact"/>
      <w:jc w:val="left"/>
    </w:pPr>
    <w:rPr>
      <w:rFonts w:ascii="宋体" w:hAnsi="宋体"/>
      <w:color w:val="000000"/>
      <w:kern w:val="0"/>
      <w:sz w:val="24"/>
    </w:rPr>
  </w:style>
  <w:style w:type="paragraph" w:styleId="44">
    <w:name w:val="HTML Preformatted"/>
    <w:basedOn w:val="1"/>
    <w:link w:val="365"/>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5">
    <w:name w:val="Normal (Web)"/>
    <w:basedOn w:val="1"/>
    <w:link w:val="393"/>
    <w:autoRedefine/>
    <w:qFormat/>
    <w:uiPriority w:val="99"/>
    <w:pPr>
      <w:widowControl/>
      <w:spacing w:before="100" w:beforeAutospacing="1" w:after="100" w:afterAutospacing="1"/>
      <w:jc w:val="left"/>
    </w:pPr>
    <w:rPr>
      <w:rFonts w:ascii="Calibri" w:hAnsi="Calibri"/>
      <w:kern w:val="0"/>
      <w:sz w:val="24"/>
    </w:rPr>
  </w:style>
  <w:style w:type="paragraph" w:styleId="46">
    <w:name w:val="index 1"/>
    <w:basedOn w:val="1"/>
    <w:next w:val="1"/>
    <w:autoRedefine/>
    <w:qFormat/>
    <w:uiPriority w:val="0"/>
    <w:pPr>
      <w:jc w:val="center"/>
    </w:pPr>
    <w:rPr>
      <w:rFonts w:ascii="Arial" w:hAnsi="Arial" w:eastAsia="Arial" w:cs="Arial"/>
      <w:b/>
      <w:bCs/>
      <w:sz w:val="28"/>
      <w:szCs w:val="20"/>
    </w:rPr>
  </w:style>
  <w:style w:type="paragraph" w:styleId="47">
    <w:name w:val="Title"/>
    <w:basedOn w:val="1"/>
    <w:link w:val="397"/>
    <w:autoRedefine/>
    <w:qFormat/>
    <w:uiPriority w:val="0"/>
    <w:pPr>
      <w:spacing w:before="240" w:after="60"/>
      <w:jc w:val="center"/>
      <w:outlineLvl w:val="0"/>
    </w:pPr>
    <w:rPr>
      <w:rFonts w:ascii="Arial" w:hAnsi="Arial" w:eastAsia="仿宋_GB2312"/>
      <w:b/>
      <w:bCs/>
      <w:kern w:val="0"/>
      <w:sz w:val="36"/>
      <w:szCs w:val="32"/>
    </w:rPr>
  </w:style>
  <w:style w:type="paragraph" w:styleId="48">
    <w:name w:val="annotation subject"/>
    <w:basedOn w:val="18"/>
    <w:next w:val="18"/>
    <w:link w:val="388"/>
    <w:autoRedefine/>
    <w:qFormat/>
    <w:uiPriority w:val="0"/>
    <w:rPr>
      <w:b/>
      <w:bCs/>
    </w:rPr>
  </w:style>
  <w:style w:type="paragraph" w:styleId="49">
    <w:name w:val="Body Text First Indent"/>
    <w:basedOn w:val="20"/>
    <w:next w:val="39"/>
    <w:link w:val="327"/>
    <w:autoRedefine/>
    <w:unhideWhenUsed/>
    <w:qFormat/>
    <w:uiPriority w:val="99"/>
    <w:pPr>
      <w:ind w:firstLine="420" w:firstLineChars="100"/>
    </w:pPr>
  </w:style>
  <w:style w:type="paragraph" w:styleId="50">
    <w:name w:val="Body Text First Indent 2"/>
    <w:basedOn w:val="21"/>
    <w:link w:val="304"/>
    <w:autoRedefine/>
    <w:qFormat/>
    <w:uiPriority w:val="99"/>
    <w:pPr>
      <w:spacing w:line="360" w:lineRule="auto"/>
      <w:ind w:firstLine="420" w:firstLineChars="200"/>
    </w:pPr>
    <w:rPr>
      <w:rFonts w:ascii="宋体" w:hAnsi="Courier New"/>
      <w:spacing w:val="-4"/>
      <w:sz w:val="24"/>
    </w:rPr>
  </w:style>
  <w:style w:type="table" w:styleId="52">
    <w:name w:val="Table Grid"/>
    <w:basedOn w:val="5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4">
    <w:name w:val="Strong"/>
    <w:autoRedefine/>
    <w:qFormat/>
    <w:uiPriority w:val="0"/>
    <w:rPr>
      <w:b/>
      <w:bCs/>
    </w:rPr>
  </w:style>
  <w:style w:type="character" w:styleId="55">
    <w:name w:val="page number"/>
    <w:basedOn w:val="53"/>
    <w:autoRedefine/>
    <w:qFormat/>
    <w:uiPriority w:val="0"/>
  </w:style>
  <w:style w:type="character" w:styleId="56">
    <w:name w:val="FollowedHyperlink"/>
    <w:autoRedefine/>
    <w:unhideWhenUsed/>
    <w:qFormat/>
    <w:uiPriority w:val="0"/>
    <w:rPr>
      <w:color w:val="800080"/>
      <w:u w:val="single"/>
    </w:rPr>
  </w:style>
  <w:style w:type="character" w:styleId="57">
    <w:name w:val="Emphasis"/>
    <w:autoRedefine/>
    <w:qFormat/>
    <w:uiPriority w:val="0"/>
    <w:rPr>
      <w:i/>
    </w:rPr>
  </w:style>
  <w:style w:type="character" w:styleId="58">
    <w:name w:val="HTML Definition"/>
    <w:autoRedefine/>
    <w:qFormat/>
    <w:uiPriority w:val="0"/>
  </w:style>
  <w:style w:type="character" w:styleId="59">
    <w:name w:val="HTML Variable"/>
    <w:autoRedefine/>
    <w:qFormat/>
    <w:uiPriority w:val="0"/>
  </w:style>
  <w:style w:type="character" w:styleId="60">
    <w:name w:val="Hyperlink"/>
    <w:autoRedefine/>
    <w:qFormat/>
    <w:uiPriority w:val="99"/>
    <w:rPr>
      <w:color w:val="0000FF"/>
      <w:u w:val="single"/>
    </w:rPr>
  </w:style>
  <w:style w:type="character" w:styleId="61">
    <w:name w:val="HTML Code"/>
    <w:autoRedefine/>
    <w:qFormat/>
    <w:uiPriority w:val="0"/>
    <w:rPr>
      <w:rFonts w:ascii="Courier New" w:hAnsi="Courier New"/>
      <w:color w:val="505050"/>
      <w:sz w:val="24"/>
      <w:szCs w:val="24"/>
    </w:rPr>
  </w:style>
  <w:style w:type="character" w:styleId="62">
    <w:name w:val="annotation reference"/>
    <w:autoRedefine/>
    <w:qFormat/>
    <w:uiPriority w:val="99"/>
    <w:rPr>
      <w:sz w:val="21"/>
      <w:szCs w:val="21"/>
    </w:rPr>
  </w:style>
  <w:style w:type="character" w:styleId="63">
    <w:name w:val="HTML Cite"/>
    <w:autoRedefine/>
    <w:qFormat/>
    <w:uiPriority w:val="0"/>
    <w:rPr>
      <w:sz w:val="24"/>
      <w:szCs w:val="24"/>
    </w:rPr>
  </w:style>
  <w:style w:type="character" w:styleId="64">
    <w:name w:val="footnote reference"/>
    <w:autoRedefine/>
    <w:unhideWhenUsed/>
    <w:qFormat/>
    <w:uiPriority w:val="99"/>
    <w:rPr>
      <w:vertAlign w:val="superscript"/>
    </w:rPr>
  </w:style>
  <w:style w:type="character" w:styleId="65">
    <w:name w:val="HTML Keyboard"/>
    <w:basedOn w:val="53"/>
    <w:autoRedefine/>
    <w:qFormat/>
    <w:uiPriority w:val="0"/>
    <w:rPr>
      <w:rFonts w:ascii="Consolas" w:hAnsi="Consolas" w:eastAsia="Consolas" w:cs="Consolas"/>
      <w:color w:val="FFFFFF"/>
      <w:sz w:val="21"/>
      <w:szCs w:val="21"/>
      <w:shd w:val="clear" w:color="auto" w:fill="333333"/>
    </w:rPr>
  </w:style>
  <w:style w:type="character" w:styleId="66">
    <w:name w:val="HTML Sample"/>
    <w:basedOn w:val="53"/>
    <w:autoRedefine/>
    <w:qFormat/>
    <w:uiPriority w:val="0"/>
    <w:rPr>
      <w:rFonts w:hint="default" w:ascii="Consolas" w:hAnsi="Consolas" w:eastAsia="Consolas" w:cs="Consolas"/>
      <w:sz w:val="21"/>
      <w:szCs w:val="21"/>
    </w:rPr>
  </w:style>
  <w:style w:type="paragraph" w:customStyle="1" w:styleId="67">
    <w:name w:val="首行缩进"/>
    <w:basedOn w:val="1"/>
    <w:autoRedefine/>
    <w:qFormat/>
    <w:uiPriority w:val="0"/>
    <w:pPr>
      <w:ind w:firstLine="480" w:firstLineChars="200"/>
    </w:pPr>
    <w:rPr>
      <w:lang w:val="zh-CN"/>
    </w:rPr>
  </w:style>
  <w:style w:type="character" w:customStyle="1" w:styleId="68">
    <w:name w:val="标题 1 Char"/>
    <w:link w:val="2"/>
    <w:autoRedefine/>
    <w:qFormat/>
    <w:uiPriority w:val="0"/>
    <w:rPr>
      <w:rFonts w:ascii="Times New Roman" w:hAnsi="Times New Roman"/>
      <w:b/>
      <w:bCs/>
      <w:kern w:val="44"/>
      <w:sz w:val="24"/>
      <w:szCs w:val="44"/>
    </w:rPr>
  </w:style>
  <w:style w:type="paragraph" w:styleId="69">
    <w:name w:val="List Paragraph"/>
    <w:basedOn w:val="1"/>
    <w:link w:val="413"/>
    <w:autoRedefine/>
    <w:qFormat/>
    <w:uiPriority w:val="0"/>
    <w:pPr>
      <w:ind w:firstLine="420" w:firstLineChars="200"/>
    </w:pPr>
    <w:rPr>
      <w:szCs w:val="20"/>
    </w:rPr>
  </w:style>
  <w:style w:type="character" w:customStyle="1" w:styleId="70">
    <w:name w:val="标题 2 Char"/>
    <w:link w:val="3"/>
    <w:autoRedefine/>
    <w:qFormat/>
    <w:uiPriority w:val="0"/>
    <w:rPr>
      <w:rFonts w:ascii="Arial" w:hAnsi="Arial" w:eastAsia="黑体" w:cs="Times New Roman"/>
      <w:b/>
      <w:bCs/>
      <w:sz w:val="32"/>
      <w:szCs w:val="32"/>
    </w:rPr>
  </w:style>
  <w:style w:type="paragraph" w:customStyle="1" w:styleId="71">
    <w:name w:val="_Style 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列出段落1"/>
    <w:basedOn w:val="1"/>
    <w:link w:val="321"/>
    <w:autoRedefine/>
    <w:qFormat/>
    <w:uiPriority w:val="0"/>
    <w:pPr>
      <w:ind w:left="420" w:firstLine="420" w:firstLineChars="200"/>
    </w:pPr>
    <w:rPr>
      <w:rFonts w:ascii="Calibri" w:hAnsi="Calibri"/>
      <w:kern w:val="0"/>
      <w:sz w:val="20"/>
      <w:szCs w:val="20"/>
    </w:rPr>
  </w:style>
  <w:style w:type="paragraph" w:customStyle="1" w:styleId="73">
    <w:name w:val="样式1"/>
    <w:basedOn w:val="1"/>
    <w:link w:val="331"/>
    <w:autoRedefine/>
    <w:qFormat/>
    <w:uiPriority w:val="0"/>
    <w:pPr>
      <w:spacing w:line="360" w:lineRule="exact"/>
      <w:ind w:firstLine="200" w:firstLineChars="200"/>
    </w:pPr>
    <w:rPr>
      <w:rFonts w:ascii="Arial" w:hAnsi="Arial"/>
      <w:kern w:val="0"/>
      <w:sz w:val="20"/>
    </w:rPr>
  </w:style>
  <w:style w:type="paragraph" w:customStyle="1" w:styleId="74">
    <w:name w:val="z-窗体顶端1"/>
    <w:basedOn w:val="1"/>
    <w:next w:val="1"/>
    <w:link w:val="333"/>
    <w:autoRedefine/>
    <w:qFormat/>
    <w:uiPriority w:val="0"/>
    <w:pPr>
      <w:widowControl/>
      <w:pBdr>
        <w:bottom w:val="single" w:color="auto" w:sz="6" w:space="1"/>
      </w:pBdr>
      <w:jc w:val="center"/>
    </w:pPr>
    <w:rPr>
      <w:rFonts w:ascii="Arial" w:hAnsi="Arial"/>
      <w:vanish/>
      <w:kern w:val="0"/>
      <w:sz w:val="16"/>
      <w:szCs w:val="16"/>
    </w:rPr>
  </w:style>
  <w:style w:type="paragraph" w:customStyle="1" w:styleId="75">
    <w:name w:val="z-窗体底端1"/>
    <w:basedOn w:val="1"/>
    <w:next w:val="1"/>
    <w:link w:val="335"/>
    <w:autoRedefine/>
    <w:qFormat/>
    <w:uiPriority w:val="0"/>
    <w:pPr>
      <w:widowControl/>
      <w:pBdr>
        <w:top w:val="single" w:color="auto" w:sz="6" w:space="1"/>
      </w:pBdr>
      <w:jc w:val="center"/>
    </w:pPr>
    <w:rPr>
      <w:rFonts w:ascii="Arial" w:hAnsi="Arial"/>
      <w:vanish/>
      <w:kern w:val="0"/>
      <w:sz w:val="16"/>
      <w:szCs w:val="16"/>
    </w:rPr>
  </w:style>
  <w:style w:type="paragraph" w:customStyle="1" w:styleId="76">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77">
    <w:name w:val="缺省文本"/>
    <w:basedOn w:val="1"/>
    <w:autoRedefine/>
    <w:qFormat/>
    <w:uiPriority w:val="0"/>
    <w:pPr>
      <w:autoSpaceDE w:val="0"/>
      <w:autoSpaceDN w:val="0"/>
      <w:adjustRightInd w:val="0"/>
      <w:ind w:firstLine="454"/>
    </w:pPr>
    <w:rPr>
      <w:sz w:val="24"/>
    </w:rPr>
  </w:style>
  <w:style w:type="paragraph" w:customStyle="1" w:styleId="78">
    <w:name w:val="默认段落字体 Para Char Char Char Char Char Char Char Char Char1 Char Char Char Char"/>
    <w:basedOn w:val="1"/>
    <w:autoRedefine/>
    <w:qFormat/>
    <w:uiPriority w:val="0"/>
    <w:rPr>
      <w:rFonts w:ascii="Tahoma" w:hAnsi="Tahoma"/>
      <w:sz w:val="24"/>
      <w:szCs w:val="20"/>
    </w:rPr>
  </w:style>
  <w:style w:type="paragraph" w:customStyle="1" w:styleId="79">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80">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81">
    <w:name w:val="五级条标题"/>
    <w:basedOn w:val="82"/>
    <w:next w:val="1"/>
    <w:autoRedefine/>
    <w:qFormat/>
    <w:uiPriority w:val="0"/>
    <w:pPr>
      <w:tabs>
        <w:tab w:val="left" w:pos="360"/>
      </w:tabs>
      <w:outlineLvl w:val="6"/>
    </w:pPr>
  </w:style>
  <w:style w:type="paragraph" w:customStyle="1" w:styleId="82">
    <w:name w:val="四级条标题"/>
    <w:basedOn w:val="83"/>
    <w:next w:val="1"/>
    <w:autoRedefine/>
    <w:qFormat/>
    <w:uiPriority w:val="0"/>
    <w:pPr>
      <w:tabs>
        <w:tab w:val="left" w:pos="360"/>
      </w:tabs>
      <w:outlineLvl w:val="5"/>
    </w:pPr>
  </w:style>
  <w:style w:type="paragraph" w:customStyle="1" w:styleId="83">
    <w:name w:val="三级条标题"/>
    <w:basedOn w:val="84"/>
    <w:next w:val="1"/>
    <w:autoRedefine/>
    <w:qFormat/>
    <w:uiPriority w:val="0"/>
    <w:pPr>
      <w:tabs>
        <w:tab w:val="left" w:pos="360"/>
      </w:tabs>
      <w:outlineLvl w:val="4"/>
    </w:pPr>
  </w:style>
  <w:style w:type="paragraph" w:customStyle="1" w:styleId="84">
    <w:name w:val="二级条标题"/>
    <w:basedOn w:val="85"/>
    <w:next w:val="1"/>
    <w:autoRedefine/>
    <w:qFormat/>
    <w:uiPriority w:val="0"/>
    <w:pPr>
      <w:tabs>
        <w:tab w:val="left" w:pos="360"/>
      </w:tabs>
      <w:outlineLvl w:val="3"/>
    </w:pPr>
  </w:style>
  <w:style w:type="paragraph" w:customStyle="1" w:styleId="85">
    <w:name w:val="一级条标题"/>
    <w:basedOn w:val="86"/>
    <w:next w:val="1"/>
    <w:autoRedefine/>
    <w:qFormat/>
    <w:uiPriority w:val="0"/>
    <w:pPr>
      <w:tabs>
        <w:tab w:val="left" w:pos="360"/>
      </w:tabs>
      <w:spacing w:beforeLines="0" w:afterLines="0"/>
      <w:outlineLvl w:val="2"/>
    </w:pPr>
  </w:style>
  <w:style w:type="paragraph" w:customStyle="1" w:styleId="86">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87">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88">
    <w:name w:val="Char Char Char"/>
    <w:basedOn w:val="1"/>
    <w:autoRedefine/>
    <w:qFormat/>
    <w:uiPriority w:val="0"/>
  </w:style>
  <w:style w:type="paragraph" w:customStyle="1" w:styleId="89">
    <w:name w:val="Char Char Char Char Char Char Char Char Char Char Char Char1 Char"/>
    <w:basedOn w:val="17"/>
    <w:autoRedefine/>
    <w:qFormat/>
    <w:uiPriority w:val="0"/>
    <w:pPr>
      <w:spacing w:afterLines="0" w:line="240" w:lineRule="auto"/>
      <w:ind w:firstLine="0" w:firstLineChars="0"/>
    </w:pPr>
    <w:rPr>
      <w:rFonts w:ascii="Tahoma" w:hAnsi="Tahoma"/>
    </w:rPr>
  </w:style>
  <w:style w:type="paragraph" w:customStyle="1" w:styleId="90">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91">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92">
    <w:name w:val="_标题6"/>
    <w:basedOn w:val="8"/>
    <w:next w:val="93"/>
    <w:autoRedefine/>
    <w:qFormat/>
    <w:uiPriority w:val="0"/>
    <w:pPr>
      <w:ind w:left="4820" w:hanging="4820" w:firstLineChars="0"/>
    </w:pPr>
    <w:rPr>
      <w:rFonts w:ascii="Tahoma" w:hAnsi="Tahoma"/>
      <w:b w:val="0"/>
    </w:rPr>
  </w:style>
  <w:style w:type="paragraph" w:customStyle="1" w:styleId="93">
    <w:name w:val="_正文段落"/>
    <w:basedOn w:val="1"/>
    <w:autoRedefine/>
    <w:qFormat/>
    <w:uiPriority w:val="0"/>
    <w:pPr>
      <w:spacing w:beforeLines="15" w:afterLines="15" w:line="360" w:lineRule="auto"/>
      <w:ind w:firstLine="200" w:firstLineChars="200"/>
    </w:pPr>
  </w:style>
  <w:style w:type="paragraph" w:customStyle="1" w:styleId="94">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95">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6">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97">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98">
    <w:name w:val="CM37"/>
    <w:basedOn w:val="99"/>
    <w:next w:val="99"/>
    <w:autoRedefine/>
    <w:qFormat/>
    <w:uiPriority w:val="0"/>
    <w:pPr>
      <w:spacing w:after="533"/>
    </w:pPr>
    <w:rPr>
      <w:rFonts w:ascii="宋体" w:hAnsi="Times New Roman"/>
      <w:color w:val="auto"/>
    </w:rPr>
  </w:style>
  <w:style w:type="paragraph" w:customStyle="1" w:styleId="99">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100">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01">
    <w:name w:val="_标题3"/>
    <w:basedOn w:val="4"/>
    <w:next w:val="93"/>
    <w:autoRedefine/>
    <w:qFormat/>
    <w:uiPriority w:val="0"/>
    <w:pPr>
      <w:tabs>
        <w:tab w:val="left" w:pos="720"/>
        <w:tab w:val="clear" w:pos="1740"/>
      </w:tabs>
      <w:spacing w:beforeLines="50" w:afterLines="50"/>
      <w:ind w:left="720"/>
    </w:pPr>
    <w:rPr>
      <w:rFonts w:ascii="Arial" w:hAnsi="Arial" w:eastAsia="黑体"/>
      <w:sz w:val="30"/>
    </w:rPr>
  </w:style>
  <w:style w:type="paragraph" w:customStyle="1" w:styleId="102">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103">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104">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105">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06">
    <w:name w:val="Char Char Char Char Char Char"/>
    <w:basedOn w:val="1"/>
    <w:autoRedefine/>
    <w:qFormat/>
    <w:uiPriority w:val="0"/>
    <w:rPr>
      <w:rFonts w:ascii="Tahoma" w:hAnsi="Tahoma"/>
      <w:sz w:val="24"/>
      <w:szCs w:val="20"/>
    </w:rPr>
  </w:style>
  <w:style w:type="paragraph" w:customStyle="1" w:styleId="107">
    <w:name w:val="列出段落11"/>
    <w:basedOn w:val="1"/>
    <w:autoRedefine/>
    <w:qFormat/>
    <w:uiPriority w:val="0"/>
    <w:pPr>
      <w:ind w:firstLine="420" w:firstLineChars="200"/>
    </w:pPr>
    <w:rPr>
      <w:rFonts w:ascii="Calibri" w:hAnsi="Calibri"/>
      <w:szCs w:val="22"/>
    </w:rPr>
  </w:style>
  <w:style w:type="paragraph" w:customStyle="1" w:styleId="108">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09">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10">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11">
    <w:name w:val="图名"/>
    <w:basedOn w:val="1"/>
    <w:autoRedefine/>
    <w:qFormat/>
    <w:uiPriority w:val="0"/>
    <w:pPr>
      <w:spacing w:line="360" w:lineRule="auto"/>
      <w:jc w:val="center"/>
    </w:pPr>
    <w:rPr>
      <w:rFonts w:ascii="黑体" w:eastAsia="黑体"/>
      <w:b/>
      <w:sz w:val="32"/>
      <w:szCs w:val="32"/>
    </w:rPr>
  </w:style>
  <w:style w:type="paragraph" w:customStyle="1" w:styleId="112">
    <w:name w:val="_标题5"/>
    <w:basedOn w:val="7"/>
    <w:next w:val="93"/>
    <w:autoRedefine/>
    <w:qFormat/>
    <w:uiPriority w:val="0"/>
    <w:pPr>
      <w:ind w:left="4253" w:hanging="4253"/>
    </w:pPr>
    <w:rPr>
      <w:rFonts w:ascii="Arial" w:hAnsi="Arial" w:eastAsia="黑体"/>
      <w:b w:val="0"/>
      <w:sz w:val="24"/>
    </w:rPr>
  </w:style>
  <w:style w:type="paragraph" w:customStyle="1" w:styleId="113">
    <w:name w:val="标题 21"/>
    <w:basedOn w:val="1"/>
    <w:autoRedefine/>
    <w:qFormat/>
    <w:uiPriority w:val="0"/>
    <w:pPr>
      <w:spacing w:afterLines="100" w:line="360" w:lineRule="auto"/>
    </w:pPr>
    <w:rPr>
      <w:sz w:val="24"/>
    </w:rPr>
  </w:style>
  <w:style w:type="paragraph" w:customStyle="1" w:styleId="114">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115">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1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17">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18">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119">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2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21">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122">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123">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124">
    <w:name w:val="标题 12"/>
    <w:basedOn w:val="1"/>
    <w:autoRedefine/>
    <w:qFormat/>
    <w:uiPriority w:val="0"/>
    <w:pPr>
      <w:spacing w:afterLines="100" w:line="360" w:lineRule="auto"/>
    </w:pPr>
    <w:rPr>
      <w:sz w:val="24"/>
    </w:rPr>
  </w:style>
  <w:style w:type="paragraph" w:customStyle="1" w:styleId="125">
    <w:name w:val="font9"/>
    <w:basedOn w:val="1"/>
    <w:autoRedefine/>
    <w:qFormat/>
    <w:uiPriority w:val="0"/>
    <w:pPr>
      <w:widowControl/>
      <w:spacing w:before="100" w:beforeAutospacing="1" w:afterAutospacing="1"/>
      <w:jc w:val="left"/>
    </w:pPr>
    <w:rPr>
      <w:kern w:val="0"/>
      <w:sz w:val="20"/>
      <w:szCs w:val="20"/>
    </w:rPr>
  </w:style>
  <w:style w:type="paragraph" w:customStyle="1" w:styleId="126">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127">
    <w:name w:val="p15"/>
    <w:basedOn w:val="1"/>
    <w:autoRedefine/>
    <w:qFormat/>
    <w:uiPriority w:val="0"/>
    <w:pPr>
      <w:widowControl/>
    </w:pPr>
    <w:rPr>
      <w:kern w:val="0"/>
      <w:sz w:val="24"/>
    </w:rPr>
  </w:style>
  <w:style w:type="paragraph" w:customStyle="1" w:styleId="128">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29">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30">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131">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32">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133">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134">
    <w:name w:val="默认段落字体 Para Char"/>
    <w:basedOn w:val="1"/>
    <w:autoRedefine/>
    <w:qFormat/>
    <w:uiPriority w:val="0"/>
    <w:rPr>
      <w:rFonts w:ascii="Tahoma" w:hAnsi="Tahoma"/>
      <w:sz w:val="24"/>
      <w:szCs w:val="20"/>
    </w:rPr>
  </w:style>
  <w:style w:type="paragraph" w:customStyle="1" w:styleId="135">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13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37">
    <w:name w:val="样式 标题 5口H5PIM 5h5Level 3 - iheading 51.1.1.1.1标题 5标ghfhg..."/>
    <w:basedOn w:val="7"/>
    <w:autoRedefine/>
    <w:qFormat/>
    <w:uiPriority w:val="0"/>
    <w:pPr>
      <w:adjustRightInd w:val="0"/>
      <w:spacing w:line="376" w:lineRule="atLeast"/>
      <w:ind w:left="992" w:hanging="420"/>
      <w:textAlignment w:val="baseline"/>
    </w:pPr>
    <w:rPr>
      <w:color w:val="000000"/>
      <w:sz w:val="24"/>
      <w:szCs w:val="20"/>
    </w:rPr>
  </w:style>
  <w:style w:type="paragraph" w:customStyle="1" w:styleId="138">
    <w:name w:val="列出段落2"/>
    <w:basedOn w:val="1"/>
    <w:autoRedefine/>
    <w:qFormat/>
    <w:uiPriority w:val="0"/>
    <w:pPr>
      <w:ind w:firstLine="420" w:firstLineChars="200"/>
    </w:pPr>
    <w:rPr>
      <w:rFonts w:ascii="Calibri" w:hAnsi="Calibri"/>
      <w:szCs w:val="22"/>
    </w:rPr>
  </w:style>
  <w:style w:type="paragraph" w:customStyle="1" w:styleId="139">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140">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41">
    <w:name w:val="标题 31"/>
    <w:basedOn w:val="1"/>
    <w:autoRedefine/>
    <w:qFormat/>
    <w:uiPriority w:val="0"/>
    <w:pPr>
      <w:spacing w:afterLines="100" w:line="360" w:lineRule="auto"/>
    </w:pPr>
    <w:rPr>
      <w:sz w:val="24"/>
    </w:rPr>
  </w:style>
  <w:style w:type="paragraph" w:customStyle="1" w:styleId="142">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43">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144">
    <w:name w:val="项目"/>
    <w:basedOn w:val="93"/>
    <w:autoRedefine/>
    <w:qFormat/>
    <w:uiPriority w:val="0"/>
    <w:pPr>
      <w:spacing w:beforeLines="0" w:afterLines="0"/>
      <w:ind w:firstLine="0" w:firstLineChars="0"/>
    </w:pPr>
    <w:rPr>
      <w:rFonts w:ascii="宋体" w:hAnsi="宋体"/>
      <w:sz w:val="24"/>
    </w:rPr>
  </w:style>
  <w:style w:type="paragraph" w:customStyle="1" w:styleId="145">
    <w:name w:val="_表格文字"/>
    <w:basedOn w:val="1"/>
    <w:autoRedefine/>
    <w:qFormat/>
    <w:uiPriority w:val="0"/>
    <w:pPr>
      <w:spacing w:beforeLines="10" w:afterLines="10"/>
    </w:pPr>
  </w:style>
  <w:style w:type="paragraph" w:customStyle="1" w:styleId="146">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47">
    <w:name w:val="Char"/>
    <w:basedOn w:val="1"/>
    <w:autoRedefine/>
    <w:qFormat/>
    <w:uiPriority w:val="0"/>
    <w:rPr>
      <w:sz w:val="24"/>
    </w:rPr>
  </w:style>
  <w:style w:type="paragraph" w:customStyle="1" w:styleId="148">
    <w:name w:val="样式 标题 5 + 右侧:  -0.18 字符"/>
    <w:basedOn w:val="1"/>
    <w:autoRedefine/>
    <w:qFormat/>
    <w:uiPriority w:val="0"/>
    <w:pPr>
      <w:tabs>
        <w:tab w:val="left" w:pos="1008"/>
      </w:tabs>
      <w:ind w:left="1008" w:hanging="1008"/>
    </w:pPr>
  </w:style>
  <w:style w:type="paragraph" w:customStyle="1" w:styleId="149">
    <w:name w:val="Char Char1 Char"/>
    <w:basedOn w:val="1"/>
    <w:autoRedefine/>
    <w:qFormat/>
    <w:uiPriority w:val="0"/>
    <w:pPr>
      <w:spacing w:line="360" w:lineRule="auto"/>
    </w:pPr>
    <w:rPr>
      <w:rFonts w:ascii="Tahoma" w:hAnsi="Tahoma"/>
      <w:sz w:val="24"/>
      <w:szCs w:val="20"/>
    </w:rPr>
  </w:style>
  <w:style w:type="paragraph" w:customStyle="1" w:styleId="150">
    <w:name w:val="_正文段落加粗"/>
    <w:basedOn w:val="93"/>
    <w:autoRedefine/>
    <w:qFormat/>
    <w:uiPriority w:val="0"/>
    <w:pPr>
      <w:spacing w:beforeLines="0" w:afterLines="0"/>
      <w:ind w:firstLine="480"/>
    </w:pPr>
    <w:rPr>
      <w:b/>
    </w:rPr>
  </w:style>
  <w:style w:type="paragraph" w:customStyle="1" w:styleId="151">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152">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153">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154">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155">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56">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157">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158">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5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60">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161">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62">
    <w:name w:val="Char2"/>
    <w:basedOn w:val="1"/>
    <w:autoRedefine/>
    <w:qFormat/>
    <w:uiPriority w:val="0"/>
    <w:rPr>
      <w:rFonts w:ascii="Tahoma" w:hAnsi="Tahoma"/>
      <w:sz w:val="24"/>
      <w:szCs w:val="20"/>
    </w:rPr>
  </w:style>
  <w:style w:type="paragraph" w:customStyle="1" w:styleId="163">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64">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65">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166">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167">
    <w:name w:val="_标题4"/>
    <w:basedOn w:val="5"/>
    <w:next w:val="93"/>
    <w:autoRedefine/>
    <w:qFormat/>
    <w:uiPriority w:val="0"/>
    <w:pPr>
      <w:tabs>
        <w:tab w:val="left" w:pos="2160"/>
      </w:tabs>
      <w:spacing w:after="0" w:line="372" w:lineRule="auto"/>
      <w:ind w:left="3402" w:hanging="3402"/>
    </w:pPr>
    <w:rPr>
      <w:rFonts w:ascii="Tahoma" w:hAnsi="Tahoma" w:eastAsia="黑体"/>
    </w:rPr>
  </w:style>
  <w:style w:type="paragraph" w:customStyle="1" w:styleId="16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169">
    <w:name w:val="表"/>
    <w:basedOn w:val="1"/>
    <w:next w:val="10"/>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170">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171">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7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73">
    <w:name w:val="公文行文"/>
    <w:basedOn w:val="1"/>
    <w:autoRedefine/>
    <w:qFormat/>
    <w:uiPriority w:val="0"/>
    <w:pPr>
      <w:spacing w:line="360" w:lineRule="auto"/>
      <w:ind w:firstLine="200" w:firstLineChars="200"/>
    </w:pPr>
    <w:rPr>
      <w:rFonts w:eastAsia="仿宋_GB2312"/>
      <w:sz w:val="28"/>
    </w:rPr>
  </w:style>
  <w:style w:type="paragraph" w:customStyle="1" w:styleId="174">
    <w:name w:val="正文首行缩进两字符"/>
    <w:basedOn w:val="1"/>
    <w:autoRedefine/>
    <w:qFormat/>
    <w:uiPriority w:val="0"/>
    <w:pPr>
      <w:spacing w:line="300" w:lineRule="auto"/>
      <w:ind w:firstLine="200" w:firstLineChars="200"/>
    </w:pPr>
    <w:rPr>
      <w:rFonts w:ascii="Arial" w:hAnsi="Arial"/>
      <w:sz w:val="24"/>
    </w:rPr>
  </w:style>
  <w:style w:type="paragraph" w:customStyle="1" w:styleId="175">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176">
    <w:name w:val="_题注"/>
    <w:basedOn w:val="15"/>
    <w:autoRedefine/>
    <w:qFormat/>
    <w:uiPriority w:val="0"/>
    <w:pPr>
      <w:spacing w:before="0" w:afterLines="100"/>
      <w:jc w:val="center"/>
    </w:pPr>
    <w:rPr>
      <w:sz w:val="21"/>
      <w:szCs w:val="24"/>
    </w:rPr>
  </w:style>
  <w:style w:type="paragraph" w:customStyle="1" w:styleId="177">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178">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179">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80">
    <w:name w:val="正文(首行缩进)"/>
    <w:basedOn w:val="1"/>
    <w:autoRedefine/>
    <w:qFormat/>
    <w:uiPriority w:val="0"/>
    <w:pPr>
      <w:spacing w:line="360" w:lineRule="auto"/>
      <w:ind w:firstLine="200" w:firstLineChars="200"/>
    </w:pPr>
    <w:rPr>
      <w:rFonts w:ascii="Arial Narrow" w:hAnsi="Arial Narrow" w:eastAsia="楷体_GB2312"/>
      <w:sz w:val="24"/>
    </w:rPr>
  </w:style>
  <w:style w:type="paragraph" w:customStyle="1" w:styleId="181">
    <w:name w:val="_列表"/>
    <w:basedOn w:val="93"/>
    <w:autoRedefine/>
    <w:qFormat/>
    <w:uiPriority w:val="0"/>
    <w:pPr>
      <w:spacing w:beforeLines="0" w:afterLines="0"/>
    </w:pPr>
    <w:rPr>
      <w:sz w:val="24"/>
    </w:rPr>
  </w:style>
  <w:style w:type="paragraph" w:customStyle="1" w:styleId="182">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83">
    <w:name w:val="标题 11"/>
    <w:basedOn w:val="1"/>
    <w:autoRedefine/>
    <w:qFormat/>
    <w:uiPriority w:val="0"/>
    <w:pPr>
      <w:spacing w:afterLines="100" w:line="360" w:lineRule="auto"/>
    </w:pPr>
    <w:rPr>
      <w:sz w:val="24"/>
    </w:rPr>
  </w:style>
  <w:style w:type="paragraph" w:customStyle="1" w:styleId="184">
    <w:name w:val="新华社正文"/>
    <w:basedOn w:val="1"/>
    <w:autoRedefine/>
    <w:qFormat/>
    <w:uiPriority w:val="0"/>
    <w:pPr>
      <w:snapToGrid w:val="0"/>
      <w:spacing w:line="360" w:lineRule="auto"/>
      <w:ind w:right="-36" w:firstLine="360" w:firstLineChars="150"/>
      <w:jc w:val="left"/>
    </w:pPr>
    <w:rPr>
      <w:rFonts w:ascii="Arial" w:hAnsi="Arial"/>
      <w:sz w:val="24"/>
    </w:rPr>
  </w:style>
  <w:style w:type="paragraph" w:customStyle="1" w:styleId="185">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86">
    <w:name w:val="_标题1"/>
    <w:basedOn w:val="2"/>
    <w:next w:val="93"/>
    <w:autoRedefine/>
    <w:qFormat/>
    <w:uiPriority w:val="0"/>
    <w:pPr>
      <w:tabs>
        <w:tab w:val="left" w:pos="708"/>
        <w:tab w:val="left" w:pos="900"/>
      </w:tabs>
      <w:spacing w:line="576" w:lineRule="auto"/>
      <w:ind w:left="567" w:hanging="567"/>
    </w:pPr>
    <w:rPr>
      <w:rFonts w:ascii="Arial" w:hAnsi="Arial" w:eastAsia="黑体"/>
      <w:b w:val="0"/>
    </w:rPr>
  </w:style>
  <w:style w:type="paragraph" w:customStyle="1" w:styleId="187">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88">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189">
    <w:name w:val="TOC 标题1"/>
    <w:basedOn w:val="2"/>
    <w:next w:val="1"/>
    <w:autoRedefine/>
    <w:qFormat/>
    <w:uiPriority w:val="0"/>
    <w:pPr>
      <w:outlineLvl w:val="9"/>
    </w:pPr>
  </w:style>
  <w:style w:type="paragraph" w:customStyle="1" w:styleId="190">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191">
    <w:name w:val="font7"/>
    <w:basedOn w:val="1"/>
    <w:autoRedefine/>
    <w:qFormat/>
    <w:uiPriority w:val="0"/>
    <w:pPr>
      <w:widowControl/>
      <w:spacing w:before="100" w:beforeAutospacing="1" w:afterAutospacing="1"/>
      <w:jc w:val="left"/>
    </w:pPr>
    <w:rPr>
      <w:rFonts w:ascii="宋体" w:hAnsi="宋体" w:cs="宋体"/>
      <w:kern w:val="0"/>
      <w:sz w:val="20"/>
      <w:szCs w:val="20"/>
    </w:rPr>
  </w:style>
  <w:style w:type="paragraph" w:customStyle="1" w:styleId="192">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3">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194">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195">
    <w:name w:val="_标题2"/>
    <w:basedOn w:val="3"/>
    <w:next w:val="93"/>
    <w:autoRedefine/>
    <w:qFormat/>
    <w:uiPriority w:val="0"/>
    <w:pPr>
      <w:tabs>
        <w:tab w:val="left" w:pos="860"/>
      </w:tabs>
      <w:spacing w:beforeLines="50" w:afterLines="50" w:line="413" w:lineRule="auto"/>
      <w:ind w:left="1418" w:hanging="1418"/>
    </w:pPr>
    <w:rPr>
      <w:rFonts w:ascii="Tahoma" w:hAnsi="Tahoma"/>
    </w:rPr>
  </w:style>
  <w:style w:type="paragraph" w:customStyle="1" w:styleId="196">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197">
    <w:name w:val="_图片"/>
    <w:basedOn w:val="1"/>
    <w:next w:val="93"/>
    <w:autoRedefine/>
    <w:qFormat/>
    <w:uiPriority w:val="0"/>
    <w:pPr>
      <w:spacing w:before="46" w:line="360" w:lineRule="auto"/>
      <w:jc w:val="center"/>
    </w:pPr>
    <w:rPr>
      <w:sz w:val="18"/>
    </w:rPr>
  </w:style>
  <w:style w:type="paragraph" w:customStyle="1" w:styleId="198">
    <w:name w:val="投标文件 正文首行缩进"/>
    <w:basedOn w:val="50"/>
    <w:autoRedefine/>
    <w:qFormat/>
    <w:uiPriority w:val="0"/>
    <w:pPr>
      <w:spacing w:after="220"/>
      <w:ind w:left="0" w:leftChars="0" w:firstLine="200"/>
    </w:pPr>
    <w:rPr>
      <w:rFonts w:ascii="Arial" w:hAnsi="Arial"/>
      <w:sz w:val="21"/>
    </w:rPr>
  </w:style>
  <w:style w:type="paragraph" w:customStyle="1" w:styleId="199">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00">
    <w:name w:val="图"/>
    <w:basedOn w:val="1"/>
    <w:next w:val="10"/>
    <w:autoRedefine/>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201">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202">
    <w:name w:val="正文段"/>
    <w:basedOn w:val="1"/>
    <w:autoRedefine/>
    <w:qFormat/>
    <w:uiPriority w:val="0"/>
    <w:pPr>
      <w:widowControl/>
      <w:snapToGrid w:val="0"/>
      <w:spacing w:afterLines="50"/>
      <w:ind w:firstLine="200" w:firstLineChars="200"/>
    </w:pPr>
    <w:rPr>
      <w:kern w:val="0"/>
      <w:sz w:val="24"/>
      <w:szCs w:val="20"/>
    </w:rPr>
  </w:style>
  <w:style w:type="paragraph" w:customStyle="1" w:styleId="203">
    <w:name w:val="普通正文"/>
    <w:basedOn w:val="1"/>
    <w:autoRedefine/>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204">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05">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06">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207">
    <w:name w:val="表格文字"/>
    <w:basedOn w:val="1"/>
    <w:autoRedefine/>
    <w:qFormat/>
    <w:uiPriority w:val="0"/>
    <w:pPr>
      <w:spacing w:beforeLines="25" w:afterLines="25"/>
      <w:jc w:val="left"/>
    </w:pPr>
    <w:rPr>
      <w:spacing w:val="10"/>
      <w:sz w:val="24"/>
    </w:rPr>
  </w:style>
  <w:style w:type="paragraph" w:customStyle="1" w:styleId="208">
    <w:name w:val="标题 22"/>
    <w:basedOn w:val="1"/>
    <w:autoRedefine/>
    <w:qFormat/>
    <w:uiPriority w:val="0"/>
    <w:pPr>
      <w:spacing w:afterLines="100" w:line="360" w:lineRule="auto"/>
    </w:pPr>
    <w:rPr>
      <w:sz w:val="24"/>
    </w:rPr>
  </w:style>
  <w:style w:type="paragraph" w:customStyle="1" w:styleId="209">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10">
    <w:name w:val="_表格标题"/>
    <w:basedOn w:val="145"/>
    <w:autoRedefine/>
    <w:qFormat/>
    <w:uiPriority w:val="0"/>
    <w:pPr>
      <w:spacing w:beforeLines="30" w:afterLines="30"/>
      <w:jc w:val="center"/>
    </w:pPr>
    <w:rPr>
      <w:b/>
      <w:sz w:val="24"/>
    </w:rPr>
  </w:style>
  <w:style w:type="paragraph" w:customStyle="1" w:styleId="211">
    <w:name w:val="Char Char Char Char Char Char Char Char Char Char Char Char Char Char Char Char"/>
    <w:basedOn w:val="1"/>
    <w:autoRedefine/>
    <w:qFormat/>
    <w:uiPriority w:val="0"/>
    <w:rPr>
      <w:sz w:val="24"/>
    </w:rPr>
  </w:style>
  <w:style w:type="paragraph" w:customStyle="1" w:styleId="212">
    <w:name w:val="xl26"/>
    <w:basedOn w:val="1"/>
    <w:autoRedefine/>
    <w:qFormat/>
    <w:uiPriority w:val="0"/>
    <w:pPr>
      <w:widowControl/>
      <w:spacing w:before="100" w:beforeAutospacing="1" w:afterAutospacing="1"/>
      <w:jc w:val="center"/>
    </w:pPr>
    <w:rPr>
      <w:rFonts w:ascii="宋体" w:hAnsi="宋体"/>
      <w:kern w:val="0"/>
      <w:sz w:val="24"/>
    </w:rPr>
  </w:style>
  <w:style w:type="paragraph" w:customStyle="1" w:styleId="213">
    <w:name w:val="CM13"/>
    <w:basedOn w:val="99"/>
    <w:next w:val="99"/>
    <w:autoRedefine/>
    <w:qFormat/>
    <w:uiPriority w:val="0"/>
    <w:pPr>
      <w:spacing w:line="468" w:lineRule="atLeast"/>
    </w:pPr>
    <w:rPr>
      <w:rFonts w:ascii="宋体" w:hAnsi="Times New Roman"/>
      <w:color w:val="auto"/>
    </w:rPr>
  </w:style>
  <w:style w:type="paragraph" w:customStyle="1" w:styleId="214">
    <w:name w:val="xl32"/>
    <w:basedOn w:val="1"/>
    <w:autoRedefine/>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215">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216">
    <w:name w:val="标题 32"/>
    <w:basedOn w:val="1"/>
    <w:autoRedefine/>
    <w:qFormat/>
    <w:uiPriority w:val="0"/>
    <w:pPr>
      <w:spacing w:afterLines="100" w:line="360" w:lineRule="auto"/>
    </w:pPr>
    <w:rPr>
      <w:sz w:val="24"/>
    </w:rPr>
  </w:style>
  <w:style w:type="paragraph" w:customStyle="1" w:styleId="217">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218">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219">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20">
    <w:name w:val="postmetadata"/>
    <w:basedOn w:val="1"/>
    <w:autoRedefine/>
    <w:qFormat/>
    <w:uiPriority w:val="0"/>
    <w:pPr>
      <w:widowControl/>
      <w:pBdr>
        <w:bottom w:val="single" w:color="DDDDDD" w:sz="6" w:space="12"/>
      </w:pBdr>
      <w:spacing w:before="153"/>
      <w:jc w:val="right"/>
    </w:pPr>
    <w:rPr>
      <w:rFonts w:ascii="宋体" w:hAnsi="宋体" w:cs="宋体"/>
      <w:kern w:val="0"/>
      <w:sz w:val="24"/>
    </w:rPr>
  </w:style>
  <w:style w:type="paragraph" w:customStyle="1" w:styleId="221">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2">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23">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224">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225">
    <w:name w:val="插图"/>
    <w:basedOn w:val="27"/>
    <w:autoRedefine/>
    <w:qFormat/>
    <w:uiPriority w:val="0"/>
    <w:pPr>
      <w:tabs>
        <w:tab w:val="left" w:pos="425"/>
      </w:tabs>
      <w:spacing w:beforeLines="0" w:afterLines="0" w:line="240" w:lineRule="auto"/>
      <w:jc w:val="center"/>
    </w:pPr>
    <w:rPr>
      <w:sz w:val="21"/>
      <w:szCs w:val="21"/>
    </w:rPr>
  </w:style>
  <w:style w:type="paragraph" w:customStyle="1" w:styleId="226">
    <w:name w:val="模板普通正文"/>
    <w:basedOn w:val="21"/>
    <w:autoRedefine/>
    <w:qFormat/>
    <w:uiPriority w:val="0"/>
    <w:pPr>
      <w:spacing w:beforeLines="50" w:line="360" w:lineRule="auto"/>
      <w:ind w:left="0" w:leftChars="0" w:firstLine="490" w:firstLineChars="175"/>
      <w:jc w:val="left"/>
    </w:pPr>
    <w:rPr>
      <w:sz w:val="24"/>
    </w:rPr>
  </w:style>
  <w:style w:type="paragraph" w:customStyle="1" w:styleId="227">
    <w:name w:val="p0"/>
    <w:basedOn w:val="1"/>
    <w:autoRedefine/>
    <w:qFormat/>
    <w:uiPriority w:val="0"/>
    <w:pPr>
      <w:widowControl/>
    </w:pPr>
    <w:rPr>
      <w:rFonts w:ascii="華康辦公用具篇" w:hAnsi="華康辦公用具篇" w:cs="宋体"/>
      <w:kern w:val="0"/>
      <w:szCs w:val="21"/>
    </w:rPr>
  </w:style>
  <w:style w:type="paragraph" w:customStyle="1" w:styleId="228">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229">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30">
    <w:name w:val="Char Char1 Char Char Char Char"/>
    <w:basedOn w:val="17"/>
    <w:autoRedefine/>
    <w:qFormat/>
    <w:uiPriority w:val="0"/>
    <w:pPr>
      <w:spacing w:afterLines="0"/>
      <w:ind w:firstLine="540" w:firstLineChars="0"/>
    </w:pPr>
    <w:rPr>
      <w:rFonts w:eastAsia="仿宋_GB2312"/>
      <w:b/>
      <w:sz w:val="36"/>
      <w:szCs w:val="36"/>
    </w:rPr>
  </w:style>
  <w:style w:type="paragraph" w:customStyle="1" w:styleId="231">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32">
    <w:name w:val="程序段"/>
    <w:basedOn w:val="1"/>
    <w:autoRedefine/>
    <w:qFormat/>
    <w:uiPriority w:val="0"/>
    <w:pPr>
      <w:ind w:firstLine="420" w:firstLineChars="200"/>
    </w:pPr>
    <w:rPr>
      <w:rFonts w:ascii="Courier" w:hAnsi="Courier"/>
    </w:rPr>
  </w:style>
  <w:style w:type="paragraph" w:customStyle="1" w:styleId="233">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34">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35">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36">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237">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38">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239">
    <w:name w:val="列出段落3"/>
    <w:basedOn w:val="1"/>
    <w:autoRedefine/>
    <w:qFormat/>
    <w:uiPriority w:val="0"/>
    <w:pPr>
      <w:ind w:firstLine="420" w:firstLineChars="200"/>
    </w:pPr>
    <w:rPr>
      <w:rFonts w:ascii="Calibri" w:hAnsi="Calibri"/>
      <w:szCs w:val="22"/>
    </w:rPr>
  </w:style>
  <w:style w:type="paragraph" w:customStyle="1" w:styleId="240">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241">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2">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243">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24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45">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46">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47">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24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9">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0">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251">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52">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253">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54">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55">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56">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258">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9">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6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6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62">
    <w:name w:val="xl28"/>
    <w:basedOn w:val="1"/>
    <w:autoRedefine/>
    <w:qFormat/>
    <w:uiPriority w:val="0"/>
    <w:pPr>
      <w:widowControl/>
      <w:spacing w:before="100" w:beforeAutospacing="1" w:afterAutospacing="1"/>
      <w:jc w:val="center"/>
    </w:pPr>
    <w:rPr>
      <w:kern w:val="0"/>
      <w:sz w:val="28"/>
      <w:szCs w:val="28"/>
    </w:rPr>
  </w:style>
  <w:style w:type="paragraph" w:customStyle="1" w:styleId="263">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64">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65">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66">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67">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68">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6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0">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71">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72">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73">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27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75">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276">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277">
    <w:name w:val="table_1stline"/>
    <w:basedOn w:val="1"/>
    <w:autoRedefine/>
    <w:qFormat/>
    <w:uiPriority w:val="0"/>
    <w:pPr>
      <w:widowControl/>
      <w:spacing w:before="120"/>
      <w:jc w:val="left"/>
    </w:pPr>
    <w:rPr>
      <w:rFonts w:eastAsia="MS Mincho"/>
      <w:bCs/>
      <w:kern w:val="0"/>
      <w:sz w:val="20"/>
      <w:szCs w:val="20"/>
    </w:rPr>
  </w:style>
  <w:style w:type="paragraph" w:customStyle="1" w:styleId="278">
    <w:name w:val="table_lines"/>
    <w:basedOn w:val="1"/>
    <w:autoRedefine/>
    <w:qFormat/>
    <w:uiPriority w:val="0"/>
    <w:pPr>
      <w:widowControl/>
      <w:jc w:val="left"/>
    </w:pPr>
    <w:rPr>
      <w:rFonts w:eastAsia="MS Mincho"/>
      <w:kern w:val="0"/>
      <w:sz w:val="20"/>
      <w:szCs w:val="20"/>
    </w:rPr>
  </w:style>
  <w:style w:type="paragraph" w:customStyle="1" w:styleId="279">
    <w:name w:val="正文2"/>
    <w:basedOn w:val="1"/>
    <w:link w:val="396"/>
    <w:autoRedefine/>
    <w:qFormat/>
    <w:uiPriority w:val="0"/>
    <w:pPr>
      <w:spacing w:before="156" w:line="360" w:lineRule="auto"/>
      <w:ind w:firstLine="510" w:firstLineChars="200"/>
    </w:pPr>
    <w:rPr>
      <w:rFonts w:ascii="Calibri" w:hAnsi="Calibri"/>
      <w:kern w:val="0"/>
      <w:sz w:val="24"/>
      <w:szCs w:val="20"/>
    </w:rPr>
  </w:style>
  <w:style w:type="paragraph" w:customStyle="1" w:styleId="280">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1">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82">
    <w:name w:val="Body Text First Indent 21"/>
    <w:basedOn w:val="1"/>
    <w:autoRedefine/>
    <w:qFormat/>
    <w:uiPriority w:val="0"/>
    <w:pPr>
      <w:ind w:left="420" w:leftChars="200" w:firstLine="420"/>
    </w:pPr>
    <w:rPr>
      <w:szCs w:val="21"/>
    </w:rPr>
  </w:style>
  <w:style w:type="paragraph" w:customStyle="1" w:styleId="283">
    <w:name w:val="项目编号"/>
    <w:basedOn w:val="1"/>
    <w:autoRedefine/>
    <w:qFormat/>
    <w:uiPriority w:val="0"/>
    <w:pPr>
      <w:tabs>
        <w:tab w:val="left" w:pos="1440"/>
      </w:tabs>
      <w:spacing w:line="360" w:lineRule="auto"/>
      <w:ind w:left="735" w:firstLine="200" w:firstLineChars="200"/>
    </w:pPr>
    <w:rPr>
      <w:rFonts w:ascii="仿宋_GB2312" w:eastAsia="仿宋_GB2312"/>
      <w:sz w:val="24"/>
    </w:rPr>
  </w:style>
  <w:style w:type="paragraph" w:customStyle="1" w:styleId="284">
    <w:name w:val="修订1"/>
    <w:autoRedefine/>
    <w:hidden/>
    <w:qFormat/>
    <w:uiPriority w:val="0"/>
    <w:rPr>
      <w:rFonts w:ascii="Times New Roman" w:hAnsi="Times New Roman" w:eastAsia="宋体" w:cs="Times New Roman"/>
      <w:kern w:val="2"/>
      <w:sz w:val="21"/>
      <w:szCs w:val="24"/>
      <w:lang w:val="en-US" w:eastAsia="zh-CN" w:bidi="ar-SA"/>
    </w:rPr>
  </w:style>
  <w:style w:type="paragraph" w:customStyle="1" w:styleId="285">
    <w:name w:val="D&amp;L"/>
    <w:basedOn w:val="33"/>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286">
    <w:name w:val="Char Char Char Char Char Char Char1 Char"/>
    <w:basedOn w:val="1"/>
    <w:autoRedefine/>
    <w:qFormat/>
    <w:uiPriority w:val="0"/>
    <w:rPr>
      <w:rFonts w:ascii="Arial" w:hAnsi="Arial" w:cs="Arial"/>
      <w:sz w:val="24"/>
      <w:szCs w:val="20"/>
    </w:rPr>
  </w:style>
  <w:style w:type="paragraph" w:customStyle="1" w:styleId="287">
    <w:name w:val="此正文"/>
    <w:basedOn w:val="1"/>
    <w:autoRedefine/>
    <w:qFormat/>
    <w:uiPriority w:val="0"/>
    <w:pPr>
      <w:spacing w:line="360" w:lineRule="auto"/>
      <w:ind w:firstLine="200" w:firstLineChars="200"/>
    </w:pPr>
    <w:rPr>
      <w:sz w:val="24"/>
    </w:rPr>
  </w:style>
  <w:style w:type="paragraph" w:customStyle="1" w:styleId="288">
    <w:name w:val="p20"/>
    <w:basedOn w:val="1"/>
    <w:autoRedefine/>
    <w:qFormat/>
    <w:uiPriority w:val="0"/>
    <w:pPr>
      <w:spacing w:line="360" w:lineRule="auto"/>
    </w:pPr>
    <w:rPr>
      <w:kern w:val="0"/>
      <w:szCs w:val="21"/>
    </w:rPr>
  </w:style>
  <w:style w:type="paragraph" w:customStyle="1" w:styleId="289">
    <w:name w:val="p16"/>
    <w:basedOn w:val="1"/>
    <w:autoRedefine/>
    <w:qFormat/>
    <w:uiPriority w:val="0"/>
    <w:rPr>
      <w:kern w:val="0"/>
      <w:szCs w:val="21"/>
    </w:rPr>
  </w:style>
  <w:style w:type="paragraph" w:customStyle="1" w:styleId="290">
    <w:name w:val="*正文"/>
    <w:basedOn w:val="1"/>
    <w:autoRedefine/>
    <w:qFormat/>
    <w:uiPriority w:val="0"/>
    <w:pPr>
      <w:widowControl/>
      <w:ind w:firstLine="200" w:firstLineChars="200"/>
    </w:pPr>
    <w:rPr>
      <w:rFonts w:ascii="仿宋_GB2312" w:eastAsia="仿宋_GB2312" w:cs="仿宋_GB2312"/>
      <w:sz w:val="24"/>
    </w:rPr>
  </w:style>
  <w:style w:type="paragraph" w:customStyle="1" w:styleId="291">
    <w:name w:val="正文（首行缩进2字符）"/>
    <w:basedOn w:val="1"/>
    <w:autoRedefine/>
    <w:qFormat/>
    <w:uiPriority w:val="0"/>
    <w:pPr>
      <w:snapToGrid w:val="0"/>
      <w:ind w:firstLine="461" w:firstLineChars="192"/>
    </w:pPr>
    <w:rPr>
      <w:kern w:val="0"/>
      <w:sz w:val="24"/>
      <w:szCs w:val="28"/>
    </w:rPr>
  </w:style>
  <w:style w:type="character" w:customStyle="1" w:styleId="292">
    <w:name w:val="页眉 Char"/>
    <w:link w:val="33"/>
    <w:autoRedefine/>
    <w:qFormat/>
    <w:uiPriority w:val="0"/>
    <w:rPr>
      <w:sz w:val="18"/>
      <w:szCs w:val="18"/>
    </w:rPr>
  </w:style>
  <w:style w:type="character" w:customStyle="1" w:styleId="293">
    <w:name w:val="页脚 Char"/>
    <w:link w:val="32"/>
    <w:autoRedefine/>
    <w:qFormat/>
    <w:uiPriority w:val="0"/>
    <w:rPr>
      <w:sz w:val="18"/>
      <w:szCs w:val="18"/>
    </w:rPr>
  </w:style>
  <w:style w:type="character" w:customStyle="1" w:styleId="294">
    <w:name w:val="标题 3 Char"/>
    <w:link w:val="4"/>
    <w:autoRedefine/>
    <w:qFormat/>
    <w:uiPriority w:val="0"/>
    <w:rPr>
      <w:rFonts w:ascii="Times New Roman" w:hAnsi="Times New Roman" w:eastAsia="宋体" w:cs="Times New Roman"/>
      <w:b/>
      <w:bCs/>
      <w:sz w:val="32"/>
      <w:szCs w:val="32"/>
    </w:rPr>
  </w:style>
  <w:style w:type="character" w:customStyle="1" w:styleId="295">
    <w:name w:val="标题 4 Char"/>
    <w:link w:val="5"/>
    <w:autoRedefine/>
    <w:qFormat/>
    <w:uiPriority w:val="0"/>
    <w:rPr>
      <w:rFonts w:ascii="Cambria" w:hAnsi="Cambria" w:eastAsia="宋体" w:cs="Times New Roman"/>
      <w:b/>
      <w:bCs/>
      <w:sz w:val="28"/>
      <w:szCs w:val="28"/>
    </w:rPr>
  </w:style>
  <w:style w:type="character" w:customStyle="1" w:styleId="296">
    <w:name w:val="标题 5 Char"/>
    <w:link w:val="7"/>
    <w:autoRedefine/>
    <w:qFormat/>
    <w:uiPriority w:val="0"/>
    <w:rPr>
      <w:rFonts w:ascii="Times New Roman" w:hAnsi="Times New Roman" w:eastAsia="宋体" w:cs="Times New Roman"/>
      <w:b/>
      <w:bCs/>
      <w:sz w:val="28"/>
      <w:szCs w:val="28"/>
    </w:rPr>
  </w:style>
  <w:style w:type="character" w:customStyle="1" w:styleId="297">
    <w:name w:val="标题 6 Char"/>
    <w:link w:val="8"/>
    <w:autoRedefine/>
    <w:qFormat/>
    <w:uiPriority w:val="0"/>
    <w:rPr>
      <w:rFonts w:ascii="Arial" w:hAnsi="Arial" w:eastAsia="黑体" w:cs="Times New Roman"/>
      <w:b/>
      <w:bCs/>
      <w:sz w:val="24"/>
      <w:szCs w:val="24"/>
    </w:rPr>
  </w:style>
  <w:style w:type="character" w:customStyle="1" w:styleId="298">
    <w:name w:val="标题 7 Char"/>
    <w:link w:val="9"/>
    <w:autoRedefine/>
    <w:qFormat/>
    <w:uiPriority w:val="0"/>
    <w:rPr>
      <w:rFonts w:ascii="Times New Roman" w:hAnsi="Times New Roman" w:eastAsia="宋体" w:cs="Times New Roman"/>
      <w:b/>
      <w:bCs/>
      <w:sz w:val="24"/>
      <w:szCs w:val="24"/>
    </w:rPr>
  </w:style>
  <w:style w:type="character" w:customStyle="1" w:styleId="299">
    <w:name w:val="标题 8 Char"/>
    <w:link w:val="11"/>
    <w:autoRedefine/>
    <w:qFormat/>
    <w:uiPriority w:val="0"/>
    <w:rPr>
      <w:rFonts w:ascii="Arial" w:hAnsi="Arial" w:eastAsia="黑体" w:cs="Times New Roman"/>
      <w:sz w:val="24"/>
      <w:szCs w:val="24"/>
    </w:rPr>
  </w:style>
  <w:style w:type="character" w:customStyle="1" w:styleId="300">
    <w:name w:val="标题 9 Char"/>
    <w:link w:val="12"/>
    <w:autoRedefine/>
    <w:qFormat/>
    <w:uiPriority w:val="0"/>
    <w:rPr>
      <w:rFonts w:ascii="Arial" w:hAnsi="Arial" w:eastAsia="黑体" w:cs="Times New Roman"/>
      <w:szCs w:val="21"/>
    </w:rPr>
  </w:style>
  <w:style w:type="character" w:customStyle="1" w:styleId="301">
    <w:name w:val="Char Char4"/>
    <w:autoRedefine/>
    <w:qFormat/>
    <w:uiPriority w:val="0"/>
    <w:rPr>
      <w:rFonts w:eastAsia="宋体"/>
      <w:kern w:val="2"/>
      <w:sz w:val="24"/>
      <w:lang w:val="en-US" w:eastAsia="zh-CN" w:bidi="ar-SA"/>
    </w:rPr>
  </w:style>
  <w:style w:type="character" w:customStyle="1" w:styleId="302">
    <w:name w:val="批注框文本 Char"/>
    <w:link w:val="31"/>
    <w:autoRedefine/>
    <w:qFormat/>
    <w:uiPriority w:val="0"/>
    <w:rPr>
      <w:sz w:val="16"/>
      <w:szCs w:val="16"/>
    </w:rPr>
  </w:style>
  <w:style w:type="character" w:customStyle="1" w:styleId="303">
    <w:name w:val="批注框文本 Char1"/>
    <w:autoRedefine/>
    <w:qFormat/>
    <w:uiPriority w:val="0"/>
    <w:rPr>
      <w:rFonts w:ascii="Times New Roman" w:hAnsi="Times New Roman" w:eastAsia="宋体" w:cs="Times New Roman"/>
      <w:sz w:val="18"/>
      <w:szCs w:val="18"/>
    </w:rPr>
  </w:style>
  <w:style w:type="character" w:customStyle="1" w:styleId="304">
    <w:name w:val="正文首行缩进 2 Char"/>
    <w:link w:val="50"/>
    <w:autoRedefine/>
    <w:qFormat/>
    <w:uiPriority w:val="99"/>
    <w:rPr>
      <w:rFonts w:ascii="宋体" w:hAnsi="Courier New"/>
      <w:spacing w:val="-4"/>
      <w:sz w:val="24"/>
      <w:szCs w:val="24"/>
    </w:rPr>
  </w:style>
  <w:style w:type="character" w:customStyle="1" w:styleId="305">
    <w:name w:val="正文文本缩进 Char"/>
    <w:link w:val="21"/>
    <w:autoRedefine/>
    <w:qFormat/>
    <w:uiPriority w:val="0"/>
    <w:rPr>
      <w:rFonts w:ascii="Times New Roman" w:hAnsi="Times New Roman" w:eastAsia="宋体" w:cs="Times New Roman"/>
      <w:szCs w:val="24"/>
    </w:rPr>
  </w:style>
  <w:style w:type="character" w:customStyle="1" w:styleId="306">
    <w:name w:val="正文首行缩进 2 Char1"/>
    <w:autoRedefine/>
    <w:semiHidden/>
    <w:qFormat/>
    <w:uiPriority w:val="99"/>
    <w:rPr>
      <w:rFonts w:ascii="Times New Roman" w:hAnsi="Times New Roman" w:eastAsia="宋体" w:cs="Times New Roman"/>
      <w:szCs w:val="24"/>
    </w:rPr>
  </w:style>
  <w:style w:type="character" w:customStyle="1" w:styleId="307">
    <w:name w:val="投标文件 正文首行缩进 Char"/>
    <w:autoRedefine/>
    <w:qFormat/>
    <w:uiPriority w:val="0"/>
    <w:rPr>
      <w:rFonts w:ascii="Arial" w:hAnsi="Arial" w:eastAsia="宋体"/>
      <w:kern w:val="2"/>
      <w:sz w:val="21"/>
      <w:szCs w:val="24"/>
      <w:lang w:val="en-US" w:eastAsia="zh-CN" w:bidi="ar-SA"/>
    </w:rPr>
  </w:style>
  <w:style w:type="character" w:customStyle="1" w:styleId="308">
    <w:name w:val="_正文段落 Char"/>
    <w:autoRedefine/>
    <w:qFormat/>
    <w:uiPriority w:val="0"/>
    <w:rPr>
      <w:rFonts w:eastAsia="宋体"/>
      <w:kern w:val="2"/>
      <w:sz w:val="21"/>
      <w:szCs w:val="24"/>
      <w:lang w:val="en-US" w:eastAsia="zh-CN" w:bidi="ar-SA"/>
    </w:rPr>
  </w:style>
  <w:style w:type="character" w:customStyle="1" w:styleId="309">
    <w:name w:val="Char Char17"/>
    <w:autoRedefine/>
    <w:qFormat/>
    <w:uiPriority w:val="0"/>
    <w:rPr>
      <w:rFonts w:ascii="Arial" w:hAnsi="Arial" w:eastAsia="黑体"/>
      <w:b/>
      <w:bCs/>
      <w:kern w:val="2"/>
      <w:sz w:val="32"/>
      <w:szCs w:val="32"/>
      <w:lang w:val="en-US" w:eastAsia="zh-CN" w:bidi="ar-SA"/>
    </w:rPr>
  </w:style>
  <w:style w:type="character" w:customStyle="1" w:styleId="310">
    <w:name w:val="Char Char14"/>
    <w:autoRedefine/>
    <w:qFormat/>
    <w:uiPriority w:val="0"/>
    <w:rPr>
      <w:rFonts w:eastAsia="宋体"/>
      <w:b/>
      <w:bCs/>
      <w:kern w:val="2"/>
      <w:sz w:val="28"/>
      <w:szCs w:val="28"/>
      <w:lang w:val="en-US" w:eastAsia="zh-CN" w:bidi="ar-SA"/>
    </w:rPr>
  </w:style>
  <w:style w:type="character" w:customStyle="1" w:styleId="311">
    <w:name w:val="ptt1"/>
    <w:autoRedefine/>
    <w:qFormat/>
    <w:uiPriority w:val="0"/>
    <w:rPr>
      <w:rFonts w:hint="eastAsia" w:ascii="宋体" w:hAnsi="宋体" w:eastAsia="宋体"/>
      <w:sz w:val="18"/>
      <w:szCs w:val="18"/>
    </w:rPr>
  </w:style>
  <w:style w:type="character" w:customStyle="1" w:styleId="312">
    <w:name w:val="脚注文本 Char"/>
    <w:link w:val="38"/>
    <w:autoRedefine/>
    <w:qFormat/>
    <w:uiPriority w:val="99"/>
    <w:rPr>
      <w:sz w:val="18"/>
      <w:szCs w:val="24"/>
    </w:rPr>
  </w:style>
  <w:style w:type="character" w:customStyle="1" w:styleId="313">
    <w:name w:val="脚注文本 Char1"/>
    <w:autoRedefine/>
    <w:semiHidden/>
    <w:qFormat/>
    <w:uiPriority w:val="99"/>
    <w:rPr>
      <w:rFonts w:ascii="Times New Roman" w:hAnsi="Times New Roman" w:eastAsia="宋体" w:cs="Times New Roman"/>
      <w:sz w:val="18"/>
      <w:szCs w:val="18"/>
    </w:rPr>
  </w:style>
  <w:style w:type="character" w:customStyle="1" w:styleId="314">
    <w:name w:val="Char Char18"/>
    <w:autoRedefine/>
    <w:qFormat/>
    <w:uiPriority w:val="0"/>
    <w:rPr>
      <w:rFonts w:eastAsia="宋体"/>
      <w:b/>
      <w:bCs/>
      <w:kern w:val="44"/>
      <w:sz w:val="44"/>
      <w:szCs w:val="44"/>
      <w:lang w:val="en-US" w:eastAsia="zh-CN" w:bidi="ar-SA"/>
    </w:rPr>
  </w:style>
  <w:style w:type="character" w:customStyle="1" w:styleId="315">
    <w:name w:val="font2"/>
    <w:autoRedefine/>
    <w:qFormat/>
    <w:uiPriority w:val="0"/>
  </w:style>
  <w:style w:type="character" w:customStyle="1" w:styleId="316">
    <w:name w:val="缺省文本 Char"/>
    <w:autoRedefine/>
    <w:qFormat/>
    <w:uiPriority w:val="0"/>
    <w:rPr>
      <w:rFonts w:eastAsia="宋体"/>
      <w:sz w:val="24"/>
      <w:lang w:val="en-US" w:eastAsia="zh-CN" w:bidi="ar-SA"/>
    </w:rPr>
  </w:style>
  <w:style w:type="character" w:customStyle="1" w:styleId="317">
    <w:name w:val="HTML 预设格式 Char1"/>
    <w:autoRedefine/>
    <w:semiHidden/>
    <w:qFormat/>
    <w:uiPriority w:val="99"/>
    <w:rPr>
      <w:rFonts w:ascii="Courier New" w:hAnsi="Courier New"/>
      <w:kern w:val="2"/>
    </w:rPr>
  </w:style>
  <w:style w:type="character" w:customStyle="1" w:styleId="318">
    <w:name w:val="Char Char8"/>
    <w:autoRedefine/>
    <w:qFormat/>
    <w:uiPriority w:val="0"/>
    <w:rPr>
      <w:sz w:val="24"/>
    </w:rPr>
  </w:style>
  <w:style w:type="character" w:customStyle="1" w:styleId="319">
    <w:name w:val="Char Char9"/>
    <w:autoRedefine/>
    <w:qFormat/>
    <w:uiPriority w:val="0"/>
    <w:rPr>
      <w:rFonts w:ascii="Arial" w:hAnsi="Arial" w:cs="Arial"/>
      <w:vanish/>
      <w:sz w:val="16"/>
      <w:szCs w:val="16"/>
    </w:rPr>
  </w:style>
  <w:style w:type="character" w:customStyle="1" w:styleId="320">
    <w:name w:val="font31"/>
    <w:autoRedefine/>
    <w:qFormat/>
    <w:uiPriority w:val="0"/>
    <w:rPr>
      <w:rFonts w:hint="default" w:ascii="Times New Roman" w:hAnsi="Times New Roman" w:cs="Times New Roman"/>
      <w:color w:val="FF0000"/>
      <w:sz w:val="24"/>
      <w:szCs w:val="24"/>
      <w:u w:val="none"/>
    </w:rPr>
  </w:style>
  <w:style w:type="character" w:customStyle="1" w:styleId="321">
    <w:name w:val="列出段落 Char"/>
    <w:link w:val="72"/>
    <w:autoRedefine/>
    <w:qFormat/>
    <w:uiPriority w:val="34"/>
    <w:rPr>
      <w:rFonts w:ascii="Calibri" w:hAnsi="Calibri"/>
    </w:rPr>
  </w:style>
  <w:style w:type="character" w:customStyle="1" w:styleId="322">
    <w:name w:val="_标题3 Char"/>
    <w:autoRedefine/>
    <w:qFormat/>
    <w:uiPriority w:val="0"/>
    <w:rPr>
      <w:rFonts w:ascii="Arial" w:hAnsi="Arial" w:eastAsia="黑体"/>
      <w:bCs/>
      <w:kern w:val="2"/>
      <w:sz w:val="30"/>
      <w:szCs w:val="32"/>
      <w:lang w:val="en-US" w:eastAsia="zh-CN" w:bidi="ar-SA"/>
    </w:rPr>
  </w:style>
  <w:style w:type="character" w:customStyle="1" w:styleId="323">
    <w:name w:val="_正文段落加粗 Char"/>
    <w:autoRedefine/>
    <w:qFormat/>
    <w:uiPriority w:val="0"/>
    <w:rPr>
      <w:rFonts w:eastAsia="宋体"/>
      <w:b/>
      <w:kern w:val="2"/>
      <w:sz w:val="21"/>
      <w:szCs w:val="24"/>
      <w:lang w:val="en-US" w:eastAsia="zh-CN" w:bidi="ar-SA"/>
    </w:rPr>
  </w:style>
  <w:style w:type="character" w:customStyle="1" w:styleId="324">
    <w:name w:val="Char Char"/>
    <w:autoRedefine/>
    <w:qFormat/>
    <w:uiPriority w:val="0"/>
    <w:rPr>
      <w:rFonts w:ascii="宋体" w:hAnsi="Courier New"/>
      <w:kern w:val="2"/>
      <w:sz w:val="21"/>
    </w:rPr>
  </w:style>
  <w:style w:type="character" w:customStyle="1" w:styleId="325">
    <w:name w:val="p2"/>
    <w:autoRedefine/>
    <w:qFormat/>
    <w:uiPriority w:val="0"/>
  </w:style>
  <w:style w:type="character" w:customStyle="1" w:styleId="326">
    <w:name w:val="_题注 Char"/>
    <w:autoRedefine/>
    <w:qFormat/>
    <w:uiPriority w:val="0"/>
    <w:rPr>
      <w:rFonts w:ascii="Arial" w:hAnsi="Arial" w:eastAsia="黑体" w:cs="Arial"/>
      <w:kern w:val="2"/>
      <w:sz w:val="21"/>
      <w:lang w:val="en-US" w:eastAsia="zh-CN" w:bidi="ar-SA"/>
    </w:rPr>
  </w:style>
  <w:style w:type="character" w:customStyle="1" w:styleId="327">
    <w:name w:val="正文首行缩进 Char"/>
    <w:link w:val="49"/>
    <w:autoRedefine/>
    <w:qFormat/>
    <w:uiPriority w:val="99"/>
    <w:rPr>
      <w:sz w:val="28"/>
      <w:szCs w:val="24"/>
    </w:rPr>
  </w:style>
  <w:style w:type="character" w:customStyle="1" w:styleId="328">
    <w:name w:val="正文文本 Char"/>
    <w:link w:val="20"/>
    <w:autoRedefine/>
    <w:qFormat/>
    <w:uiPriority w:val="0"/>
    <w:rPr>
      <w:sz w:val="28"/>
      <w:szCs w:val="24"/>
    </w:rPr>
  </w:style>
  <w:style w:type="character" w:customStyle="1" w:styleId="329">
    <w:name w:val="正文文本 Char1"/>
    <w:autoRedefine/>
    <w:qFormat/>
    <w:uiPriority w:val="0"/>
    <w:rPr>
      <w:rFonts w:ascii="Times New Roman" w:hAnsi="Times New Roman" w:eastAsia="宋体" w:cs="Times New Roman"/>
      <w:szCs w:val="24"/>
    </w:rPr>
  </w:style>
  <w:style w:type="character" w:customStyle="1" w:styleId="330">
    <w:name w:val="正文首行缩进 Char1"/>
    <w:autoRedefine/>
    <w:semiHidden/>
    <w:qFormat/>
    <w:uiPriority w:val="99"/>
    <w:rPr>
      <w:rFonts w:ascii="Times New Roman" w:hAnsi="Times New Roman" w:eastAsia="宋体" w:cs="Times New Roman"/>
      <w:szCs w:val="24"/>
    </w:rPr>
  </w:style>
  <w:style w:type="character" w:customStyle="1" w:styleId="331">
    <w:name w:val="样式1 Char Char"/>
    <w:link w:val="73"/>
    <w:autoRedefine/>
    <w:qFormat/>
    <w:uiPriority w:val="0"/>
    <w:rPr>
      <w:rFonts w:ascii="Arial" w:hAnsi="Arial"/>
      <w:szCs w:val="24"/>
    </w:rPr>
  </w:style>
  <w:style w:type="character" w:customStyle="1" w:styleId="332">
    <w:name w:val="正文缩进 Char"/>
    <w:link w:val="6"/>
    <w:autoRedefine/>
    <w:qFormat/>
    <w:uiPriority w:val="0"/>
  </w:style>
  <w:style w:type="character" w:customStyle="1" w:styleId="333">
    <w:name w:val="z-窗体顶端 Char"/>
    <w:link w:val="74"/>
    <w:autoRedefine/>
    <w:qFormat/>
    <w:uiPriority w:val="0"/>
    <w:rPr>
      <w:rFonts w:ascii="Arial" w:hAnsi="Arial" w:cs="Arial"/>
      <w:vanish/>
      <w:sz w:val="16"/>
      <w:szCs w:val="16"/>
    </w:rPr>
  </w:style>
  <w:style w:type="character" w:customStyle="1" w:styleId="334">
    <w:name w:val="z-窗体顶端 Char1"/>
    <w:autoRedefine/>
    <w:semiHidden/>
    <w:qFormat/>
    <w:uiPriority w:val="99"/>
    <w:rPr>
      <w:rFonts w:ascii="Arial" w:hAnsi="Arial" w:eastAsia="宋体" w:cs="Arial"/>
      <w:vanish/>
      <w:sz w:val="16"/>
      <w:szCs w:val="16"/>
    </w:rPr>
  </w:style>
  <w:style w:type="character" w:customStyle="1" w:styleId="335">
    <w:name w:val="z-窗体底端 Char"/>
    <w:link w:val="75"/>
    <w:autoRedefine/>
    <w:qFormat/>
    <w:uiPriority w:val="0"/>
    <w:rPr>
      <w:rFonts w:ascii="Arial" w:hAnsi="Arial" w:cs="Arial"/>
      <w:vanish/>
      <w:sz w:val="16"/>
      <w:szCs w:val="16"/>
    </w:rPr>
  </w:style>
  <w:style w:type="character" w:customStyle="1" w:styleId="336">
    <w:name w:val="z-窗体底端 Char1"/>
    <w:autoRedefine/>
    <w:semiHidden/>
    <w:qFormat/>
    <w:uiPriority w:val="99"/>
    <w:rPr>
      <w:rFonts w:ascii="Arial" w:hAnsi="Arial" w:eastAsia="宋体" w:cs="Arial"/>
      <w:vanish/>
      <w:sz w:val="16"/>
      <w:szCs w:val="16"/>
    </w:rPr>
  </w:style>
  <w:style w:type="character" w:customStyle="1" w:styleId="337">
    <w:name w:val="正文首行缩进两字符 Char"/>
    <w:autoRedefine/>
    <w:qFormat/>
    <w:uiPriority w:val="0"/>
    <w:rPr>
      <w:rFonts w:ascii="Arial" w:hAnsi="Arial"/>
      <w:kern w:val="2"/>
      <w:sz w:val="24"/>
      <w:szCs w:val="24"/>
    </w:rPr>
  </w:style>
  <w:style w:type="character" w:customStyle="1" w:styleId="338">
    <w:name w:val="msonormal"/>
    <w:autoRedefine/>
    <w:qFormat/>
    <w:uiPriority w:val="0"/>
  </w:style>
  <w:style w:type="character" w:customStyle="1" w:styleId="339">
    <w:name w:val="Char Char2"/>
    <w:autoRedefine/>
    <w:qFormat/>
    <w:uiPriority w:val="0"/>
    <w:rPr>
      <w:sz w:val="24"/>
    </w:rPr>
  </w:style>
  <w:style w:type="character" w:customStyle="1" w:styleId="340">
    <w:name w:val="Char Char3"/>
    <w:autoRedefine/>
    <w:qFormat/>
    <w:uiPriority w:val="0"/>
    <w:rPr>
      <w:rFonts w:ascii="宋体" w:hAnsi="宋体" w:cs="宋体"/>
      <w:sz w:val="24"/>
      <w:szCs w:val="24"/>
    </w:rPr>
  </w:style>
  <w:style w:type="character" w:customStyle="1" w:styleId="341">
    <w:name w:val="Char Char5"/>
    <w:autoRedefine/>
    <w:qFormat/>
    <w:uiPriority w:val="0"/>
    <w:rPr>
      <w:rFonts w:ascii="Arial" w:hAnsi="Arial" w:eastAsia="黑体" w:cs="Arial"/>
    </w:rPr>
  </w:style>
  <w:style w:type="character" w:customStyle="1" w:styleId="342">
    <w:name w:val="副标题 Char2"/>
    <w:link w:val="36"/>
    <w:autoRedefine/>
    <w:qFormat/>
    <w:uiPriority w:val="0"/>
    <w:rPr>
      <w:rFonts w:ascii="Cambria" w:hAnsi="Cambria"/>
      <w:b/>
      <w:bCs/>
      <w:kern w:val="28"/>
      <w:sz w:val="32"/>
      <w:szCs w:val="32"/>
    </w:rPr>
  </w:style>
  <w:style w:type="character" w:customStyle="1" w:styleId="343">
    <w:name w:val="副标题 Char1"/>
    <w:autoRedefine/>
    <w:qFormat/>
    <w:uiPriority w:val="11"/>
    <w:rPr>
      <w:rFonts w:ascii="Cambria" w:hAnsi="Cambria" w:eastAsia="宋体" w:cs="Times New Roman"/>
      <w:b/>
      <w:bCs/>
      <w:kern w:val="28"/>
      <w:sz w:val="32"/>
      <w:szCs w:val="32"/>
    </w:rPr>
  </w:style>
  <w:style w:type="character" w:customStyle="1" w:styleId="344">
    <w:name w:val="_标题2 Char"/>
    <w:autoRedefine/>
    <w:qFormat/>
    <w:uiPriority w:val="0"/>
    <w:rPr>
      <w:rFonts w:ascii="Tahoma" w:hAnsi="Tahoma" w:eastAsia="黑体"/>
      <w:bCs/>
      <w:kern w:val="2"/>
      <w:sz w:val="32"/>
      <w:szCs w:val="32"/>
      <w:lang w:val="en-US" w:eastAsia="zh-CN" w:bidi="ar-SA"/>
    </w:rPr>
  </w:style>
  <w:style w:type="character" w:customStyle="1" w:styleId="345">
    <w:name w:val="f14b1"/>
    <w:autoRedefine/>
    <w:qFormat/>
    <w:uiPriority w:val="0"/>
    <w:rPr>
      <w:rFonts w:hint="default" w:ascii="??" w:hAnsi="??"/>
      <w:b/>
      <w:bCs/>
      <w:color w:val="333333"/>
      <w:sz w:val="21"/>
      <w:szCs w:val="21"/>
    </w:rPr>
  </w:style>
  <w:style w:type="character" w:customStyle="1" w:styleId="346">
    <w:name w:val="首行缩进2字符 Char"/>
    <w:autoRedefine/>
    <w:qFormat/>
    <w:uiPriority w:val="0"/>
    <w:rPr>
      <w:rFonts w:eastAsia="宋体"/>
      <w:snapToGrid w:val="0"/>
      <w:sz w:val="21"/>
      <w:szCs w:val="21"/>
      <w:lang w:val="en-US" w:eastAsia="zh-CN" w:bidi="ar-SA"/>
    </w:rPr>
  </w:style>
  <w:style w:type="character" w:customStyle="1" w:styleId="347">
    <w:name w:val="Char Char6"/>
    <w:autoRedefine/>
    <w:qFormat/>
    <w:uiPriority w:val="0"/>
    <w:rPr>
      <w:rFonts w:ascii="Arial" w:hAnsi="Arial" w:cs="Arial"/>
      <w:vanish/>
      <w:sz w:val="16"/>
      <w:szCs w:val="16"/>
    </w:rPr>
  </w:style>
  <w:style w:type="character" w:customStyle="1" w:styleId="348">
    <w:name w:val="文档正文 Char"/>
    <w:autoRedefine/>
    <w:qFormat/>
    <w:uiPriority w:val="0"/>
    <w:rPr>
      <w:rFonts w:eastAsia="宋体"/>
      <w:sz w:val="24"/>
      <w:lang w:val="en-US" w:eastAsia="zh-CN" w:bidi="ar-SA"/>
    </w:rPr>
  </w:style>
  <w:style w:type="character" w:customStyle="1" w:styleId="349">
    <w:name w:val="Char Char11"/>
    <w:autoRedefine/>
    <w:qFormat/>
    <w:uiPriority w:val="0"/>
    <w:rPr>
      <w:rFonts w:ascii="Arial" w:hAnsi="Arial" w:eastAsia="黑体"/>
      <w:sz w:val="24"/>
      <w:szCs w:val="24"/>
      <w:lang w:val="en-US" w:eastAsia="zh-CN" w:bidi="ar-SA"/>
    </w:rPr>
  </w:style>
  <w:style w:type="character" w:customStyle="1" w:styleId="350">
    <w:name w:val="批注文字 Char"/>
    <w:link w:val="18"/>
    <w:autoRedefine/>
    <w:qFormat/>
    <w:uiPriority w:val="0"/>
    <w:rPr>
      <w:sz w:val="24"/>
      <w:szCs w:val="24"/>
    </w:rPr>
  </w:style>
  <w:style w:type="character" w:customStyle="1" w:styleId="351">
    <w:name w:val="批注文字 Char1"/>
    <w:autoRedefine/>
    <w:qFormat/>
    <w:uiPriority w:val="0"/>
    <w:rPr>
      <w:rFonts w:ascii="Times New Roman" w:hAnsi="Times New Roman" w:eastAsia="宋体" w:cs="Times New Roman"/>
      <w:szCs w:val="24"/>
    </w:rPr>
  </w:style>
  <w:style w:type="character" w:customStyle="1" w:styleId="352">
    <w:name w:val="正文文本缩进 3 Char"/>
    <w:link w:val="40"/>
    <w:autoRedefine/>
    <w:qFormat/>
    <w:uiPriority w:val="0"/>
    <w:rPr>
      <w:rFonts w:ascii="仿宋_GB2312" w:hAnsi="宋体" w:eastAsia="仿宋_GB2312"/>
      <w:color w:val="000000"/>
      <w:sz w:val="24"/>
      <w:szCs w:val="24"/>
    </w:rPr>
  </w:style>
  <w:style w:type="character" w:customStyle="1" w:styleId="353">
    <w:name w:val="正文文本缩进 3 Char1"/>
    <w:autoRedefine/>
    <w:qFormat/>
    <w:uiPriority w:val="0"/>
    <w:rPr>
      <w:rFonts w:ascii="Times New Roman" w:hAnsi="Times New Roman" w:eastAsia="宋体" w:cs="Times New Roman"/>
      <w:sz w:val="16"/>
      <w:szCs w:val="16"/>
    </w:rPr>
  </w:style>
  <w:style w:type="character" w:customStyle="1" w:styleId="354">
    <w:name w:val="_表格文字 Char"/>
    <w:autoRedefine/>
    <w:qFormat/>
    <w:uiPriority w:val="0"/>
    <w:rPr>
      <w:rFonts w:eastAsia="宋体"/>
      <w:kern w:val="2"/>
      <w:sz w:val="21"/>
      <w:szCs w:val="24"/>
      <w:lang w:val="en-US" w:eastAsia="zh-CN" w:bidi="ar-SA"/>
    </w:rPr>
  </w:style>
  <w:style w:type="character" w:customStyle="1" w:styleId="355">
    <w:name w:val="正文文本缩进 2 Char"/>
    <w:link w:val="30"/>
    <w:autoRedefine/>
    <w:qFormat/>
    <w:uiPriority w:val="0"/>
    <w:rPr>
      <w:rFonts w:ascii="仿宋_GB2312" w:hAnsi="宋体" w:cs="Arial"/>
      <w:b/>
      <w:bCs/>
      <w:color w:val="000000"/>
      <w:sz w:val="24"/>
      <w:szCs w:val="24"/>
    </w:rPr>
  </w:style>
  <w:style w:type="character" w:customStyle="1" w:styleId="356">
    <w:name w:val="正文文本缩进 2 Char1"/>
    <w:autoRedefine/>
    <w:semiHidden/>
    <w:qFormat/>
    <w:uiPriority w:val="99"/>
    <w:rPr>
      <w:rFonts w:ascii="Times New Roman" w:hAnsi="Times New Roman" w:eastAsia="宋体" w:cs="Times New Roman"/>
      <w:szCs w:val="24"/>
    </w:rPr>
  </w:style>
  <w:style w:type="character" w:customStyle="1" w:styleId="357">
    <w:name w:val="正文文本 2 Char"/>
    <w:link w:val="43"/>
    <w:autoRedefine/>
    <w:qFormat/>
    <w:uiPriority w:val="0"/>
    <w:rPr>
      <w:rFonts w:ascii="宋体" w:hAnsi="宋体"/>
      <w:color w:val="000000"/>
      <w:sz w:val="24"/>
      <w:szCs w:val="24"/>
    </w:rPr>
  </w:style>
  <w:style w:type="character" w:customStyle="1" w:styleId="358">
    <w:name w:val="正文文本 2 Char1"/>
    <w:autoRedefine/>
    <w:semiHidden/>
    <w:qFormat/>
    <w:uiPriority w:val="99"/>
    <w:rPr>
      <w:rFonts w:ascii="Times New Roman" w:hAnsi="Times New Roman" w:eastAsia="宋体" w:cs="Times New Roman"/>
      <w:szCs w:val="24"/>
    </w:rPr>
  </w:style>
  <w:style w:type="character" w:customStyle="1" w:styleId="359">
    <w:name w:val="图 Char Char"/>
    <w:autoRedefine/>
    <w:qFormat/>
    <w:uiPriority w:val="0"/>
    <w:rPr>
      <w:rFonts w:eastAsia="黑体"/>
      <w:b/>
      <w:sz w:val="24"/>
    </w:rPr>
  </w:style>
  <w:style w:type="character" w:customStyle="1" w:styleId="360">
    <w:name w:val="普通文字1 Char"/>
    <w:autoRedefine/>
    <w:qFormat/>
    <w:uiPriority w:val="0"/>
    <w:rPr>
      <w:rFonts w:ascii="宋体" w:hAnsi="Courier New" w:eastAsia="宋体" w:cs="Courier New"/>
      <w:kern w:val="2"/>
      <w:sz w:val="21"/>
      <w:szCs w:val="21"/>
      <w:lang w:val="en-US" w:eastAsia="zh-CN" w:bidi="ar-SA"/>
    </w:rPr>
  </w:style>
  <w:style w:type="character" w:customStyle="1" w:styleId="361">
    <w:name w:val="日期 Char"/>
    <w:link w:val="29"/>
    <w:autoRedefine/>
    <w:qFormat/>
    <w:uiPriority w:val="0"/>
    <w:rPr>
      <w:rFonts w:eastAsia="楷体_GB2312"/>
      <w:sz w:val="32"/>
    </w:rPr>
  </w:style>
  <w:style w:type="character" w:customStyle="1" w:styleId="362">
    <w:name w:val="日期 Char1"/>
    <w:autoRedefine/>
    <w:qFormat/>
    <w:uiPriority w:val="0"/>
    <w:rPr>
      <w:rFonts w:ascii="Times New Roman" w:hAnsi="Times New Roman" w:eastAsia="宋体" w:cs="Times New Roman"/>
      <w:szCs w:val="24"/>
    </w:rPr>
  </w:style>
  <w:style w:type="character" w:customStyle="1" w:styleId="363">
    <w:name w:val="mark13"/>
    <w:basedOn w:val="53"/>
    <w:autoRedefine/>
    <w:qFormat/>
    <w:uiPriority w:val="0"/>
  </w:style>
  <w:style w:type="character" w:customStyle="1" w:styleId="364">
    <w:name w:val="st1"/>
    <w:autoRedefine/>
    <w:qFormat/>
    <w:uiPriority w:val="0"/>
    <w:rPr>
      <w:spacing w:val="240"/>
    </w:rPr>
  </w:style>
  <w:style w:type="character" w:customStyle="1" w:styleId="365">
    <w:name w:val="HTML 预设格式 Char"/>
    <w:link w:val="44"/>
    <w:autoRedefine/>
    <w:semiHidden/>
    <w:qFormat/>
    <w:uiPriority w:val="0"/>
    <w:rPr>
      <w:rFonts w:ascii="宋体" w:hAnsi="宋体" w:cs="宋体"/>
      <w:sz w:val="24"/>
      <w:szCs w:val="24"/>
    </w:rPr>
  </w:style>
  <w:style w:type="character" w:customStyle="1" w:styleId="366">
    <w:name w:val="HTML 预设格式 Char2"/>
    <w:autoRedefine/>
    <w:semiHidden/>
    <w:qFormat/>
    <w:uiPriority w:val="99"/>
    <w:rPr>
      <w:rFonts w:ascii="Courier New" w:hAnsi="Courier New" w:eastAsia="宋体" w:cs="Courier New"/>
      <w:sz w:val="20"/>
      <w:szCs w:val="20"/>
    </w:rPr>
  </w:style>
  <w:style w:type="character" w:customStyle="1" w:styleId="367">
    <w:name w:val="Char Char1"/>
    <w:autoRedefine/>
    <w:qFormat/>
    <w:uiPriority w:val="0"/>
    <w:rPr>
      <w:sz w:val="24"/>
    </w:rPr>
  </w:style>
  <w:style w:type="character" w:customStyle="1" w:styleId="368">
    <w:name w:val="图 Char"/>
    <w:autoRedefine/>
    <w:qFormat/>
    <w:uiPriority w:val="0"/>
    <w:rPr>
      <w:rFonts w:eastAsia="黑体"/>
      <w:b/>
      <w:sz w:val="24"/>
      <w:lang w:val="en-US" w:eastAsia="zh-CN" w:bidi="ar-SA"/>
    </w:rPr>
  </w:style>
  <w:style w:type="character" w:customStyle="1" w:styleId="369">
    <w:name w:val="font61"/>
    <w:autoRedefine/>
    <w:qFormat/>
    <w:uiPriority w:val="0"/>
    <w:rPr>
      <w:rFonts w:hint="eastAsia" w:ascii="宋体" w:hAnsi="宋体" w:eastAsia="宋体" w:cs="宋体"/>
      <w:color w:val="000000"/>
      <w:sz w:val="24"/>
      <w:szCs w:val="24"/>
      <w:u w:val="none"/>
    </w:rPr>
  </w:style>
  <w:style w:type="character" w:customStyle="1" w:styleId="370">
    <w:name w:val="a4red1"/>
    <w:autoRedefine/>
    <w:qFormat/>
    <w:uiPriority w:val="0"/>
    <w:rPr>
      <w:rFonts w:hint="default" w:ascii="Tahoma" w:hAnsi="Tahoma" w:cs="Tahoma"/>
      <w:color w:val="FF3300"/>
      <w:sz w:val="18"/>
      <w:szCs w:val="18"/>
      <w:u w:val="single"/>
    </w:rPr>
  </w:style>
  <w:style w:type="character" w:customStyle="1" w:styleId="371">
    <w:name w:val="Char Char12"/>
    <w:autoRedefine/>
    <w:qFormat/>
    <w:uiPriority w:val="0"/>
    <w:rPr>
      <w:rFonts w:eastAsia="宋体"/>
      <w:b/>
      <w:bCs/>
      <w:sz w:val="24"/>
      <w:szCs w:val="24"/>
      <w:lang w:val="en-US" w:eastAsia="zh-CN" w:bidi="ar-SA"/>
    </w:rPr>
  </w:style>
  <w:style w:type="character" w:customStyle="1" w:styleId="372">
    <w:name w:val="orange"/>
    <w:basedOn w:val="53"/>
    <w:autoRedefine/>
    <w:qFormat/>
    <w:uiPriority w:val="0"/>
  </w:style>
  <w:style w:type="character" w:customStyle="1" w:styleId="373">
    <w:name w:val="font01"/>
    <w:autoRedefine/>
    <w:qFormat/>
    <w:uiPriority w:val="0"/>
    <w:rPr>
      <w:rFonts w:hint="eastAsia" w:ascii="宋体" w:hAnsi="宋体" w:eastAsia="宋体" w:cs="宋体"/>
      <w:color w:val="FF0000"/>
      <w:sz w:val="24"/>
      <w:szCs w:val="24"/>
      <w:u w:val="none"/>
    </w:rPr>
  </w:style>
  <w:style w:type="character" w:customStyle="1" w:styleId="374">
    <w:name w:val="jianju1"/>
    <w:autoRedefine/>
    <w:qFormat/>
    <w:uiPriority w:val="0"/>
    <w:rPr>
      <w:color w:val="000000"/>
      <w:sz w:val="21"/>
      <w:szCs w:val="21"/>
      <w:u w:val="none"/>
    </w:rPr>
  </w:style>
  <w:style w:type="character" w:customStyle="1" w:styleId="375">
    <w:name w:val="fontb5"/>
    <w:basedOn w:val="53"/>
    <w:autoRedefine/>
    <w:qFormat/>
    <w:uiPriority w:val="0"/>
  </w:style>
  <w:style w:type="character" w:customStyle="1" w:styleId="376">
    <w:name w:val="_列表 Char"/>
    <w:autoRedefine/>
    <w:qFormat/>
    <w:uiPriority w:val="0"/>
    <w:rPr>
      <w:kern w:val="2"/>
      <w:sz w:val="24"/>
      <w:szCs w:val="24"/>
    </w:rPr>
  </w:style>
  <w:style w:type="character" w:customStyle="1" w:styleId="377">
    <w:name w:val="纯文本 Char"/>
    <w:link w:val="27"/>
    <w:autoRedefine/>
    <w:qFormat/>
    <w:uiPriority w:val="0"/>
    <w:rPr>
      <w:rFonts w:ascii="宋体" w:hAnsi="Courier New"/>
      <w:sz w:val="24"/>
      <w:szCs w:val="24"/>
    </w:rPr>
  </w:style>
  <w:style w:type="character" w:customStyle="1" w:styleId="378">
    <w:name w:val="纯文本 Char1"/>
    <w:autoRedefine/>
    <w:qFormat/>
    <w:uiPriority w:val="0"/>
    <w:rPr>
      <w:rFonts w:ascii="宋体" w:hAnsi="Courier New" w:eastAsia="宋体" w:cs="Courier New"/>
      <w:szCs w:val="21"/>
    </w:rPr>
  </w:style>
  <w:style w:type="character" w:customStyle="1" w:styleId="379">
    <w:name w:val="Char Char15"/>
    <w:autoRedefine/>
    <w:qFormat/>
    <w:uiPriority w:val="0"/>
    <w:rPr>
      <w:rFonts w:ascii="Arial" w:hAnsi="Arial" w:eastAsia="黑体"/>
      <w:b/>
      <w:bCs/>
      <w:kern w:val="2"/>
      <w:sz w:val="28"/>
      <w:szCs w:val="28"/>
      <w:lang w:val="en-US" w:eastAsia="zh-CN" w:bidi="ar-SA"/>
    </w:rPr>
  </w:style>
  <w:style w:type="character" w:customStyle="1" w:styleId="380">
    <w:name w:val="正文文本 3 Char"/>
    <w:link w:val="19"/>
    <w:autoRedefine/>
    <w:qFormat/>
    <w:uiPriority w:val="0"/>
    <w:rPr>
      <w:rFonts w:hAnsi="宋体" w:eastAsia="仿宋_GB2312"/>
      <w:b/>
      <w:bCs/>
      <w:sz w:val="24"/>
    </w:rPr>
  </w:style>
  <w:style w:type="character" w:customStyle="1" w:styleId="381">
    <w:name w:val="正文文本 3 Char1"/>
    <w:autoRedefine/>
    <w:semiHidden/>
    <w:qFormat/>
    <w:uiPriority w:val="99"/>
    <w:rPr>
      <w:rFonts w:ascii="Times New Roman" w:hAnsi="Times New Roman" w:eastAsia="宋体" w:cs="Times New Roman"/>
      <w:sz w:val="16"/>
      <w:szCs w:val="16"/>
    </w:rPr>
  </w:style>
  <w:style w:type="character" w:customStyle="1" w:styleId="382">
    <w:name w:val="font11"/>
    <w:autoRedefine/>
    <w:qFormat/>
    <w:uiPriority w:val="0"/>
    <w:rPr>
      <w:rFonts w:hint="default" w:ascii="Times New Roman" w:hAnsi="Times New Roman" w:cs="Times New Roman"/>
      <w:color w:val="000000"/>
      <w:sz w:val="24"/>
      <w:szCs w:val="24"/>
      <w:u w:val="none"/>
    </w:rPr>
  </w:style>
  <w:style w:type="character" w:customStyle="1" w:styleId="383">
    <w:name w:val="文档结构图 Char"/>
    <w:link w:val="17"/>
    <w:autoRedefine/>
    <w:qFormat/>
    <w:uiPriority w:val="0"/>
    <w:rPr>
      <w:sz w:val="24"/>
      <w:szCs w:val="24"/>
      <w:shd w:val="clear" w:color="auto" w:fill="000080"/>
    </w:rPr>
  </w:style>
  <w:style w:type="character" w:customStyle="1" w:styleId="384">
    <w:name w:val="文档结构图 Char1"/>
    <w:autoRedefine/>
    <w:qFormat/>
    <w:uiPriority w:val="0"/>
    <w:rPr>
      <w:rFonts w:ascii="宋体" w:hAnsi="Times New Roman" w:eastAsia="宋体" w:cs="Times New Roman"/>
      <w:sz w:val="18"/>
      <w:szCs w:val="18"/>
    </w:rPr>
  </w:style>
  <w:style w:type="character" w:customStyle="1" w:styleId="385">
    <w:name w:val="Char Char13"/>
    <w:autoRedefine/>
    <w:qFormat/>
    <w:uiPriority w:val="0"/>
    <w:rPr>
      <w:rFonts w:ascii="Arial" w:hAnsi="Arial" w:eastAsia="黑体"/>
      <w:b/>
      <w:bCs/>
      <w:kern w:val="2"/>
      <w:sz w:val="24"/>
      <w:szCs w:val="24"/>
      <w:lang w:val="en-US" w:eastAsia="zh-CN" w:bidi="ar-SA"/>
    </w:rPr>
  </w:style>
  <w:style w:type="character" w:customStyle="1" w:styleId="386">
    <w:name w:val="_标题4 Char"/>
    <w:autoRedefine/>
    <w:qFormat/>
    <w:uiPriority w:val="0"/>
    <w:rPr>
      <w:rFonts w:ascii="Tahoma" w:hAnsi="Tahoma" w:eastAsia="黑体"/>
      <w:bCs/>
      <w:kern w:val="2"/>
      <w:sz w:val="28"/>
      <w:szCs w:val="28"/>
      <w:lang w:val="en-US" w:eastAsia="zh-CN" w:bidi="ar-SA"/>
    </w:rPr>
  </w:style>
  <w:style w:type="character" w:customStyle="1" w:styleId="387">
    <w:name w:val="_表格标题 Char"/>
    <w:autoRedefine/>
    <w:qFormat/>
    <w:uiPriority w:val="0"/>
    <w:rPr>
      <w:rFonts w:eastAsia="宋体"/>
      <w:b/>
      <w:kern w:val="2"/>
      <w:sz w:val="24"/>
      <w:szCs w:val="24"/>
      <w:lang w:val="en-US" w:eastAsia="zh-CN" w:bidi="ar-SA"/>
    </w:rPr>
  </w:style>
  <w:style w:type="character" w:customStyle="1" w:styleId="388">
    <w:name w:val="批注主题 Char"/>
    <w:link w:val="48"/>
    <w:autoRedefine/>
    <w:qFormat/>
    <w:uiPriority w:val="0"/>
    <w:rPr>
      <w:b/>
      <w:bCs/>
      <w:sz w:val="24"/>
      <w:szCs w:val="24"/>
    </w:rPr>
  </w:style>
  <w:style w:type="character" w:customStyle="1" w:styleId="389">
    <w:name w:val="批注主题 Char1"/>
    <w:autoRedefine/>
    <w:qFormat/>
    <w:uiPriority w:val="0"/>
    <w:rPr>
      <w:rFonts w:ascii="Times New Roman" w:hAnsi="Times New Roman" w:eastAsia="宋体" w:cs="Times New Roman"/>
      <w:b/>
      <w:bCs/>
      <w:szCs w:val="24"/>
    </w:rPr>
  </w:style>
  <w:style w:type="character" w:customStyle="1" w:styleId="390">
    <w:name w:val="普通正文 Char"/>
    <w:autoRedefine/>
    <w:qFormat/>
    <w:uiPriority w:val="0"/>
    <w:rPr>
      <w:rFonts w:ascii="Arial" w:hAnsi="Arial" w:eastAsia="宋体"/>
      <w:sz w:val="24"/>
      <w:lang w:val="en-US" w:eastAsia="zh-CN" w:bidi="ar-SA"/>
    </w:rPr>
  </w:style>
  <w:style w:type="character" w:customStyle="1" w:styleId="391">
    <w:name w:val="Char Char7"/>
    <w:autoRedefine/>
    <w:qFormat/>
    <w:uiPriority w:val="0"/>
    <w:rPr>
      <w:sz w:val="18"/>
    </w:rPr>
  </w:style>
  <w:style w:type="character" w:customStyle="1" w:styleId="392">
    <w:name w:val="tw4winMark"/>
    <w:autoRedefine/>
    <w:qFormat/>
    <w:uiPriority w:val="0"/>
    <w:rPr>
      <w:rFonts w:ascii="Courier New" w:hAnsi="Courier New" w:cs="Courier New"/>
      <w:vanish/>
      <w:color w:val="800080"/>
      <w:vertAlign w:val="subscript"/>
    </w:rPr>
  </w:style>
  <w:style w:type="character" w:customStyle="1" w:styleId="393">
    <w:name w:val="普通(网站) Char"/>
    <w:link w:val="45"/>
    <w:autoRedefine/>
    <w:qFormat/>
    <w:locked/>
    <w:uiPriority w:val="99"/>
    <w:rPr>
      <w:sz w:val="24"/>
      <w:szCs w:val="24"/>
    </w:rPr>
  </w:style>
  <w:style w:type="character" w:customStyle="1" w:styleId="394">
    <w:name w:val="Char Char16"/>
    <w:autoRedefine/>
    <w:qFormat/>
    <w:uiPriority w:val="0"/>
    <w:rPr>
      <w:rFonts w:eastAsia="宋体"/>
      <w:b/>
      <w:bCs/>
      <w:kern w:val="2"/>
      <w:sz w:val="32"/>
      <w:szCs w:val="32"/>
      <w:lang w:val="en-US" w:eastAsia="zh-CN" w:bidi="ar-SA"/>
    </w:rPr>
  </w:style>
  <w:style w:type="character" w:customStyle="1" w:styleId="395">
    <w:name w:val="3zw1"/>
    <w:autoRedefine/>
    <w:qFormat/>
    <w:uiPriority w:val="0"/>
    <w:rPr>
      <w:color w:val="000000"/>
      <w:sz w:val="21"/>
      <w:szCs w:val="21"/>
    </w:rPr>
  </w:style>
  <w:style w:type="character" w:customStyle="1" w:styleId="396">
    <w:name w:val="正文2 Char Char"/>
    <w:link w:val="279"/>
    <w:autoRedefine/>
    <w:qFormat/>
    <w:uiPriority w:val="0"/>
    <w:rPr>
      <w:sz w:val="24"/>
    </w:rPr>
  </w:style>
  <w:style w:type="character" w:customStyle="1" w:styleId="397">
    <w:name w:val="标题 Char"/>
    <w:link w:val="47"/>
    <w:autoRedefine/>
    <w:qFormat/>
    <w:uiPriority w:val="0"/>
    <w:rPr>
      <w:rFonts w:ascii="Arial" w:hAnsi="Arial" w:eastAsia="仿宋_GB2312"/>
      <w:b/>
      <w:bCs/>
      <w:sz w:val="36"/>
      <w:szCs w:val="32"/>
    </w:rPr>
  </w:style>
  <w:style w:type="character" w:customStyle="1" w:styleId="398">
    <w:name w:val="标题 Char1"/>
    <w:autoRedefine/>
    <w:qFormat/>
    <w:uiPriority w:val="0"/>
    <w:rPr>
      <w:rFonts w:ascii="Cambria" w:hAnsi="Cambria" w:eastAsia="宋体" w:cs="Times New Roman"/>
      <w:b/>
      <w:bCs/>
      <w:sz w:val="32"/>
      <w:szCs w:val="32"/>
    </w:rPr>
  </w:style>
  <w:style w:type="character" w:customStyle="1" w:styleId="399">
    <w:name w:val="font101"/>
    <w:autoRedefine/>
    <w:qFormat/>
    <w:uiPriority w:val="0"/>
    <w:rPr>
      <w:rFonts w:hint="default" w:ascii="Times New Roman" w:hAnsi="Times New Roman" w:cs="Times New Roman"/>
      <w:color w:val="000000"/>
      <w:sz w:val="21"/>
      <w:szCs w:val="21"/>
      <w:u w:val="none"/>
    </w:rPr>
  </w:style>
  <w:style w:type="character" w:customStyle="1" w:styleId="400">
    <w:name w:val="页脚 字符"/>
    <w:autoRedefine/>
    <w:qFormat/>
    <w:uiPriority w:val="99"/>
  </w:style>
  <w:style w:type="character" w:customStyle="1" w:styleId="401">
    <w:name w:val="param-name1"/>
    <w:autoRedefine/>
    <w:qFormat/>
    <w:uiPriority w:val="0"/>
    <w:rPr>
      <w:rFonts w:cs="Times New Roman"/>
      <w:b/>
    </w:rPr>
  </w:style>
  <w:style w:type="character" w:customStyle="1" w:styleId="402">
    <w:name w:val="font91"/>
    <w:autoRedefine/>
    <w:qFormat/>
    <w:uiPriority w:val="0"/>
    <w:rPr>
      <w:rFonts w:hint="eastAsia" w:ascii="宋体" w:hAnsi="宋体" w:eastAsia="宋体" w:cs="宋体"/>
      <w:color w:val="000000"/>
      <w:sz w:val="21"/>
      <w:szCs w:val="21"/>
      <w:u w:val="none"/>
    </w:rPr>
  </w:style>
  <w:style w:type="character" w:customStyle="1" w:styleId="403">
    <w:name w:val="font71"/>
    <w:autoRedefine/>
    <w:qFormat/>
    <w:uiPriority w:val="0"/>
    <w:rPr>
      <w:rFonts w:hint="eastAsia" w:ascii="宋体" w:hAnsi="宋体" w:eastAsia="宋体" w:cs="宋体"/>
      <w:color w:val="000000"/>
      <w:sz w:val="21"/>
      <w:szCs w:val="21"/>
      <w:u w:val="none"/>
    </w:rPr>
  </w:style>
  <w:style w:type="character" w:customStyle="1" w:styleId="404">
    <w:name w:val="15"/>
    <w:autoRedefine/>
    <w:qFormat/>
    <w:uiPriority w:val="0"/>
    <w:rPr>
      <w:rFonts w:hint="eastAsia" w:ascii="宋体" w:hAnsi="宋体" w:eastAsia="宋体" w:cs="宋体"/>
      <w:color w:val="000000"/>
      <w:sz w:val="22"/>
      <w:szCs w:val="22"/>
    </w:rPr>
  </w:style>
  <w:style w:type="character" w:customStyle="1" w:styleId="405">
    <w:name w:val="font21"/>
    <w:autoRedefine/>
    <w:qFormat/>
    <w:uiPriority w:val="0"/>
    <w:rPr>
      <w:rFonts w:ascii="Arial" w:hAnsi="Arial" w:cs="Arial"/>
      <w:color w:val="000000"/>
      <w:sz w:val="21"/>
      <w:szCs w:val="21"/>
      <w:u w:val="none"/>
    </w:rPr>
  </w:style>
  <w:style w:type="character" w:customStyle="1" w:styleId="406">
    <w:name w:val="font161"/>
    <w:autoRedefine/>
    <w:qFormat/>
    <w:uiPriority w:val="0"/>
    <w:rPr>
      <w:rFonts w:hint="default" w:ascii="Times New Roman" w:hAnsi="Times New Roman" w:cs="Times New Roman"/>
      <w:color w:val="000000"/>
      <w:sz w:val="18"/>
      <w:szCs w:val="18"/>
      <w:u w:val="none"/>
    </w:rPr>
  </w:style>
  <w:style w:type="character" w:customStyle="1" w:styleId="407">
    <w:name w:val="font41"/>
    <w:autoRedefine/>
    <w:qFormat/>
    <w:uiPriority w:val="0"/>
    <w:rPr>
      <w:rFonts w:hint="eastAsia" w:ascii="宋体" w:hAnsi="宋体" w:eastAsia="宋体" w:cs="宋体"/>
      <w:color w:val="FF0000"/>
      <w:sz w:val="28"/>
      <w:szCs w:val="28"/>
      <w:u w:val="none"/>
    </w:rPr>
  </w:style>
  <w:style w:type="character" w:customStyle="1" w:styleId="408">
    <w:name w:val="apple-converted-space"/>
    <w:basedOn w:val="53"/>
    <w:autoRedefine/>
    <w:qFormat/>
    <w:uiPriority w:val="0"/>
  </w:style>
  <w:style w:type="character" w:customStyle="1" w:styleId="409">
    <w:name w:val="font151"/>
    <w:autoRedefine/>
    <w:qFormat/>
    <w:uiPriority w:val="0"/>
    <w:rPr>
      <w:rFonts w:hint="default" w:ascii="Times New Roman" w:hAnsi="Times New Roman" w:cs="Times New Roman"/>
      <w:color w:val="000000"/>
      <w:sz w:val="21"/>
      <w:szCs w:val="21"/>
      <w:u w:val="none"/>
    </w:rPr>
  </w:style>
  <w:style w:type="character" w:customStyle="1" w:styleId="410">
    <w:name w:val="fontstyle01"/>
    <w:autoRedefine/>
    <w:qFormat/>
    <w:uiPriority w:val="0"/>
    <w:rPr>
      <w:rFonts w:hint="eastAsia" w:ascii="宋体" w:hAnsi="宋体" w:eastAsia="宋体"/>
      <w:color w:val="000000"/>
      <w:sz w:val="22"/>
      <w:szCs w:val="22"/>
    </w:rPr>
  </w:style>
  <w:style w:type="table" w:customStyle="1" w:styleId="411">
    <w:name w:val="网格型1"/>
    <w:basedOn w:val="51"/>
    <w:autoRedefine/>
    <w:qFormat/>
    <w:uiPriority w:val="39"/>
    <w:rPr>
      <w:rFonts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12">
    <w:name w:val="修订2"/>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13">
    <w:name w:val="列出段落 Char1"/>
    <w:link w:val="69"/>
    <w:autoRedefine/>
    <w:qFormat/>
    <w:uiPriority w:val="34"/>
    <w:rPr>
      <w:rFonts w:ascii="Times New Roman" w:hAnsi="Times New Roman" w:cs="Times New Roman"/>
      <w:kern w:val="2"/>
      <w:sz w:val="21"/>
    </w:rPr>
  </w:style>
  <w:style w:type="character" w:customStyle="1" w:styleId="414">
    <w:name w:val="Unresolved Mention"/>
    <w:basedOn w:val="53"/>
    <w:autoRedefine/>
    <w:semiHidden/>
    <w:unhideWhenUsed/>
    <w:qFormat/>
    <w:uiPriority w:val="99"/>
    <w:rPr>
      <w:color w:val="605E5C"/>
      <w:shd w:val="clear" w:color="auto" w:fill="E1DFDD"/>
    </w:rPr>
  </w:style>
  <w:style w:type="character" w:customStyle="1" w:styleId="415">
    <w:name w:val="bookmark-item"/>
    <w:basedOn w:val="53"/>
    <w:autoRedefine/>
    <w:qFormat/>
    <w:uiPriority w:val="0"/>
  </w:style>
  <w:style w:type="paragraph" w:customStyle="1" w:styleId="416">
    <w:name w:val="GP正文(首行缩进)"/>
    <w:basedOn w:val="1"/>
    <w:autoRedefine/>
    <w:qFormat/>
    <w:uiPriority w:val="0"/>
    <w:pPr>
      <w:autoSpaceDE w:val="0"/>
      <w:autoSpaceDN w:val="0"/>
      <w:spacing w:line="360" w:lineRule="auto"/>
      <w:ind w:firstLine="200" w:firstLineChars="200"/>
      <w:jc w:val="left"/>
    </w:pPr>
    <w:rPr>
      <w:rFonts w:eastAsia="Courier New" w:cs="Courier New"/>
      <w:kern w:val="0"/>
      <w:sz w:val="24"/>
      <w:szCs w:val="21"/>
      <w:lang w:val="zh-CN" w:bidi="zh-CN"/>
    </w:rPr>
  </w:style>
  <w:style w:type="paragraph" w:customStyle="1" w:styleId="417">
    <w:name w:val="修订3"/>
    <w:autoRedefine/>
    <w:hidden/>
    <w:qFormat/>
    <w:uiPriority w:val="0"/>
    <w:rPr>
      <w:rFonts w:ascii="Times New Roman" w:hAnsi="Times New Roman" w:eastAsia="宋体" w:cs="Times New Roman"/>
      <w:kern w:val="2"/>
      <w:sz w:val="21"/>
      <w:szCs w:val="24"/>
      <w:lang w:val="en-US" w:eastAsia="zh-CN" w:bidi="ar-SA"/>
    </w:rPr>
  </w:style>
  <w:style w:type="character" w:customStyle="1" w:styleId="418">
    <w:name w:val="标题 1 字符1"/>
    <w:autoRedefine/>
    <w:qFormat/>
    <w:uiPriority w:val="0"/>
    <w:rPr>
      <w:rFonts w:ascii="Times New Roman" w:hAnsi="Times New Roman" w:eastAsia="宋体" w:cs="Times New Roman"/>
      <w:b/>
      <w:kern w:val="44"/>
      <w:sz w:val="32"/>
      <w:szCs w:val="20"/>
    </w:rPr>
  </w:style>
  <w:style w:type="character" w:customStyle="1" w:styleId="419">
    <w:name w:val="标题 5 字符1"/>
    <w:autoRedefine/>
    <w:qFormat/>
    <w:uiPriority w:val="0"/>
    <w:rPr>
      <w:rFonts w:ascii="Times New Roman" w:hAnsi="Times New Roman" w:eastAsia="宋体" w:cs="Times New Roman"/>
      <w:b/>
      <w:sz w:val="28"/>
      <w:szCs w:val="20"/>
    </w:rPr>
  </w:style>
  <w:style w:type="paragraph" w:customStyle="1" w:styleId="420">
    <w:name w:val="_Style 7"/>
    <w:basedOn w:val="1"/>
    <w:autoRedefine/>
    <w:qFormat/>
    <w:uiPriority w:val="99"/>
    <w:pPr>
      <w:ind w:firstLine="420" w:firstLineChars="200"/>
    </w:pPr>
  </w:style>
  <w:style w:type="character" w:customStyle="1" w:styleId="421">
    <w:name w:val="明显引用 Char"/>
    <w:autoRedefine/>
    <w:qFormat/>
    <w:uiPriority w:val="0"/>
    <w:rPr>
      <w:b/>
      <w:bCs/>
      <w:i/>
      <w:iCs/>
      <w:color w:val="4F81BD"/>
      <w:kern w:val="2"/>
      <w:sz w:val="21"/>
      <w:szCs w:val="22"/>
    </w:rPr>
  </w:style>
  <w:style w:type="character" w:customStyle="1" w:styleId="422">
    <w:name w:val="layui-laypage-curr"/>
    <w:autoRedefine/>
    <w:qFormat/>
    <w:uiPriority w:val="0"/>
  </w:style>
  <w:style w:type="character" w:customStyle="1" w:styleId="423">
    <w:name w:val="next2"/>
    <w:autoRedefine/>
    <w:qFormat/>
    <w:uiPriority w:val="0"/>
    <w:rPr>
      <w:color w:val="888888"/>
    </w:rPr>
  </w:style>
  <w:style w:type="character" w:customStyle="1" w:styleId="424">
    <w:name w:val="hover9"/>
    <w:autoRedefine/>
    <w:qFormat/>
    <w:uiPriority w:val="0"/>
    <w:rPr>
      <w:color w:val="23527C"/>
      <w:shd w:val="clear" w:color="auto" w:fill="EEEEEE"/>
    </w:rPr>
  </w:style>
  <w:style w:type="character" w:customStyle="1" w:styleId="425">
    <w:name w:val="qxdate"/>
    <w:autoRedefine/>
    <w:qFormat/>
    <w:uiPriority w:val="0"/>
    <w:rPr>
      <w:color w:val="333333"/>
      <w:sz w:val="18"/>
      <w:szCs w:val="18"/>
    </w:rPr>
  </w:style>
  <w:style w:type="character" w:customStyle="1" w:styleId="426">
    <w:name w:val="普通文字 Char Char"/>
    <w:autoRedefine/>
    <w:qFormat/>
    <w:uiPriority w:val="0"/>
    <w:rPr>
      <w:rFonts w:ascii="宋体" w:hAnsi="Courier New" w:eastAsia="宋体"/>
      <w:kern w:val="2"/>
      <w:sz w:val="21"/>
      <w:lang w:val="en-US" w:eastAsia="zh-CN" w:bidi="ar-SA"/>
    </w:rPr>
  </w:style>
  <w:style w:type="character" w:customStyle="1" w:styleId="427">
    <w:name w:val="del3"/>
    <w:autoRedefine/>
    <w:qFormat/>
    <w:uiPriority w:val="0"/>
    <w:rPr>
      <w:vanish/>
    </w:rPr>
  </w:style>
  <w:style w:type="character" w:customStyle="1" w:styleId="428">
    <w:name w:val="公告正文 Char Char"/>
    <w:link w:val="429"/>
    <w:autoRedefine/>
    <w:qFormat/>
    <w:uiPriority w:val="0"/>
    <w:rPr>
      <w:rFonts w:ascii="宋体" w:hAnsi="宋体"/>
      <w:kern w:val="2"/>
      <w:sz w:val="24"/>
      <w:szCs w:val="24"/>
    </w:rPr>
  </w:style>
  <w:style w:type="paragraph" w:customStyle="1" w:styleId="429">
    <w:name w:val="公告正文"/>
    <w:basedOn w:val="1"/>
    <w:link w:val="428"/>
    <w:autoRedefine/>
    <w:qFormat/>
    <w:uiPriority w:val="0"/>
    <w:pPr>
      <w:spacing w:line="400" w:lineRule="atLeast"/>
      <w:ind w:firstLine="437"/>
    </w:pPr>
    <w:rPr>
      <w:rFonts w:ascii="宋体" w:hAnsi="宋体" w:cs="Calibri"/>
      <w:sz w:val="24"/>
    </w:rPr>
  </w:style>
  <w:style w:type="character" w:customStyle="1" w:styleId="430">
    <w:name w:val="Blockquote Char Char"/>
    <w:link w:val="431"/>
    <w:autoRedefine/>
    <w:qFormat/>
    <w:uiPriority w:val="0"/>
    <w:rPr>
      <w:sz w:val="24"/>
    </w:rPr>
  </w:style>
  <w:style w:type="paragraph" w:customStyle="1" w:styleId="431">
    <w:name w:val="Blockquote"/>
    <w:basedOn w:val="1"/>
    <w:link w:val="430"/>
    <w:autoRedefine/>
    <w:qFormat/>
    <w:uiPriority w:val="0"/>
    <w:pPr>
      <w:autoSpaceDE w:val="0"/>
      <w:autoSpaceDN w:val="0"/>
      <w:adjustRightInd w:val="0"/>
      <w:spacing w:before="100" w:after="100"/>
      <w:ind w:left="360" w:right="360"/>
      <w:jc w:val="left"/>
    </w:pPr>
    <w:rPr>
      <w:rFonts w:ascii="Calibri" w:hAnsi="Calibri" w:cs="Calibri"/>
      <w:kern w:val="0"/>
      <w:sz w:val="24"/>
      <w:szCs w:val="20"/>
    </w:rPr>
  </w:style>
  <w:style w:type="character" w:customStyle="1" w:styleId="432">
    <w:name w:val="gjfg"/>
    <w:autoRedefine/>
    <w:qFormat/>
    <w:uiPriority w:val="0"/>
  </w:style>
  <w:style w:type="character" w:customStyle="1" w:styleId="433">
    <w:name w:val="textcolor1"/>
    <w:autoRedefine/>
    <w:qFormat/>
    <w:uiPriority w:val="0"/>
    <w:rPr>
      <w:color w:val="FF6600"/>
    </w:rPr>
  </w:style>
  <w:style w:type="character" w:customStyle="1" w:styleId="434">
    <w:name w:val="Char Char61"/>
    <w:autoRedefine/>
    <w:qFormat/>
    <w:uiPriority w:val="0"/>
    <w:rPr>
      <w:rFonts w:eastAsia="宋体"/>
      <w:kern w:val="2"/>
      <w:sz w:val="18"/>
      <w:szCs w:val="18"/>
      <w:lang w:val="en-US" w:eastAsia="zh-CN" w:bidi="ar-SA"/>
    </w:rPr>
  </w:style>
  <w:style w:type="character" w:customStyle="1" w:styleId="435">
    <w:name w:val="font51"/>
    <w:autoRedefine/>
    <w:qFormat/>
    <w:uiPriority w:val="0"/>
    <w:rPr>
      <w:rFonts w:hint="eastAsia" w:ascii="宋体" w:hAnsi="宋体" w:eastAsia="宋体" w:cs="宋体"/>
      <w:color w:val="auto"/>
      <w:sz w:val="20"/>
      <w:szCs w:val="20"/>
      <w:u w:val="none"/>
    </w:rPr>
  </w:style>
  <w:style w:type="character" w:customStyle="1" w:styleId="436">
    <w:name w:val="displayarti"/>
    <w:autoRedefine/>
    <w:qFormat/>
    <w:uiPriority w:val="0"/>
    <w:rPr>
      <w:color w:val="FFFFFF"/>
      <w:shd w:val="clear" w:color="auto" w:fill="A00000"/>
    </w:rPr>
  </w:style>
  <w:style w:type="character" w:customStyle="1" w:styleId="437">
    <w:name w:val="word141"/>
    <w:autoRedefine/>
    <w:qFormat/>
    <w:uiPriority w:val="0"/>
    <w:rPr>
      <w:rFonts w:hint="default" w:ascii="ˎ̥" w:hAnsi="ˎ̥"/>
      <w:sz w:val="21"/>
      <w:szCs w:val="21"/>
    </w:rPr>
  </w:style>
  <w:style w:type="character" w:customStyle="1" w:styleId="438">
    <w:name w:val="redfilefwwh"/>
    <w:autoRedefine/>
    <w:qFormat/>
    <w:uiPriority w:val="0"/>
    <w:rPr>
      <w:color w:val="BA2636"/>
      <w:sz w:val="18"/>
      <w:szCs w:val="18"/>
    </w:rPr>
  </w:style>
  <w:style w:type="character" w:customStyle="1" w:styleId="439">
    <w:name w:val="书籍标题1"/>
    <w:autoRedefine/>
    <w:qFormat/>
    <w:uiPriority w:val="0"/>
    <w:rPr>
      <w:b/>
      <w:bCs/>
      <w:smallCaps/>
      <w:spacing w:val="5"/>
    </w:rPr>
  </w:style>
  <w:style w:type="character" w:customStyle="1" w:styleId="440">
    <w:name w:val="附表 Char Char"/>
    <w:link w:val="441"/>
    <w:autoRedefine/>
    <w:qFormat/>
    <w:uiPriority w:val="0"/>
    <w:rPr>
      <w:rFonts w:ascii="宋体" w:hAnsi="宋体"/>
      <w:b/>
      <w:kern w:val="2"/>
      <w:sz w:val="24"/>
      <w:szCs w:val="24"/>
    </w:rPr>
  </w:style>
  <w:style w:type="paragraph" w:customStyle="1" w:styleId="441">
    <w:name w:val="附表"/>
    <w:basedOn w:val="1"/>
    <w:link w:val="440"/>
    <w:autoRedefine/>
    <w:qFormat/>
    <w:uiPriority w:val="0"/>
    <w:pPr>
      <w:spacing w:line="440" w:lineRule="exact"/>
    </w:pPr>
    <w:rPr>
      <w:rFonts w:ascii="宋体" w:hAnsi="宋体" w:cs="Calibri"/>
      <w:b/>
      <w:sz w:val="24"/>
    </w:rPr>
  </w:style>
  <w:style w:type="character" w:customStyle="1" w:styleId="442">
    <w:name w:val="Char Char181"/>
    <w:autoRedefine/>
    <w:qFormat/>
    <w:uiPriority w:val="0"/>
    <w:rPr>
      <w:rFonts w:eastAsia="宋体"/>
      <w:b/>
      <w:bCs/>
      <w:kern w:val="44"/>
      <w:sz w:val="28"/>
      <w:szCs w:val="44"/>
      <w:lang w:val="en-US" w:eastAsia="zh-CN" w:bidi="ar-SA"/>
    </w:rPr>
  </w:style>
  <w:style w:type="character" w:customStyle="1" w:styleId="443">
    <w:name w:val="16"/>
    <w:autoRedefine/>
    <w:qFormat/>
    <w:uiPriority w:val="0"/>
    <w:rPr>
      <w:rFonts w:hint="default" w:ascii="Times New Roman" w:hAnsi="Times New Roman" w:eastAsia="微软雅黑" w:cs="Times New Roman"/>
      <w:sz w:val="28"/>
      <w:szCs w:val="28"/>
    </w:rPr>
  </w:style>
  <w:style w:type="character" w:customStyle="1" w:styleId="444">
    <w:name w:val="del2"/>
    <w:autoRedefine/>
    <w:qFormat/>
    <w:uiPriority w:val="0"/>
    <w:rPr>
      <w:vanish/>
      <w:color w:val="666666"/>
      <w:sz w:val="18"/>
      <w:szCs w:val="18"/>
      <w:u w:val="single"/>
    </w:rPr>
  </w:style>
  <w:style w:type="character" w:customStyle="1" w:styleId="445">
    <w:name w:val="批注文字 Char Char"/>
    <w:autoRedefine/>
    <w:qFormat/>
    <w:uiPriority w:val="0"/>
    <w:rPr>
      <w:rFonts w:ascii="宋体" w:hAnsi="Times New Roman" w:eastAsia="宋体" w:cs="Times New Roman"/>
      <w:sz w:val="28"/>
      <w:szCs w:val="20"/>
    </w:rPr>
  </w:style>
  <w:style w:type="character" w:customStyle="1" w:styleId="446">
    <w:name w:val="focus1"/>
    <w:autoRedefine/>
    <w:qFormat/>
    <w:uiPriority w:val="0"/>
    <w:rPr>
      <w:color w:val="23527C"/>
      <w:shd w:val="clear" w:color="auto" w:fill="EEEEEE"/>
    </w:rPr>
  </w:style>
  <w:style w:type="character" w:customStyle="1" w:styleId="447">
    <w:name w:val="标题4 Char Char"/>
    <w:link w:val="448"/>
    <w:autoRedefine/>
    <w:qFormat/>
    <w:uiPriority w:val="0"/>
    <w:rPr>
      <w:rFonts w:ascii="Arial" w:hAnsi="Arial"/>
      <w:b/>
      <w:bCs/>
      <w:sz w:val="24"/>
      <w:szCs w:val="32"/>
    </w:rPr>
  </w:style>
  <w:style w:type="paragraph" w:customStyle="1" w:styleId="448">
    <w:name w:val="标题4"/>
    <w:basedOn w:val="3"/>
    <w:next w:val="24"/>
    <w:link w:val="447"/>
    <w:autoRedefine/>
    <w:qFormat/>
    <w:uiPriority w:val="0"/>
    <w:pPr>
      <w:spacing w:line="413" w:lineRule="auto"/>
    </w:pPr>
    <w:rPr>
      <w:rFonts w:eastAsia="宋体" w:cs="Calibri"/>
      <w:sz w:val="24"/>
    </w:rPr>
  </w:style>
  <w:style w:type="character" w:customStyle="1" w:styleId="449">
    <w:name w:val="prev2"/>
    <w:autoRedefine/>
    <w:qFormat/>
    <w:uiPriority w:val="0"/>
    <w:rPr>
      <w:color w:val="888888"/>
    </w:rPr>
  </w:style>
  <w:style w:type="character" w:customStyle="1" w:styleId="450">
    <w:name w:val="del1"/>
    <w:autoRedefine/>
    <w:qFormat/>
    <w:uiPriority w:val="0"/>
  </w:style>
  <w:style w:type="character" w:customStyle="1" w:styleId="451">
    <w:name w:val="明显强调1"/>
    <w:autoRedefine/>
    <w:qFormat/>
    <w:uiPriority w:val="0"/>
    <w:rPr>
      <w:b/>
      <w:bCs/>
      <w:i/>
      <w:iCs/>
      <w:color w:val="4F81BD"/>
    </w:rPr>
  </w:style>
  <w:style w:type="character" w:customStyle="1" w:styleId="452">
    <w:name w:val="Variable"/>
    <w:autoRedefine/>
    <w:qFormat/>
    <w:uiPriority w:val="0"/>
    <w:rPr>
      <w:i/>
    </w:rPr>
  </w:style>
  <w:style w:type="character" w:customStyle="1" w:styleId="453">
    <w:name w:val="引用 Char"/>
    <w:autoRedefine/>
    <w:qFormat/>
    <w:uiPriority w:val="0"/>
    <w:rPr>
      <w:i/>
      <w:iCs/>
      <w:color w:val="000000"/>
      <w:kern w:val="2"/>
      <w:sz w:val="21"/>
      <w:szCs w:val="22"/>
    </w:rPr>
  </w:style>
  <w:style w:type="character" w:customStyle="1" w:styleId="454">
    <w:name w:val="bold"/>
    <w:autoRedefine/>
    <w:qFormat/>
    <w:uiPriority w:val="0"/>
    <w:rPr>
      <w:b/>
    </w:rPr>
  </w:style>
  <w:style w:type="character" w:customStyle="1" w:styleId="455">
    <w:name w:val="publishtime"/>
    <w:autoRedefine/>
    <w:qFormat/>
    <w:uiPriority w:val="0"/>
    <w:rPr>
      <w:color w:val="666666"/>
    </w:rPr>
  </w:style>
  <w:style w:type="character" w:customStyle="1" w:styleId="456">
    <w:name w:val="不明显参考1"/>
    <w:autoRedefine/>
    <w:qFormat/>
    <w:uiPriority w:val="0"/>
    <w:rPr>
      <w:smallCaps/>
      <w:color w:val="C0504D"/>
      <w:u w:val="single"/>
    </w:rPr>
  </w:style>
  <w:style w:type="character" w:customStyle="1" w:styleId="457">
    <w:name w:val="不明显强调1"/>
    <w:autoRedefine/>
    <w:qFormat/>
    <w:uiPriority w:val="0"/>
    <w:rPr>
      <w:i/>
      <w:iCs/>
      <w:color w:val="808080"/>
    </w:rPr>
  </w:style>
  <w:style w:type="character" w:customStyle="1" w:styleId="458">
    <w:name w:val="副标题 Char"/>
    <w:autoRedefine/>
    <w:qFormat/>
    <w:uiPriority w:val="0"/>
    <w:rPr>
      <w:rFonts w:ascii="Cambria" w:hAnsi="Cambria" w:cs="Times New Roman"/>
      <w:b/>
      <w:bCs/>
      <w:kern w:val="28"/>
      <w:sz w:val="32"/>
      <w:szCs w:val="32"/>
    </w:rPr>
  </w:style>
  <w:style w:type="character" w:customStyle="1" w:styleId="459">
    <w:name w:val="明显引用 Char1"/>
    <w:link w:val="460"/>
    <w:autoRedefine/>
    <w:qFormat/>
    <w:uiPriority w:val="0"/>
    <w:rPr>
      <w:rFonts w:eastAsia="黑体"/>
      <w:b/>
      <w:bCs/>
      <w:i/>
      <w:iCs/>
      <w:color w:val="4F81BD"/>
      <w:kern w:val="2"/>
      <w:sz w:val="21"/>
      <w:szCs w:val="22"/>
    </w:rPr>
  </w:style>
  <w:style w:type="paragraph" w:customStyle="1" w:styleId="460">
    <w:name w:val="明显引用1"/>
    <w:basedOn w:val="1"/>
    <w:next w:val="1"/>
    <w:link w:val="459"/>
    <w:autoRedefine/>
    <w:qFormat/>
    <w:uiPriority w:val="0"/>
    <w:pPr>
      <w:pBdr>
        <w:bottom w:val="single" w:color="4F81BD" w:sz="4" w:space="4"/>
      </w:pBdr>
      <w:spacing w:before="200" w:after="280"/>
      <w:ind w:left="936" w:right="936"/>
    </w:pPr>
    <w:rPr>
      <w:rFonts w:ascii="Calibri" w:hAnsi="Calibri" w:eastAsia="黑体" w:cs="Calibri"/>
      <w:b/>
      <w:bCs/>
      <w:i/>
      <w:iCs/>
      <w:color w:val="4F81BD"/>
      <w:szCs w:val="22"/>
    </w:rPr>
  </w:style>
  <w:style w:type="character" w:customStyle="1" w:styleId="461">
    <w:name w:val="apple-style-span"/>
    <w:autoRedefine/>
    <w:qFormat/>
    <w:uiPriority w:val="0"/>
    <w:rPr>
      <w:rFonts w:cs="Times New Roman"/>
    </w:rPr>
  </w:style>
  <w:style w:type="character" w:customStyle="1" w:styleId="462">
    <w:name w:val="prev3"/>
    <w:autoRedefine/>
    <w:qFormat/>
    <w:uiPriority w:val="0"/>
    <w:rPr>
      <w:rFonts w:ascii="微软雅黑" w:hAnsi="微软雅黑" w:eastAsia="微软雅黑" w:cs="微软雅黑"/>
      <w:sz w:val="21"/>
      <w:szCs w:val="21"/>
    </w:rPr>
  </w:style>
  <w:style w:type="character" w:customStyle="1" w:styleId="463">
    <w:name w:val="Char Char21"/>
    <w:autoRedefine/>
    <w:qFormat/>
    <w:uiPriority w:val="0"/>
    <w:rPr>
      <w:rFonts w:ascii="宋体" w:eastAsia="宋体"/>
      <w:kern w:val="2"/>
      <w:sz w:val="21"/>
      <w:lang w:val="en-US" w:eastAsia="zh-CN" w:bidi="ar-SA"/>
    </w:rPr>
  </w:style>
  <w:style w:type="character" w:customStyle="1" w:styleId="464">
    <w:name w:val="redfilenumber"/>
    <w:autoRedefine/>
    <w:qFormat/>
    <w:uiPriority w:val="0"/>
    <w:rPr>
      <w:color w:val="BA2636"/>
      <w:sz w:val="18"/>
      <w:szCs w:val="18"/>
    </w:rPr>
  </w:style>
  <w:style w:type="character" w:customStyle="1" w:styleId="465">
    <w:name w:val="next3"/>
    <w:autoRedefine/>
    <w:qFormat/>
    <w:uiPriority w:val="0"/>
    <w:rPr>
      <w:rFonts w:hint="eastAsia" w:ascii="微软雅黑" w:hAnsi="微软雅黑" w:eastAsia="微软雅黑" w:cs="微软雅黑"/>
      <w:sz w:val="21"/>
      <w:szCs w:val="21"/>
    </w:rPr>
  </w:style>
  <w:style w:type="character" w:customStyle="1" w:styleId="466">
    <w:name w:val="del"/>
    <w:autoRedefine/>
    <w:qFormat/>
    <w:uiPriority w:val="0"/>
    <w:rPr>
      <w:vanish/>
    </w:rPr>
  </w:style>
  <w:style w:type="character" w:customStyle="1" w:styleId="467">
    <w:name w:val="text-overflow"/>
    <w:autoRedefine/>
    <w:qFormat/>
    <w:uiPriority w:val="0"/>
    <w:rPr>
      <w:sz w:val="21"/>
      <w:szCs w:val="21"/>
    </w:rPr>
  </w:style>
  <w:style w:type="character" w:customStyle="1" w:styleId="468">
    <w:name w:val="须知小标题 Char Char"/>
    <w:link w:val="469"/>
    <w:autoRedefine/>
    <w:qFormat/>
    <w:uiPriority w:val="0"/>
    <w:rPr>
      <w:rFonts w:ascii="黑体" w:eastAsia="黑体"/>
      <w:b/>
      <w:kern w:val="2"/>
      <w:sz w:val="28"/>
    </w:rPr>
  </w:style>
  <w:style w:type="paragraph" w:customStyle="1" w:styleId="469">
    <w:name w:val="须知小标题"/>
    <w:basedOn w:val="1"/>
    <w:link w:val="468"/>
    <w:autoRedefine/>
    <w:qFormat/>
    <w:uiPriority w:val="0"/>
    <w:pPr>
      <w:spacing w:line="500" w:lineRule="exact"/>
    </w:pPr>
    <w:rPr>
      <w:rFonts w:ascii="黑体" w:hAnsi="Calibri" w:eastAsia="黑体" w:cs="Calibri"/>
      <w:b/>
      <w:sz w:val="28"/>
      <w:szCs w:val="20"/>
    </w:rPr>
  </w:style>
  <w:style w:type="character" w:customStyle="1" w:styleId="470">
    <w:name w:val="引用 Char1"/>
    <w:link w:val="471"/>
    <w:autoRedefine/>
    <w:qFormat/>
    <w:uiPriority w:val="0"/>
    <w:rPr>
      <w:rFonts w:eastAsia="黑体"/>
      <w:i/>
      <w:iCs/>
      <w:color w:val="000000"/>
      <w:kern w:val="2"/>
      <w:sz w:val="21"/>
      <w:szCs w:val="22"/>
    </w:rPr>
  </w:style>
  <w:style w:type="paragraph" w:customStyle="1" w:styleId="471">
    <w:name w:val="引用1"/>
    <w:basedOn w:val="1"/>
    <w:next w:val="1"/>
    <w:link w:val="470"/>
    <w:autoRedefine/>
    <w:qFormat/>
    <w:uiPriority w:val="0"/>
    <w:rPr>
      <w:rFonts w:ascii="Calibri" w:hAnsi="Calibri" w:eastAsia="黑体" w:cs="Calibri"/>
      <w:i/>
      <w:iCs/>
      <w:color w:val="000000"/>
      <w:szCs w:val="22"/>
    </w:rPr>
  </w:style>
  <w:style w:type="character" w:customStyle="1" w:styleId="472">
    <w:name w:val="标题5 Char Char"/>
    <w:link w:val="473"/>
    <w:autoRedefine/>
    <w:qFormat/>
    <w:uiPriority w:val="0"/>
    <w:rPr>
      <w:rFonts w:ascii="Arial" w:hAnsi="Arial"/>
      <w:b/>
      <w:bCs/>
      <w:sz w:val="24"/>
      <w:szCs w:val="32"/>
    </w:rPr>
  </w:style>
  <w:style w:type="paragraph" w:customStyle="1" w:styleId="473">
    <w:name w:val="标题5"/>
    <w:basedOn w:val="4"/>
    <w:link w:val="472"/>
    <w:autoRedefine/>
    <w:qFormat/>
    <w:uiPriority w:val="0"/>
    <w:pPr>
      <w:tabs>
        <w:tab w:val="clear" w:pos="1740"/>
      </w:tabs>
      <w:spacing w:after="260"/>
      <w:ind w:left="0"/>
    </w:pPr>
    <w:rPr>
      <w:rFonts w:ascii="Arial" w:hAnsi="Arial" w:cs="Calibri"/>
      <w:sz w:val="24"/>
    </w:rPr>
  </w:style>
  <w:style w:type="character" w:customStyle="1" w:styleId="474">
    <w:name w:val="日期 Char2"/>
    <w:autoRedefine/>
    <w:qFormat/>
    <w:uiPriority w:val="0"/>
    <w:rPr>
      <w:kern w:val="2"/>
      <w:sz w:val="21"/>
      <w:szCs w:val="24"/>
    </w:rPr>
  </w:style>
  <w:style w:type="character" w:customStyle="1" w:styleId="475">
    <w:name w:val="明显参考1"/>
    <w:autoRedefine/>
    <w:qFormat/>
    <w:uiPriority w:val="0"/>
    <w:rPr>
      <w:b/>
      <w:bCs/>
      <w:smallCaps/>
      <w:color w:val="C0504D"/>
      <w:spacing w:val="5"/>
      <w:u w:val="single"/>
    </w:rPr>
  </w:style>
  <w:style w:type="character" w:customStyle="1" w:styleId="476">
    <w:name w:val="second-line"/>
    <w:autoRedefine/>
    <w:qFormat/>
    <w:uiPriority w:val="0"/>
    <w:rPr>
      <w:color w:val="727272"/>
    </w:rPr>
  </w:style>
  <w:style w:type="character" w:customStyle="1" w:styleId="477">
    <w:name w:val="textcontents"/>
    <w:autoRedefine/>
    <w:qFormat/>
    <w:uiPriority w:val="0"/>
    <w:rPr>
      <w:rFonts w:cs="Times New Roman"/>
    </w:rPr>
  </w:style>
  <w:style w:type="character" w:customStyle="1" w:styleId="478">
    <w:name w:val="cfdate"/>
    <w:autoRedefine/>
    <w:qFormat/>
    <w:uiPriority w:val="0"/>
    <w:rPr>
      <w:color w:val="333333"/>
      <w:sz w:val="18"/>
      <w:szCs w:val="18"/>
    </w:rPr>
  </w:style>
  <w:style w:type="character" w:customStyle="1" w:styleId="479">
    <w:name w:val="Char Char81"/>
    <w:autoRedefine/>
    <w:qFormat/>
    <w:uiPriority w:val="0"/>
    <w:rPr>
      <w:rFonts w:ascii="宋体" w:eastAsia="宋体"/>
      <w:kern w:val="2"/>
      <w:sz w:val="21"/>
      <w:lang w:val="en-US" w:eastAsia="zh-CN" w:bidi="ar-SA"/>
    </w:rPr>
  </w:style>
  <w:style w:type="paragraph" w:customStyle="1" w:styleId="480">
    <w:name w:val="Other|1"/>
    <w:autoRedefine/>
    <w:qFormat/>
    <w:uiPriority w:val="0"/>
    <w:pPr>
      <w:widowControl w:val="0"/>
      <w:spacing w:line="396" w:lineRule="auto"/>
      <w:ind w:firstLine="400"/>
      <w:jc w:val="both"/>
    </w:pPr>
    <w:rPr>
      <w:rFonts w:ascii="宋体" w:hAnsi="宋体" w:eastAsia="宋体" w:cs="宋体"/>
      <w:kern w:val="2"/>
      <w:sz w:val="30"/>
      <w:szCs w:val="30"/>
      <w:lang w:val="zh-TW" w:eastAsia="zh-TW" w:bidi="zh-TW"/>
    </w:rPr>
  </w:style>
  <w:style w:type="paragraph" w:customStyle="1" w:styleId="481">
    <w:name w:val="前附表"/>
    <w:basedOn w:val="1"/>
    <w:autoRedefine/>
    <w:qFormat/>
    <w:uiPriority w:val="0"/>
    <w:pPr>
      <w:jc w:val="center"/>
    </w:pPr>
    <w:rPr>
      <w:rFonts w:ascii="宋体" w:hAnsi="宋体"/>
      <w:b/>
      <w:sz w:val="32"/>
      <w:szCs w:val="32"/>
    </w:rPr>
  </w:style>
  <w:style w:type="paragraph" w:customStyle="1" w:styleId="482">
    <w:name w:val="样式4"/>
    <w:basedOn w:val="1"/>
    <w:autoRedefine/>
    <w:qFormat/>
    <w:uiPriority w:val="0"/>
    <w:pPr>
      <w:tabs>
        <w:tab w:val="left" w:pos="312"/>
        <w:tab w:val="left" w:pos="720"/>
      </w:tabs>
      <w:spacing w:beforeLines="50" w:line="560" w:lineRule="exact"/>
    </w:pPr>
    <w:rPr>
      <w:rFonts w:ascii="黑体" w:hAnsi="Arial" w:eastAsia="黑体"/>
      <w:b/>
      <w:sz w:val="24"/>
      <w:szCs w:val="20"/>
    </w:rPr>
  </w:style>
  <w:style w:type="paragraph" w:customStyle="1" w:styleId="483">
    <w:name w:val="须知二级小标题"/>
    <w:basedOn w:val="1"/>
    <w:autoRedefine/>
    <w:qFormat/>
    <w:uiPriority w:val="0"/>
    <w:pPr>
      <w:spacing w:line="500" w:lineRule="exact"/>
    </w:pPr>
    <w:rPr>
      <w:rFonts w:ascii="宋体"/>
      <w:b/>
      <w:sz w:val="24"/>
      <w:szCs w:val="20"/>
    </w:rPr>
  </w:style>
  <w:style w:type="paragraph" w:customStyle="1" w:styleId="484">
    <w:name w:val="1"/>
    <w:basedOn w:val="1"/>
    <w:next w:val="21"/>
    <w:autoRedefine/>
    <w:qFormat/>
    <w:uiPriority w:val="0"/>
    <w:pPr>
      <w:spacing w:line="600" w:lineRule="exact"/>
      <w:ind w:firstLine="480"/>
    </w:pPr>
    <w:rPr>
      <w:sz w:val="24"/>
      <w:szCs w:val="20"/>
    </w:rPr>
  </w:style>
  <w:style w:type="paragraph" w:customStyle="1" w:styleId="485">
    <w:name w:val="Table Paragraph"/>
    <w:basedOn w:val="1"/>
    <w:autoRedefine/>
    <w:qFormat/>
    <w:uiPriority w:val="1"/>
  </w:style>
  <w:style w:type="paragraph" w:customStyle="1" w:styleId="486">
    <w:name w:val="列表段落1"/>
    <w:basedOn w:val="1"/>
    <w:autoRedefine/>
    <w:qFormat/>
    <w:uiPriority w:val="99"/>
    <w:pPr>
      <w:ind w:firstLine="420" w:firstLineChars="200"/>
    </w:pPr>
  </w:style>
  <w:style w:type="paragraph" w:customStyle="1" w:styleId="487">
    <w:name w:val="样式 标题 3 + (中文) 黑体 小四 非加粗 段前: 7.8 磅 段后: 0 磅 行距: 固定值 20 磅"/>
    <w:basedOn w:val="4"/>
    <w:autoRedefine/>
    <w:qFormat/>
    <w:uiPriority w:val="0"/>
    <w:pPr>
      <w:tabs>
        <w:tab w:val="clear" w:pos="1740"/>
      </w:tabs>
      <w:spacing w:before="0" w:line="400" w:lineRule="exact"/>
      <w:ind w:left="0"/>
    </w:pPr>
    <w:rPr>
      <w:rFonts w:eastAsia="黑体" w:cs="宋体"/>
      <w:b w:val="0"/>
      <w:bCs w:val="0"/>
      <w:kern w:val="2"/>
      <w:sz w:val="24"/>
      <w:szCs w:val="20"/>
    </w:rPr>
  </w:style>
  <w:style w:type="paragraph" w:customStyle="1" w:styleId="488">
    <w:name w:val="_Style 35"/>
    <w:basedOn w:val="1"/>
    <w:autoRedefine/>
    <w:qFormat/>
    <w:uiPriority w:val="0"/>
  </w:style>
  <w:style w:type="paragraph" w:customStyle="1" w:styleId="489">
    <w:name w:val="_Style 126"/>
    <w:basedOn w:val="1"/>
    <w:next w:val="486"/>
    <w:autoRedefine/>
    <w:qFormat/>
    <w:uiPriority w:val="99"/>
    <w:pPr>
      <w:ind w:firstLine="420" w:firstLineChars="200"/>
    </w:pPr>
  </w:style>
  <w:style w:type="paragraph" w:customStyle="1" w:styleId="49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491">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492">
    <w:name w:val="TOC 标题2"/>
    <w:basedOn w:val="2"/>
    <w:next w:val="1"/>
    <w:autoRedefine/>
    <w:unhideWhenUsed/>
    <w:qFormat/>
    <w:uiPriority w:val="39"/>
    <w:pPr>
      <w:widowControl/>
      <w:tabs>
        <w:tab w:val="left" w:pos="900"/>
      </w:tabs>
      <w:spacing w:before="480" w:after="330" w:line="276" w:lineRule="auto"/>
      <w:ind w:left="900" w:hanging="720"/>
      <w:jc w:val="left"/>
      <w:outlineLvl w:val="9"/>
    </w:pPr>
    <w:rPr>
      <w:rFonts w:hint="eastAsia" w:ascii="Cambria" w:hAnsi="Cambria"/>
      <w:bCs w:val="0"/>
      <w:color w:val="366091"/>
      <w:kern w:val="0"/>
      <w:sz w:val="28"/>
      <w:szCs w:val="28"/>
    </w:rPr>
  </w:style>
  <w:style w:type="paragraph" w:customStyle="1" w:styleId="493">
    <w:name w:val="[Normal]"/>
    <w:autoRedefine/>
    <w:qFormat/>
    <w:uiPriority w:val="0"/>
    <w:rPr>
      <w:rFonts w:ascii="宋体" w:hAnsi="宋体" w:eastAsia="宋体" w:cs="Times New Roman"/>
      <w:sz w:val="24"/>
      <w:szCs w:val="22"/>
      <w:lang w:val="zh-CN" w:eastAsia="zh-CN" w:bidi="ar-SA"/>
    </w:rPr>
  </w:style>
  <w:style w:type="paragraph" w:customStyle="1" w:styleId="494">
    <w:name w:val="Char Char Char Char Char Char Char Char Char Char Char"/>
    <w:basedOn w:val="1"/>
    <w:autoRedefine/>
    <w:qFormat/>
    <w:uiPriority w:val="0"/>
    <w:pPr>
      <w:widowControl/>
      <w:spacing w:after="160" w:line="240" w:lineRule="exact"/>
      <w:jc w:val="left"/>
    </w:pPr>
    <w:rPr>
      <w:rFonts w:ascii="宋体"/>
      <w:kern w:val="0"/>
      <w:sz w:val="34"/>
      <w:szCs w:val="20"/>
    </w:rPr>
  </w:style>
  <w:style w:type="paragraph" w:customStyle="1" w:styleId="495">
    <w:name w:val="HWUC 表格文字"/>
    <w:basedOn w:val="1"/>
    <w:autoRedefine/>
    <w:qFormat/>
    <w:uiPriority w:val="0"/>
    <w:pPr>
      <w:spacing w:before="10" w:after="10" w:line="360" w:lineRule="auto"/>
      <w:jc w:val="center"/>
    </w:pPr>
    <w:rPr>
      <w:rFonts w:ascii="宋体"/>
      <w:spacing w:val="8"/>
      <w:sz w:val="24"/>
    </w:rPr>
  </w:style>
  <w:style w:type="paragraph" w:customStyle="1" w:styleId="496">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97">
    <w:name w:val="flType"/>
    <w:basedOn w:val="1"/>
    <w:autoRedefine/>
    <w:qFormat/>
    <w:uiPriority w:val="0"/>
    <w:pPr>
      <w:adjustRightInd w:val="0"/>
      <w:spacing w:before="560" w:after="120" w:line="360" w:lineRule="atLeast"/>
      <w:jc w:val="center"/>
      <w:textAlignment w:val="baseline"/>
    </w:pPr>
    <w:rPr>
      <w:rFonts w:ascii="Arial" w:eastAsia="黑体"/>
      <w:kern w:val="0"/>
      <w:sz w:val="28"/>
      <w:szCs w:val="20"/>
    </w:rPr>
  </w:style>
  <w:style w:type="paragraph" w:customStyle="1" w:styleId="498">
    <w:name w:val="卷"/>
    <w:basedOn w:val="1"/>
    <w:autoRedefine/>
    <w:qFormat/>
    <w:uiPriority w:val="0"/>
    <w:pPr>
      <w:spacing w:beforeLines="1000" w:line="360" w:lineRule="auto"/>
      <w:jc w:val="center"/>
    </w:pPr>
    <w:rPr>
      <w:rFonts w:ascii="黑体" w:eastAsia="黑体"/>
      <w:b/>
      <w:sz w:val="48"/>
      <w:szCs w:val="48"/>
    </w:rPr>
  </w:style>
  <w:style w:type="paragraph" w:customStyle="1" w:styleId="499">
    <w:name w:val="HWUC 段落正文"/>
    <w:basedOn w:val="1"/>
    <w:autoRedefine/>
    <w:qFormat/>
    <w:uiPriority w:val="0"/>
    <w:pPr>
      <w:spacing w:line="360" w:lineRule="auto"/>
      <w:ind w:firstLine="560" w:firstLineChars="200"/>
    </w:pPr>
    <w:rPr>
      <w:sz w:val="28"/>
      <w:szCs w:val="28"/>
    </w:rPr>
  </w:style>
  <w:style w:type="paragraph" w:customStyle="1" w:styleId="500">
    <w:name w:val="条款节部分"/>
    <w:basedOn w:val="1"/>
    <w:autoRedefine/>
    <w:qFormat/>
    <w:uiPriority w:val="0"/>
    <w:pPr>
      <w:tabs>
        <w:tab w:val="left" w:pos="1455"/>
        <w:tab w:val="left" w:pos="2850"/>
      </w:tabs>
      <w:ind w:left="1455" w:hanging="1455"/>
    </w:pPr>
    <w:rPr>
      <w:rFonts w:eastAsia="仿宋_GB2312"/>
      <w:sz w:val="32"/>
      <w:szCs w:val="32"/>
    </w:rPr>
  </w:style>
  <w:style w:type="paragraph" w:customStyle="1" w:styleId="501">
    <w:name w:val="表格"/>
    <w:basedOn w:val="1"/>
    <w:autoRedefine/>
    <w:qFormat/>
    <w:uiPriority w:val="0"/>
    <w:pPr>
      <w:jc w:val="center"/>
      <w:textAlignment w:val="center"/>
    </w:pPr>
    <w:rPr>
      <w:rFonts w:ascii="华文细黑" w:hAnsi="华文细黑"/>
      <w:kern w:val="0"/>
      <w:szCs w:val="20"/>
    </w:rPr>
  </w:style>
  <w:style w:type="paragraph" w:customStyle="1" w:styleId="502">
    <w:name w:val="正文 Char Char"/>
    <w:basedOn w:val="1"/>
    <w:autoRedefine/>
    <w:qFormat/>
    <w:uiPriority w:val="0"/>
    <w:pPr>
      <w:spacing w:line="360" w:lineRule="auto"/>
      <w:ind w:firstLine="437"/>
    </w:pPr>
    <w:rPr>
      <w:rFonts w:ascii="宋体"/>
      <w:sz w:val="24"/>
    </w:rPr>
  </w:style>
  <w:style w:type="paragraph" w:customStyle="1" w:styleId="503">
    <w:name w:val="Char3"/>
    <w:basedOn w:val="1"/>
    <w:autoRedefine/>
    <w:qFormat/>
    <w:uiPriority w:val="0"/>
  </w:style>
  <w:style w:type="paragraph" w:customStyle="1" w:styleId="504">
    <w:name w:val="纯文本1"/>
    <w:basedOn w:val="1"/>
    <w:autoRedefine/>
    <w:qFormat/>
    <w:uiPriority w:val="0"/>
    <w:pPr>
      <w:adjustRightInd w:val="0"/>
      <w:snapToGrid w:val="0"/>
      <w:spacing w:line="288" w:lineRule="auto"/>
      <w:ind w:firstLine="200" w:firstLineChars="200"/>
      <w:textAlignment w:val="baseline"/>
    </w:pPr>
    <w:rPr>
      <w:rFonts w:ascii="宋体" w:hAnsi="Courier New"/>
      <w:szCs w:val="20"/>
    </w:rPr>
  </w:style>
  <w:style w:type="paragraph" w:customStyle="1" w:styleId="505">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kern w:val="2"/>
      <w:sz w:val="28"/>
      <w:szCs w:val="20"/>
    </w:rPr>
  </w:style>
  <w:style w:type="paragraph" w:customStyle="1" w:styleId="506">
    <w:name w:val="Char1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07">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508">
    <w:name w:val="样式 标题 1 + 黑体 三号 非加粗 居中 段前: 6 磅 段后: 6 磅 行距: 固定值 20 磅"/>
    <w:basedOn w:val="2"/>
    <w:autoRedefine/>
    <w:qFormat/>
    <w:uiPriority w:val="0"/>
    <w:pPr>
      <w:spacing w:before="120" w:after="120" w:line="400" w:lineRule="exact"/>
    </w:pPr>
    <w:rPr>
      <w:rFonts w:ascii="黑体" w:eastAsia="黑体" w:cs="宋体"/>
      <w:b w:val="0"/>
      <w:bCs w:val="0"/>
      <w:sz w:val="32"/>
      <w:szCs w:val="20"/>
    </w:rPr>
  </w:style>
  <w:style w:type="paragraph" w:customStyle="1" w:styleId="509">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510">
    <w:name w:val="Char1 Char Char Char"/>
    <w:basedOn w:val="1"/>
    <w:autoRedefine/>
    <w:qFormat/>
    <w:uiPriority w:val="0"/>
  </w:style>
  <w:style w:type="paragraph" w:customStyle="1" w:styleId="511">
    <w:name w:val="Char Char Char Char Char Char Char"/>
    <w:basedOn w:val="1"/>
    <w:autoRedefine/>
    <w:qFormat/>
    <w:uiPriority w:val="0"/>
  </w:style>
  <w:style w:type="paragraph" w:customStyle="1" w:styleId="512">
    <w:name w:val="blockquot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13">
    <w:name w:val="公告小标题"/>
    <w:basedOn w:val="1"/>
    <w:autoRedefine/>
    <w:qFormat/>
    <w:uiPriority w:val="0"/>
    <w:pPr>
      <w:spacing w:line="500" w:lineRule="exact"/>
    </w:pPr>
    <w:rPr>
      <w:rFonts w:ascii="宋体"/>
      <w:b/>
      <w:sz w:val="24"/>
      <w:szCs w:val="20"/>
    </w:rPr>
  </w:style>
  <w:style w:type="paragraph" w:customStyle="1" w:styleId="514">
    <w:name w:val="章"/>
    <w:basedOn w:val="2"/>
    <w:autoRedefine/>
    <w:qFormat/>
    <w:uiPriority w:val="0"/>
    <w:pPr>
      <w:spacing w:line="340" w:lineRule="exact"/>
    </w:pPr>
    <w:rPr>
      <w:bCs w:val="0"/>
      <w:sz w:val="36"/>
      <w:szCs w:val="20"/>
    </w:rPr>
  </w:style>
  <w:style w:type="paragraph" w:customStyle="1" w:styleId="515">
    <w:name w:val="无间隔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6">
    <w:name w:val="列出段落4"/>
    <w:basedOn w:val="1"/>
    <w:autoRedefine/>
    <w:qFormat/>
    <w:uiPriority w:val="0"/>
    <w:pPr>
      <w:ind w:firstLine="420" w:firstLineChars="200"/>
    </w:pPr>
    <w:rPr>
      <w:rFonts w:ascii="Calibri" w:hAnsi="Calibri"/>
      <w:szCs w:val="21"/>
    </w:rPr>
  </w:style>
  <w:style w:type="paragraph" w:customStyle="1" w:styleId="517">
    <w:name w:val="Char Char Char Char1"/>
    <w:basedOn w:val="1"/>
    <w:autoRedefine/>
    <w:qFormat/>
    <w:uiPriority w:val="0"/>
    <w:pPr>
      <w:widowControl/>
      <w:spacing w:after="160" w:line="240" w:lineRule="exact"/>
      <w:jc w:val="left"/>
    </w:pPr>
    <w:rPr>
      <w:szCs w:val="20"/>
    </w:rPr>
  </w:style>
  <w:style w:type="paragraph" w:customStyle="1" w:styleId="518">
    <w:name w:val="纯文本11"/>
    <w:basedOn w:val="1"/>
    <w:autoRedefine/>
    <w:qFormat/>
    <w:uiPriority w:val="0"/>
    <w:pPr>
      <w:adjustRightInd w:val="0"/>
      <w:snapToGrid w:val="0"/>
      <w:spacing w:line="288" w:lineRule="auto"/>
      <w:ind w:firstLine="200" w:firstLineChars="200"/>
      <w:textAlignment w:val="baseline"/>
    </w:pPr>
    <w:rPr>
      <w:rFonts w:ascii="宋体" w:hAnsi="Courier New"/>
      <w:szCs w:val="20"/>
    </w:rPr>
  </w:style>
  <w:style w:type="paragraph" w:customStyle="1" w:styleId="519">
    <w:name w:val="msolistparagraph"/>
    <w:basedOn w:val="1"/>
    <w:autoRedefine/>
    <w:qFormat/>
    <w:uiPriority w:val="0"/>
    <w:pPr>
      <w:ind w:firstLine="420" w:firstLineChars="200"/>
    </w:pPr>
  </w:style>
  <w:style w:type="paragraph" w:styleId="520">
    <w:name w:val="No Spacing"/>
    <w:autoRedefine/>
    <w:qFormat/>
    <w:uiPriority w:val="1"/>
    <w:pPr>
      <w:widowControl w:val="0"/>
      <w:wordWrap w:val="0"/>
      <w:topLinePunct/>
      <w:jc w:val="both"/>
    </w:pPr>
    <w:rPr>
      <w:rFonts w:ascii="Times New Roman" w:hAnsi="Times New Roman" w:eastAsia="仿宋" w:cs="Times New Roman"/>
      <w:kern w:val="2"/>
      <w:sz w:val="21"/>
      <w:szCs w:val="22"/>
      <w:lang w:val="en-US" w:eastAsia="zh-CN" w:bidi="ar-SA"/>
    </w:rPr>
  </w:style>
  <w:style w:type="character" w:customStyle="1" w:styleId="521">
    <w:name w:val="_Style 6"/>
    <w:autoRedefine/>
    <w:qFormat/>
    <w:uiPriority w:val="0"/>
    <w:rPr>
      <w:smallCaps/>
      <w:color w:val="C0504D"/>
      <w:u w:val="single"/>
    </w:rPr>
  </w:style>
  <w:style w:type="paragraph" w:customStyle="1" w:styleId="522">
    <w:name w:val="_Style 246"/>
    <w:basedOn w:val="21"/>
    <w:next w:val="50"/>
    <w:autoRedefine/>
    <w:unhideWhenUsed/>
    <w:qFormat/>
    <w:uiPriority w:val="0"/>
    <w:pPr>
      <w:spacing w:after="0" w:line="360" w:lineRule="auto"/>
      <w:ind w:left="0" w:leftChars="0" w:firstLine="420" w:firstLineChars="200"/>
    </w:pPr>
    <w:rPr>
      <w:kern w:val="2"/>
      <w:sz w:val="21"/>
    </w:rPr>
  </w:style>
  <w:style w:type="character" w:customStyle="1" w:styleId="523">
    <w:name w:val="ui-icon10"/>
    <w:basedOn w:val="53"/>
    <w:autoRedefine/>
    <w:qFormat/>
    <w:uiPriority w:val="0"/>
  </w:style>
  <w:style w:type="character" w:customStyle="1" w:styleId="524">
    <w:name w:val="hover5"/>
    <w:basedOn w:val="53"/>
    <w:autoRedefine/>
    <w:qFormat/>
    <w:uiPriority w:val="0"/>
    <w:rPr>
      <w:shd w:val="clear" w:color="auto" w:fill="EEEEEE"/>
    </w:rPr>
  </w:style>
  <w:style w:type="character" w:customStyle="1" w:styleId="525">
    <w:name w:val="before"/>
    <w:basedOn w:val="53"/>
    <w:autoRedefine/>
    <w:qFormat/>
    <w:uiPriority w:val="0"/>
    <w:rPr>
      <w:rFonts w:hint="default" w:ascii="FontAwesome" w:hAnsi="FontAwesome" w:eastAsia="FontAwesome" w:cs="FontAwesome"/>
      <w:color w:val="888888"/>
      <w:sz w:val="18"/>
      <w:szCs w:val="18"/>
    </w:rPr>
  </w:style>
  <w:style w:type="character" w:customStyle="1" w:styleId="526">
    <w:name w:val="before1"/>
    <w:basedOn w:val="53"/>
    <w:autoRedefine/>
    <w:qFormat/>
    <w:uiPriority w:val="0"/>
    <w:rPr>
      <w:rFonts w:hint="default" w:ascii="FontAwesome" w:hAnsi="FontAwesome" w:eastAsia="FontAwesome" w:cs="FontAwesome"/>
      <w:color w:val="888888"/>
      <w:sz w:val="18"/>
      <w:szCs w:val="18"/>
    </w:rPr>
  </w:style>
  <w:style w:type="character" w:customStyle="1" w:styleId="527">
    <w:name w:val="input-icon2"/>
    <w:basedOn w:val="53"/>
    <w:autoRedefine/>
    <w:qFormat/>
    <w:uiPriority w:val="0"/>
  </w:style>
  <w:style w:type="character" w:customStyle="1" w:styleId="528">
    <w:name w:val="old"/>
    <w:basedOn w:val="53"/>
    <w:autoRedefine/>
    <w:qFormat/>
    <w:uiPriority w:val="0"/>
    <w:rPr>
      <w:color w:val="999999"/>
    </w:rPr>
  </w:style>
  <w:style w:type="character" w:customStyle="1" w:styleId="529">
    <w:name w:val="ui-jqgrid-resize"/>
    <w:basedOn w:val="53"/>
    <w:autoRedefine/>
    <w:qFormat/>
    <w:uiPriority w:val="0"/>
  </w:style>
  <w:style w:type="character" w:customStyle="1" w:styleId="530">
    <w:name w:val="ui-jqgrid-resize1"/>
    <w:basedOn w:val="53"/>
    <w:autoRedefine/>
    <w:qFormat/>
    <w:uiPriority w:val="0"/>
  </w:style>
  <w:style w:type="paragraph" w:customStyle="1" w:styleId="531">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532">
    <w:name w:val="21"/>
    <w:basedOn w:val="53"/>
    <w:autoRedefine/>
    <w:qFormat/>
    <w:uiPriority w:val="0"/>
    <w:rPr>
      <w:rFonts w:hint="default" w:ascii="Arial" w:hAnsi="Arial" w:cs="Arial"/>
      <w:color w:val="000000"/>
      <w:sz w:val="18"/>
      <w:szCs w:val="18"/>
    </w:rPr>
  </w:style>
  <w:style w:type="character" w:customStyle="1" w:styleId="533">
    <w:name w:val="19"/>
    <w:basedOn w:val="53"/>
    <w:autoRedefine/>
    <w:qFormat/>
    <w:uiPriority w:val="0"/>
    <w:rPr>
      <w:rFonts w:hint="eastAsia" w:ascii="宋体" w:hAnsi="宋体" w:eastAsia="宋体"/>
      <w:color w:val="000000"/>
      <w:sz w:val="18"/>
      <w:szCs w:val="18"/>
    </w:rPr>
  </w:style>
  <w:style w:type="character" w:customStyle="1" w:styleId="534">
    <w:name w:val="标题 1 Char Char"/>
    <w:autoRedefine/>
    <w:qFormat/>
    <w:uiPriority w:val="0"/>
    <w:rPr>
      <w:rFonts w:eastAsia="宋体"/>
      <w:b/>
      <w:spacing w:val="-2"/>
      <w:sz w:val="24"/>
      <w:lang w:val="en-US" w:eastAsia="zh-CN" w:bidi="ar-SA"/>
    </w:rPr>
  </w:style>
  <w:style w:type="character" w:customStyle="1" w:styleId="535">
    <w:name w:val="标题 5 Char1"/>
    <w:autoRedefine/>
    <w:semiHidden/>
    <w:qFormat/>
    <w:uiPriority w:val="9"/>
    <w:rPr>
      <w:b/>
      <w:bCs/>
      <w:kern w:val="2"/>
      <w:sz w:val="28"/>
      <w:szCs w:val="28"/>
    </w:rPr>
  </w:style>
  <w:style w:type="character" w:customStyle="1" w:styleId="536">
    <w:name w:val="Char Char91"/>
    <w:autoRedefine/>
    <w:qFormat/>
    <w:locked/>
    <w:uiPriority w:val="0"/>
    <w:rPr>
      <w:rFonts w:ascii="宋体"/>
      <w:kern w:val="2"/>
      <w:sz w:val="21"/>
    </w:rPr>
  </w:style>
  <w:style w:type="character" w:customStyle="1" w:styleId="537">
    <w:name w:val="正文文本缩进 Char1"/>
    <w:autoRedefine/>
    <w:qFormat/>
    <w:uiPriority w:val="0"/>
    <w:rPr>
      <w:kern w:val="2"/>
      <w:sz w:val="21"/>
      <w:szCs w:val="24"/>
    </w:rPr>
  </w:style>
  <w:style w:type="character" w:customStyle="1" w:styleId="538">
    <w:name w:val="text021"/>
    <w:autoRedefine/>
    <w:qFormat/>
    <w:uiPriority w:val="0"/>
    <w:rPr>
      <w:rFonts w:hint="default" w:ascii="ˎ̥" w:hAnsi="ˎ̥"/>
      <w:b/>
      <w:bCs/>
      <w:color w:val="106EAE"/>
      <w:sz w:val="23"/>
      <w:szCs w:val="23"/>
      <w:u w:val="none"/>
    </w:rPr>
  </w:style>
  <w:style w:type="character" w:customStyle="1" w:styleId="539">
    <w:name w:val="未处理的提及"/>
    <w:autoRedefine/>
    <w:unhideWhenUsed/>
    <w:qFormat/>
    <w:uiPriority w:val="99"/>
    <w:rPr>
      <w:color w:val="605E5C"/>
      <w:shd w:val="clear" w:color="auto" w:fill="E1DFDD"/>
    </w:rPr>
  </w:style>
  <w:style w:type="character" w:customStyle="1" w:styleId="540">
    <w:name w:val="普通文字 Char Char1"/>
    <w:autoRedefine/>
    <w:qFormat/>
    <w:uiPriority w:val="0"/>
    <w:rPr>
      <w:rFonts w:ascii="宋体" w:hAnsi="Courier New"/>
      <w:kern w:val="2"/>
      <w:sz w:val="24"/>
      <w:szCs w:val="24"/>
    </w:rPr>
  </w:style>
  <w:style w:type="character" w:customStyle="1" w:styleId="541">
    <w:name w:val="Char Char82"/>
    <w:autoRedefine/>
    <w:qFormat/>
    <w:locked/>
    <w:uiPriority w:val="0"/>
    <w:rPr>
      <w:rFonts w:ascii="宋体" w:hAnsi="Courier New" w:cs="Courier New"/>
      <w:sz w:val="21"/>
      <w:szCs w:val="21"/>
    </w:rPr>
  </w:style>
  <w:style w:type="character" w:customStyle="1" w:styleId="542">
    <w:name w:val="纯文本 字符3"/>
    <w:autoRedefine/>
    <w:qFormat/>
    <w:uiPriority w:val="0"/>
    <w:rPr>
      <w:rFonts w:ascii="宋体" w:hAnsi="Courier New" w:cs="Courier New"/>
      <w:kern w:val="2"/>
      <w:sz w:val="21"/>
      <w:szCs w:val="21"/>
    </w:rPr>
  </w:style>
  <w:style w:type="character" w:customStyle="1" w:styleId="543">
    <w:name w:val="标题 Char2"/>
    <w:basedOn w:val="53"/>
    <w:autoRedefine/>
    <w:qFormat/>
    <w:uiPriority w:val="0"/>
    <w:rPr>
      <w:rFonts w:ascii="Cambria" w:hAnsi="Cambria" w:cs="Times New Roman"/>
      <w:b/>
      <w:bCs/>
      <w:kern w:val="2"/>
      <w:sz w:val="32"/>
      <w:szCs w:val="32"/>
    </w:rPr>
  </w:style>
  <w:style w:type="character" w:customStyle="1" w:styleId="544">
    <w:name w:val="纯文本 Char2"/>
    <w:autoRedefine/>
    <w:qFormat/>
    <w:uiPriority w:val="0"/>
    <w:rPr>
      <w:rFonts w:ascii="宋体" w:hAnsi="Courier New" w:eastAsia="宋体" w:cs="Courier New"/>
      <w:kern w:val="2"/>
      <w:sz w:val="21"/>
      <w:szCs w:val="21"/>
      <w:lang w:val="en-US" w:eastAsia="zh-CN" w:bidi="ar-SA"/>
    </w:rPr>
  </w:style>
  <w:style w:type="character" w:customStyle="1" w:styleId="545">
    <w:name w:val="Title Char1"/>
    <w:autoRedefine/>
    <w:qFormat/>
    <w:locked/>
    <w:uiPriority w:val="0"/>
    <w:rPr>
      <w:rFonts w:ascii="Cambria" w:hAnsi="Cambria" w:cs="Times New Roman"/>
      <w:b/>
      <w:bCs/>
      <w:sz w:val="32"/>
      <w:szCs w:val="32"/>
    </w:rPr>
  </w:style>
  <w:style w:type="character" w:customStyle="1" w:styleId="546">
    <w:name w:val="页脚 Char1"/>
    <w:autoRedefine/>
    <w:qFormat/>
    <w:uiPriority w:val="99"/>
    <w:rPr>
      <w:kern w:val="2"/>
      <w:sz w:val="18"/>
      <w:szCs w:val="18"/>
    </w:rPr>
  </w:style>
  <w:style w:type="paragraph" w:customStyle="1" w:styleId="547">
    <w:name w:val="Char21"/>
    <w:basedOn w:val="1"/>
    <w:autoRedefine/>
    <w:qFormat/>
    <w:uiPriority w:val="0"/>
    <w:rPr>
      <w:rFonts w:ascii="仿宋_GB2312" w:eastAsia="仿宋_GB2312"/>
      <w:b/>
      <w:sz w:val="32"/>
      <w:szCs w:val="32"/>
    </w:rPr>
  </w:style>
  <w:style w:type="paragraph" w:customStyle="1" w:styleId="548">
    <w:name w:val="TOC Heading"/>
    <w:basedOn w:val="2"/>
    <w:next w:val="1"/>
    <w:autoRedefine/>
    <w:qFormat/>
    <w:uiPriority w:val="39"/>
    <w:pPr>
      <w:widowControl/>
      <w:spacing w:before="480" w:line="276" w:lineRule="auto"/>
      <w:jc w:val="left"/>
      <w:outlineLvl w:val="9"/>
    </w:pPr>
    <w:rPr>
      <w:rFonts w:ascii="Cambria" w:hAnsi="Cambria"/>
      <w:color w:val="365F91"/>
      <w:kern w:val="0"/>
      <w:sz w:val="28"/>
      <w:szCs w:val="28"/>
    </w:rPr>
  </w:style>
  <w:style w:type="paragraph" w:customStyle="1" w:styleId="54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50">
    <w:name w:val="Char4"/>
    <w:basedOn w:val="17"/>
    <w:autoRedefine/>
    <w:qFormat/>
    <w:uiPriority w:val="0"/>
    <w:pPr>
      <w:widowControl/>
      <w:tabs>
        <w:tab w:val="left" w:pos="874"/>
      </w:tabs>
      <w:spacing w:afterLines="0" w:line="240" w:lineRule="auto"/>
      <w:ind w:left="874" w:hanging="420" w:firstLineChars="0"/>
      <w:jc w:val="left"/>
    </w:pPr>
    <w:rPr>
      <w:rFonts w:ascii="Tahoma" w:hAnsi="Tahoma" w:cs="宋体"/>
      <w:sz w:val="21"/>
      <w:szCs w:val="20"/>
    </w:rPr>
  </w:style>
  <w:style w:type="paragraph" w:customStyle="1" w:styleId="551">
    <w:name w:val="Char Char Char Char Char Char Char Char Char Char"/>
    <w:basedOn w:val="1"/>
    <w:autoRedefine/>
    <w:qFormat/>
    <w:uiPriority w:val="0"/>
    <w:pPr>
      <w:widowControl/>
      <w:spacing w:after="160" w:line="240" w:lineRule="exact"/>
      <w:jc w:val="left"/>
    </w:pPr>
    <w:rPr>
      <w:rFonts w:eastAsia="楷体"/>
      <w:szCs w:val="20"/>
    </w:rPr>
  </w:style>
  <w:style w:type="paragraph" w:customStyle="1" w:styleId="552">
    <w:name w:val="BodyText1I2"/>
    <w:basedOn w:val="553"/>
    <w:autoRedefine/>
    <w:qFormat/>
    <w:uiPriority w:val="0"/>
    <w:pPr>
      <w:ind w:firstLine="420" w:firstLineChars="200"/>
    </w:pPr>
  </w:style>
  <w:style w:type="paragraph" w:customStyle="1" w:styleId="553">
    <w:name w:val="BodyTextIndent"/>
    <w:basedOn w:val="1"/>
    <w:autoRedefine/>
    <w:qFormat/>
    <w:uiPriority w:val="0"/>
    <w:pPr>
      <w:spacing w:line="560" w:lineRule="exact"/>
      <w:ind w:left="561"/>
      <w:textAlignment w:val="baseline"/>
    </w:pPr>
    <w:rPr>
      <w:rFonts w:eastAsia="楷体_GB2312"/>
      <w:b/>
      <w:bCs/>
      <w:sz w:val="30"/>
    </w:rPr>
  </w:style>
  <w:style w:type="paragraph" w:customStyle="1" w:styleId="554">
    <w:name w:val="Revision"/>
    <w:autoRedefine/>
    <w:unhideWhenUsed/>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84</Pages>
  <Words>51913</Words>
  <Characters>53918</Characters>
  <Lines>431</Lines>
  <Paragraphs>121</Paragraphs>
  <TotalTime>0</TotalTime>
  <ScaleCrop>false</ScaleCrop>
  <LinksUpToDate>false</LinksUpToDate>
  <CharactersWithSpaces>58666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2023-11-15T03:04:00Z</dcterms:created>
  <dc:creator>Administrator</dc:creator>
  <cp:lastModifiedBy>安小安</cp:lastModifiedBy>
  <cp:lastPrinted>2024-08-30T05:41:00Z</cp:lastPrinted>
  <dcterms:modified xsi:type="dcterms:W3CDTF">2024-09-06T04:42:31Z</dcterms:modified>
  <dc:title>竞争性磋商文件</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C158DDB543FC480E9EB18CE8B96B642D_13</vt:lpwstr>
  </property>
</Properties>
</file>