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10650">
      <w:pPr>
        <w:pStyle w:val="31"/>
        <w:shd w:val="clear" w:color="auto" w:fill="auto"/>
        <w:ind w:firstLine="0"/>
        <w:jc w:val="center"/>
        <w:rPr>
          <w:rFonts w:hint="eastAsia" w:ascii="宋体" w:hAnsi="宋体" w:cs="宋体"/>
          <w:b/>
          <w:bCs/>
          <w:color w:val="auto"/>
          <w:sz w:val="36"/>
          <w:szCs w:val="36"/>
          <w:highlight w:val="none"/>
        </w:rPr>
      </w:pPr>
    </w:p>
    <w:p w14:paraId="34236390">
      <w:pPr>
        <w:pStyle w:val="32"/>
        <w:jc w:val="both"/>
        <w:outlineLvl w:val="9"/>
        <w:rPr>
          <w:rFonts w:hint="eastAsia" w:ascii="宋体" w:hAnsi="宋体" w:cs="宋体"/>
          <w:b/>
          <w:bCs/>
          <w:color w:val="auto"/>
          <w:sz w:val="48"/>
          <w:szCs w:val="48"/>
          <w:highlight w:val="none"/>
          <w:lang w:eastAsia="zh-CN"/>
        </w:rPr>
      </w:pPr>
    </w:p>
    <w:p w14:paraId="4A030C24">
      <w:pPr>
        <w:pStyle w:val="32"/>
        <w:jc w:val="center"/>
        <w:outlineLvl w:val="9"/>
        <w:rPr>
          <w:rFonts w:hint="eastAsia" w:ascii="宋体" w:hAnsi="宋体" w:cs="宋体"/>
          <w:b/>
          <w:bCs/>
          <w:color w:val="auto"/>
          <w:sz w:val="52"/>
          <w:szCs w:val="52"/>
          <w:highlight w:val="none"/>
          <w:lang w:eastAsia="zh-CN"/>
        </w:rPr>
      </w:pPr>
      <w:bookmarkStart w:id="0" w:name="_Toc398"/>
      <w:bookmarkStart w:id="1" w:name="_Toc16451"/>
      <w:bookmarkStart w:id="2" w:name="_Toc2200"/>
      <w:bookmarkStart w:id="3" w:name="_Toc19519"/>
      <w:r>
        <w:rPr>
          <w:rFonts w:hint="eastAsia" w:ascii="宋体" w:hAnsi="宋体" w:cs="宋体"/>
          <w:b/>
          <w:bCs/>
          <w:color w:val="auto"/>
          <w:sz w:val="52"/>
          <w:szCs w:val="52"/>
          <w:highlight w:val="none"/>
          <w:lang w:eastAsia="zh-CN"/>
        </w:rPr>
        <w:t>海外重点市场定制化资信报告（重发）</w:t>
      </w:r>
    </w:p>
    <w:p w14:paraId="67A3DAC7">
      <w:pPr>
        <w:pStyle w:val="32"/>
        <w:jc w:val="center"/>
        <w:outlineLvl w:val="9"/>
        <w:rPr>
          <w:rFonts w:hint="eastAsia" w:hAnsi="宋体" w:eastAsia="宋体" w:cs="宋体"/>
          <w:b/>
          <w:color w:val="auto"/>
          <w:sz w:val="72"/>
          <w:szCs w:val="72"/>
          <w:highlight w:val="none"/>
        </w:rPr>
      </w:pPr>
    </w:p>
    <w:p w14:paraId="6D1CB550">
      <w:pPr>
        <w:pStyle w:val="32"/>
        <w:jc w:val="center"/>
        <w:outlineLvl w:val="9"/>
        <w:rPr>
          <w:rFonts w:hint="eastAsia" w:hAnsi="宋体" w:eastAsia="宋体" w:cs="宋体"/>
          <w:b/>
          <w:color w:val="auto"/>
          <w:sz w:val="72"/>
          <w:szCs w:val="72"/>
          <w:highlight w:val="none"/>
        </w:rPr>
      </w:pPr>
      <w:r>
        <w:rPr>
          <w:rFonts w:hint="eastAsia" w:hAnsi="宋体" w:eastAsia="宋体" w:cs="宋体"/>
          <w:b/>
          <w:color w:val="auto"/>
          <w:sz w:val="72"/>
          <w:szCs w:val="72"/>
          <w:highlight w:val="none"/>
        </w:rPr>
        <w:t>竞争性磋商文件</w:t>
      </w:r>
      <w:bookmarkEnd w:id="0"/>
      <w:bookmarkEnd w:id="1"/>
      <w:bookmarkEnd w:id="2"/>
      <w:bookmarkEnd w:id="3"/>
    </w:p>
    <w:p w14:paraId="1800DAB3">
      <w:pPr>
        <w:pStyle w:val="31"/>
        <w:shd w:val="clear" w:color="auto" w:fill="auto"/>
        <w:ind w:firstLine="0"/>
        <w:rPr>
          <w:rFonts w:hint="eastAsia" w:ascii="宋体" w:hAnsi="宋体" w:cs="宋体"/>
          <w:b/>
          <w:bCs/>
          <w:color w:val="auto"/>
          <w:sz w:val="36"/>
          <w:szCs w:val="36"/>
          <w:highlight w:val="none"/>
        </w:rPr>
      </w:pPr>
    </w:p>
    <w:p w14:paraId="2B2043F0">
      <w:pPr>
        <w:pStyle w:val="31"/>
        <w:shd w:val="clear" w:color="auto" w:fill="auto"/>
        <w:ind w:firstLine="0"/>
        <w:rPr>
          <w:rFonts w:hint="eastAsia" w:ascii="宋体" w:hAnsi="宋体" w:cs="宋体"/>
          <w:b/>
          <w:color w:val="auto"/>
          <w:sz w:val="32"/>
          <w:szCs w:val="52"/>
          <w:highlight w:val="none"/>
        </w:rPr>
      </w:pPr>
    </w:p>
    <w:p w14:paraId="09EBC422">
      <w:pPr>
        <w:pStyle w:val="31"/>
        <w:shd w:val="clear" w:color="auto" w:fill="auto"/>
        <w:ind w:firstLine="0"/>
        <w:rPr>
          <w:rFonts w:hint="eastAsia" w:ascii="宋体" w:hAnsi="宋体" w:cs="宋体"/>
          <w:b/>
          <w:color w:val="auto"/>
          <w:sz w:val="32"/>
          <w:szCs w:val="52"/>
          <w:highlight w:val="none"/>
        </w:rPr>
      </w:pPr>
    </w:p>
    <w:p w14:paraId="19217608">
      <w:pPr>
        <w:pStyle w:val="31"/>
        <w:shd w:val="clear" w:color="auto" w:fill="auto"/>
        <w:ind w:firstLine="0"/>
        <w:rPr>
          <w:rFonts w:hint="eastAsia" w:ascii="宋体" w:hAnsi="宋体" w:cs="宋体"/>
          <w:b/>
          <w:color w:val="auto"/>
          <w:sz w:val="32"/>
          <w:szCs w:val="52"/>
          <w:highlight w:val="none"/>
        </w:rPr>
      </w:pPr>
    </w:p>
    <w:p w14:paraId="58532BB2">
      <w:pPr>
        <w:pStyle w:val="13"/>
        <w:shd w:val="clear" w:color="auto" w:fill="auto"/>
        <w:snapToGrid w:val="0"/>
        <w:spacing w:before="120" w:after="120"/>
        <w:ind w:left="280" w:leftChars="100" w:firstLine="0" w:firstLineChars="0"/>
        <w:outlineLvl w:val="0"/>
        <w:rPr>
          <w:rFonts w:hint="default" w:ascii="宋体" w:hAnsi="宋体" w:eastAsia="宋体" w:cs="宋体"/>
          <w:b/>
          <w:bCs/>
          <w:color w:val="auto"/>
          <w:sz w:val="32"/>
          <w:szCs w:val="32"/>
          <w:highlight w:val="none"/>
          <w:lang w:val="en-US" w:eastAsia="zh-CN"/>
        </w:rPr>
      </w:pPr>
      <w:bookmarkStart w:id="4" w:name="_Toc21889"/>
      <w:bookmarkStart w:id="5" w:name="_Toc19369"/>
      <w:bookmarkStart w:id="6" w:name="_Toc13217"/>
      <w:bookmarkStart w:id="7" w:name="_Toc14252"/>
      <w:bookmarkStart w:id="8" w:name="_Toc23839"/>
      <w:bookmarkStart w:id="9" w:name="_Toc26880"/>
      <w:r>
        <w:rPr>
          <w:rFonts w:hint="eastAsia" w:ascii="宋体" w:hAnsi="宋体" w:cs="宋体"/>
          <w:b/>
          <w:bCs/>
          <w:color w:val="auto"/>
          <w:sz w:val="32"/>
          <w:szCs w:val="32"/>
          <w:highlight w:val="none"/>
        </w:rPr>
        <w:t>项目编号：</w:t>
      </w:r>
      <w:bookmarkEnd w:id="4"/>
      <w:bookmarkEnd w:id="5"/>
      <w:bookmarkEnd w:id="6"/>
      <w:bookmarkEnd w:id="7"/>
      <w:bookmarkEnd w:id="8"/>
      <w:bookmarkEnd w:id="9"/>
      <w:r>
        <w:rPr>
          <w:rFonts w:hint="eastAsia" w:ascii="宋体" w:hAnsi="宋体" w:cs="宋体"/>
          <w:b/>
          <w:bCs/>
          <w:color w:val="auto"/>
          <w:sz w:val="32"/>
          <w:szCs w:val="32"/>
          <w:highlight w:val="none"/>
          <w:lang w:eastAsia="zh-CN"/>
        </w:rPr>
        <w:t>ZSNB202404018C-1</w:t>
      </w:r>
    </w:p>
    <w:p w14:paraId="708039B8">
      <w:pPr>
        <w:pStyle w:val="13"/>
        <w:shd w:val="clear" w:color="auto" w:fill="auto"/>
        <w:snapToGrid w:val="0"/>
        <w:spacing w:before="120" w:after="120"/>
        <w:ind w:left="319" w:leftChars="100" w:hanging="39" w:hangingChars="12"/>
        <w:outlineLvl w:val="0"/>
        <w:rPr>
          <w:rFonts w:hint="eastAsia" w:ascii="宋体" w:hAnsi="宋体" w:eastAsia="宋体" w:cs="宋体"/>
          <w:b/>
          <w:bCs/>
          <w:color w:val="auto"/>
          <w:sz w:val="32"/>
          <w:szCs w:val="32"/>
          <w:highlight w:val="none"/>
          <w:lang w:eastAsia="zh-CN"/>
        </w:rPr>
      </w:pPr>
      <w:bookmarkStart w:id="10" w:name="_Toc9412"/>
      <w:bookmarkStart w:id="11" w:name="_Toc23320"/>
      <w:bookmarkStart w:id="12" w:name="_Toc1338"/>
      <w:bookmarkStart w:id="13" w:name="_Toc17589"/>
      <w:bookmarkStart w:id="14" w:name="_Toc22471"/>
      <w:bookmarkStart w:id="15" w:name="_Toc2615"/>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人</w:t>
      </w:r>
      <w:r>
        <w:rPr>
          <w:rFonts w:hint="eastAsia" w:ascii="宋体" w:hAnsi="宋体" w:cs="宋体"/>
          <w:b/>
          <w:bCs/>
          <w:color w:val="auto"/>
          <w:sz w:val="32"/>
          <w:szCs w:val="32"/>
          <w:highlight w:val="none"/>
        </w:rPr>
        <w:t>：</w:t>
      </w:r>
      <w:bookmarkEnd w:id="10"/>
      <w:bookmarkEnd w:id="11"/>
      <w:bookmarkEnd w:id="12"/>
      <w:bookmarkEnd w:id="13"/>
      <w:bookmarkEnd w:id="14"/>
      <w:r>
        <w:rPr>
          <w:rFonts w:hint="eastAsia" w:ascii="宋体" w:hAnsi="宋体" w:cs="宋体"/>
          <w:b/>
          <w:bCs/>
          <w:color w:val="auto"/>
          <w:sz w:val="32"/>
          <w:szCs w:val="32"/>
          <w:highlight w:val="none"/>
          <w:lang w:eastAsia="zh-CN"/>
        </w:rPr>
        <w:t>宁波市商务局</w:t>
      </w:r>
      <w:bookmarkEnd w:id="15"/>
    </w:p>
    <w:p w14:paraId="192AF16B">
      <w:pPr>
        <w:pStyle w:val="13"/>
        <w:shd w:val="clear" w:color="auto" w:fill="auto"/>
        <w:snapToGrid w:val="0"/>
        <w:spacing w:before="120" w:after="120"/>
        <w:ind w:left="0" w:leftChars="0" w:firstLine="279" w:firstLineChars="87"/>
        <w:outlineLvl w:val="0"/>
        <w:rPr>
          <w:rFonts w:hint="default" w:ascii="宋体" w:hAnsi="宋体" w:eastAsia="宋体" w:cs="宋体"/>
          <w:b/>
          <w:bCs/>
          <w:color w:val="auto"/>
          <w:sz w:val="32"/>
          <w:szCs w:val="32"/>
          <w:highlight w:val="none"/>
          <w:lang w:val="en-US" w:eastAsia="zh-CN"/>
        </w:rPr>
      </w:pPr>
      <w:bookmarkStart w:id="16" w:name="_Toc3421"/>
      <w:bookmarkStart w:id="17" w:name="_Toc11082"/>
      <w:bookmarkStart w:id="18" w:name="_Toc23142"/>
      <w:bookmarkStart w:id="19" w:name="_Toc25172"/>
      <w:bookmarkStart w:id="20" w:name="_Toc22237"/>
      <w:bookmarkStart w:id="21" w:name="_Toc13037"/>
      <w:r>
        <w:rPr>
          <w:rFonts w:hint="eastAsia" w:ascii="宋体" w:hAnsi="宋体" w:cs="宋体"/>
          <w:b/>
          <w:bCs/>
          <w:color w:val="auto"/>
          <w:sz w:val="32"/>
          <w:szCs w:val="32"/>
          <w:highlight w:val="none"/>
        </w:rPr>
        <w:t>代理机构：</w:t>
      </w:r>
      <w:bookmarkEnd w:id="16"/>
      <w:bookmarkEnd w:id="17"/>
      <w:bookmarkEnd w:id="18"/>
      <w:bookmarkEnd w:id="19"/>
      <w:r>
        <w:rPr>
          <w:rFonts w:hint="eastAsia" w:ascii="宋体" w:hAnsi="宋体" w:cs="宋体"/>
          <w:b/>
          <w:bCs/>
          <w:color w:val="auto"/>
          <w:sz w:val="32"/>
          <w:szCs w:val="32"/>
          <w:highlight w:val="none"/>
          <w:lang w:val="en-US" w:eastAsia="zh-CN"/>
        </w:rPr>
        <w:t>浙江中商工程咨询有限公司</w:t>
      </w:r>
      <w:bookmarkEnd w:id="20"/>
      <w:bookmarkEnd w:id="21"/>
    </w:p>
    <w:p w14:paraId="050FA644">
      <w:pPr>
        <w:pStyle w:val="13"/>
        <w:shd w:val="clear" w:color="auto" w:fill="auto"/>
        <w:snapToGrid w:val="0"/>
        <w:spacing w:before="120" w:after="120"/>
        <w:ind w:left="0" w:leftChars="0" w:firstLine="279" w:firstLineChars="87"/>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编制时间：2024年</w:t>
      </w:r>
      <w:bookmarkStart w:id="125" w:name="_GoBack"/>
      <w:bookmarkEnd w:id="125"/>
      <w:r>
        <w:rPr>
          <w:rFonts w:hint="eastAsia" w:ascii="宋体" w:hAnsi="宋体" w:cs="宋体"/>
          <w:b/>
          <w:bCs/>
          <w:color w:val="auto"/>
          <w:sz w:val="32"/>
          <w:szCs w:val="32"/>
          <w:highlight w:val="none"/>
          <w:lang w:val="en-US" w:eastAsia="zh-CN"/>
        </w:rPr>
        <w:t>8月</w:t>
      </w:r>
    </w:p>
    <w:p w14:paraId="39843DED">
      <w:pPr>
        <w:pStyle w:val="13"/>
        <w:shd w:val="clear" w:color="auto" w:fill="auto"/>
        <w:snapToGrid w:val="0"/>
        <w:spacing w:before="120" w:after="120"/>
        <w:rPr>
          <w:rFonts w:hint="eastAsia" w:ascii="宋体" w:hAnsi="宋体" w:cs="宋体"/>
          <w:b/>
          <w:bCs/>
          <w:color w:val="auto"/>
          <w:w w:val="95"/>
          <w:sz w:val="32"/>
          <w:szCs w:val="32"/>
          <w:highlight w:val="none"/>
        </w:rPr>
      </w:pPr>
    </w:p>
    <w:p w14:paraId="63030E71">
      <w:pPr>
        <w:shd w:val="clear" w:color="auto" w:fill="auto"/>
        <w:snapToGrid w:val="0"/>
        <w:spacing w:before="120" w:beforeLines="50"/>
        <w:jc w:val="center"/>
        <w:rPr>
          <w:rFonts w:hint="eastAsia" w:hAnsi="宋体" w:eastAsia="宋体" w:cs="宋体"/>
          <w:b/>
          <w:bCs/>
          <w:color w:val="auto"/>
          <w:w w:val="95"/>
          <w:sz w:val="32"/>
          <w:szCs w:val="32"/>
          <w:highlight w:val="none"/>
        </w:rPr>
      </w:pPr>
    </w:p>
    <w:p w14:paraId="588218EF">
      <w:pPr>
        <w:shd w:val="clear" w:color="auto" w:fill="auto"/>
        <w:snapToGrid w:val="0"/>
        <w:spacing w:before="120" w:beforeLines="50"/>
        <w:jc w:val="center"/>
        <w:rPr>
          <w:rFonts w:hint="eastAsia" w:hAnsi="宋体" w:eastAsia="宋体" w:cs="宋体"/>
          <w:b/>
          <w:bCs/>
          <w:color w:val="auto"/>
          <w:w w:val="95"/>
          <w:sz w:val="32"/>
          <w:szCs w:val="32"/>
          <w:highlight w:val="none"/>
        </w:rPr>
      </w:pPr>
    </w:p>
    <w:p w14:paraId="748714E6">
      <w:pPr>
        <w:pStyle w:val="31"/>
        <w:shd w:val="clear" w:color="auto" w:fill="auto"/>
        <w:ind w:left="0" w:leftChars="0" w:firstLine="0" w:firstLineChars="0"/>
        <w:jc w:val="both"/>
        <w:rPr>
          <w:rFonts w:hint="eastAsia" w:ascii="宋体" w:hAnsi="宋体" w:cs="宋体"/>
          <w:b/>
          <w:color w:val="auto"/>
          <w:sz w:val="30"/>
          <w:szCs w:val="48"/>
          <w:highlight w:val="none"/>
        </w:rPr>
        <w:sectPr>
          <w:footerReference r:id="rId5" w:type="default"/>
          <w:pgSz w:w="11906" w:h="16838"/>
          <w:pgMar w:top="1440" w:right="1800" w:bottom="1440" w:left="1800" w:header="851" w:footer="851" w:gutter="0"/>
          <w:pgNumType w:start="1"/>
          <w:cols w:space="720" w:num="1"/>
          <w:docGrid w:linePitch="312" w:charSpace="0"/>
        </w:sectPr>
      </w:pPr>
    </w:p>
    <w:p w14:paraId="48F6DC60">
      <w:pPr>
        <w:pStyle w:val="19"/>
        <w:shd w:val="clear" w:color="auto" w:fill="auto"/>
        <w:tabs>
          <w:tab w:val="left" w:pos="1200"/>
          <w:tab w:val="right" w:leader="dot" w:pos="9060"/>
        </w:tabs>
        <w:jc w:val="center"/>
        <w:rPr>
          <w:rFonts w:hint="eastAsia" w:ascii="宋体" w:hAnsi="宋体" w:cs="宋体"/>
          <w:color w:val="auto"/>
          <w:sz w:val="32"/>
          <w:szCs w:val="32"/>
          <w:highlight w:val="none"/>
        </w:rPr>
      </w:pPr>
      <w:bookmarkStart w:id="22" w:name="_Toc479757206"/>
      <w:bookmarkStart w:id="23" w:name="_Toc523127445"/>
      <w:bookmarkStart w:id="24" w:name="_Toc120614210"/>
      <w:bookmarkStart w:id="25" w:name="_Toc403987193"/>
      <w:bookmarkStart w:id="26" w:name="_Toc403986986"/>
      <w:bookmarkStart w:id="27" w:name="_Toc513029200"/>
      <w:bookmarkStart w:id="28" w:name="_Toc20823272"/>
      <w:bookmarkStart w:id="29" w:name="_Toc16938516"/>
      <w:r>
        <w:rPr>
          <w:rFonts w:hint="eastAsia" w:ascii="宋体" w:hAnsi="宋体" w:cs="宋体"/>
          <w:color w:val="auto"/>
          <w:sz w:val="32"/>
          <w:szCs w:val="32"/>
          <w:highlight w:val="none"/>
        </w:rPr>
        <w:t>目  录</w:t>
      </w:r>
      <w:bookmarkEnd w:id="22"/>
      <w:bookmarkEnd w:id="23"/>
      <w:bookmarkEnd w:id="24"/>
      <w:bookmarkEnd w:id="25"/>
      <w:bookmarkEnd w:id="26"/>
      <w:bookmarkEnd w:id="27"/>
      <w:bookmarkEnd w:id="28"/>
      <w:bookmarkEnd w:id="29"/>
    </w:p>
    <w:sdt>
      <w:sdtPr>
        <w:rPr>
          <w:rFonts w:ascii="宋体" w:hAnsi="宋体" w:eastAsia="宋体" w:cs="Times New Roman"/>
          <w:color w:val="auto"/>
          <w:sz w:val="21"/>
          <w:szCs w:val="21"/>
          <w:highlight w:val="none"/>
          <w:lang w:val="en-US" w:eastAsia="zh-CN" w:bidi="ar-SA"/>
        </w:rPr>
        <w:id w:val="147469228"/>
        <w15:color w:val="DBDBDB"/>
        <w:docPartObj>
          <w:docPartGallery w:val="Table of Contents"/>
          <w:docPartUnique/>
        </w:docPartObj>
      </w:sdtPr>
      <w:sdtEndPr>
        <w:rPr>
          <w:rFonts w:ascii="宋体" w:hAnsi="宋体" w:eastAsia="宋体" w:cs="Times New Roman"/>
          <w:color w:val="auto"/>
          <w:sz w:val="21"/>
          <w:szCs w:val="21"/>
          <w:highlight w:val="none"/>
          <w:lang w:val="en-US" w:eastAsia="zh-CN" w:bidi="ar-SA"/>
        </w:rPr>
      </w:sdtEndPr>
      <w:sdtContent>
        <w:p w14:paraId="7F08DA32">
          <w:pPr>
            <w:spacing w:before="0" w:beforeLines="0" w:after="0" w:afterLines="0" w:line="240" w:lineRule="auto"/>
            <w:ind w:left="0" w:leftChars="0" w:right="0" w:rightChars="0" w:firstLine="0" w:firstLineChars="0"/>
            <w:jc w:val="center"/>
            <w:rPr>
              <w:rFonts w:ascii="宋体" w:hAnsi="Times New Roman" w:eastAsia="仿宋" w:cs="Times New Roman"/>
              <w:color w:val="auto"/>
              <w:sz w:val="28"/>
              <w:szCs w:val="21"/>
              <w:highlight w:val="none"/>
              <w:lang w:val="en-US" w:eastAsia="zh-CN" w:bidi="ar-SA"/>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1A8A08A1">
          <w:pPr>
            <w:pStyle w:val="19"/>
            <w:tabs>
              <w:tab w:val="right" w:leader="dot" w:pos="8958"/>
            </w:tabs>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_Toc12737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 xml:space="preserve">第一章 </w:t>
          </w:r>
          <w:r>
            <w:rPr>
              <w:rFonts w:hint="eastAsia" w:ascii="宋体" w:hAnsi="宋体" w:eastAsia="宋体" w:cs="宋体"/>
              <w:b w:val="0"/>
              <w:bCs w:val="0"/>
              <w:sz w:val="24"/>
              <w:szCs w:val="24"/>
              <w:highlight w:val="none"/>
              <w:lang w:val="en-US" w:eastAsia="zh-CN"/>
            </w:rPr>
            <w:t>竞争性磋商公告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_Toc12737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14:paraId="764BB3DD">
          <w:pPr>
            <w:pStyle w:val="19"/>
            <w:tabs>
              <w:tab w:val="right" w:leader="dot" w:pos="8958"/>
            </w:tabs>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_Toc10626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第二章 </w:t>
          </w:r>
          <w:r>
            <w:rPr>
              <w:rFonts w:hint="eastAsia" w:ascii="宋体" w:hAnsi="宋体" w:eastAsia="宋体" w:cs="宋体"/>
              <w:b w:val="0"/>
              <w:bCs w:val="0"/>
              <w:sz w:val="24"/>
              <w:szCs w:val="24"/>
              <w:highlight w:val="none"/>
            </w:rPr>
            <w:t>供应商须知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_Toc10626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14:paraId="5AC8901A">
          <w:pPr>
            <w:pStyle w:val="19"/>
            <w:tabs>
              <w:tab w:val="right" w:leader="dot" w:pos="8958"/>
            </w:tabs>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_Toc2084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章 项目需求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_Toc2084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14:paraId="1B1D7A65">
          <w:pPr>
            <w:pStyle w:val="19"/>
            <w:tabs>
              <w:tab w:val="right" w:leader="dot" w:pos="8958"/>
            </w:tabs>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_Toc8893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四</w:t>
          </w:r>
          <w:r>
            <w:rPr>
              <w:rFonts w:hint="eastAsia" w:ascii="宋体" w:hAnsi="宋体" w:eastAsia="宋体" w:cs="宋体"/>
              <w:b w:val="0"/>
              <w:bCs w:val="0"/>
              <w:sz w:val="24"/>
              <w:szCs w:val="24"/>
              <w:highlight w:val="none"/>
            </w:rPr>
            <w:t>章 评审标准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_Toc8893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23</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14:paraId="3C1DCE95">
          <w:pPr>
            <w:pStyle w:val="19"/>
            <w:tabs>
              <w:tab w:val="right" w:leader="dot" w:pos="8958"/>
            </w:tabs>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_Toc20586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eastAsia="zh-CN"/>
            </w:rPr>
            <w:t>第</w:t>
          </w:r>
          <w:r>
            <w:rPr>
              <w:rFonts w:hint="eastAsia" w:ascii="宋体" w:hAnsi="宋体" w:eastAsia="宋体" w:cs="宋体"/>
              <w:b w:val="0"/>
              <w:bCs w:val="0"/>
              <w:sz w:val="24"/>
              <w:szCs w:val="24"/>
              <w:highlight w:val="none"/>
              <w:lang w:val="en-US" w:eastAsia="zh-CN"/>
            </w:rPr>
            <w:t>五</w:t>
          </w:r>
          <w:r>
            <w:rPr>
              <w:rFonts w:hint="eastAsia" w:ascii="宋体" w:hAnsi="宋体" w:eastAsia="宋体" w:cs="宋体"/>
              <w:b w:val="0"/>
              <w:bCs w:val="0"/>
              <w:sz w:val="24"/>
              <w:szCs w:val="24"/>
              <w:highlight w:val="none"/>
              <w:lang w:eastAsia="zh-CN"/>
            </w:rPr>
            <w:t>章</w:t>
          </w:r>
          <w:r>
            <w:rPr>
              <w:rFonts w:hint="eastAsia" w:ascii="宋体" w:hAnsi="宋体" w:eastAsia="宋体" w:cs="宋体"/>
              <w:b w:val="0"/>
              <w:bCs w:val="0"/>
              <w:sz w:val="24"/>
              <w:szCs w:val="24"/>
              <w:highlight w:val="none"/>
            </w:rPr>
            <w:t xml:space="preserve"> 合同条款及格式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_Toc20586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28</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14:paraId="6F2DFC20">
          <w:pPr>
            <w:pStyle w:val="19"/>
            <w:tabs>
              <w:tab w:val="right" w:leader="dot" w:pos="8958"/>
            </w:tabs>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_Toc31785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第六章 响应文件格式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_Toc31785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34</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14:paraId="2669E1AF">
          <w:pPr>
            <w:spacing w:before="0" w:beforeLines="0" w:after="0" w:afterLines="0" w:line="240" w:lineRule="auto"/>
            <w:ind w:left="0" w:leftChars="0" w:right="0" w:rightChars="0" w:firstLine="0" w:firstLineChars="0"/>
            <w:jc w:val="center"/>
            <w:rPr>
              <w:color w:val="auto"/>
              <w:highlight w:val="none"/>
            </w:rPr>
          </w:pPr>
          <w:r>
            <w:rPr>
              <w:color w:val="auto"/>
              <w:highlight w:val="none"/>
            </w:rPr>
            <w:fldChar w:fldCharType="end"/>
          </w:r>
        </w:p>
      </w:sdtContent>
    </w:sdt>
    <w:p w14:paraId="42296BC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CFFCAF2">
      <w:pPr>
        <w:pStyle w:val="5"/>
        <w:bidi w:val="0"/>
        <w:jc w:val="center"/>
        <w:outlineLvl w:val="0"/>
        <w:rPr>
          <w:rFonts w:hint="eastAsia" w:ascii="宋体" w:hAnsi="宋体" w:eastAsia="宋体" w:cs="宋体"/>
          <w:color w:val="auto"/>
          <w:highlight w:val="none"/>
          <w:lang w:val="en-US" w:eastAsia="zh-CN"/>
        </w:rPr>
      </w:pPr>
      <w:bookmarkStart w:id="30" w:name="_Toc24360"/>
      <w:bookmarkStart w:id="31" w:name="_Toc12737"/>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val="en-US" w:eastAsia="zh-CN"/>
        </w:rPr>
        <w:t>竞争性磋商公告</w:t>
      </w:r>
      <w:bookmarkEnd w:id="30"/>
      <w:bookmarkEnd w:id="31"/>
    </w:p>
    <w:tbl>
      <w:tblPr>
        <w:tblStyle w:val="2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15AE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noWrap w:val="0"/>
            <w:vAlign w:val="top"/>
          </w:tcPr>
          <w:p w14:paraId="754FA7A5">
            <w:pPr>
              <w:shd w:val="clear" w:color="auto" w:fill="auto"/>
              <w:adjustRightInd/>
              <w:textAlignment w:val="auto"/>
              <w:rPr>
                <w:rFonts w:hint="eastAsia" w:hAnsi="宋体" w:eastAsia="宋体" w:cs="宋体"/>
                <w:color w:val="auto"/>
                <w:sz w:val="21"/>
                <w:highlight w:val="none"/>
              </w:rPr>
            </w:pPr>
            <w:bookmarkStart w:id="32" w:name="_Toc35393621"/>
            <w:bookmarkStart w:id="33" w:name="_Toc28359079"/>
            <w:bookmarkStart w:id="34" w:name="_Toc35393790"/>
            <w:bookmarkStart w:id="35" w:name="_Toc28359002"/>
            <w:bookmarkStart w:id="36" w:name="_Hlk24379207"/>
            <w:r>
              <w:rPr>
                <w:rFonts w:hint="eastAsia" w:hAnsi="宋体" w:eastAsia="宋体" w:cs="宋体"/>
                <w:color w:val="auto"/>
                <w:sz w:val="21"/>
                <w:highlight w:val="none"/>
              </w:rPr>
              <w:t>项目概况：</w:t>
            </w:r>
          </w:p>
          <w:p w14:paraId="795D693D">
            <w:pPr>
              <w:pStyle w:val="34"/>
              <w:widowControl w:val="0"/>
              <w:shd w:val="clear" w:color="auto" w:fill="auto"/>
              <w:snapToGrid/>
              <w:spacing w:after="0" w:afterLines="0" w:line="360" w:lineRule="auto"/>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eastAsia="zh-CN"/>
              </w:rPr>
              <w:t>海外重点市场定制化资信报告（重发）</w:t>
            </w:r>
            <w:r>
              <w:rPr>
                <w:rFonts w:hint="eastAsia" w:ascii="宋体" w:hAnsi="宋体" w:cs="宋体"/>
                <w:color w:val="auto"/>
                <w:sz w:val="21"/>
                <w:szCs w:val="21"/>
                <w:highlight w:val="none"/>
              </w:rPr>
              <w:t>的潜在供应商应在政府采购云平台</w:t>
            </w:r>
            <w:r>
              <w:rPr>
                <w:rFonts w:hint="eastAsia" w:ascii="宋体" w:hAnsi="宋体" w:cs="宋体"/>
                <w:color w:val="auto"/>
                <w:sz w:val="21"/>
                <w:szCs w:val="21"/>
                <w:highlight w:val="none"/>
                <w:u w:val="single"/>
              </w:rPr>
              <w:t>（http://www.zcygov.cn/）</w:t>
            </w:r>
            <w:r>
              <w:rPr>
                <w:rFonts w:hint="eastAsia" w:ascii="宋体" w:hAnsi="宋体" w:cs="宋体"/>
                <w:color w:val="auto"/>
                <w:sz w:val="21"/>
                <w:szCs w:val="21"/>
                <w:highlight w:val="none"/>
              </w:rPr>
              <w:t>获取（下载）采购文件，并于</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4</w:t>
            </w:r>
            <w:r>
              <w:rPr>
                <w:rFonts w:hint="eastAsia" w:ascii="宋体" w:hAnsi="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8月23日9:30</w:t>
            </w:r>
            <w:r>
              <w:rPr>
                <w:rFonts w:hint="eastAsia" w:ascii="宋体" w:hAnsi="宋体" w:cs="宋体"/>
                <w:bCs/>
                <w:color w:val="auto"/>
                <w:sz w:val="21"/>
                <w:szCs w:val="21"/>
                <w:highlight w:val="none"/>
                <w:u w:val="single"/>
              </w:rPr>
              <w:t>（北京时间）</w:t>
            </w:r>
            <w:r>
              <w:rPr>
                <w:rFonts w:hint="eastAsia" w:ascii="宋体" w:hAnsi="宋体" w:cs="宋体"/>
                <w:bCs/>
                <w:color w:val="auto"/>
                <w:sz w:val="21"/>
                <w:szCs w:val="21"/>
                <w:highlight w:val="none"/>
              </w:rPr>
              <w:t>前递交（上传）响应文件</w:t>
            </w:r>
            <w:r>
              <w:rPr>
                <w:rFonts w:hint="eastAsia" w:ascii="宋体" w:hAnsi="宋体" w:cs="宋体"/>
                <w:color w:val="auto"/>
                <w:sz w:val="21"/>
                <w:szCs w:val="21"/>
                <w:highlight w:val="none"/>
              </w:rPr>
              <w:t>。</w:t>
            </w:r>
          </w:p>
        </w:tc>
      </w:tr>
    </w:tbl>
    <w:p w14:paraId="4329540F">
      <w:pPr>
        <w:shd w:val="clear" w:color="auto" w:fill="auto"/>
        <w:tabs>
          <w:tab w:val="left" w:pos="720"/>
        </w:tabs>
        <w:adjustRightInd/>
        <w:textAlignment w:val="auto"/>
        <w:rPr>
          <w:rFonts w:hint="eastAsia" w:hAnsi="宋体" w:eastAsia="宋体" w:cs="宋体"/>
          <w:b/>
          <w:color w:val="auto"/>
          <w:sz w:val="21"/>
          <w:highlight w:val="none"/>
        </w:rPr>
      </w:pPr>
      <w:r>
        <w:rPr>
          <w:rFonts w:hint="eastAsia" w:hAnsi="宋体" w:eastAsia="宋体" w:cs="宋体"/>
          <w:b/>
          <w:color w:val="auto"/>
          <w:sz w:val="21"/>
          <w:highlight w:val="none"/>
        </w:rPr>
        <w:t>一、项目基本情况</w:t>
      </w:r>
      <w:bookmarkEnd w:id="32"/>
      <w:bookmarkEnd w:id="33"/>
      <w:bookmarkEnd w:id="34"/>
      <w:bookmarkEnd w:id="35"/>
    </w:p>
    <w:p w14:paraId="769B7773">
      <w:pPr>
        <w:shd w:val="clear" w:color="auto" w:fill="auto"/>
        <w:adjustRightInd/>
        <w:ind w:firstLine="420" w:firstLineChars="200"/>
        <w:textAlignment w:val="auto"/>
        <w:rPr>
          <w:rFonts w:hint="eastAsia" w:hAnsi="宋体" w:eastAsia="宋体" w:cs="宋体"/>
          <w:color w:val="auto"/>
          <w:sz w:val="21"/>
          <w:highlight w:val="none"/>
          <w:lang w:eastAsia="zh-CN"/>
        </w:rPr>
      </w:pPr>
      <w:r>
        <w:rPr>
          <w:rFonts w:hint="eastAsia" w:hAnsi="宋体" w:eastAsia="宋体" w:cs="宋体"/>
          <w:color w:val="auto"/>
          <w:sz w:val="21"/>
          <w:highlight w:val="none"/>
        </w:rPr>
        <w:t>项目编号：</w:t>
      </w:r>
      <w:r>
        <w:rPr>
          <w:rFonts w:hint="eastAsia" w:hAnsi="宋体" w:eastAsia="宋体" w:cs="宋体"/>
          <w:color w:val="auto"/>
          <w:sz w:val="21"/>
          <w:highlight w:val="none"/>
          <w:lang w:eastAsia="zh-CN"/>
        </w:rPr>
        <w:t>ZSNB202404018C-1</w:t>
      </w:r>
    </w:p>
    <w:p w14:paraId="6FC4F62C">
      <w:pPr>
        <w:shd w:val="clear" w:color="auto" w:fill="auto"/>
        <w:adjustRightInd/>
        <w:ind w:firstLine="420" w:firstLineChars="200"/>
        <w:textAlignment w:val="auto"/>
        <w:rPr>
          <w:rFonts w:hint="eastAsia" w:hAnsi="宋体" w:eastAsia="宋体" w:cs="宋体"/>
          <w:color w:val="auto"/>
          <w:sz w:val="21"/>
          <w:highlight w:val="none"/>
          <w:lang w:eastAsia="zh-CN"/>
        </w:rPr>
      </w:pPr>
      <w:r>
        <w:rPr>
          <w:rFonts w:hint="eastAsia" w:hAnsi="宋体" w:eastAsia="宋体" w:cs="宋体"/>
          <w:color w:val="auto"/>
          <w:sz w:val="21"/>
          <w:highlight w:val="none"/>
        </w:rPr>
        <w:t>项目名称：</w:t>
      </w:r>
      <w:bookmarkEnd w:id="36"/>
      <w:r>
        <w:rPr>
          <w:rFonts w:hint="eastAsia" w:hAnsi="宋体" w:eastAsia="宋体" w:cs="宋体"/>
          <w:color w:val="auto"/>
          <w:sz w:val="21"/>
          <w:highlight w:val="none"/>
          <w:lang w:eastAsia="zh-CN"/>
        </w:rPr>
        <w:t>海外重点市场定制化资信报告（重发）</w:t>
      </w:r>
    </w:p>
    <w:p w14:paraId="7F14C038">
      <w:pPr>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采购方式：竞争性磋商</w:t>
      </w:r>
    </w:p>
    <w:p w14:paraId="1800824B">
      <w:pPr>
        <w:shd w:val="clear" w:color="auto" w:fill="auto"/>
        <w:adjustRightInd/>
        <w:ind w:firstLine="420" w:firstLineChars="200"/>
        <w:textAlignment w:val="auto"/>
        <w:rPr>
          <w:rFonts w:hint="default" w:hAnsi="宋体" w:eastAsia="宋体" w:cs="宋体"/>
          <w:color w:val="auto"/>
          <w:sz w:val="21"/>
          <w:highlight w:val="none"/>
          <w:lang w:val="en-US" w:eastAsia="zh-CN"/>
        </w:rPr>
      </w:pPr>
      <w:r>
        <w:rPr>
          <w:rFonts w:hint="eastAsia" w:hAnsi="宋体" w:eastAsia="宋体" w:cs="宋体"/>
          <w:color w:val="auto"/>
          <w:sz w:val="21"/>
          <w:highlight w:val="none"/>
        </w:rPr>
        <w:t>预算金额：</w:t>
      </w:r>
      <w:r>
        <w:rPr>
          <w:rFonts w:hint="eastAsia" w:hAnsi="宋体" w:eastAsia="宋体" w:cs="宋体"/>
          <w:color w:val="auto"/>
          <w:sz w:val="21"/>
          <w:highlight w:val="none"/>
          <w:lang w:val="en-US" w:eastAsia="zh-CN"/>
        </w:rPr>
        <w:t>100万元</w:t>
      </w:r>
    </w:p>
    <w:p w14:paraId="2A7C2D00">
      <w:pPr>
        <w:shd w:val="clear" w:color="auto" w:fill="auto"/>
        <w:adjustRightInd/>
        <w:ind w:firstLine="420" w:firstLineChars="200"/>
        <w:textAlignment w:val="auto"/>
        <w:rPr>
          <w:rFonts w:hint="eastAsia" w:hAnsi="宋体" w:eastAsia="宋体" w:cs="宋体"/>
          <w:color w:val="auto"/>
          <w:sz w:val="21"/>
          <w:highlight w:val="none"/>
          <w:lang w:val="en-US" w:eastAsia="zh-CN"/>
        </w:rPr>
      </w:pPr>
      <w:r>
        <w:rPr>
          <w:rFonts w:hint="eastAsia" w:hAnsi="宋体" w:eastAsia="宋体" w:cs="宋体"/>
          <w:color w:val="auto"/>
          <w:sz w:val="21"/>
          <w:highlight w:val="none"/>
        </w:rPr>
        <w:t>最高限价：</w:t>
      </w:r>
      <w:r>
        <w:rPr>
          <w:rFonts w:hint="eastAsia" w:hAnsi="宋体" w:eastAsia="宋体" w:cs="宋体"/>
          <w:color w:val="auto"/>
          <w:sz w:val="21"/>
          <w:highlight w:val="none"/>
          <w:lang w:val="en-US" w:eastAsia="zh-CN"/>
        </w:rPr>
        <w:t>100万元</w:t>
      </w:r>
    </w:p>
    <w:p w14:paraId="686A8DCD">
      <w:pPr>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采购需求：</w:t>
      </w:r>
    </w:p>
    <w:p w14:paraId="6E0F055E">
      <w:pPr>
        <w:shd w:val="clear" w:color="auto" w:fill="auto"/>
        <w:adjustRightInd/>
        <w:ind w:firstLine="420" w:firstLineChars="200"/>
        <w:textAlignment w:val="auto"/>
        <w:rPr>
          <w:rFonts w:hAnsi="宋体" w:eastAsia="宋体" w:cs="宋体"/>
          <w:color w:val="auto"/>
          <w:sz w:val="21"/>
          <w:highlight w:val="none"/>
        </w:rPr>
      </w:pPr>
      <w:r>
        <w:rPr>
          <w:rFonts w:hint="eastAsia" w:hAnsi="宋体" w:eastAsia="宋体" w:cs="宋体"/>
          <w:color w:val="auto"/>
          <w:sz w:val="21"/>
          <w:highlight w:val="none"/>
        </w:rPr>
        <w:t>数量:1</w:t>
      </w:r>
    </w:p>
    <w:p w14:paraId="35B74C76">
      <w:pPr>
        <w:shd w:val="clear" w:color="auto" w:fill="auto"/>
        <w:adjustRightInd/>
        <w:ind w:firstLine="420" w:firstLineChars="200"/>
        <w:textAlignment w:val="auto"/>
        <w:rPr>
          <w:rFonts w:hint="default" w:hAnsi="宋体" w:eastAsia="宋体" w:cs="宋体"/>
          <w:color w:val="auto"/>
          <w:sz w:val="21"/>
          <w:highlight w:val="none"/>
          <w:lang w:val="en-US" w:eastAsia="zh-CN"/>
        </w:rPr>
      </w:pPr>
      <w:r>
        <w:rPr>
          <w:rFonts w:hint="eastAsia" w:hAnsi="宋体" w:eastAsia="宋体" w:cs="宋体"/>
          <w:color w:val="auto"/>
          <w:sz w:val="21"/>
          <w:highlight w:val="none"/>
        </w:rPr>
        <w:t>预算金额（元）:</w:t>
      </w:r>
      <w:r>
        <w:rPr>
          <w:rFonts w:hint="eastAsia" w:hAnsi="宋体" w:eastAsia="宋体" w:cs="宋体"/>
          <w:color w:val="auto"/>
          <w:sz w:val="21"/>
          <w:highlight w:val="none"/>
          <w:lang w:val="en-US" w:eastAsia="zh-CN"/>
        </w:rPr>
        <w:t>100万元</w:t>
      </w:r>
    </w:p>
    <w:p w14:paraId="3F57240F">
      <w:pPr>
        <w:shd w:val="clear" w:color="auto" w:fill="auto"/>
        <w:adjustRightInd/>
        <w:ind w:firstLine="420" w:firstLineChars="200"/>
        <w:textAlignment w:val="auto"/>
        <w:rPr>
          <w:rFonts w:hint="eastAsia"/>
          <w:color w:val="auto"/>
          <w:highlight w:val="none"/>
        </w:rPr>
      </w:pPr>
      <w:r>
        <w:rPr>
          <w:rFonts w:hint="eastAsia" w:hAnsi="宋体" w:eastAsia="宋体" w:cs="宋体"/>
          <w:color w:val="auto"/>
          <w:sz w:val="21"/>
          <w:highlight w:val="none"/>
        </w:rPr>
        <w:t>单位：项</w:t>
      </w:r>
    </w:p>
    <w:p w14:paraId="7A4B6949">
      <w:pPr>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简要规格描述或项目基本概况介绍、用途：详见</w:t>
      </w:r>
      <w:r>
        <w:rPr>
          <w:rFonts w:hint="eastAsia" w:hAnsi="宋体" w:eastAsia="宋体" w:cs="宋体"/>
          <w:color w:val="auto"/>
          <w:sz w:val="21"/>
          <w:highlight w:val="none"/>
          <w:lang w:val="en-US" w:eastAsia="zh-CN"/>
        </w:rPr>
        <w:t>竞争性磋商</w:t>
      </w:r>
      <w:r>
        <w:rPr>
          <w:rFonts w:hint="eastAsia" w:hAnsi="宋体" w:eastAsia="宋体" w:cs="宋体"/>
          <w:color w:val="auto"/>
          <w:sz w:val="21"/>
          <w:highlight w:val="none"/>
        </w:rPr>
        <w:t>文件第</w:t>
      </w:r>
      <w:r>
        <w:rPr>
          <w:rFonts w:hint="eastAsia" w:hAnsi="宋体" w:eastAsia="宋体" w:cs="宋体"/>
          <w:color w:val="auto"/>
          <w:sz w:val="21"/>
          <w:highlight w:val="none"/>
          <w:lang w:val="en-US" w:eastAsia="zh-CN"/>
        </w:rPr>
        <w:t>三</w:t>
      </w:r>
      <w:r>
        <w:rPr>
          <w:rFonts w:hint="eastAsia" w:hAnsi="宋体" w:eastAsia="宋体" w:cs="宋体"/>
          <w:color w:val="auto"/>
          <w:sz w:val="21"/>
          <w:highlight w:val="none"/>
        </w:rPr>
        <w:t>章“</w:t>
      </w:r>
      <w:r>
        <w:rPr>
          <w:rFonts w:hint="eastAsia" w:hAnsi="宋体" w:eastAsia="宋体" w:cs="宋体"/>
          <w:color w:val="auto"/>
          <w:sz w:val="21"/>
          <w:highlight w:val="none"/>
          <w:lang w:val="en-US" w:eastAsia="zh-CN"/>
        </w:rPr>
        <w:t>项目</w:t>
      </w:r>
      <w:r>
        <w:rPr>
          <w:rFonts w:hint="eastAsia" w:hAnsi="宋体" w:eastAsia="宋体" w:cs="宋体"/>
          <w:color w:val="auto"/>
          <w:sz w:val="21"/>
          <w:highlight w:val="none"/>
        </w:rPr>
        <w:t>需求”。</w:t>
      </w:r>
    </w:p>
    <w:p w14:paraId="3A976315">
      <w:pPr>
        <w:spacing w:line="360" w:lineRule="auto"/>
        <w:ind w:firstLine="420" w:firstLineChars="200"/>
        <w:rPr>
          <w:rFonts w:hint="default" w:ascii="仿宋_GB2312" w:hAnsi="黑体" w:eastAsia="仿宋_GB2312" w:cs="黑体"/>
          <w:bCs/>
          <w:color w:val="auto"/>
          <w:spacing w:val="-11"/>
          <w:sz w:val="32"/>
          <w:szCs w:val="32"/>
          <w:lang w:val="en-US" w:eastAsia="zh-CN"/>
        </w:rPr>
      </w:pPr>
      <w:r>
        <w:rPr>
          <w:rFonts w:hint="eastAsia" w:hAnsi="宋体" w:eastAsia="宋体" w:cs="宋体"/>
          <w:color w:val="auto"/>
          <w:sz w:val="21"/>
          <w:highlight w:val="none"/>
        </w:rPr>
        <w:t>合同履约期限：</w:t>
      </w:r>
      <w:r>
        <w:rPr>
          <w:rFonts w:hint="eastAsia" w:hAnsi="宋体" w:eastAsia="宋体" w:cs="宋体"/>
          <w:color w:val="auto"/>
          <w:sz w:val="21"/>
          <w:highlight w:val="none"/>
          <w:lang w:val="en-US" w:eastAsia="zh-CN"/>
        </w:rPr>
        <w:t>自合同生效之日至合同全部权利义务履行完毕之日止</w:t>
      </w:r>
      <w:r>
        <w:rPr>
          <w:rFonts w:hint="eastAsia" w:ascii="宋体" w:hAnsi="宋体" w:eastAsia="宋体" w:cs="宋体"/>
          <w:color w:val="auto"/>
          <w:sz w:val="21"/>
          <w:highlight w:val="none"/>
          <w:lang w:val="en-US" w:eastAsia="zh-CN"/>
        </w:rPr>
        <w:t>。</w:t>
      </w:r>
    </w:p>
    <w:p w14:paraId="636D0642">
      <w:pPr>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本项目（</w:t>
      </w:r>
      <w:r>
        <w:rPr>
          <w:rFonts w:hint="eastAsia" w:hAnsi="宋体" w:eastAsia="宋体" w:cs="宋体"/>
          <w:color w:val="auto"/>
          <w:sz w:val="21"/>
          <w:highlight w:val="none"/>
          <w:lang w:val="en-US" w:eastAsia="zh-CN"/>
        </w:rPr>
        <w:t>否</w:t>
      </w:r>
      <w:r>
        <w:rPr>
          <w:rFonts w:hint="eastAsia" w:hAnsi="宋体" w:eastAsia="宋体" w:cs="宋体"/>
          <w:color w:val="auto"/>
          <w:sz w:val="21"/>
          <w:highlight w:val="none"/>
        </w:rPr>
        <w:t>）接受联合体投标。</w:t>
      </w:r>
    </w:p>
    <w:p w14:paraId="2056FD5E">
      <w:pPr>
        <w:shd w:val="clear" w:color="auto" w:fill="auto"/>
        <w:tabs>
          <w:tab w:val="left" w:pos="720"/>
        </w:tabs>
        <w:adjustRightInd/>
        <w:textAlignment w:val="auto"/>
        <w:rPr>
          <w:rFonts w:hint="eastAsia" w:hAnsi="宋体" w:eastAsia="宋体" w:cs="宋体"/>
          <w:b/>
          <w:color w:val="auto"/>
          <w:sz w:val="21"/>
          <w:highlight w:val="none"/>
        </w:rPr>
      </w:pPr>
      <w:bookmarkStart w:id="37" w:name="_Toc28359003"/>
      <w:bookmarkStart w:id="38" w:name="_Toc28359080"/>
      <w:bookmarkStart w:id="39" w:name="_Toc35393791"/>
      <w:bookmarkStart w:id="40" w:name="_Toc35393622"/>
      <w:r>
        <w:rPr>
          <w:rFonts w:hint="eastAsia" w:hAnsi="宋体" w:eastAsia="宋体" w:cs="宋体"/>
          <w:b/>
          <w:color w:val="auto"/>
          <w:sz w:val="21"/>
          <w:highlight w:val="none"/>
        </w:rPr>
        <w:t>二、申请人的资格要求：</w:t>
      </w:r>
      <w:bookmarkEnd w:id="37"/>
      <w:bookmarkEnd w:id="38"/>
      <w:bookmarkEnd w:id="39"/>
      <w:bookmarkEnd w:id="40"/>
    </w:p>
    <w:p w14:paraId="18E625CF">
      <w:pPr>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E4220A9">
      <w:pPr>
        <w:shd w:val="clear" w:color="auto" w:fill="auto"/>
        <w:adjustRightInd/>
        <w:ind w:firstLine="420" w:firstLineChars="200"/>
        <w:rPr>
          <w:rFonts w:hint="eastAsia" w:hAnsi="宋体" w:eastAsia="宋体" w:cs="宋体"/>
          <w:color w:val="auto"/>
          <w:sz w:val="21"/>
          <w:highlight w:val="none"/>
          <w:lang w:val="en-US" w:eastAsia="zh-CN"/>
        </w:rPr>
      </w:pPr>
      <w:bookmarkStart w:id="41" w:name="_Toc28359081"/>
      <w:bookmarkStart w:id="42" w:name="_Toc28359004"/>
      <w:r>
        <w:rPr>
          <w:rFonts w:hint="eastAsia" w:hAnsi="宋体" w:eastAsia="宋体" w:cs="宋体"/>
          <w:color w:val="auto"/>
          <w:sz w:val="21"/>
          <w:highlight w:val="none"/>
        </w:rPr>
        <w:t>2.落实政府采</w:t>
      </w:r>
      <w:r>
        <w:rPr>
          <w:rFonts w:hint="eastAsia" w:ascii="宋体" w:hAnsi="宋体" w:eastAsia="宋体" w:cs="宋体"/>
          <w:color w:val="auto"/>
          <w:sz w:val="21"/>
          <w:highlight w:val="none"/>
        </w:rPr>
        <w:t>购政策需满足的资格要求</w:t>
      </w:r>
      <w:r>
        <w:rPr>
          <w:rFonts w:hint="eastAsia" w:hAnsi="宋体" w:eastAsia="宋体" w:cs="宋体"/>
          <w:color w:val="auto"/>
          <w:sz w:val="21"/>
          <w:highlight w:val="none"/>
          <w:lang w:eastAsia="zh-CN"/>
        </w:rPr>
        <w:t>：</w:t>
      </w:r>
      <w:r>
        <w:rPr>
          <w:rFonts w:hint="eastAsia" w:hAnsi="宋体" w:eastAsia="宋体" w:cs="宋体"/>
          <w:color w:val="auto"/>
          <w:sz w:val="21"/>
          <w:highlight w:val="none"/>
          <w:lang w:val="en-US" w:eastAsia="zh-CN"/>
        </w:rPr>
        <w:t>无。</w:t>
      </w:r>
    </w:p>
    <w:p w14:paraId="72511828">
      <w:pPr>
        <w:shd w:val="clear" w:color="auto" w:fill="auto"/>
        <w:adjustRightInd/>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3.本项目的特定资格要求</w:t>
      </w:r>
      <w:r>
        <w:rPr>
          <w:rFonts w:hint="eastAsia" w:hAnsi="宋体" w:eastAsia="宋体" w:cs="宋体"/>
          <w:color w:val="auto"/>
          <w:sz w:val="21"/>
          <w:highlight w:val="none"/>
          <w:lang w:eastAsia="zh-CN"/>
        </w:rPr>
        <w:t>：</w:t>
      </w:r>
      <w:r>
        <w:rPr>
          <w:rFonts w:hint="eastAsia" w:hAnsi="宋体" w:eastAsia="宋体" w:cs="宋体"/>
          <w:color w:val="auto"/>
          <w:sz w:val="21"/>
          <w:highlight w:val="none"/>
          <w:lang w:val="en-US" w:eastAsia="zh-CN"/>
        </w:rPr>
        <w:t>无。</w:t>
      </w:r>
    </w:p>
    <w:p w14:paraId="40EFDEE7">
      <w:pPr>
        <w:shd w:val="clear" w:color="auto" w:fill="auto"/>
        <w:tabs>
          <w:tab w:val="left" w:pos="720"/>
        </w:tabs>
        <w:adjustRightInd/>
        <w:textAlignment w:val="auto"/>
        <w:rPr>
          <w:rFonts w:hint="eastAsia" w:hAnsi="宋体" w:eastAsia="宋体" w:cs="宋体"/>
          <w:b/>
          <w:color w:val="auto"/>
          <w:sz w:val="21"/>
          <w:highlight w:val="none"/>
        </w:rPr>
      </w:pPr>
      <w:bookmarkStart w:id="43" w:name="_Toc35393623"/>
      <w:bookmarkStart w:id="44" w:name="_Toc35393792"/>
      <w:r>
        <w:rPr>
          <w:rFonts w:hint="eastAsia" w:hAnsi="宋体" w:eastAsia="宋体" w:cs="宋体"/>
          <w:b/>
          <w:color w:val="auto"/>
          <w:sz w:val="21"/>
          <w:highlight w:val="none"/>
        </w:rPr>
        <w:t>三、</w:t>
      </w:r>
      <w:bookmarkEnd w:id="41"/>
      <w:bookmarkEnd w:id="42"/>
      <w:bookmarkEnd w:id="43"/>
      <w:bookmarkEnd w:id="44"/>
      <w:r>
        <w:rPr>
          <w:rFonts w:hint="eastAsia" w:hAnsi="宋体" w:eastAsia="宋体" w:cs="宋体"/>
          <w:b/>
          <w:color w:val="auto"/>
          <w:sz w:val="21"/>
          <w:highlight w:val="none"/>
        </w:rPr>
        <w:t>获取（下载）采购文件</w:t>
      </w:r>
    </w:p>
    <w:p w14:paraId="165CCCE1">
      <w:pPr>
        <w:shd w:val="clear" w:color="auto" w:fill="auto"/>
        <w:adjustRightInd/>
        <w:ind w:firstLine="540"/>
        <w:textAlignment w:val="auto"/>
        <w:rPr>
          <w:rFonts w:hint="eastAsia" w:hAnsi="宋体" w:eastAsia="宋体" w:cs="宋体"/>
          <w:color w:val="auto"/>
          <w:sz w:val="21"/>
          <w:highlight w:val="none"/>
        </w:rPr>
      </w:pPr>
      <w:r>
        <w:rPr>
          <w:rFonts w:hint="eastAsia" w:hAnsi="宋体" w:eastAsia="宋体" w:cs="宋体"/>
          <w:color w:val="auto"/>
          <w:sz w:val="21"/>
          <w:highlight w:val="none"/>
        </w:rPr>
        <w:t>1.时间：</w:t>
      </w:r>
      <w:r>
        <w:rPr>
          <w:rFonts w:hint="eastAsia" w:hAnsi="宋体" w:eastAsia="宋体" w:cs="宋体"/>
          <w:color w:val="auto"/>
          <w:sz w:val="21"/>
          <w:highlight w:val="none"/>
          <w:u w:val="single"/>
          <w:lang w:eastAsia="zh-CN"/>
        </w:rPr>
        <w:t>202</w:t>
      </w:r>
      <w:r>
        <w:rPr>
          <w:rFonts w:hint="eastAsia" w:hAnsi="宋体" w:eastAsia="宋体" w:cs="宋体"/>
          <w:color w:val="auto"/>
          <w:sz w:val="21"/>
          <w:highlight w:val="none"/>
          <w:u w:val="single"/>
          <w:lang w:val="en-US" w:eastAsia="zh-CN"/>
        </w:rPr>
        <w:t>4</w:t>
      </w:r>
      <w:r>
        <w:rPr>
          <w:rFonts w:hint="eastAsia" w:hAnsi="宋体" w:eastAsia="宋体" w:cs="宋体"/>
          <w:color w:val="auto"/>
          <w:sz w:val="21"/>
          <w:highlight w:val="none"/>
          <w:u w:val="single"/>
        </w:rPr>
        <w:t>年</w:t>
      </w:r>
      <w:r>
        <w:rPr>
          <w:rFonts w:hint="eastAsia" w:hAnsi="宋体" w:eastAsia="宋体" w:cs="宋体"/>
          <w:color w:val="auto"/>
          <w:sz w:val="21"/>
          <w:highlight w:val="none"/>
          <w:u w:val="single"/>
          <w:lang w:val="en-US" w:eastAsia="zh-CN"/>
        </w:rPr>
        <w:t>8月13</w:t>
      </w:r>
      <w:r>
        <w:rPr>
          <w:rFonts w:hint="eastAsia" w:hAnsi="宋体" w:eastAsia="宋体" w:cs="宋体"/>
          <w:color w:val="auto"/>
          <w:sz w:val="21"/>
          <w:highlight w:val="none"/>
          <w:u w:val="single"/>
        </w:rPr>
        <w:t>日</w:t>
      </w:r>
      <w:r>
        <w:rPr>
          <w:rFonts w:hint="eastAsia" w:hAnsi="宋体" w:eastAsia="宋体" w:cs="宋体"/>
          <w:color w:val="auto"/>
          <w:sz w:val="21"/>
          <w:highlight w:val="none"/>
        </w:rPr>
        <w:t>至</w:t>
      </w:r>
      <w:r>
        <w:rPr>
          <w:rFonts w:hint="eastAsia" w:hAnsi="宋体" w:eastAsia="宋体" w:cs="宋体"/>
          <w:color w:val="auto"/>
          <w:sz w:val="21"/>
          <w:highlight w:val="none"/>
          <w:u w:val="single"/>
          <w:lang w:eastAsia="zh-CN"/>
        </w:rPr>
        <w:t>202</w:t>
      </w:r>
      <w:r>
        <w:rPr>
          <w:rFonts w:hint="eastAsia" w:hAnsi="宋体" w:eastAsia="宋体" w:cs="宋体"/>
          <w:color w:val="auto"/>
          <w:sz w:val="21"/>
          <w:highlight w:val="none"/>
          <w:u w:val="single"/>
          <w:lang w:val="en-US" w:eastAsia="zh-CN"/>
        </w:rPr>
        <w:t>4</w:t>
      </w:r>
      <w:r>
        <w:rPr>
          <w:rFonts w:hint="eastAsia" w:hAnsi="宋体" w:eastAsia="宋体" w:cs="宋体"/>
          <w:color w:val="auto"/>
          <w:sz w:val="21"/>
          <w:highlight w:val="none"/>
          <w:u w:val="single"/>
        </w:rPr>
        <w:t>年</w:t>
      </w:r>
      <w:r>
        <w:rPr>
          <w:rFonts w:hint="eastAsia" w:hAnsi="宋体" w:eastAsia="宋体" w:cs="宋体"/>
          <w:color w:val="auto"/>
          <w:sz w:val="21"/>
          <w:highlight w:val="none"/>
          <w:u w:val="single"/>
          <w:lang w:val="en-US" w:eastAsia="zh-CN"/>
        </w:rPr>
        <w:t>8月20</w:t>
      </w:r>
      <w:r>
        <w:rPr>
          <w:rFonts w:hint="eastAsia" w:hAnsi="宋体" w:eastAsia="宋体" w:cs="宋体"/>
          <w:color w:val="auto"/>
          <w:sz w:val="21"/>
          <w:highlight w:val="none"/>
          <w:u w:val="single"/>
        </w:rPr>
        <w:t>日</w:t>
      </w:r>
      <w:r>
        <w:rPr>
          <w:rFonts w:hint="eastAsia" w:hAnsi="宋体" w:eastAsia="宋体" w:cs="宋体"/>
          <w:color w:val="auto"/>
          <w:sz w:val="21"/>
          <w:highlight w:val="none"/>
        </w:rPr>
        <w:t>，每天上午</w:t>
      </w:r>
      <w:r>
        <w:rPr>
          <w:rFonts w:hint="eastAsia" w:hAnsi="宋体" w:eastAsia="宋体" w:cs="宋体"/>
          <w:color w:val="auto"/>
          <w:sz w:val="21"/>
          <w:highlight w:val="none"/>
          <w:u w:val="single"/>
        </w:rPr>
        <w:t>00:00</w:t>
      </w:r>
      <w:r>
        <w:rPr>
          <w:rFonts w:hint="eastAsia" w:hAnsi="宋体" w:eastAsia="宋体" w:cs="宋体"/>
          <w:color w:val="auto"/>
          <w:sz w:val="21"/>
          <w:highlight w:val="none"/>
        </w:rPr>
        <w:t>至</w:t>
      </w:r>
      <w:r>
        <w:rPr>
          <w:rFonts w:hint="eastAsia" w:hAnsi="宋体" w:eastAsia="宋体" w:cs="宋体"/>
          <w:color w:val="auto"/>
          <w:sz w:val="21"/>
          <w:highlight w:val="none"/>
          <w:u w:val="single"/>
        </w:rPr>
        <w:t>12:00</w:t>
      </w:r>
      <w:r>
        <w:rPr>
          <w:rFonts w:hint="eastAsia" w:hAnsi="宋体" w:eastAsia="宋体" w:cs="宋体"/>
          <w:color w:val="auto"/>
          <w:sz w:val="21"/>
          <w:highlight w:val="none"/>
        </w:rPr>
        <w:t>，下午</w:t>
      </w:r>
      <w:r>
        <w:rPr>
          <w:rFonts w:hint="eastAsia" w:hAnsi="宋体" w:eastAsia="宋体" w:cs="宋体"/>
          <w:color w:val="auto"/>
          <w:sz w:val="21"/>
          <w:highlight w:val="none"/>
          <w:u w:val="single"/>
        </w:rPr>
        <w:t>12:00</w:t>
      </w:r>
      <w:r>
        <w:rPr>
          <w:rFonts w:hint="eastAsia" w:hAnsi="宋体" w:eastAsia="宋体" w:cs="宋体"/>
          <w:color w:val="auto"/>
          <w:sz w:val="21"/>
          <w:highlight w:val="none"/>
        </w:rPr>
        <w:t>至</w:t>
      </w:r>
      <w:r>
        <w:rPr>
          <w:rFonts w:hint="eastAsia" w:hAnsi="宋体" w:eastAsia="宋体" w:cs="宋体"/>
          <w:color w:val="auto"/>
          <w:sz w:val="21"/>
          <w:highlight w:val="none"/>
          <w:u w:val="single"/>
        </w:rPr>
        <w:t>23:59</w:t>
      </w:r>
      <w:r>
        <w:rPr>
          <w:rFonts w:hint="eastAsia" w:hAnsi="宋体" w:eastAsia="宋体" w:cs="宋体"/>
          <w:color w:val="auto"/>
          <w:sz w:val="21"/>
          <w:highlight w:val="none"/>
        </w:rPr>
        <w:t>（北京时间，线上获取法定节假日均可，线下获取文件法定节假日除外）。</w:t>
      </w:r>
    </w:p>
    <w:p w14:paraId="43230D3A">
      <w:pPr>
        <w:shd w:val="clear" w:color="auto" w:fill="auto"/>
        <w:adjustRightInd/>
        <w:ind w:firstLine="540"/>
        <w:textAlignment w:val="auto"/>
        <w:rPr>
          <w:rFonts w:hint="eastAsia" w:hAnsi="宋体" w:eastAsia="宋体" w:cs="宋体"/>
          <w:color w:val="auto"/>
          <w:sz w:val="21"/>
          <w:highlight w:val="none"/>
          <w:u w:val="single"/>
        </w:rPr>
      </w:pPr>
      <w:r>
        <w:rPr>
          <w:rFonts w:hint="eastAsia" w:hAnsi="宋体" w:eastAsia="宋体" w:cs="宋体"/>
          <w:color w:val="auto"/>
          <w:sz w:val="21"/>
          <w:highlight w:val="none"/>
        </w:rPr>
        <w:t>2.地点（网址）：政府采购云平台（http://www.zcygov.cn/）。</w:t>
      </w:r>
    </w:p>
    <w:p w14:paraId="066A2665">
      <w:pPr>
        <w:shd w:val="clear" w:color="auto" w:fill="auto"/>
        <w:adjustRightInd/>
        <w:ind w:firstLine="540"/>
        <w:textAlignment w:val="auto"/>
        <w:rPr>
          <w:rFonts w:hint="eastAsia" w:hAnsi="宋体" w:eastAsia="宋体" w:cs="宋体"/>
          <w:color w:val="auto"/>
          <w:sz w:val="21"/>
          <w:highlight w:val="none"/>
          <w:u w:val="single"/>
        </w:rPr>
      </w:pPr>
      <w:r>
        <w:rPr>
          <w:rFonts w:hint="eastAsia" w:hAnsi="宋体" w:eastAsia="宋体" w:cs="宋体"/>
          <w:color w:val="auto"/>
          <w:sz w:val="21"/>
          <w:highlight w:val="none"/>
        </w:rPr>
        <w:t>3.方式：供应商注册后直接登录“政府采购云平台”（http://www.zcygov.cn/）下载电子磋商文件。供应商未在规定时间内或未按上述方式获取磋商文件的，其投标无效。</w:t>
      </w:r>
    </w:p>
    <w:p w14:paraId="46AFE491">
      <w:pPr>
        <w:shd w:val="clear" w:color="auto" w:fill="auto"/>
        <w:adjustRightInd/>
        <w:ind w:firstLine="540"/>
        <w:textAlignment w:val="auto"/>
        <w:rPr>
          <w:rFonts w:hint="eastAsia" w:hAnsi="宋体" w:eastAsia="宋体" w:cs="宋体"/>
          <w:color w:val="auto"/>
          <w:sz w:val="21"/>
          <w:highlight w:val="none"/>
        </w:rPr>
      </w:pPr>
      <w:r>
        <w:rPr>
          <w:rFonts w:hint="eastAsia" w:hAnsi="宋体" w:eastAsia="宋体" w:cs="宋体"/>
          <w:color w:val="auto"/>
          <w:sz w:val="21"/>
          <w:highlight w:val="none"/>
        </w:rPr>
        <w:t>4.售价（元）：0</w:t>
      </w:r>
    </w:p>
    <w:p w14:paraId="02D94B56">
      <w:pPr>
        <w:shd w:val="clear" w:color="auto" w:fill="auto"/>
        <w:tabs>
          <w:tab w:val="left" w:pos="720"/>
        </w:tabs>
        <w:adjustRightInd/>
        <w:textAlignment w:val="auto"/>
        <w:rPr>
          <w:rFonts w:hint="eastAsia" w:hAnsi="宋体" w:eastAsia="宋体" w:cs="宋体"/>
          <w:b/>
          <w:color w:val="auto"/>
          <w:sz w:val="21"/>
          <w:highlight w:val="none"/>
        </w:rPr>
      </w:pPr>
      <w:bookmarkStart w:id="45" w:name="_Toc35393624"/>
      <w:bookmarkStart w:id="46" w:name="_Toc35393793"/>
      <w:bookmarkStart w:id="47" w:name="_Toc28359005"/>
      <w:bookmarkStart w:id="48" w:name="_Toc28359082"/>
      <w:r>
        <w:rPr>
          <w:rFonts w:hint="eastAsia" w:hAnsi="宋体" w:eastAsia="宋体" w:cs="宋体"/>
          <w:b/>
          <w:color w:val="auto"/>
          <w:sz w:val="21"/>
          <w:highlight w:val="none"/>
        </w:rPr>
        <w:t>四、</w:t>
      </w:r>
      <w:bookmarkEnd w:id="45"/>
      <w:bookmarkEnd w:id="46"/>
      <w:bookmarkEnd w:id="47"/>
      <w:bookmarkEnd w:id="48"/>
      <w:r>
        <w:rPr>
          <w:rFonts w:hint="eastAsia" w:hAnsi="宋体" w:eastAsia="宋体" w:cs="宋体"/>
          <w:b/>
          <w:color w:val="auto"/>
          <w:sz w:val="21"/>
          <w:highlight w:val="none"/>
        </w:rPr>
        <w:t>响应文件提交（上传）</w:t>
      </w:r>
    </w:p>
    <w:p w14:paraId="484E0EEA">
      <w:pPr>
        <w:shd w:val="clear" w:color="auto" w:fill="auto"/>
        <w:adjustRightInd/>
        <w:spacing w:line="336" w:lineRule="auto"/>
        <w:ind w:firstLine="540"/>
        <w:textAlignment w:val="auto"/>
        <w:rPr>
          <w:rFonts w:hint="eastAsia" w:hAnsi="宋体" w:eastAsia="宋体" w:cs="宋体"/>
          <w:color w:val="auto"/>
          <w:sz w:val="21"/>
          <w:highlight w:val="none"/>
        </w:rPr>
      </w:pPr>
      <w:r>
        <w:rPr>
          <w:rFonts w:hint="eastAsia" w:hAnsi="宋体" w:eastAsia="宋体" w:cs="宋体"/>
          <w:color w:val="auto"/>
          <w:sz w:val="21"/>
          <w:highlight w:val="none"/>
        </w:rPr>
        <w:t>1.截止时间：</w:t>
      </w:r>
      <w:r>
        <w:rPr>
          <w:rFonts w:hint="eastAsia" w:hAnsi="宋体" w:eastAsia="宋体" w:cs="宋体"/>
          <w:color w:val="auto"/>
          <w:sz w:val="21"/>
          <w:highlight w:val="none"/>
          <w:lang w:eastAsia="zh-CN"/>
        </w:rPr>
        <w:t>202</w:t>
      </w:r>
      <w:r>
        <w:rPr>
          <w:rFonts w:hint="eastAsia" w:hAnsi="宋体" w:eastAsia="宋体" w:cs="宋体"/>
          <w:color w:val="auto"/>
          <w:sz w:val="21"/>
          <w:highlight w:val="none"/>
          <w:lang w:val="en-US" w:eastAsia="zh-CN"/>
        </w:rPr>
        <w:t>4</w:t>
      </w:r>
      <w:r>
        <w:rPr>
          <w:rFonts w:hint="eastAsia" w:hAnsi="宋体" w:eastAsia="宋体" w:cs="宋体"/>
          <w:color w:val="auto"/>
          <w:sz w:val="21"/>
          <w:highlight w:val="none"/>
        </w:rPr>
        <w:t>年</w:t>
      </w:r>
      <w:r>
        <w:rPr>
          <w:rFonts w:hint="eastAsia" w:hAnsi="宋体" w:eastAsia="宋体" w:cs="宋体"/>
          <w:color w:val="auto"/>
          <w:sz w:val="21"/>
          <w:highlight w:val="none"/>
          <w:lang w:val="en-US" w:eastAsia="zh-CN"/>
        </w:rPr>
        <w:t>8月23日9:30</w:t>
      </w:r>
      <w:r>
        <w:rPr>
          <w:rFonts w:hint="eastAsia" w:hAnsi="宋体" w:eastAsia="宋体" w:cs="宋体"/>
          <w:color w:val="auto"/>
          <w:sz w:val="21"/>
          <w:highlight w:val="none"/>
        </w:rPr>
        <w:t>（北京时间）。</w:t>
      </w:r>
    </w:p>
    <w:p w14:paraId="5063BE9F">
      <w:pPr>
        <w:shd w:val="clear" w:color="auto" w:fill="auto"/>
        <w:adjustRightInd/>
        <w:spacing w:line="336" w:lineRule="auto"/>
        <w:ind w:firstLine="540"/>
        <w:textAlignment w:val="auto"/>
        <w:rPr>
          <w:rFonts w:hint="eastAsia" w:hAnsi="宋体" w:eastAsia="宋体" w:cs="宋体"/>
          <w:color w:val="auto"/>
          <w:sz w:val="21"/>
          <w:highlight w:val="none"/>
        </w:rPr>
      </w:pPr>
      <w:r>
        <w:rPr>
          <w:rFonts w:hint="eastAsia" w:hAnsi="宋体" w:eastAsia="宋体" w:cs="宋体"/>
          <w:color w:val="auto"/>
          <w:sz w:val="21"/>
          <w:highlight w:val="none"/>
        </w:rPr>
        <w:t>2.地点（网址）：登录政府采购云平台（www.zcygov.cn）在线投标，并进行解密（解密时间为提交投标文件截止时间后30分钟内）。</w:t>
      </w:r>
    </w:p>
    <w:p w14:paraId="4AA555F7">
      <w:pPr>
        <w:shd w:val="clear" w:color="auto" w:fill="auto"/>
        <w:adjustRightInd/>
        <w:spacing w:line="336" w:lineRule="auto"/>
        <w:textAlignment w:val="auto"/>
        <w:rPr>
          <w:rFonts w:hint="eastAsia" w:hAnsi="宋体" w:eastAsia="宋体" w:cs="宋体"/>
          <w:color w:val="auto"/>
          <w:sz w:val="21"/>
          <w:highlight w:val="none"/>
        </w:rPr>
      </w:pPr>
      <w:r>
        <w:rPr>
          <w:rFonts w:hint="eastAsia" w:hAnsi="宋体" w:eastAsia="宋体" w:cs="宋体"/>
          <w:b/>
          <w:color w:val="auto"/>
          <w:sz w:val="21"/>
          <w:highlight w:val="none"/>
        </w:rPr>
        <w:t>五、响应文件开启</w:t>
      </w:r>
    </w:p>
    <w:p w14:paraId="4AA7D349">
      <w:pPr>
        <w:shd w:val="clear" w:color="auto" w:fill="auto"/>
        <w:adjustRightInd/>
        <w:spacing w:line="336" w:lineRule="auto"/>
        <w:ind w:firstLine="540"/>
        <w:textAlignment w:val="auto"/>
        <w:rPr>
          <w:rFonts w:hint="eastAsia" w:hAnsi="宋体" w:eastAsia="宋体" w:cs="宋体"/>
          <w:color w:val="auto"/>
          <w:sz w:val="21"/>
          <w:highlight w:val="none"/>
        </w:rPr>
      </w:pPr>
      <w:r>
        <w:rPr>
          <w:rFonts w:hint="eastAsia" w:hAnsi="宋体" w:eastAsia="宋体" w:cs="宋体"/>
          <w:color w:val="auto"/>
          <w:sz w:val="21"/>
          <w:highlight w:val="none"/>
        </w:rPr>
        <w:t>1.开启时间：</w:t>
      </w:r>
      <w:r>
        <w:rPr>
          <w:rFonts w:hint="eastAsia" w:hAnsi="宋体" w:eastAsia="宋体" w:cs="宋体"/>
          <w:color w:val="auto"/>
          <w:sz w:val="21"/>
          <w:highlight w:val="none"/>
          <w:lang w:eastAsia="zh-CN"/>
        </w:rPr>
        <w:t>202</w:t>
      </w:r>
      <w:r>
        <w:rPr>
          <w:rFonts w:hint="eastAsia" w:hAnsi="宋体" w:eastAsia="宋体" w:cs="宋体"/>
          <w:color w:val="auto"/>
          <w:sz w:val="21"/>
          <w:highlight w:val="none"/>
          <w:lang w:val="en-US" w:eastAsia="zh-CN"/>
        </w:rPr>
        <w:t>4</w:t>
      </w:r>
      <w:r>
        <w:rPr>
          <w:rFonts w:hint="eastAsia" w:hAnsi="宋体" w:eastAsia="宋体" w:cs="宋体"/>
          <w:color w:val="auto"/>
          <w:sz w:val="21"/>
          <w:highlight w:val="none"/>
        </w:rPr>
        <w:t>年</w:t>
      </w:r>
      <w:r>
        <w:rPr>
          <w:rFonts w:hint="eastAsia" w:hAnsi="宋体" w:eastAsia="宋体" w:cs="宋体"/>
          <w:color w:val="auto"/>
          <w:sz w:val="21"/>
          <w:highlight w:val="none"/>
          <w:lang w:val="en-US" w:eastAsia="zh-CN"/>
        </w:rPr>
        <w:t>8月23日9:30</w:t>
      </w:r>
      <w:r>
        <w:rPr>
          <w:rFonts w:hint="eastAsia" w:hAnsi="宋体" w:eastAsia="宋体" w:cs="宋体"/>
          <w:color w:val="auto"/>
          <w:sz w:val="21"/>
          <w:highlight w:val="none"/>
        </w:rPr>
        <w:t>（北京时间）。</w:t>
      </w:r>
    </w:p>
    <w:p w14:paraId="2273421B">
      <w:pPr>
        <w:shd w:val="clear" w:color="auto" w:fill="auto"/>
        <w:adjustRightInd/>
        <w:ind w:firstLine="540"/>
        <w:textAlignment w:val="auto"/>
        <w:rPr>
          <w:rFonts w:hint="eastAsia" w:hAnsi="宋体" w:eastAsia="宋体" w:cs="宋体"/>
          <w:color w:val="auto"/>
          <w:sz w:val="21"/>
          <w:highlight w:val="none"/>
        </w:rPr>
      </w:pPr>
      <w:r>
        <w:rPr>
          <w:rFonts w:hint="eastAsia" w:hAnsi="宋体" w:eastAsia="宋体" w:cs="宋体"/>
          <w:color w:val="auto"/>
          <w:sz w:val="21"/>
          <w:highlight w:val="none"/>
        </w:rPr>
        <w:t>2.地点（网址）：本项目通过“政府采购云平台（http：//www.zcygov.cn/）”实行在线电子投标，投标人应在线参加开标。</w:t>
      </w:r>
    </w:p>
    <w:p w14:paraId="768D6B23">
      <w:pPr>
        <w:shd w:val="clear" w:color="auto" w:fill="auto"/>
        <w:tabs>
          <w:tab w:val="left" w:pos="720"/>
        </w:tabs>
        <w:adjustRightInd/>
        <w:textAlignment w:val="auto"/>
        <w:rPr>
          <w:rFonts w:hint="eastAsia" w:hAnsi="宋体" w:eastAsia="宋体" w:cs="宋体"/>
          <w:b/>
          <w:color w:val="auto"/>
          <w:sz w:val="21"/>
          <w:highlight w:val="none"/>
        </w:rPr>
      </w:pPr>
      <w:bookmarkStart w:id="49" w:name="_Toc28359084"/>
      <w:bookmarkStart w:id="50" w:name="_Toc35393625"/>
      <w:bookmarkStart w:id="51" w:name="_Toc28359007"/>
      <w:bookmarkStart w:id="52" w:name="_Toc35393794"/>
      <w:r>
        <w:rPr>
          <w:rFonts w:hint="eastAsia" w:hAnsi="宋体" w:eastAsia="宋体" w:cs="宋体"/>
          <w:b/>
          <w:color w:val="auto"/>
          <w:sz w:val="21"/>
          <w:highlight w:val="none"/>
        </w:rPr>
        <w:t>六、公告期限</w:t>
      </w:r>
      <w:bookmarkEnd w:id="49"/>
      <w:bookmarkEnd w:id="50"/>
      <w:bookmarkEnd w:id="51"/>
      <w:bookmarkEnd w:id="52"/>
    </w:p>
    <w:p w14:paraId="1C2921A1">
      <w:pPr>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自本公告发布之日起3个工作日。</w:t>
      </w:r>
    </w:p>
    <w:p w14:paraId="7FD329AD">
      <w:pPr>
        <w:shd w:val="clear" w:color="auto" w:fill="auto"/>
        <w:tabs>
          <w:tab w:val="left" w:pos="720"/>
        </w:tabs>
        <w:adjustRightInd/>
        <w:textAlignment w:val="auto"/>
        <w:rPr>
          <w:rFonts w:hint="eastAsia" w:hAnsi="宋体" w:eastAsia="宋体" w:cs="宋体"/>
          <w:b/>
          <w:color w:val="auto"/>
          <w:sz w:val="21"/>
          <w:highlight w:val="none"/>
        </w:rPr>
      </w:pPr>
      <w:r>
        <w:rPr>
          <w:rFonts w:hint="eastAsia" w:hAnsi="宋体" w:eastAsia="宋体" w:cs="宋体"/>
          <w:b/>
          <w:color w:val="auto"/>
          <w:sz w:val="21"/>
          <w:highlight w:val="none"/>
        </w:rPr>
        <w:t>七、其他补充事宜</w:t>
      </w:r>
    </w:p>
    <w:p w14:paraId="7F607EE7">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2B4D6E">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2.其他事项：</w:t>
      </w:r>
    </w:p>
    <w:p w14:paraId="1DC90BE4">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2.1落实的政策：《关于促进残疾人就业政府采购政策的通知》（财库〔2017〕141号）、《政府采购促进中小企业发展管理办法》（财库〔2020〕46号）、《关于政府采购支持监狱企业发展有关问题的通知》(财库〔2014〕</w:t>
      </w:r>
      <w:r>
        <w:rPr>
          <w:rFonts w:hint="eastAsia" w:hAnsi="宋体" w:eastAsia="宋体" w:cs="宋体"/>
          <w:color w:val="auto"/>
          <w:sz w:val="21"/>
          <w:highlight w:val="none"/>
          <w:lang w:eastAsia="zh-CN"/>
        </w:rPr>
        <w:t>68号)、《浙江省财政厅关于进一</w:t>
      </w:r>
      <w:r>
        <w:rPr>
          <w:rFonts w:hint="eastAsia" w:hAnsi="宋体" w:eastAsia="宋体" w:cs="宋体"/>
          <w:color w:val="auto"/>
          <w:sz w:val="21"/>
          <w:highlight w:val="none"/>
        </w:rPr>
        <w:t>步加大政府采购支持中小企业力度助力扎实稳住经济的通知</w:t>
      </w:r>
      <w:r>
        <w:rPr>
          <w:rFonts w:hint="eastAsia" w:hAnsi="宋体" w:eastAsia="宋体" w:cs="宋体"/>
          <w:color w:val="auto"/>
          <w:sz w:val="21"/>
          <w:highlight w:val="none"/>
          <w:lang w:eastAsia="zh-CN"/>
        </w:rPr>
        <w:t>》（浙财采监〔2023〕8号）。</w:t>
      </w:r>
    </w:p>
    <w:p w14:paraId="04975AA3">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2.2投标与开标注意事项</w:t>
      </w:r>
    </w:p>
    <w:p w14:paraId="45E2DDAC">
      <w:pPr>
        <w:widowControl/>
        <w:numPr>
          <w:ilvl w:val="0"/>
          <w:numId w:val="2"/>
        </w:numPr>
        <w:shd w:val="clear" w:color="auto" w:fill="auto"/>
        <w:adjustRightInd/>
        <w:ind w:left="425" w:leftChars="0" w:hanging="425" w:firstLineChars="0"/>
        <w:textAlignment w:val="auto"/>
        <w:rPr>
          <w:rFonts w:hint="eastAsia" w:hAnsi="宋体" w:eastAsia="宋体" w:cs="宋体"/>
          <w:color w:val="auto"/>
          <w:sz w:val="21"/>
          <w:highlight w:val="none"/>
        </w:rPr>
      </w:pPr>
      <w:r>
        <w:rPr>
          <w:rFonts w:hint="eastAsia" w:hAnsi="宋体" w:eastAsia="宋体" w:cs="宋体"/>
          <w:color w:val="auto"/>
          <w:sz w:val="21"/>
          <w:highlight w:val="none"/>
        </w:rPr>
        <w:t>本项目实行网上投标，采用电子响应文件。若供应商参与投标，自行承担投标一切费用。</w:t>
      </w:r>
    </w:p>
    <w:p w14:paraId="5C7FFA41">
      <w:pPr>
        <w:widowControl/>
        <w:numPr>
          <w:ilvl w:val="0"/>
          <w:numId w:val="2"/>
        </w:numPr>
        <w:shd w:val="clear" w:color="auto" w:fill="auto"/>
        <w:adjustRightInd/>
        <w:ind w:left="425" w:leftChars="0" w:hanging="425" w:firstLineChars="0"/>
        <w:textAlignment w:val="auto"/>
        <w:rPr>
          <w:rFonts w:hint="eastAsia" w:hAnsi="宋体" w:eastAsia="宋体" w:cs="宋体"/>
          <w:color w:val="auto"/>
          <w:sz w:val="21"/>
          <w:highlight w:val="none"/>
        </w:rPr>
      </w:pPr>
      <w:r>
        <w:rPr>
          <w:rFonts w:hint="eastAsia" w:hAnsi="宋体" w:eastAsia="宋体" w:cs="宋体"/>
          <w:color w:val="auto"/>
          <w:sz w:val="21"/>
          <w:highlight w:val="none"/>
        </w:rPr>
        <w:t>标前准备：因未办理CA数字证书等原因造成无法投标或投标失败等后果由供应商自行承担。</w:t>
      </w:r>
    </w:p>
    <w:p w14:paraId="41A4BE0F">
      <w:pPr>
        <w:widowControl/>
        <w:numPr>
          <w:ilvl w:val="0"/>
          <w:numId w:val="2"/>
        </w:numPr>
        <w:shd w:val="clear" w:color="auto" w:fill="auto"/>
        <w:adjustRightInd/>
        <w:ind w:left="425" w:leftChars="0" w:hanging="425" w:firstLineChars="0"/>
        <w:textAlignment w:val="auto"/>
        <w:rPr>
          <w:rFonts w:hint="eastAsia" w:hAnsi="宋体" w:eastAsia="宋体" w:cs="宋体"/>
          <w:color w:val="auto"/>
          <w:sz w:val="21"/>
          <w:highlight w:val="none"/>
        </w:rPr>
      </w:pPr>
      <w:r>
        <w:rPr>
          <w:rFonts w:hint="eastAsia" w:hAnsi="宋体" w:eastAsia="宋体" w:cs="宋体"/>
          <w:color w:val="auto"/>
          <w:sz w:val="21"/>
          <w:highlight w:val="none"/>
        </w:rPr>
        <w:t>响应文件制作：</w:t>
      </w:r>
    </w:p>
    <w:p w14:paraId="462A5337">
      <w:pPr>
        <w:widowControl/>
        <w:numPr>
          <w:ilvl w:val="0"/>
          <w:numId w:val="3"/>
        </w:numPr>
        <w:shd w:val="clear" w:color="auto" w:fill="auto"/>
        <w:adjustRightInd/>
        <w:ind w:left="425" w:leftChars="0" w:hanging="425" w:firstLineChars="0"/>
        <w:textAlignment w:val="auto"/>
        <w:rPr>
          <w:rFonts w:hint="eastAsia" w:hAnsi="宋体" w:eastAsia="宋体" w:cs="宋体"/>
          <w:color w:val="auto"/>
          <w:sz w:val="21"/>
          <w:highlight w:val="none"/>
        </w:rPr>
      </w:pPr>
      <w:r>
        <w:rPr>
          <w:rFonts w:hint="eastAsia" w:hAnsi="宋体" w:eastAsia="宋体" w:cs="宋体"/>
          <w:color w:val="auto"/>
          <w:sz w:val="21"/>
          <w:highlight w:val="none"/>
        </w:rPr>
        <w:t>应按照本项目磋商文件和政府采购云平台的要求编制、加密并递交响应文件。供应商在使用系统进行投标的过程中遇到涉及平台使用的任何问题，可致电政府采购云平台技术支持热线</w:t>
      </w:r>
      <w:r>
        <w:rPr>
          <w:rFonts w:hint="eastAsia" w:hAnsi="宋体" w:eastAsia="宋体" w:cs="宋体"/>
          <w:color w:val="auto"/>
          <w:sz w:val="21"/>
          <w:highlight w:val="none"/>
          <w:lang w:eastAsia="zh-CN"/>
        </w:rPr>
        <w:t>95763</w:t>
      </w:r>
      <w:r>
        <w:rPr>
          <w:rFonts w:hint="eastAsia" w:hAnsi="宋体" w:eastAsia="宋体" w:cs="宋体"/>
          <w:color w:val="auto"/>
          <w:sz w:val="21"/>
          <w:highlight w:val="none"/>
        </w:rPr>
        <w:t>咨询。</w:t>
      </w:r>
    </w:p>
    <w:p w14:paraId="1E1B24E6">
      <w:pPr>
        <w:widowControl/>
        <w:numPr>
          <w:ilvl w:val="0"/>
          <w:numId w:val="3"/>
        </w:numPr>
        <w:shd w:val="clear" w:color="auto" w:fill="auto"/>
        <w:adjustRightInd/>
        <w:ind w:left="425" w:leftChars="0" w:hanging="425" w:firstLineChars="0"/>
        <w:textAlignment w:val="auto"/>
        <w:rPr>
          <w:rFonts w:hint="eastAsia" w:hAnsi="宋体" w:eastAsia="宋体" w:cs="宋体"/>
          <w:color w:val="auto"/>
          <w:sz w:val="21"/>
          <w:highlight w:val="none"/>
        </w:rPr>
      </w:pPr>
      <w:r>
        <w:rPr>
          <w:rFonts w:hint="eastAsia" w:hAnsi="宋体" w:eastAsia="宋体" w:cs="宋体"/>
          <w:color w:val="auto"/>
          <w:sz w:val="21"/>
          <w:highlight w:val="none"/>
        </w:rPr>
        <w:t>供应商通过政府采购云平台电子投标工具制作响应文件，电子投标工具请供应商自行前往浙江政府采购网下载并安装，响应文件制作具体流程详见政府采购云平台。</w:t>
      </w:r>
    </w:p>
    <w:p w14:paraId="2895E7D0">
      <w:pPr>
        <w:widowControl/>
        <w:numPr>
          <w:ilvl w:val="0"/>
          <w:numId w:val="3"/>
        </w:numPr>
        <w:shd w:val="clear" w:color="auto" w:fill="auto"/>
        <w:adjustRightInd/>
        <w:ind w:left="425" w:leftChars="0" w:hanging="425" w:firstLineChars="0"/>
        <w:textAlignment w:val="auto"/>
        <w:rPr>
          <w:rFonts w:hint="eastAsia" w:hAnsi="宋体" w:eastAsia="宋体" w:cs="宋体"/>
          <w:color w:val="auto"/>
          <w:sz w:val="21"/>
          <w:highlight w:val="none"/>
        </w:rPr>
      </w:pPr>
      <w:r>
        <w:rPr>
          <w:rFonts w:hint="eastAsia" w:hAnsi="宋体" w:eastAsia="宋体" w:cs="宋体"/>
          <w:color w:val="auto"/>
          <w:sz w:val="21"/>
          <w:highlight w:val="none"/>
        </w:rPr>
        <w:t>以U盘存储的电子备份响应文件1份，供应商上传平台的是后缀为.jmbs的加密文件，递交给招标代理公司的是后缀为.bfbs的备份文件，未及时解密的责任自负。</w:t>
      </w:r>
    </w:p>
    <w:p w14:paraId="1067DC52">
      <w:pPr>
        <w:shd w:val="clear" w:color="auto" w:fill="auto"/>
        <w:adjustRightInd/>
        <w:ind w:firstLine="420"/>
        <w:textAlignment w:val="auto"/>
        <w:rPr>
          <w:rFonts w:hint="eastAsia" w:hAnsi="宋体" w:eastAsia="宋体" w:cs="宋体"/>
          <w:bCs/>
          <w:color w:val="auto"/>
          <w:kern w:val="2"/>
          <w:sz w:val="21"/>
          <w:highlight w:val="none"/>
        </w:rPr>
      </w:pPr>
      <w:r>
        <w:rPr>
          <w:rFonts w:hint="eastAsia" w:hAnsi="宋体" w:eastAsia="宋体" w:cs="宋体"/>
          <w:color w:val="auto"/>
          <w:sz w:val="21"/>
          <w:highlight w:val="none"/>
        </w:rPr>
        <w:t>2.3供应商应在规定的磋商文件获取期限内在政采云平台登录供应商注册的账号后获取磋商文件，未按上述方式获取磋商文件的，不得对磋商文件提起质疑投诉。</w:t>
      </w:r>
    </w:p>
    <w:p w14:paraId="454592A4">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2.4供应商应于响应文件提交（上传）截止时间前将电子响应文件上传到政府采购云平台www.zcygov.cn，未上传电子响应文件，视为供应商放弃投标。</w:t>
      </w:r>
    </w:p>
    <w:p w14:paraId="788CB076">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2.5供应商如提供备份响应文件的，应于响应文件提交（上传）截止时间前，将以U盘存储的电子备份响应文件密封，逾期送达或未密封将予以拒收。供应商仅提供备份响应文件的，投标无效。</w:t>
      </w:r>
    </w:p>
    <w:p w14:paraId="7FA8A098">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2.6采购代理机构将在磋商文件规定的响应文件开启时间通过政府采购云平台组织开标、开启响应文件，所有供应商均应准时在线参加。响应文件开启时间后30分钟内供应商可以登录政府采购云平台www.zcygov.cn，用“项目采购－开标评标”功能进行解密响应文件。</w:t>
      </w:r>
    </w:p>
    <w:p w14:paraId="2CC19E95">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2.7供应商可采用邮寄（含快递）方式或现场方式递交备份响应文件。</w:t>
      </w:r>
    </w:p>
    <w:p w14:paraId="42EE321B">
      <w:pPr>
        <w:widowControl/>
        <w:numPr>
          <w:ilvl w:val="0"/>
          <w:numId w:val="4"/>
        </w:numPr>
        <w:shd w:val="clear" w:color="auto" w:fill="auto"/>
        <w:adjustRightInd/>
        <w:ind w:left="425" w:leftChars="0" w:hanging="425" w:firstLineChars="0"/>
        <w:textAlignment w:val="auto"/>
        <w:rPr>
          <w:rFonts w:hint="eastAsia" w:hAnsi="宋体" w:eastAsia="宋体" w:cs="宋体"/>
          <w:color w:val="auto"/>
          <w:sz w:val="21"/>
          <w:highlight w:val="none"/>
        </w:rPr>
      </w:pPr>
      <w:r>
        <w:rPr>
          <w:rFonts w:hint="eastAsia" w:hAnsi="宋体" w:eastAsia="宋体" w:cs="宋体"/>
          <w:color w:val="auto"/>
          <w:sz w:val="21"/>
          <w:highlight w:val="none"/>
        </w:rPr>
        <w:t>采用邮寄方式递交备份响应文件，需按以下要求递交：</w:t>
      </w:r>
    </w:p>
    <w:p w14:paraId="521FDDBA">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各供应商自行考虑邮寄在途时间，邮寄过程中无论何种因素导致备份响应文件未按时递交的后果，均由供应商自行负责。备份响应文件递交时间以采购代理实际收到备份响应文件的时间为准。</w:t>
      </w:r>
    </w:p>
    <w:p w14:paraId="109CFCC5">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请各供应商确保密封包装在邮寄过程密封包装完好，因邮寄过程的密封破损造成不符合开标要求的，本采购代理及采购人概不负责。</w:t>
      </w:r>
    </w:p>
    <w:p w14:paraId="10108894">
      <w:pPr>
        <w:widowControl/>
        <w:numPr>
          <w:ilvl w:val="0"/>
          <w:numId w:val="4"/>
        </w:numPr>
        <w:shd w:val="clear" w:color="auto" w:fill="auto"/>
        <w:adjustRightInd/>
        <w:ind w:left="425" w:leftChars="0" w:hanging="425" w:firstLineChars="0"/>
        <w:textAlignment w:val="auto"/>
        <w:rPr>
          <w:rFonts w:hint="eastAsia" w:hAnsi="宋体" w:eastAsia="宋体" w:cs="宋体"/>
          <w:color w:val="auto"/>
          <w:sz w:val="21"/>
          <w:highlight w:val="none"/>
        </w:rPr>
      </w:pPr>
      <w:r>
        <w:rPr>
          <w:rFonts w:hint="eastAsia" w:hAnsi="宋体" w:eastAsia="宋体" w:cs="宋体"/>
          <w:color w:val="auto"/>
          <w:sz w:val="21"/>
          <w:highlight w:val="none"/>
        </w:rPr>
        <w:t>采用现场方式送达备份响应文件，需按以下要求递交：</w:t>
      </w:r>
    </w:p>
    <w:p w14:paraId="5C1C4C44">
      <w:pPr>
        <w:widowControl/>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所有供应商可安排相关人员（原则上不超过一名）在响应文件提交（上传）截止时间前将备份响应文件送至</w:t>
      </w:r>
      <w:r>
        <w:rPr>
          <w:rFonts w:hint="eastAsia" w:hAnsi="宋体" w:eastAsia="宋体" w:cs="宋体"/>
          <w:color w:val="auto"/>
          <w:sz w:val="21"/>
          <w:highlight w:val="none"/>
          <w:lang w:val="en-US" w:eastAsia="zh-CN"/>
        </w:rPr>
        <w:t>响应文件开启地点</w:t>
      </w:r>
      <w:r>
        <w:rPr>
          <w:rFonts w:hint="eastAsia" w:hAnsi="宋体" w:eastAsia="宋体" w:cs="宋体"/>
          <w:color w:val="auto"/>
          <w:sz w:val="21"/>
          <w:highlight w:val="none"/>
        </w:rPr>
        <w:t>。响应文件递交时需同时递交供应商的法定代表人（或其委托代理人）联系方式，并保证开标期间联系方式的畅通。</w:t>
      </w:r>
    </w:p>
    <w:p w14:paraId="3AABF919">
      <w:pPr>
        <w:pStyle w:val="34"/>
        <w:widowControl w:val="0"/>
        <w:shd w:val="clear" w:color="auto" w:fill="auto"/>
        <w:snapToGrid/>
        <w:spacing w:after="0" w:afterLines="0" w:line="336" w:lineRule="auto"/>
        <w:ind w:firstLine="420"/>
        <w:jc w:val="left"/>
        <w:rPr>
          <w:rFonts w:ascii="宋体" w:hAnsi="宋体" w:cs="宋体"/>
          <w:color w:val="auto"/>
          <w:sz w:val="21"/>
          <w:szCs w:val="21"/>
          <w:highlight w:val="none"/>
        </w:rPr>
      </w:pPr>
      <w:r>
        <w:rPr>
          <w:rFonts w:hint="eastAsia" w:hAnsi="宋体" w:eastAsia="宋体" w:cs="宋体"/>
          <w:color w:val="auto"/>
          <w:sz w:val="21"/>
          <w:highlight w:val="none"/>
        </w:rPr>
        <w:t>2.</w:t>
      </w:r>
      <w:r>
        <w:rPr>
          <w:rFonts w:hint="eastAsia" w:hAnsi="宋体" w:eastAsia="宋体" w:cs="宋体"/>
          <w:color w:val="auto"/>
          <w:sz w:val="21"/>
          <w:highlight w:val="none"/>
          <w:lang w:val="en-US" w:eastAsia="zh-CN"/>
        </w:rPr>
        <w:t>8</w:t>
      </w:r>
      <w:r>
        <w:rPr>
          <w:rFonts w:hint="eastAsia" w:hAnsi="宋体" w:eastAsia="宋体" w:cs="宋体"/>
          <w:color w:val="auto"/>
          <w:sz w:val="21"/>
          <w:highlight w:val="none"/>
        </w:rPr>
        <w:t>本公告发布媒体：浙江政府采购网（www.zjzfcg.gov.cn）、</w:t>
      </w:r>
      <w:r>
        <w:rPr>
          <w:rFonts w:hint="eastAsia" w:hAnsi="宋体" w:eastAsia="宋体" w:cs="宋体"/>
          <w:color w:val="auto"/>
          <w:sz w:val="21"/>
          <w:highlight w:val="none"/>
          <w:lang w:val="en-US" w:eastAsia="zh-CN"/>
        </w:rPr>
        <w:t>宁波政府采购网（https://www.nbzfcg.cn/）浙江省公共资源交易服务平台（https://ggzy.zj.gov.cn）</w:t>
      </w:r>
    </w:p>
    <w:p w14:paraId="09398468">
      <w:pPr>
        <w:shd w:val="clear" w:color="auto" w:fill="auto"/>
        <w:tabs>
          <w:tab w:val="left" w:pos="720"/>
        </w:tabs>
        <w:adjustRightInd/>
        <w:textAlignment w:val="auto"/>
        <w:rPr>
          <w:rFonts w:hint="eastAsia" w:hAnsi="宋体" w:eastAsia="宋体" w:cs="宋体"/>
          <w:b/>
          <w:color w:val="auto"/>
          <w:sz w:val="21"/>
          <w:highlight w:val="none"/>
        </w:rPr>
      </w:pPr>
      <w:bookmarkStart w:id="53" w:name="_Toc35393627"/>
      <w:bookmarkStart w:id="54" w:name="_Toc28359085"/>
      <w:bookmarkStart w:id="55" w:name="_Toc35393796"/>
      <w:bookmarkStart w:id="56" w:name="_Toc28359008"/>
      <w:r>
        <w:rPr>
          <w:rFonts w:hint="eastAsia" w:hAnsi="宋体" w:eastAsia="宋体" w:cs="宋体"/>
          <w:b/>
          <w:color w:val="auto"/>
          <w:sz w:val="21"/>
          <w:highlight w:val="none"/>
        </w:rPr>
        <w:t>八、</w:t>
      </w:r>
      <w:bookmarkEnd w:id="53"/>
      <w:bookmarkEnd w:id="54"/>
      <w:bookmarkEnd w:id="55"/>
      <w:bookmarkEnd w:id="56"/>
      <w:r>
        <w:rPr>
          <w:rFonts w:hint="eastAsia" w:hAnsi="宋体" w:eastAsia="宋体" w:cs="宋体"/>
          <w:b/>
          <w:color w:val="auto"/>
          <w:sz w:val="21"/>
          <w:highlight w:val="none"/>
        </w:rPr>
        <w:t>凡对本次招标提出询问、质疑、投诉，请按以下方式联系</w:t>
      </w:r>
    </w:p>
    <w:p w14:paraId="1A4776DE">
      <w:pPr>
        <w:shd w:val="clear" w:color="auto" w:fill="auto"/>
        <w:adjustRightInd/>
        <w:spacing w:line="336" w:lineRule="auto"/>
        <w:ind w:firstLine="630" w:firstLineChars="300"/>
        <w:textAlignment w:val="auto"/>
        <w:rPr>
          <w:rFonts w:hint="eastAsia" w:hAnsi="宋体" w:eastAsia="宋体" w:cs="宋体"/>
          <w:color w:val="auto"/>
          <w:sz w:val="21"/>
          <w:highlight w:val="none"/>
        </w:rPr>
      </w:pPr>
      <w:r>
        <w:rPr>
          <w:rFonts w:hint="eastAsia" w:hAnsi="宋体" w:eastAsia="宋体" w:cs="宋体"/>
          <w:color w:val="auto"/>
          <w:sz w:val="21"/>
          <w:highlight w:val="none"/>
        </w:rPr>
        <w:t>1.采购人信息</w:t>
      </w:r>
    </w:p>
    <w:p w14:paraId="41056C37">
      <w:pPr>
        <w:shd w:val="clear" w:color="auto" w:fill="auto"/>
        <w:adjustRightInd/>
        <w:spacing w:line="336" w:lineRule="auto"/>
        <w:ind w:firstLine="630" w:firstLineChars="300"/>
        <w:textAlignment w:val="auto"/>
        <w:rPr>
          <w:rFonts w:hint="eastAsia" w:hAnsi="宋体" w:eastAsia="宋体" w:cs="宋体"/>
          <w:color w:val="auto"/>
          <w:sz w:val="21"/>
          <w:highlight w:val="none"/>
          <w:lang w:eastAsia="zh-CN"/>
        </w:rPr>
      </w:pPr>
      <w:r>
        <w:rPr>
          <w:rFonts w:hint="eastAsia" w:hAnsi="宋体" w:eastAsia="宋体" w:cs="宋体"/>
          <w:color w:val="auto"/>
          <w:sz w:val="21"/>
          <w:highlight w:val="none"/>
        </w:rPr>
        <w:t xml:space="preserve">名 </w:t>
      </w:r>
      <w:r>
        <w:rPr>
          <w:rFonts w:hint="eastAsia" w:hAnsi="宋体" w:eastAsia="宋体" w:cs="宋体"/>
          <w:color w:val="auto"/>
          <w:sz w:val="21"/>
          <w:highlight w:val="none"/>
          <w:lang w:val="en-US" w:eastAsia="zh-CN"/>
        </w:rPr>
        <w:t xml:space="preserve">   </w:t>
      </w:r>
      <w:r>
        <w:rPr>
          <w:rFonts w:hint="eastAsia" w:hAnsi="宋体" w:eastAsia="宋体" w:cs="宋体"/>
          <w:color w:val="auto"/>
          <w:sz w:val="21"/>
          <w:highlight w:val="none"/>
        </w:rPr>
        <w:t>称：</w:t>
      </w:r>
      <w:r>
        <w:rPr>
          <w:rFonts w:hint="eastAsia" w:hAnsi="宋体" w:eastAsia="宋体" w:cs="宋体"/>
          <w:color w:val="auto"/>
          <w:sz w:val="21"/>
          <w:highlight w:val="none"/>
          <w:lang w:eastAsia="zh-CN"/>
        </w:rPr>
        <w:t>宁波市商务局</w:t>
      </w:r>
    </w:p>
    <w:p w14:paraId="2523D3C1">
      <w:pPr>
        <w:shd w:val="clear" w:color="auto" w:fill="auto"/>
        <w:adjustRightInd/>
        <w:spacing w:line="336" w:lineRule="auto"/>
        <w:ind w:firstLine="630" w:firstLineChars="3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地  址：</w:t>
      </w:r>
      <w:r>
        <w:rPr>
          <w:rFonts w:hint="eastAsia" w:hAnsi="宋体" w:eastAsia="宋体" w:cs="宋体"/>
          <w:color w:val="auto"/>
          <w:sz w:val="21"/>
          <w:highlight w:val="none"/>
          <w:lang w:eastAsia="zh-CN"/>
        </w:rPr>
        <w:t>宁波市海曙区灵桥路190号</w:t>
      </w:r>
    </w:p>
    <w:p w14:paraId="4E7C26D8">
      <w:pPr>
        <w:shd w:val="clear" w:color="auto" w:fill="auto"/>
        <w:adjustRightInd/>
        <w:spacing w:line="336" w:lineRule="auto"/>
        <w:ind w:firstLine="630" w:firstLineChars="300"/>
        <w:textAlignment w:val="auto"/>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项目联系人：</w:t>
      </w:r>
      <w:r>
        <w:rPr>
          <w:rFonts w:hint="eastAsia" w:hAnsi="宋体" w:eastAsia="宋体" w:cs="宋体"/>
          <w:color w:val="auto"/>
          <w:sz w:val="21"/>
          <w:highlight w:val="none"/>
          <w:lang w:val="en-US" w:eastAsia="zh-CN"/>
        </w:rPr>
        <w:t>李</w:t>
      </w:r>
      <w:r>
        <w:rPr>
          <w:rFonts w:hint="eastAsia" w:ascii="宋体" w:hAnsi="宋体" w:eastAsia="宋体" w:cs="宋体"/>
          <w:color w:val="auto"/>
          <w:sz w:val="21"/>
          <w:highlight w:val="none"/>
          <w:lang w:eastAsia="zh-CN"/>
        </w:rPr>
        <w:t>老师</w:t>
      </w:r>
    </w:p>
    <w:p w14:paraId="74AFE138">
      <w:pPr>
        <w:shd w:val="clear" w:color="auto" w:fill="auto"/>
        <w:adjustRightInd/>
        <w:spacing w:line="336" w:lineRule="auto"/>
        <w:ind w:firstLine="630" w:firstLineChars="300"/>
        <w:textAlignment w:val="auto"/>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项目联系方式：</w:t>
      </w:r>
      <w:r>
        <w:rPr>
          <w:rFonts w:hint="eastAsia" w:hAnsi="宋体" w:eastAsia="宋体" w:cs="宋体"/>
          <w:color w:val="auto"/>
          <w:sz w:val="21"/>
          <w:highlight w:val="none"/>
          <w:lang w:val="en-US" w:eastAsia="zh-CN"/>
        </w:rPr>
        <w:t>0574-89387078</w:t>
      </w:r>
    </w:p>
    <w:p w14:paraId="0DD8F145">
      <w:pPr>
        <w:shd w:val="clear" w:color="auto" w:fill="auto"/>
        <w:adjustRightInd/>
        <w:spacing w:line="336" w:lineRule="auto"/>
        <w:ind w:firstLine="630" w:firstLineChars="3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w:t>
      </w:r>
      <w:r>
        <w:rPr>
          <w:rFonts w:hint="eastAsia" w:ascii="宋体" w:hAnsi="宋体" w:eastAsia="宋体" w:cs="宋体"/>
          <w:color w:val="auto"/>
          <w:sz w:val="21"/>
          <w:highlight w:val="none"/>
          <w:lang w:val="en-US" w:eastAsia="zh-CN"/>
        </w:rPr>
        <w:t>质疑</w:t>
      </w:r>
      <w:r>
        <w:rPr>
          <w:rFonts w:hint="eastAsia" w:ascii="宋体" w:hAnsi="宋体" w:eastAsia="宋体" w:cs="宋体"/>
          <w:color w:val="auto"/>
          <w:sz w:val="21"/>
          <w:highlight w:val="none"/>
          <w:lang w:eastAsia="zh-CN"/>
        </w:rPr>
        <w:t>人：张老师</w:t>
      </w:r>
    </w:p>
    <w:p w14:paraId="7A1652DB">
      <w:pPr>
        <w:shd w:val="clear" w:color="auto" w:fill="auto"/>
        <w:adjustRightInd/>
        <w:spacing w:line="336" w:lineRule="auto"/>
        <w:ind w:firstLine="630" w:firstLineChars="3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质疑</w:t>
      </w:r>
      <w:r>
        <w:rPr>
          <w:rFonts w:hint="eastAsia" w:ascii="宋体" w:hAnsi="宋体" w:eastAsia="宋体" w:cs="宋体"/>
          <w:color w:val="auto"/>
          <w:sz w:val="21"/>
          <w:highlight w:val="none"/>
          <w:lang w:eastAsia="zh-CN"/>
        </w:rPr>
        <w:t>联系方式：</w:t>
      </w:r>
      <w:r>
        <w:rPr>
          <w:rFonts w:hint="eastAsia" w:hAnsi="宋体" w:eastAsia="宋体" w:cs="宋体"/>
          <w:color w:val="auto"/>
          <w:sz w:val="21"/>
          <w:highlight w:val="none"/>
          <w:lang w:val="en-US" w:eastAsia="zh-CN"/>
        </w:rPr>
        <w:t>0574-</w:t>
      </w:r>
      <w:r>
        <w:rPr>
          <w:rFonts w:hint="eastAsia" w:ascii="宋体" w:hAnsi="宋体" w:eastAsia="宋体" w:cs="宋体"/>
          <w:color w:val="auto"/>
          <w:sz w:val="21"/>
          <w:highlight w:val="none"/>
          <w:lang w:eastAsia="zh-CN"/>
        </w:rPr>
        <w:t>89387070</w:t>
      </w:r>
    </w:p>
    <w:p w14:paraId="00802785">
      <w:pPr>
        <w:shd w:val="clear" w:color="auto" w:fill="auto"/>
        <w:adjustRightInd/>
        <w:spacing w:line="336" w:lineRule="auto"/>
        <w:ind w:firstLine="630" w:firstLineChars="300"/>
        <w:textAlignment w:val="auto"/>
        <w:rPr>
          <w:rFonts w:hint="eastAsia" w:hAnsi="宋体" w:eastAsia="宋体" w:cs="宋体"/>
          <w:color w:val="auto"/>
          <w:sz w:val="21"/>
          <w:highlight w:val="none"/>
        </w:rPr>
      </w:pPr>
      <w:r>
        <w:rPr>
          <w:rFonts w:hint="eastAsia" w:hAnsi="宋体" w:eastAsia="宋体" w:cs="宋体"/>
          <w:color w:val="auto"/>
          <w:sz w:val="21"/>
          <w:highlight w:val="none"/>
        </w:rPr>
        <w:t>2.采购代理机构信息</w:t>
      </w:r>
    </w:p>
    <w:p w14:paraId="69276AD9">
      <w:pPr>
        <w:shd w:val="clear" w:color="auto" w:fill="auto"/>
        <w:adjustRightInd/>
        <w:spacing w:line="336" w:lineRule="auto"/>
        <w:ind w:firstLine="630" w:firstLineChars="300"/>
        <w:textAlignment w:val="auto"/>
        <w:rPr>
          <w:rFonts w:hint="eastAsia" w:hAnsi="宋体" w:eastAsia="宋体" w:cs="宋体"/>
          <w:color w:val="auto"/>
          <w:sz w:val="21"/>
          <w:highlight w:val="none"/>
          <w:lang w:val="en-US" w:eastAsia="zh-CN"/>
        </w:rPr>
      </w:pPr>
      <w:r>
        <w:rPr>
          <w:rFonts w:hint="eastAsia" w:hAnsi="宋体" w:eastAsia="宋体" w:cs="宋体"/>
          <w:color w:val="auto"/>
          <w:sz w:val="21"/>
          <w:highlight w:val="none"/>
        </w:rPr>
        <w:t>名    称：</w:t>
      </w:r>
      <w:r>
        <w:rPr>
          <w:rFonts w:hint="eastAsia" w:hAnsi="宋体" w:eastAsia="宋体" w:cs="宋体"/>
          <w:color w:val="auto"/>
          <w:sz w:val="21"/>
          <w:highlight w:val="none"/>
          <w:lang w:eastAsia="zh-CN"/>
        </w:rPr>
        <w:t>浙江中商工程咨询有限公司</w:t>
      </w:r>
    </w:p>
    <w:p w14:paraId="5897D453">
      <w:pPr>
        <w:shd w:val="clear" w:color="auto" w:fill="auto"/>
        <w:adjustRightInd/>
        <w:spacing w:line="336" w:lineRule="auto"/>
        <w:ind w:firstLine="630" w:firstLineChars="300"/>
        <w:textAlignment w:val="auto"/>
        <w:rPr>
          <w:rFonts w:hint="eastAsia" w:hAnsi="宋体" w:eastAsia="宋体" w:cs="宋体"/>
          <w:color w:val="auto"/>
          <w:sz w:val="21"/>
          <w:highlight w:val="none"/>
          <w:lang w:eastAsia="zh-CN"/>
        </w:rPr>
      </w:pPr>
      <w:r>
        <w:rPr>
          <w:rFonts w:hint="eastAsia" w:hAnsi="宋体" w:eastAsia="宋体" w:cs="宋体"/>
          <w:color w:val="auto"/>
          <w:sz w:val="21"/>
          <w:highlight w:val="none"/>
        </w:rPr>
        <w:t>地    址：</w:t>
      </w:r>
      <w:r>
        <w:rPr>
          <w:rFonts w:hint="eastAsia" w:hAnsi="宋体" w:eastAsia="宋体" w:cs="宋体"/>
          <w:color w:val="auto"/>
          <w:sz w:val="21"/>
          <w:highlight w:val="none"/>
          <w:lang w:eastAsia="zh-CN"/>
        </w:rPr>
        <w:t>宁波市高新区光华路300号赛鼎大厦16楼</w:t>
      </w:r>
    </w:p>
    <w:p w14:paraId="67C666B0">
      <w:pPr>
        <w:shd w:val="clear" w:color="auto" w:fill="auto"/>
        <w:adjustRightInd/>
        <w:spacing w:line="336" w:lineRule="auto"/>
        <w:ind w:firstLine="630" w:firstLineChars="300"/>
        <w:textAlignment w:val="auto"/>
        <w:rPr>
          <w:rFonts w:hint="default" w:hAnsi="宋体" w:eastAsia="宋体" w:cs="宋体"/>
          <w:color w:val="auto"/>
          <w:sz w:val="21"/>
          <w:highlight w:val="none"/>
          <w:lang w:val="en-US" w:eastAsia="zh-CN"/>
        </w:rPr>
      </w:pPr>
      <w:r>
        <w:rPr>
          <w:rFonts w:hint="eastAsia" w:hAnsi="宋体" w:eastAsia="宋体" w:cs="宋体"/>
          <w:color w:val="auto"/>
          <w:sz w:val="21"/>
          <w:highlight w:val="none"/>
          <w:lang w:eastAsia="zh-CN"/>
        </w:rPr>
        <w:t>项目联系人：</w:t>
      </w:r>
      <w:r>
        <w:rPr>
          <w:rFonts w:hint="eastAsia" w:hAnsi="宋体" w:eastAsia="宋体" w:cs="宋体"/>
          <w:color w:val="auto"/>
          <w:sz w:val="21"/>
          <w:highlight w:val="none"/>
          <w:lang w:val="en-US" w:eastAsia="zh-CN"/>
        </w:rPr>
        <w:t>孟凤英</w:t>
      </w:r>
    </w:p>
    <w:p w14:paraId="4B6DFBE1">
      <w:pPr>
        <w:shd w:val="clear" w:color="auto" w:fill="auto"/>
        <w:adjustRightInd/>
        <w:spacing w:line="336" w:lineRule="auto"/>
        <w:ind w:firstLine="630" w:firstLineChars="3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项目联系方式（询问）：15205742166</w:t>
      </w:r>
    </w:p>
    <w:p w14:paraId="31A095F2">
      <w:pPr>
        <w:shd w:val="clear" w:color="auto" w:fill="auto"/>
        <w:adjustRightInd/>
        <w:spacing w:line="336" w:lineRule="auto"/>
        <w:ind w:firstLine="630" w:firstLineChars="300"/>
        <w:textAlignment w:val="auto"/>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质疑联系人：</w:t>
      </w:r>
      <w:r>
        <w:rPr>
          <w:rFonts w:hint="eastAsia" w:hAnsi="宋体" w:eastAsia="宋体" w:cs="宋体"/>
          <w:color w:val="auto"/>
          <w:sz w:val="21"/>
          <w:highlight w:val="none"/>
          <w:lang w:val="en-US" w:eastAsia="zh-CN"/>
        </w:rPr>
        <w:t>徐子怡</w:t>
      </w:r>
    </w:p>
    <w:p w14:paraId="11401F05">
      <w:pPr>
        <w:shd w:val="clear" w:color="auto" w:fill="auto"/>
        <w:adjustRightInd/>
        <w:spacing w:line="336" w:lineRule="auto"/>
        <w:ind w:firstLine="630" w:firstLineChars="300"/>
        <w:textAlignment w:val="auto"/>
        <w:rPr>
          <w:rFonts w:hint="eastAsia"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质疑联系方式：</w:t>
      </w:r>
      <w:r>
        <w:rPr>
          <w:rFonts w:hint="eastAsia" w:hAnsi="宋体" w:eastAsia="宋体" w:cs="宋体"/>
          <w:color w:val="auto"/>
          <w:sz w:val="21"/>
          <w:highlight w:val="none"/>
          <w:lang w:val="en-US" w:eastAsia="zh-CN"/>
        </w:rPr>
        <w:t xml:space="preserve">18258705834 </w:t>
      </w:r>
    </w:p>
    <w:p w14:paraId="5295A7C9">
      <w:pPr>
        <w:shd w:val="clear" w:color="auto" w:fill="auto"/>
        <w:adjustRightInd/>
        <w:spacing w:line="336" w:lineRule="auto"/>
        <w:ind w:firstLine="630" w:firstLineChars="300"/>
        <w:textAlignment w:val="auto"/>
        <w:rPr>
          <w:rFonts w:hint="eastAsia" w:hAnsi="宋体" w:eastAsia="宋体" w:cs="宋体"/>
          <w:color w:val="auto"/>
          <w:sz w:val="21"/>
          <w:highlight w:val="none"/>
        </w:rPr>
      </w:pPr>
      <w:r>
        <w:rPr>
          <w:rFonts w:hint="eastAsia" w:hAnsi="宋体" w:eastAsia="宋体" w:cs="宋体"/>
          <w:color w:val="auto"/>
          <w:sz w:val="21"/>
          <w:highlight w:val="none"/>
        </w:rPr>
        <w:t>3.同级政府采购监督管理部门</w:t>
      </w:r>
    </w:p>
    <w:p w14:paraId="29F232DB">
      <w:pPr>
        <w:shd w:val="clear" w:color="auto" w:fill="auto"/>
        <w:adjustRightInd/>
        <w:spacing w:line="336" w:lineRule="auto"/>
        <w:ind w:firstLine="630" w:firstLineChars="3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名      称：宁波市财政局政府采购监管处  </w:t>
      </w:r>
    </w:p>
    <w:p w14:paraId="2924FA06">
      <w:pPr>
        <w:shd w:val="clear" w:color="auto" w:fill="auto"/>
        <w:adjustRightInd/>
        <w:spacing w:line="336" w:lineRule="auto"/>
        <w:ind w:firstLine="630" w:firstLineChars="3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地      址：宁波市海曙区中山西路19号                              </w:t>
      </w:r>
    </w:p>
    <w:p w14:paraId="783EE40D">
      <w:pPr>
        <w:shd w:val="clear" w:color="auto" w:fill="auto"/>
        <w:adjustRightInd/>
        <w:spacing w:line="336" w:lineRule="auto"/>
        <w:ind w:firstLine="630" w:firstLineChars="3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联  系  人 ：李老师             </w:t>
      </w:r>
    </w:p>
    <w:p w14:paraId="1C52FEF2">
      <w:pPr>
        <w:shd w:val="clear" w:color="auto" w:fill="auto"/>
        <w:adjustRightInd/>
        <w:spacing w:line="336" w:lineRule="auto"/>
        <w:ind w:firstLine="630" w:firstLineChars="3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投诉电话：0574-89388042</w:t>
      </w:r>
    </w:p>
    <w:p w14:paraId="2071E2B8">
      <w:pPr>
        <w:shd w:val="clear" w:color="auto" w:fill="auto"/>
        <w:adjustRightInd/>
        <w:ind w:firstLine="420" w:firstLineChars="200"/>
        <w:textAlignment w:val="auto"/>
        <w:rPr>
          <w:rFonts w:hint="eastAsia" w:hAnsi="宋体" w:eastAsia="宋体" w:cs="宋体"/>
          <w:color w:val="auto"/>
          <w:sz w:val="21"/>
          <w:highlight w:val="none"/>
        </w:rPr>
      </w:pPr>
    </w:p>
    <w:p w14:paraId="700E1D4D">
      <w:pPr>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若对项目采购电子交易系统操作有疑问，可登录政采云（https://www.zcygov.cn/），点击右侧咨询小采，获取采小蜜智能服务管家帮助，或拨打政采云服务热线</w:t>
      </w:r>
      <w:r>
        <w:rPr>
          <w:rFonts w:hint="eastAsia" w:hAnsi="宋体" w:eastAsia="宋体" w:cs="宋体"/>
          <w:color w:val="auto"/>
          <w:sz w:val="21"/>
          <w:highlight w:val="none"/>
          <w:lang w:eastAsia="zh-CN"/>
        </w:rPr>
        <w:t>95763</w:t>
      </w:r>
      <w:r>
        <w:rPr>
          <w:rFonts w:hint="eastAsia" w:hAnsi="宋体" w:eastAsia="宋体" w:cs="宋体"/>
          <w:color w:val="auto"/>
          <w:sz w:val="21"/>
          <w:highlight w:val="none"/>
        </w:rPr>
        <w:t>获取热线服务帮助。</w:t>
      </w:r>
    </w:p>
    <w:p w14:paraId="177DA45C">
      <w:pPr>
        <w:shd w:val="clear" w:color="auto" w:fill="auto"/>
        <w:adjustRightInd/>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CA问题联系电话（人工）：汇信CA 400-888-4636；天谷CA 400-087-8198。</w:t>
      </w:r>
    </w:p>
    <w:p w14:paraId="70B9DEDC">
      <w:pPr>
        <w:shd w:val="clear" w:color="auto" w:fill="auto"/>
        <w:adjustRightInd/>
        <w:ind w:firstLine="420" w:firstLineChars="200"/>
        <w:textAlignment w:val="auto"/>
        <w:rPr>
          <w:rFonts w:hint="eastAsia" w:hAnsi="宋体" w:eastAsia="宋体" w:cs="宋体"/>
          <w:color w:val="auto"/>
          <w:sz w:val="21"/>
          <w:highlight w:val="none"/>
        </w:rPr>
      </w:pPr>
    </w:p>
    <w:p w14:paraId="30F01B9F">
      <w:pPr>
        <w:pStyle w:val="34"/>
        <w:widowControl w:val="0"/>
        <w:shd w:val="clear" w:color="auto" w:fill="auto"/>
        <w:snapToGrid/>
        <w:spacing w:after="0" w:afterLines="0" w:line="336" w:lineRule="auto"/>
        <w:ind w:firstLine="420"/>
        <w:jc w:val="left"/>
        <w:rPr>
          <w:rFonts w:hint="eastAsia" w:ascii="宋体" w:hAnsi="宋体" w:cs="宋体"/>
          <w:color w:val="auto"/>
          <w:sz w:val="21"/>
          <w:szCs w:val="21"/>
          <w:highlight w:val="none"/>
        </w:rPr>
      </w:pPr>
    </w:p>
    <w:p w14:paraId="75E701EB">
      <w:pPr>
        <w:pStyle w:val="13"/>
        <w:shd w:val="clear" w:color="auto" w:fill="auto"/>
        <w:adjustRightInd/>
        <w:snapToGrid w:val="0"/>
        <w:jc w:val="center"/>
        <w:textAlignment w:val="auto"/>
        <w:rPr>
          <w:rFonts w:hint="eastAsia" w:ascii="宋体" w:hAnsi="宋体" w:cs="宋体"/>
          <w:b/>
          <w:color w:val="auto"/>
          <w:kern w:val="2"/>
          <w:sz w:val="32"/>
          <w:szCs w:val="32"/>
          <w:highlight w:val="none"/>
        </w:rPr>
        <w:sectPr>
          <w:headerReference r:id="rId6" w:type="default"/>
          <w:footerReference r:id="rId7" w:type="default"/>
          <w:pgSz w:w="11906" w:h="16838"/>
          <w:pgMar w:top="1474" w:right="1474" w:bottom="1247" w:left="1474" w:header="851" w:footer="850" w:gutter="0"/>
          <w:pgNumType w:start="1"/>
          <w:cols w:space="720" w:num="1"/>
          <w:docGrid w:linePitch="312" w:charSpace="0"/>
        </w:sectPr>
      </w:pPr>
    </w:p>
    <w:p w14:paraId="7DADB16E">
      <w:pPr>
        <w:pStyle w:val="5"/>
        <w:numPr>
          <w:ilvl w:val="0"/>
          <w:numId w:val="5"/>
        </w:numPr>
        <w:bidi w:val="0"/>
        <w:jc w:val="center"/>
        <w:outlineLvl w:val="0"/>
        <w:rPr>
          <w:rFonts w:hint="eastAsia"/>
          <w:color w:val="auto"/>
          <w:highlight w:val="none"/>
        </w:rPr>
      </w:pPr>
      <w:bookmarkStart w:id="57" w:name="_Toc27715"/>
      <w:bookmarkStart w:id="58" w:name="_Toc10626"/>
      <w:bookmarkStart w:id="59" w:name="_Toc11492"/>
      <w:r>
        <w:rPr>
          <w:rFonts w:hint="eastAsia"/>
          <w:color w:val="auto"/>
          <w:highlight w:val="none"/>
        </w:rPr>
        <w:t>供应商须知</w:t>
      </w:r>
      <w:bookmarkEnd w:id="57"/>
      <w:bookmarkEnd w:id="58"/>
      <w:bookmarkEnd w:id="59"/>
      <w:bookmarkStart w:id="60" w:name="_Toc513029242"/>
      <w:bookmarkStart w:id="61" w:name="_Toc120614221"/>
      <w:bookmarkStart w:id="62" w:name="_Toc479757207"/>
      <w:bookmarkStart w:id="63" w:name="_Toc16938558"/>
      <w:bookmarkStart w:id="64" w:name="_Toc20823314"/>
    </w:p>
    <w:tbl>
      <w:tblPr>
        <w:tblStyle w:val="26"/>
        <w:tblW w:w="9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100"/>
        <w:gridCol w:w="7447"/>
      </w:tblGrid>
      <w:tr w14:paraId="4CF34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bottom"/>
          </w:tcPr>
          <w:p w14:paraId="3557469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547" w:type="dxa"/>
            <w:gridSpan w:val="2"/>
            <w:tcBorders>
              <w:top w:val="single" w:color="auto" w:sz="4" w:space="0"/>
              <w:left w:val="single" w:color="auto" w:sz="4" w:space="0"/>
              <w:bottom w:val="single" w:color="auto" w:sz="4" w:space="0"/>
              <w:right w:val="single" w:color="auto" w:sz="4" w:space="0"/>
            </w:tcBorders>
            <w:noWrap w:val="0"/>
            <w:vAlign w:val="bottom"/>
          </w:tcPr>
          <w:p w14:paraId="1F6EF11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r>
      <w:tr w14:paraId="19E3F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2124B982">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33EF368">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投标报价和预算</w:t>
            </w:r>
          </w:p>
        </w:tc>
        <w:tc>
          <w:tcPr>
            <w:tcW w:w="7447" w:type="dxa"/>
            <w:tcBorders>
              <w:top w:val="single" w:color="auto" w:sz="4" w:space="0"/>
              <w:left w:val="single" w:color="auto" w:sz="4" w:space="0"/>
              <w:bottom w:val="single" w:color="auto" w:sz="4" w:space="0"/>
              <w:right w:val="single" w:color="auto" w:sz="4" w:space="0"/>
            </w:tcBorders>
            <w:noWrap w:val="0"/>
            <w:vAlign w:val="center"/>
          </w:tcPr>
          <w:p w14:paraId="61B07DB9">
            <w:pPr>
              <w:adjustRightInd/>
              <w:spacing w:line="288" w:lineRule="auto"/>
              <w:textAlignment w:val="auto"/>
              <w:rPr>
                <w:rFonts w:hint="eastAsia" w:ascii="宋体" w:hAnsi="宋体" w:eastAsia="宋体" w:cs="宋体"/>
                <w:b/>
                <w:bCs/>
                <w:color w:val="auto"/>
                <w:kern w:val="2"/>
                <w:sz w:val="21"/>
                <w:szCs w:val="21"/>
                <w:highlight w:val="none"/>
              </w:rPr>
            </w:pPr>
            <w:r>
              <w:rPr>
                <w:rFonts w:hint="eastAsia" w:hAnsi="宋体" w:eastAsia="宋体" w:cs="宋体"/>
                <w:b/>
                <w:bCs/>
                <w:color w:val="auto"/>
                <w:kern w:val="2"/>
                <w:sz w:val="21"/>
                <w:szCs w:val="21"/>
                <w:highlight w:val="none"/>
                <w:lang w:val="en-US" w:eastAsia="zh-CN"/>
              </w:rPr>
              <w:t>响应</w:t>
            </w:r>
            <w:r>
              <w:rPr>
                <w:rFonts w:hint="eastAsia" w:ascii="宋体" w:hAnsi="宋体" w:eastAsia="宋体" w:cs="宋体"/>
                <w:b/>
                <w:bCs/>
                <w:color w:val="auto"/>
                <w:kern w:val="2"/>
                <w:sz w:val="21"/>
                <w:szCs w:val="21"/>
                <w:highlight w:val="none"/>
              </w:rPr>
              <w:t>报价及费用：</w:t>
            </w:r>
          </w:p>
          <w:p w14:paraId="17B8DEBF">
            <w:pPr>
              <w:numPr>
                <w:ilvl w:val="0"/>
                <w:numId w:val="6"/>
              </w:numPr>
              <w:adjustRightInd/>
              <w:spacing w:line="336"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w:t>
            </w:r>
            <w:r>
              <w:rPr>
                <w:rFonts w:hint="eastAsia"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应采用人民币报价。</w:t>
            </w:r>
          </w:p>
          <w:p w14:paraId="59588E09">
            <w:pPr>
              <w:spacing w:line="400" w:lineRule="exac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2）</w:t>
            </w:r>
            <w:r>
              <w:rPr>
                <w:rFonts w:hint="eastAsia" w:ascii="宋体" w:hAnsi="宋体" w:eastAsia="宋体" w:cs="宋体"/>
                <w:color w:val="auto"/>
                <w:sz w:val="21"/>
                <w:szCs w:val="21"/>
                <w:highlight w:val="none"/>
              </w:rPr>
              <w:t>响应报价：报价应是竞争性磋商文件确定的采购范围内的全部内容的价格体现，是履行合同的最终价格，包含但不限于项目实施全过程的费用、人工费，以及管理费、利润、税金</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采购代理服务费</w:t>
            </w:r>
            <w:r>
              <w:rPr>
                <w:rFonts w:hint="eastAsia" w:ascii="宋体" w:hAnsi="宋体" w:eastAsia="宋体" w:cs="宋体"/>
                <w:color w:val="auto"/>
                <w:sz w:val="21"/>
                <w:szCs w:val="21"/>
                <w:highlight w:val="none"/>
              </w:rPr>
              <w:t>等与此有关的一切费用。</w:t>
            </w:r>
          </w:p>
          <w:p w14:paraId="63A617BD">
            <w:pPr>
              <w:adjustRightInd/>
              <w:snapToGrid w:val="0"/>
              <w:spacing w:before="31" w:beforeLines="10" w:after="31" w:afterLines="1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3）最高限价详见《第一章  竞争性磋商公告》 ，供应商响应报价超过预算金额或最高限价的作无效标处理。</w:t>
            </w:r>
          </w:p>
          <w:p w14:paraId="76EA8C63">
            <w:pPr>
              <w:adjustRightInd/>
              <w:spacing w:line="336"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4）不论投标结果如何，供应商均应自行承担应承担的全部费用。</w:t>
            </w:r>
          </w:p>
          <w:p w14:paraId="7D476D87">
            <w:pPr>
              <w:pStyle w:val="11"/>
              <w:keepNext w:val="0"/>
              <w:keepLines w:val="0"/>
              <w:pageBreakBefore w:val="0"/>
              <w:widowControl w:val="0"/>
              <w:kinsoku/>
              <w:wordWrap/>
              <w:overflowPunct/>
              <w:topLinePunct w:val="0"/>
              <w:bidi w:val="0"/>
              <w:adjustRightInd/>
              <w:snapToGrid/>
              <w:spacing w:before="0" w:beforeLines="0" w:after="0" w:afterLines="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5）招标代理服务费的收取标准：</w:t>
            </w:r>
            <w:r>
              <w:rPr>
                <w:rFonts w:hint="eastAsia" w:hAnsi="宋体" w:eastAsia="宋体" w:cs="宋体"/>
                <w:color w:val="auto"/>
                <w:sz w:val="21"/>
                <w:highlight w:val="none"/>
                <w:lang w:val="en-US" w:eastAsia="zh-CN"/>
              </w:rPr>
              <w:t>采购代理机构</w:t>
            </w:r>
            <w:r>
              <w:rPr>
                <w:rFonts w:hint="eastAsia" w:hAnsi="宋体" w:eastAsia="宋体" w:cs="宋体"/>
                <w:color w:val="auto"/>
                <w:sz w:val="21"/>
                <w:highlight w:val="none"/>
              </w:rPr>
              <w:t>按下表中</w:t>
            </w:r>
            <w:r>
              <w:rPr>
                <w:rFonts w:hint="eastAsia" w:hAnsi="宋体" w:eastAsia="宋体" w:cs="宋体"/>
                <w:color w:val="auto"/>
                <w:kern w:val="2"/>
                <w:sz w:val="21"/>
                <w:highlight w:val="none"/>
              </w:rPr>
              <w:t>服务招标的费用</w:t>
            </w:r>
            <w:r>
              <w:rPr>
                <w:rFonts w:hint="eastAsia" w:hAnsi="宋体" w:eastAsia="宋体" w:cs="宋体"/>
                <w:color w:val="auto"/>
                <w:sz w:val="21"/>
                <w:highlight w:val="none"/>
              </w:rPr>
              <w:t>标准，根据成交金额，向成交人收取</w:t>
            </w:r>
            <w:r>
              <w:rPr>
                <w:rFonts w:hint="eastAsia" w:hAnsi="宋体" w:eastAsia="宋体" w:cs="宋体"/>
                <w:color w:val="auto"/>
                <w:kern w:val="2"/>
                <w:sz w:val="21"/>
                <w:highlight w:val="none"/>
              </w:rPr>
              <w:t>招标代理服务费</w:t>
            </w:r>
            <w:r>
              <w:rPr>
                <w:rFonts w:hint="eastAsia" w:hAnsi="宋体" w:eastAsia="宋体" w:cs="宋体"/>
                <w:color w:val="auto"/>
                <w:sz w:val="21"/>
                <w:highlight w:val="none"/>
              </w:rPr>
              <w:t>。</w:t>
            </w:r>
          </w:p>
          <w:tbl>
            <w:tblPr>
              <w:tblStyle w:val="26"/>
              <w:tblW w:w="7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66"/>
              <w:gridCol w:w="900"/>
              <w:gridCol w:w="825"/>
              <w:gridCol w:w="888"/>
            </w:tblGrid>
            <w:tr w14:paraId="4F44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jc w:val="center"/>
              </w:trPr>
              <w:tc>
                <w:tcPr>
                  <w:tcW w:w="4666"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14:paraId="6606083E">
                  <w:pPr>
                    <w:keepNext w:val="0"/>
                    <w:keepLines w:val="0"/>
                    <w:pageBreakBefore w:val="0"/>
                    <w:widowControl w:val="0"/>
                    <w:kinsoku/>
                    <w:wordWrap/>
                    <w:overflowPunct/>
                    <w:topLinePunct w:val="0"/>
                    <w:autoSpaceDE/>
                    <w:autoSpaceDN/>
                    <w:bidi w:val="0"/>
                    <w:adjustRightInd/>
                    <w:snapToGrid/>
                    <w:spacing w:beforeLines="0" w:afterLines="0" w:line="240" w:lineRule="auto"/>
                    <w:jc w:val="right"/>
                    <w:textAlignment w:val="baseline"/>
                    <w:rPr>
                      <w:rFonts w:hint="eastAsia" w:ascii="宋体" w:hAnsi="宋体" w:eastAsia="宋体" w:cs="宋体"/>
                      <w:color w:val="auto"/>
                      <w:sz w:val="21"/>
                      <w:szCs w:val="21"/>
                      <w:highlight w:val="none"/>
                    </w:rPr>
                  </w:pPr>
                </w:p>
                <w:p w14:paraId="7CBDF2B8">
                  <w:pPr>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baseline"/>
                    <mc:AlternateContent>
                      <mc:Choice Requires="wpsCustomData">
                        <wpsCustomData:diagonalParaType/>
                      </mc:Choice>
                    </mc:AlternateConten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金额</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lang w:val="en-US" w:eastAsia="zh-CN"/>
                    </w:rPr>
                    <w:t>万元</w:t>
                  </w:r>
                  <w:r>
                    <w:rPr>
                      <w:rFonts w:hint="eastAsia" w:hAnsi="宋体" w:eastAsia="宋体" w:cs="宋体"/>
                      <w:b/>
                      <w:color w:val="auto"/>
                      <w:sz w:val="21"/>
                      <w:szCs w:val="21"/>
                      <w:highlight w:val="none"/>
                      <w:lang w:eastAsia="zh-CN"/>
                    </w:rPr>
                    <w:t>）</w:t>
                  </w:r>
                </w:p>
                <w:p w14:paraId="2C009AD3">
                  <w:pPr>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baseline"/>
                    <mc:AlternateContent>
                      <mc:Choice Requires="wpsCustomData">
                        <wpsCustomData:diagonalParaType/>
                      </mc:Choice>
                    </mc:AlternateConten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费率</w:t>
                  </w:r>
                </w:p>
                <w:p w14:paraId="10FED322">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服务类</w:t>
                  </w:r>
                  <w:r>
                    <w:rPr>
                      <w:rFonts w:hint="eastAsia" w:hAnsi="宋体" w:eastAsia="宋体" w:cs="宋体"/>
                      <w:b/>
                      <w:color w:val="auto"/>
                      <w:sz w:val="21"/>
                      <w:szCs w:val="21"/>
                      <w:highlight w:val="none"/>
                      <w:lang w:val="en-US" w:eastAsia="zh-CN"/>
                    </w:rPr>
                    <w:t>型</w:t>
                  </w:r>
                </w:p>
              </w:tc>
              <w:tc>
                <w:tcPr>
                  <w:tcW w:w="900" w:type="dxa"/>
                  <w:noWrap w:val="0"/>
                  <w:tcMar>
                    <w:top w:w="30" w:type="dxa"/>
                    <w:left w:w="150" w:type="dxa"/>
                    <w:bottom w:w="30" w:type="dxa"/>
                    <w:right w:w="150" w:type="dxa"/>
                  </w:tcMar>
                  <w:vAlign w:val="center"/>
                </w:tcPr>
                <w:p w14:paraId="246521E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货物招标</w:t>
                  </w:r>
                </w:p>
              </w:tc>
              <w:tc>
                <w:tcPr>
                  <w:tcW w:w="825" w:type="dxa"/>
                  <w:noWrap w:val="0"/>
                  <w:tcMar>
                    <w:top w:w="30" w:type="dxa"/>
                    <w:left w:w="150" w:type="dxa"/>
                    <w:bottom w:w="30" w:type="dxa"/>
                    <w:right w:w="150" w:type="dxa"/>
                  </w:tcMar>
                  <w:vAlign w:val="center"/>
                </w:tcPr>
                <w:p w14:paraId="34044BD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服务招标</w:t>
                  </w:r>
                </w:p>
              </w:tc>
              <w:tc>
                <w:tcPr>
                  <w:tcW w:w="888" w:type="dxa"/>
                  <w:noWrap w:val="0"/>
                  <w:tcMar>
                    <w:top w:w="30" w:type="dxa"/>
                    <w:left w:w="150" w:type="dxa"/>
                    <w:bottom w:w="30" w:type="dxa"/>
                    <w:right w:w="150" w:type="dxa"/>
                  </w:tcMar>
                  <w:vAlign w:val="center"/>
                </w:tcPr>
                <w:p w14:paraId="70155AB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工程招标</w:t>
                  </w:r>
                </w:p>
              </w:tc>
            </w:tr>
            <w:tr w14:paraId="1EAC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4666" w:type="dxa"/>
                  <w:noWrap w:val="0"/>
                  <w:tcMar>
                    <w:top w:w="30" w:type="dxa"/>
                    <w:left w:w="150" w:type="dxa"/>
                    <w:bottom w:w="30" w:type="dxa"/>
                    <w:right w:w="150" w:type="dxa"/>
                  </w:tcMar>
                  <w:vAlign w:val="center"/>
                </w:tcPr>
                <w:p w14:paraId="2E99A18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900" w:type="dxa"/>
                  <w:noWrap w:val="0"/>
                  <w:tcMar>
                    <w:top w:w="30" w:type="dxa"/>
                    <w:left w:w="150" w:type="dxa"/>
                    <w:bottom w:w="30" w:type="dxa"/>
                    <w:right w:w="150" w:type="dxa"/>
                  </w:tcMar>
                  <w:vAlign w:val="center"/>
                </w:tcPr>
                <w:p w14:paraId="4A212CE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25" w:type="dxa"/>
                  <w:noWrap w:val="0"/>
                  <w:tcMar>
                    <w:top w:w="30" w:type="dxa"/>
                    <w:left w:w="150" w:type="dxa"/>
                    <w:bottom w:w="30" w:type="dxa"/>
                    <w:right w:w="150" w:type="dxa"/>
                  </w:tcMar>
                  <w:vAlign w:val="center"/>
                </w:tcPr>
                <w:p w14:paraId="613C66A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88" w:type="dxa"/>
                  <w:noWrap w:val="0"/>
                  <w:tcMar>
                    <w:top w:w="30" w:type="dxa"/>
                    <w:left w:w="150" w:type="dxa"/>
                    <w:bottom w:w="30" w:type="dxa"/>
                    <w:right w:w="150" w:type="dxa"/>
                  </w:tcMar>
                  <w:vAlign w:val="center"/>
                </w:tcPr>
                <w:p w14:paraId="06CF663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37E9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4666" w:type="dxa"/>
                  <w:noWrap w:val="0"/>
                  <w:tcMar>
                    <w:top w:w="30" w:type="dxa"/>
                    <w:left w:w="150" w:type="dxa"/>
                    <w:bottom w:w="30" w:type="dxa"/>
                    <w:right w:w="150" w:type="dxa"/>
                  </w:tcMar>
                  <w:vAlign w:val="center"/>
                </w:tcPr>
                <w:p w14:paraId="2285524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100-500</w:t>
                  </w:r>
                </w:p>
              </w:tc>
              <w:tc>
                <w:tcPr>
                  <w:tcW w:w="900" w:type="dxa"/>
                  <w:noWrap w:val="0"/>
                  <w:tcMar>
                    <w:top w:w="30" w:type="dxa"/>
                    <w:left w:w="150" w:type="dxa"/>
                    <w:bottom w:w="30" w:type="dxa"/>
                    <w:right w:w="150" w:type="dxa"/>
                  </w:tcMar>
                  <w:vAlign w:val="center"/>
                </w:tcPr>
                <w:p w14:paraId="41E969C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25" w:type="dxa"/>
                  <w:noWrap w:val="0"/>
                  <w:tcMar>
                    <w:top w:w="30" w:type="dxa"/>
                    <w:left w:w="150" w:type="dxa"/>
                    <w:bottom w:w="30" w:type="dxa"/>
                    <w:right w:w="150" w:type="dxa"/>
                  </w:tcMar>
                  <w:vAlign w:val="center"/>
                </w:tcPr>
                <w:p w14:paraId="0CE015F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888" w:type="dxa"/>
                  <w:noWrap w:val="0"/>
                  <w:tcMar>
                    <w:top w:w="30" w:type="dxa"/>
                    <w:left w:w="150" w:type="dxa"/>
                    <w:bottom w:w="30" w:type="dxa"/>
                    <w:right w:w="150" w:type="dxa"/>
                  </w:tcMar>
                  <w:vAlign w:val="center"/>
                </w:tcPr>
                <w:p w14:paraId="2982C35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0DF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4666" w:type="dxa"/>
                  <w:noWrap w:val="0"/>
                  <w:tcMar>
                    <w:top w:w="30" w:type="dxa"/>
                    <w:left w:w="150" w:type="dxa"/>
                    <w:bottom w:w="30" w:type="dxa"/>
                    <w:right w:w="150" w:type="dxa"/>
                  </w:tcMar>
                  <w:vAlign w:val="center"/>
                </w:tcPr>
                <w:p w14:paraId="1861FB1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500-1000</w:t>
                  </w:r>
                </w:p>
              </w:tc>
              <w:tc>
                <w:tcPr>
                  <w:tcW w:w="900" w:type="dxa"/>
                  <w:noWrap w:val="0"/>
                  <w:tcMar>
                    <w:top w:w="30" w:type="dxa"/>
                    <w:left w:w="150" w:type="dxa"/>
                    <w:bottom w:w="30" w:type="dxa"/>
                    <w:right w:w="150" w:type="dxa"/>
                  </w:tcMar>
                  <w:vAlign w:val="center"/>
                </w:tcPr>
                <w:p w14:paraId="4B267B6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825" w:type="dxa"/>
                  <w:noWrap w:val="0"/>
                  <w:tcMar>
                    <w:top w:w="30" w:type="dxa"/>
                    <w:left w:w="150" w:type="dxa"/>
                    <w:bottom w:w="30" w:type="dxa"/>
                    <w:right w:w="150" w:type="dxa"/>
                  </w:tcMar>
                  <w:vAlign w:val="center"/>
                </w:tcPr>
                <w:p w14:paraId="189E5AE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888" w:type="dxa"/>
                  <w:noWrap w:val="0"/>
                  <w:tcMar>
                    <w:top w:w="30" w:type="dxa"/>
                    <w:left w:w="150" w:type="dxa"/>
                    <w:bottom w:w="30" w:type="dxa"/>
                    <w:right w:w="150" w:type="dxa"/>
                  </w:tcMar>
                  <w:vAlign w:val="center"/>
                </w:tcPr>
                <w:p w14:paraId="1C51D84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757D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4666" w:type="dxa"/>
                  <w:noWrap w:val="0"/>
                  <w:tcMar>
                    <w:top w:w="30" w:type="dxa"/>
                    <w:left w:w="150" w:type="dxa"/>
                    <w:bottom w:w="30" w:type="dxa"/>
                    <w:right w:w="150" w:type="dxa"/>
                  </w:tcMar>
                  <w:vAlign w:val="center"/>
                </w:tcPr>
                <w:p w14:paraId="169C8A6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1000-5000</w:t>
                  </w:r>
                </w:p>
              </w:tc>
              <w:tc>
                <w:tcPr>
                  <w:tcW w:w="900" w:type="dxa"/>
                  <w:noWrap w:val="0"/>
                  <w:tcMar>
                    <w:top w:w="30" w:type="dxa"/>
                    <w:left w:w="150" w:type="dxa"/>
                    <w:bottom w:w="30" w:type="dxa"/>
                    <w:right w:w="150" w:type="dxa"/>
                  </w:tcMar>
                  <w:vAlign w:val="center"/>
                </w:tcPr>
                <w:p w14:paraId="39E536C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825" w:type="dxa"/>
                  <w:noWrap w:val="0"/>
                  <w:tcMar>
                    <w:top w:w="30" w:type="dxa"/>
                    <w:left w:w="150" w:type="dxa"/>
                    <w:bottom w:w="30" w:type="dxa"/>
                    <w:right w:w="150" w:type="dxa"/>
                  </w:tcMar>
                  <w:vAlign w:val="center"/>
                </w:tcPr>
                <w:p w14:paraId="0A5E92D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888" w:type="dxa"/>
                  <w:noWrap w:val="0"/>
                  <w:tcMar>
                    <w:top w:w="30" w:type="dxa"/>
                    <w:left w:w="150" w:type="dxa"/>
                    <w:bottom w:w="30" w:type="dxa"/>
                    <w:right w:w="150" w:type="dxa"/>
                  </w:tcMar>
                  <w:vAlign w:val="center"/>
                </w:tcPr>
                <w:p w14:paraId="060E9E5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6141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4666" w:type="dxa"/>
                  <w:noWrap w:val="0"/>
                  <w:tcMar>
                    <w:top w:w="30" w:type="dxa"/>
                    <w:left w:w="150" w:type="dxa"/>
                    <w:bottom w:w="30" w:type="dxa"/>
                    <w:right w:w="150" w:type="dxa"/>
                  </w:tcMar>
                  <w:vAlign w:val="center"/>
                </w:tcPr>
                <w:p w14:paraId="55A7930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5000-10000</w:t>
                  </w:r>
                </w:p>
              </w:tc>
              <w:tc>
                <w:tcPr>
                  <w:tcW w:w="900" w:type="dxa"/>
                  <w:noWrap w:val="0"/>
                  <w:tcMar>
                    <w:top w:w="30" w:type="dxa"/>
                    <w:left w:w="150" w:type="dxa"/>
                    <w:bottom w:w="30" w:type="dxa"/>
                    <w:right w:w="150" w:type="dxa"/>
                  </w:tcMar>
                  <w:vAlign w:val="center"/>
                </w:tcPr>
                <w:p w14:paraId="47A5339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825" w:type="dxa"/>
                  <w:noWrap w:val="0"/>
                  <w:tcMar>
                    <w:top w:w="30" w:type="dxa"/>
                    <w:left w:w="150" w:type="dxa"/>
                    <w:bottom w:w="30" w:type="dxa"/>
                    <w:right w:w="150" w:type="dxa"/>
                  </w:tcMar>
                  <w:vAlign w:val="center"/>
                </w:tcPr>
                <w:p w14:paraId="59CBCD6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888" w:type="dxa"/>
                  <w:noWrap w:val="0"/>
                  <w:tcMar>
                    <w:top w:w="30" w:type="dxa"/>
                    <w:left w:w="150" w:type="dxa"/>
                    <w:bottom w:w="30" w:type="dxa"/>
                    <w:right w:w="150" w:type="dxa"/>
                  </w:tcMar>
                  <w:vAlign w:val="center"/>
                </w:tcPr>
                <w:p w14:paraId="4AF3562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14:paraId="4081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4666" w:type="dxa"/>
                  <w:noWrap w:val="0"/>
                  <w:tcMar>
                    <w:top w:w="30" w:type="dxa"/>
                    <w:left w:w="150" w:type="dxa"/>
                    <w:bottom w:w="30" w:type="dxa"/>
                    <w:right w:w="150" w:type="dxa"/>
                  </w:tcMar>
                  <w:vAlign w:val="center"/>
                </w:tcPr>
                <w:p w14:paraId="594A5E4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0000</w:t>
                  </w:r>
                  <w:r>
                    <w:rPr>
                      <w:rFonts w:hint="eastAsia" w:ascii="宋体" w:hAnsi="宋体" w:eastAsia="宋体" w:cs="宋体"/>
                      <w:color w:val="auto"/>
                      <w:sz w:val="21"/>
                      <w:szCs w:val="21"/>
                      <w:highlight w:val="none"/>
                    </w:rPr>
                    <w:t>～5</w:t>
                  </w:r>
                  <w:r>
                    <w:rPr>
                      <w:rFonts w:hint="eastAsia" w:hAnsi="宋体" w:eastAsia="宋体" w:cs="宋体"/>
                      <w:color w:val="auto"/>
                      <w:sz w:val="21"/>
                      <w:szCs w:val="21"/>
                      <w:highlight w:val="none"/>
                      <w:lang w:val="en-US" w:eastAsia="zh-CN"/>
                    </w:rPr>
                    <w:t>0000</w:t>
                  </w:r>
                </w:p>
              </w:tc>
              <w:tc>
                <w:tcPr>
                  <w:tcW w:w="900" w:type="dxa"/>
                  <w:noWrap w:val="0"/>
                  <w:tcMar>
                    <w:top w:w="30" w:type="dxa"/>
                    <w:left w:w="150" w:type="dxa"/>
                    <w:bottom w:w="30" w:type="dxa"/>
                    <w:right w:w="150" w:type="dxa"/>
                  </w:tcMar>
                  <w:vAlign w:val="center"/>
                </w:tcPr>
                <w:p w14:paraId="7A9DBC8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825" w:type="dxa"/>
                  <w:noWrap w:val="0"/>
                  <w:tcMar>
                    <w:top w:w="30" w:type="dxa"/>
                    <w:left w:w="150" w:type="dxa"/>
                    <w:bottom w:w="30" w:type="dxa"/>
                    <w:right w:w="150" w:type="dxa"/>
                  </w:tcMar>
                  <w:vAlign w:val="center"/>
                </w:tcPr>
                <w:p w14:paraId="6D8005D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888" w:type="dxa"/>
                  <w:noWrap w:val="0"/>
                  <w:tcMar>
                    <w:top w:w="30" w:type="dxa"/>
                    <w:left w:w="150" w:type="dxa"/>
                    <w:bottom w:w="30" w:type="dxa"/>
                    <w:right w:w="150" w:type="dxa"/>
                  </w:tcMar>
                  <w:vAlign w:val="center"/>
                </w:tcPr>
                <w:p w14:paraId="19708AD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bl>
          <w:p w14:paraId="5B9D1542">
            <w:pPr>
              <w:adjustRightInd/>
              <w:spacing w:line="336"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招标代理服务费只收现金、银行票汇款、电汇款。</w:t>
            </w:r>
          </w:p>
          <w:p w14:paraId="75F982AF">
            <w:pPr>
              <w:adjustRightInd/>
              <w:spacing w:line="336"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6）关于本次招标代理服务费汇入以下账户：</w:t>
            </w:r>
          </w:p>
          <w:p w14:paraId="6D68D746">
            <w:pPr>
              <w:adjustRightInd/>
              <w:spacing w:line="336"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户    名：</w:t>
            </w:r>
            <w:r>
              <w:rPr>
                <w:rFonts w:hint="eastAsia" w:hAnsi="宋体" w:eastAsia="宋体" w:cs="宋体"/>
                <w:color w:val="auto"/>
                <w:kern w:val="2"/>
                <w:sz w:val="21"/>
                <w:szCs w:val="21"/>
                <w:highlight w:val="none"/>
                <w:lang w:val="en-US" w:eastAsia="zh-CN"/>
              </w:rPr>
              <w:t>浙江中商工程咨询有限公司</w:t>
            </w:r>
          </w:p>
          <w:p w14:paraId="21A0BF9A">
            <w:pPr>
              <w:adjustRightInd/>
              <w:spacing w:line="336"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开户银行：宁波通商银行股份有限公司江北支行</w:t>
            </w:r>
          </w:p>
          <w:p w14:paraId="09AAF810">
            <w:pPr>
              <w:adjustRightInd/>
              <w:spacing w:line="336"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帐    号：1103312475000001</w:t>
            </w:r>
          </w:p>
          <w:p w14:paraId="7867DB86">
            <w:pPr>
              <w:adjustRightInd/>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7）成交人接到本公司通知后5个工作日内向本采购代理机构领取成交通知书（根据成交人需求可采用邮寄或到采购代理机构现场领取）。</w:t>
            </w:r>
          </w:p>
        </w:tc>
      </w:tr>
      <w:tr w14:paraId="7D07F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2EDA3E53">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3C69F95">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付款及保证金</w:t>
            </w:r>
          </w:p>
        </w:tc>
        <w:tc>
          <w:tcPr>
            <w:tcW w:w="7447" w:type="dxa"/>
            <w:tcBorders>
              <w:top w:val="single" w:color="auto" w:sz="4" w:space="0"/>
              <w:left w:val="single" w:color="auto" w:sz="4" w:space="0"/>
              <w:bottom w:val="single" w:color="auto" w:sz="4" w:space="0"/>
              <w:right w:val="single" w:color="auto" w:sz="4" w:space="0"/>
            </w:tcBorders>
            <w:noWrap w:val="0"/>
            <w:vAlign w:val="center"/>
          </w:tcPr>
          <w:p w14:paraId="4F93779E">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付款方式：</w:t>
            </w:r>
          </w:p>
          <w:p w14:paraId="033863DD">
            <w:pPr>
              <w:numPr>
                <w:ilvl w:val="0"/>
                <w:numId w:val="0"/>
              </w:numPr>
              <w:adjustRightInd/>
              <w:ind w:lef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（1）合同签订生效并具备实施条件后7个工作日内，采购人预付合同总价的50%； </w:t>
            </w:r>
          </w:p>
          <w:p w14:paraId="3DD6FE61">
            <w:pPr>
              <w:numPr>
                <w:ilvl w:val="0"/>
                <w:numId w:val="0"/>
              </w:numPr>
              <w:adjustRightInd/>
              <w:ind w:lef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（2）定制化资信报告提交并经采购人初步验收合格后，采购人支付中标人合同总价的45%。</w:t>
            </w:r>
          </w:p>
          <w:p w14:paraId="44B14874">
            <w:pPr>
              <w:numPr>
                <w:ilvl w:val="0"/>
                <w:numId w:val="0"/>
              </w:numPr>
              <w:adjustRightInd/>
              <w:ind w:lef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（3）定制化资信报告经采购人最终验收后，采购人收到中标人提供的全额发票后7个工作日内支付中标人剩余合同总价的5%。</w:t>
            </w:r>
          </w:p>
          <w:p w14:paraId="39441C1A">
            <w:pPr>
              <w:numPr>
                <w:ilvl w:val="0"/>
                <w:numId w:val="0"/>
              </w:numPr>
              <w:adjustRightInd/>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2.履约保证金：无</w:t>
            </w:r>
          </w:p>
        </w:tc>
      </w:tr>
      <w:tr w14:paraId="24562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2EB1A3D7">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6E628A0">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采购方式</w:t>
            </w:r>
          </w:p>
        </w:tc>
        <w:tc>
          <w:tcPr>
            <w:tcW w:w="7447" w:type="dxa"/>
            <w:tcBorders>
              <w:top w:val="single" w:color="auto" w:sz="4" w:space="0"/>
              <w:left w:val="single" w:color="auto" w:sz="4" w:space="0"/>
              <w:bottom w:val="single" w:color="auto" w:sz="4" w:space="0"/>
              <w:right w:val="single" w:color="auto" w:sz="4" w:space="0"/>
            </w:tcBorders>
            <w:noWrap w:val="0"/>
            <w:vAlign w:val="center"/>
          </w:tcPr>
          <w:p w14:paraId="2E24A20E">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w:t>
            </w:r>
          </w:p>
        </w:tc>
      </w:tr>
      <w:tr w14:paraId="2C0F2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32DF3C4C">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1C800E4">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评分办法</w:t>
            </w:r>
          </w:p>
        </w:tc>
        <w:tc>
          <w:tcPr>
            <w:tcW w:w="7447" w:type="dxa"/>
            <w:tcBorders>
              <w:top w:val="single" w:color="auto" w:sz="4" w:space="0"/>
              <w:left w:val="single" w:color="auto" w:sz="4" w:space="0"/>
              <w:bottom w:val="single" w:color="auto" w:sz="4" w:space="0"/>
              <w:right w:val="single" w:color="auto" w:sz="4" w:space="0"/>
            </w:tcBorders>
            <w:noWrap w:val="0"/>
            <w:vAlign w:val="center"/>
          </w:tcPr>
          <w:p w14:paraId="44D0B914">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1EF91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6940072B">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48F3A29">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tc>
        <w:tc>
          <w:tcPr>
            <w:tcW w:w="7447" w:type="dxa"/>
            <w:tcBorders>
              <w:top w:val="single" w:color="auto" w:sz="4" w:space="0"/>
              <w:left w:val="single" w:color="auto" w:sz="4" w:space="0"/>
              <w:bottom w:val="single" w:color="auto" w:sz="4" w:space="0"/>
              <w:right w:val="single" w:color="auto" w:sz="4" w:space="0"/>
            </w:tcBorders>
            <w:noWrap w:val="0"/>
            <w:vAlign w:val="center"/>
          </w:tcPr>
          <w:p w14:paraId="5A85C4F1">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提交首次响应文件之日起60天</w:t>
            </w:r>
          </w:p>
        </w:tc>
      </w:tr>
      <w:tr w14:paraId="779A8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231BC4BC">
            <w:pPr>
              <w:adjustRightInd/>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1DED4304">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响应文件份数</w:t>
            </w:r>
          </w:p>
        </w:tc>
        <w:tc>
          <w:tcPr>
            <w:tcW w:w="7447" w:type="dxa"/>
            <w:tcBorders>
              <w:top w:val="single" w:color="auto" w:sz="4" w:space="0"/>
              <w:left w:val="single" w:color="auto" w:sz="4" w:space="0"/>
              <w:bottom w:val="single" w:color="auto" w:sz="4" w:space="0"/>
              <w:right w:val="single" w:color="auto" w:sz="4" w:space="0"/>
            </w:tcBorders>
            <w:noWrap w:val="0"/>
            <w:vAlign w:val="center"/>
          </w:tcPr>
          <w:p w14:paraId="3D7B562F">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响应文件组成与份数：</w:t>
            </w:r>
          </w:p>
          <w:p w14:paraId="5CB135C7">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上传到政府采购云平台的电子响应文件（含资格文件、商务技术文件、报价文件）1份。</w:t>
            </w:r>
          </w:p>
          <w:p w14:paraId="451FEFBE">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以U盘存储的电子备份响应文件（含资格文件、商务技术文件、报价文件）1份。</w:t>
            </w:r>
          </w:p>
        </w:tc>
      </w:tr>
      <w:tr w14:paraId="7030F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0528669D">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3146AD0E">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签订合同时间</w:t>
            </w:r>
          </w:p>
        </w:tc>
        <w:tc>
          <w:tcPr>
            <w:tcW w:w="7447" w:type="dxa"/>
            <w:tcBorders>
              <w:top w:val="single" w:color="auto" w:sz="4" w:space="0"/>
              <w:left w:val="single" w:color="auto" w:sz="4" w:space="0"/>
              <w:bottom w:val="single" w:color="auto" w:sz="4" w:space="0"/>
              <w:right w:val="single" w:color="auto" w:sz="4" w:space="0"/>
            </w:tcBorders>
            <w:noWrap w:val="0"/>
            <w:vAlign w:val="center"/>
          </w:tcPr>
          <w:p w14:paraId="67B2FB8C">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成交通知书发出后30日内。</w:t>
            </w:r>
          </w:p>
        </w:tc>
      </w:tr>
      <w:tr w14:paraId="4F9ED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3A0835F1">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F0C07D0">
            <w:pPr>
              <w:adjustRightInd/>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采购资金来源</w:t>
            </w:r>
          </w:p>
        </w:tc>
        <w:tc>
          <w:tcPr>
            <w:tcW w:w="7447" w:type="dxa"/>
            <w:tcBorders>
              <w:top w:val="single" w:color="auto" w:sz="4" w:space="0"/>
              <w:left w:val="single" w:color="auto" w:sz="4" w:space="0"/>
              <w:bottom w:val="single" w:color="auto" w:sz="4" w:space="0"/>
              <w:right w:val="single" w:color="auto" w:sz="4" w:space="0"/>
            </w:tcBorders>
            <w:noWrap w:val="0"/>
            <w:vAlign w:val="center"/>
          </w:tcPr>
          <w:p w14:paraId="1098F866">
            <w:pPr>
              <w:adjustRightIn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财政资金</w:t>
            </w:r>
          </w:p>
        </w:tc>
      </w:tr>
      <w:tr w14:paraId="7DCEC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205" w:type="dxa"/>
            <w:gridSpan w:val="3"/>
            <w:tcBorders>
              <w:top w:val="single" w:color="auto" w:sz="4" w:space="0"/>
              <w:left w:val="single" w:color="auto" w:sz="4" w:space="0"/>
              <w:bottom w:val="single" w:color="auto" w:sz="4" w:space="0"/>
              <w:right w:val="single" w:color="auto" w:sz="4" w:space="0"/>
            </w:tcBorders>
            <w:noWrap w:val="0"/>
            <w:vAlign w:val="center"/>
          </w:tcPr>
          <w:p w14:paraId="5D6ECC91">
            <w:pPr>
              <w:adjustRightInd/>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解释：本磋商文件的解释权属于采购单位。</w:t>
            </w:r>
          </w:p>
        </w:tc>
      </w:tr>
    </w:tbl>
    <w:p w14:paraId="231AC54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7507CABA">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总  则</w:t>
      </w:r>
    </w:p>
    <w:p w14:paraId="4C8657FF">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14:paraId="3886BBA4">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本磋商文件适用于本项目的采购邀请、响应、评审、验收、合同履约、付款等行为（法律、法规另有规定的，从其规定）。除非另有规定和说明，本须知中的“供应商”一词亦指联合体各方。</w:t>
      </w:r>
    </w:p>
    <w:p w14:paraId="0BFA9AC5">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20109A2E">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1.“采购单位”系指组织本次采购的代理机构和采购人。</w:t>
      </w:r>
    </w:p>
    <w:p w14:paraId="3D676DC3">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2.“供应商”系指向采购单位提交响应文件的单位或个人。</w:t>
      </w:r>
    </w:p>
    <w:p w14:paraId="5FED7F5C">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3.“产品”系指供应商按磋商文件规定，须向采购人提供的一切设备、保险、税金、备品备件、工具、手册及其它有关技术资料和材料。</w:t>
      </w:r>
    </w:p>
    <w:p w14:paraId="27BC4712">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4.“服务”系指磋商文件规定供应商须提供的本项目相关服务以及其他类似的义务。</w:t>
      </w:r>
    </w:p>
    <w:p w14:paraId="79355080">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5.“项目”系指供应商按磋商文件规定向采购人提供的产品和服务。</w:t>
      </w:r>
    </w:p>
    <w:p w14:paraId="1082BBF2">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6.“书面形式”包括信函、传真、电函等。</w:t>
      </w:r>
    </w:p>
    <w:p w14:paraId="269AA96E">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7.“★”系指实质性要求条款，供应商的投标对任何带“★”号的重要商务和技术条款的偏离和未作实质性响应都将直接导致投标无效。</w:t>
      </w:r>
    </w:p>
    <w:p w14:paraId="7E9A1234">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（三）采购方式</w:t>
      </w:r>
    </w:p>
    <w:p w14:paraId="75E410E6">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本次采购采用竞争性磋商方式进行。</w:t>
      </w:r>
    </w:p>
    <w:p w14:paraId="64ABBF9A">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（四）磋商委托</w:t>
      </w:r>
    </w:p>
    <w:p w14:paraId="12F67343">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如供应商派授权代表出席磋商会议，授权代表须携带有效身份证件。如授权代表不是法定代表人，须有法定代表人出具的授权委托书（格式见第六章）。</w:t>
      </w:r>
    </w:p>
    <w:p w14:paraId="67C51C16">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（五）磋商费用</w:t>
      </w:r>
    </w:p>
    <w:p w14:paraId="625CE575">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不论采购结果如何，供应商均应自行承担所有与采购有关的全部费用（磋商文件有相关规定除外）。</w:t>
      </w:r>
    </w:p>
    <w:p w14:paraId="22F4A97A">
      <w:pPr>
        <w:pStyle w:val="6"/>
        <w:keepNext w:val="0"/>
        <w:keepLines w:val="0"/>
        <w:pageBreakBefore w:val="0"/>
        <w:widowControl w:val="0"/>
        <w:numPr>
          <w:ilvl w:val="0"/>
          <w:numId w:val="0"/>
        </w:numPr>
        <w:shd w:val="clear" w:color="auto" w:fill="auto"/>
        <w:tabs>
          <w:tab w:val="left" w:pos="720"/>
          <w:tab w:val="center" w:pos="481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（六）联合体报价</w:t>
      </w:r>
    </w:p>
    <w:p w14:paraId="0240507C">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w:t>
      </w:r>
      <w:r>
        <w:rPr>
          <w:rFonts w:hint="eastAsia" w:ascii="宋体" w:hAnsi="宋体" w:eastAsia="宋体" w:cs="宋体"/>
          <w:bCs/>
          <w:color w:val="auto"/>
          <w:sz w:val="21"/>
          <w:szCs w:val="21"/>
          <w:highlight w:val="none"/>
          <w:lang w:val="en-US" w:eastAsia="zh-CN"/>
        </w:rPr>
        <w:t>不</w:t>
      </w:r>
      <w:r>
        <w:rPr>
          <w:rFonts w:hint="eastAsia" w:ascii="宋体" w:hAnsi="宋体" w:eastAsia="宋体" w:cs="宋体"/>
          <w:bCs/>
          <w:color w:val="auto"/>
          <w:sz w:val="21"/>
          <w:szCs w:val="21"/>
          <w:highlight w:val="none"/>
        </w:rPr>
        <w:t>接受联合体报价。</w:t>
      </w:r>
    </w:p>
    <w:p w14:paraId="019DBD84">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（七）转包与分包</w:t>
      </w:r>
    </w:p>
    <w:p w14:paraId="545BE885">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本项目不允许转包，未经采购人同意，不得分包。</w:t>
      </w:r>
    </w:p>
    <w:p w14:paraId="1BABFAB5">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（八）特别说明</w:t>
      </w:r>
    </w:p>
    <w:p w14:paraId="19E57186">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★1.供应商磋商所使用的资格、信誉、荣誉、业绩与企业认证必须为</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rPr>
        <w:t>所拥有。</w:t>
      </w:r>
    </w:p>
    <w:p w14:paraId="4C5B03F3">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★2.供应商应仔细阅读磋商文件的所有内容，按照磋商文件的要求提交响应文件，并对所提供的全部资料的真实性承担法律责任。</w:t>
      </w:r>
    </w:p>
    <w:p w14:paraId="66F0CF7A">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★3.供应商在采购活动中提供任何虚假材料,其响应文件无效，并报监管部门查处；成交后发现的,成交人须依照相关规定赔偿采购人，且民事赔偿并不免除违法供应商的行政与刑事责任。</w:t>
      </w:r>
    </w:p>
    <w:p w14:paraId="2912E4DB">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4.如货物类招标情形提供相同品牌产品且通过资格审查、符合性审查的不同供应商参加同一合同项下投标的，按一家供应商计算。</w:t>
      </w:r>
    </w:p>
    <w:p w14:paraId="54993903">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采用综合评分法进行评审的，评审后得分最高的同品牌供应商获得成交人推荐资格；评审得分相同的，由磋商小组按照磋商文件规定的方式确定一个供应商获得成交人的推荐资格，磋商文件未规定的采取随机抽取的方式确定，其他同品牌供应商不作为成交候选人。</w:t>
      </w:r>
    </w:p>
    <w:p w14:paraId="129873A9">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非单一产品采购项目，供应商使用相同制造产品（相同制造产品是指磋商文件中指定的“核心产品”）作为其项目的一部分，按一家供应商认定。</w:t>
      </w:r>
    </w:p>
    <w:p w14:paraId="54F36F0B">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（九）关于分公司投标</w:t>
      </w:r>
    </w:p>
    <w:p w14:paraId="3EDCC254">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14:paraId="3FA0C617">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（十）关于知识产权</w:t>
      </w:r>
    </w:p>
    <w:p w14:paraId="77A8EFDD">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03F93E09">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2、投标报价应包含所有应向所有权人支付的专利权、商标权或其它知识产权的一切相关费用。</w:t>
      </w:r>
    </w:p>
    <w:p w14:paraId="75DCE01A">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p>
    <w:p w14:paraId="2DD3B371">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（十一）质疑和投诉</w:t>
      </w:r>
    </w:p>
    <w:p w14:paraId="1E3F6B9A">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供应商认为磋商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67F5E7E9">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提出质疑的供应商应当是参与所质疑项目采购活动的供应商。未依法获取磋商文件的，不得就磋商文件提出质疑；未提交响应文件的供应商，视为与采购结果没有利害关系，不得就采购响应截止时间后的采购过程、采购结果提出质疑。</w:t>
      </w:r>
    </w:p>
    <w:p w14:paraId="0BA8E00A">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3.供应商提出质疑应当提交质疑函和必要的证明材料，质疑函应当面以书面形式提出，质疑函格式和内容须符合财政部《质疑函范本》要求，供应商可到浙江政府采购网自行下载财政部《质疑函范本》。</w:t>
      </w:r>
    </w:p>
    <w:p w14:paraId="0EDB547F">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有关联系方式。</w:t>
      </w:r>
    </w:p>
    <w:p w14:paraId="3CBAC049">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p>
    <w:p w14:paraId="77FBA11E">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  磋商文件</w:t>
      </w:r>
    </w:p>
    <w:p w14:paraId="37FE1F20">
      <w:pPr>
        <w:pStyle w:val="6"/>
        <w:keepNext w:val="0"/>
        <w:keepLines w:val="0"/>
        <w:pageBreakBefore w:val="0"/>
        <w:widowControl w:val="0"/>
        <w:numPr>
          <w:ilvl w:val="0"/>
          <w:numId w:val="7"/>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磋商文件的构成</w:t>
      </w:r>
    </w:p>
    <w:p w14:paraId="61A88AB1">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本磋商文件由以下部分组成：</w:t>
      </w:r>
    </w:p>
    <w:p w14:paraId="27CC1E58">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1.竞争性磋商公告</w:t>
      </w:r>
    </w:p>
    <w:p w14:paraId="70A02EDE">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14:paraId="2181AD61">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.项目需求</w:t>
      </w:r>
    </w:p>
    <w:p w14:paraId="3D55432C">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.评审标准</w:t>
      </w:r>
    </w:p>
    <w:p w14:paraId="4C95FE2F">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合同条款及格式</w:t>
      </w:r>
    </w:p>
    <w:p w14:paraId="1E479C23">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6.响应文件格式</w:t>
      </w:r>
    </w:p>
    <w:p w14:paraId="48464CD9">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7.本项目磋商文件的澄清、答复、修改、补充的内容</w:t>
      </w:r>
    </w:p>
    <w:p w14:paraId="73052B6C">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（二）供应商的风险</w:t>
      </w:r>
    </w:p>
    <w:p w14:paraId="68A7B7DF">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供应商没有按照磋商文件要求提供全部资料，或者供应商没有对磋商文件在各方面作出实质性响应是供应商的风险，并可能导致其响应文件被拒绝。</w:t>
      </w:r>
    </w:p>
    <w:p w14:paraId="22D2E018">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（三）磋商文件的澄清与修改 </w:t>
      </w:r>
    </w:p>
    <w:p w14:paraId="30C96AEE">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shd w:val="clear" w:color="auto" w:fill="FFFFFF"/>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宋体" w:hAnsi="宋体" w:eastAsia="宋体" w:cs="宋体"/>
          <w:bCs/>
          <w:color w:val="auto"/>
          <w:sz w:val="21"/>
          <w:szCs w:val="21"/>
          <w:highlight w:val="none"/>
        </w:rPr>
        <w:t>在原公告发布媒体上发布澄清公告</w:t>
      </w:r>
      <w:r>
        <w:rPr>
          <w:rFonts w:hint="eastAsia" w:ascii="宋体" w:hAnsi="宋体" w:eastAsia="宋体" w:cs="宋体"/>
          <w:color w:val="auto"/>
          <w:sz w:val="21"/>
          <w:szCs w:val="21"/>
          <w:highlight w:val="none"/>
          <w:shd w:val="clear" w:color="auto" w:fill="FFFFFF"/>
        </w:rPr>
        <w:t>；不足5日的，采购人、采购代理机构应当顺延提交首次响应文件截止时间。</w:t>
      </w:r>
    </w:p>
    <w:p w14:paraId="126E38DD">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2.澄清公告为磋商文件的组成部分，一经在网站发布，视同已通知所有磋商文件的收受人，不再采用其它方式传达相关信息,若因未能及时了解到网站上发布的相关信息而导致的一切后果自行承担。</w:t>
      </w:r>
    </w:p>
    <w:p w14:paraId="43BE315A">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3.磋商文件澄清、答复、修改、补充的内容为磋商文件的组成部分。当磋商文件与磋商文件的答复、澄清、修改、补充通知就同一内容的表述不一致时，以最后发出的澄清公告为准。</w:t>
      </w:r>
    </w:p>
    <w:p w14:paraId="669AE6B2">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4.磋商文件的澄清、答复、修改或补充都应该通过本代理机构以法定形式发布，采购人非通过本机构，不得擅自澄清、答复、修改或补充磋商文件。</w:t>
      </w:r>
    </w:p>
    <w:p w14:paraId="7AFA6763">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  响应文件的编制</w:t>
      </w:r>
    </w:p>
    <w:p w14:paraId="3721EF0F">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（一）响应文件的组成</w:t>
      </w:r>
    </w:p>
    <w:p w14:paraId="0DEEC3F8">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响应文件由资格文件、商务技术文件和报价文件三部分组成。</w:t>
      </w:r>
    </w:p>
    <w:p w14:paraId="2AAF7B1E">
      <w:pPr>
        <w:pStyle w:val="6"/>
        <w:keepNext w:val="0"/>
        <w:keepLines w:val="0"/>
        <w:pageBreakBefore w:val="0"/>
        <w:widowControl w:val="0"/>
        <w:numPr>
          <w:ilvl w:val="0"/>
          <w:numId w:val="8"/>
        </w:numPr>
        <w:shd w:val="clear" w:color="auto" w:fill="auto"/>
        <w:tabs>
          <w:tab w:val="left" w:pos="720"/>
        </w:tabs>
        <w:kinsoku/>
        <w:wordWrap/>
        <w:overflowPunct/>
        <w:topLinePunct w:val="0"/>
        <w:autoSpaceDE/>
        <w:autoSpaceDN/>
        <w:bidi w:val="0"/>
        <w:adjustRightInd/>
        <w:spacing w:line="400" w:lineRule="exact"/>
        <w:ind w:left="425" w:leftChars="0" w:hanging="425"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资格文件内容包括</w:t>
      </w:r>
    </w:p>
    <w:p w14:paraId="1F3A47EE">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（1）供应商资格声明函（格式详见第六章 响应文件格式）；</w:t>
      </w:r>
    </w:p>
    <w:p w14:paraId="3E2DEC35">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14:paraId="04A78DF7">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w:t>
      </w:r>
      <w:r>
        <w:rPr>
          <w:rFonts w:hint="eastAsia" w:hAnsi="宋体" w:eastAsia="宋体" w:cs="宋体"/>
          <w:bCs/>
          <w:color w:val="auto"/>
          <w:sz w:val="21"/>
          <w:szCs w:val="21"/>
          <w:highlight w:val="none"/>
          <w:lang w:val="en-US" w:eastAsia="zh-CN"/>
        </w:rPr>
        <w:t>落实政府采购政策</w:t>
      </w:r>
      <w:r>
        <w:rPr>
          <w:rFonts w:hint="eastAsia" w:ascii="宋体" w:hAnsi="宋体" w:eastAsia="宋体" w:cs="宋体"/>
          <w:bCs/>
          <w:color w:val="auto"/>
          <w:sz w:val="21"/>
          <w:szCs w:val="21"/>
          <w:highlight w:val="none"/>
        </w:rPr>
        <w:t>的证明文件：详见“第一章  竞争性磋商公告 二、申请人的资格要求：</w:t>
      </w:r>
      <w:r>
        <w:rPr>
          <w:rFonts w:hint="eastAsia"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.落实政府采购政策需满足的资格要求”；</w:t>
      </w:r>
    </w:p>
    <w:p w14:paraId="33550054">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）供应商特定资格条件的证明文件：详见“第一章  竞争性磋商公告 二、申请人的资格要求：3.本项目的特定资格要求”；</w:t>
      </w:r>
    </w:p>
    <w:p w14:paraId="042A974D">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）磋商文件要求的其他资格条件证明材料（如有）；</w:t>
      </w:r>
    </w:p>
    <w:p w14:paraId="4994712E">
      <w:pPr>
        <w:pStyle w:val="6"/>
        <w:keepNext w:val="0"/>
        <w:keepLines w:val="0"/>
        <w:pageBreakBefore w:val="0"/>
        <w:widowControl w:val="0"/>
        <w:numPr>
          <w:ilvl w:val="0"/>
          <w:numId w:val="8"/>
        </w:numPr>
        <w:shd w:val="clear" w:color="auto" w:fill="auto"/>
        <w:tabs>
          <w:tab w:val="left" w:pos="720"/>
        </w:tabs>
        <w:kinsoku/>
        <w:wordWrap/>
        <w:overflowPunct/>
        <w:topLinePunct w:val="0"/>
        <w:autoSpaceDE/>
        <w:autoSpaceDN/>
        <w:bidi w:val="0"/>
        <w:adjustRightInd/>
        <w:spacing w:line="400" w:lineRule="exact"/>
        <w:ind w:left="425" w:leftChars="0" w:hanging="425"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商务技术文件内容包括</w:t>
      </w:r>
    </w:p>
    <w:p w14:paraId="4AD490AF">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（1）符合性自查表（格式详见第六章 响应文件格式）；</w:t>
      </w:r>
    </w:p>
    <w:p w14:paraId="6E667C30">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（2）投标函（格式详见第六章 响应文件格式）；</w:t>
      </w:r>
    </w:p>
    <w:p w14:paraId="55C064B6">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（3）法定代表人身份证明及授权委托书（格式详见第六章 响应文件格式）；</w:t>
      </w:r>
    </w:p>
    <w:p w14:paraId="14E6B4E6">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hAnsi="宋体" w:eastAsia="宋体" w:cs="宋体"/>
          <w:bCs/>
          <w:color w:val="auto"/>
          <w:sz w:val="21"/>
          <w:szCs w:val="21"/>
          <w:highlight w:val="none"/>
          <w:lang w:eastAsia="zh-CN"/>
        </w:rPr>
        <w:t>需求条款响应</w:t>
      </w:r>
      <w:r>
        <w:rPr>
          <w:rFonts w:hint="eastAsia" w:ascii="宋体" w:hAnsi="宋体" w:eastAsia="宋体" w:cs="宋体"/>
          <w:bCs/>
          <w:color w:val="auto"/>
          <w:sz w:val="21"/>
          <w:szCs w:val="21"/>
          <w:highlight w:val="none"/>
        </w:rPr>
        <w:t>（偏离）表（格式详见第六章 响应文件格式）；</w:t>
      </w:r>
    </w:p>
    <w:p w14:paraId="09AD1ADF">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（5）商务条款响应（偏离）表（格式详见第六章 响应文件格式）；</w:t>
      </w:r>
    </w:p>
    <w:p w14:paraId="319BAD25">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（6）技术部分：针对本项目第</w:t>
      </w:r>
      <w:r>
        <w:rPr>
          <w:rFonts w:hint="eastAsia"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章项目需求和第</w:t>
      </w:r>
      <w:r>
        <w:rPr>
          <w:rFonts w:hint="eastAsia"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章评审标准中的条款拟定完整方案，格式自拟；</w:t>
      </w:r>
    </w:p>
    <w:p w14:paraId="506CB170">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（7）业绩一览表（格式详见第六章 响应文件格式）；</w:t>
      </w:r>
    </w:p>
    <w:p w14:paraId="068A18E3">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（8）供应商认为有需要提供的其它有关证明资料。</w:t>
      </w:r>
    </w:p>
    <w:p w14:paraId="5B829EB1">
      <w:pPr>
        <w:pStyle w:val="6"/>
        <w:keepNext w:val="0"/>
        <w:keepLines w:val="0"/>
        <w:pageBreakBefore w:val="0"/>
        <w:widowControl w:val="0"/>
        <w:numPr>
          <w:ilvl w:val="0"/>
          <w:numId w:val="8"/>
        </w:numPr>
        <w:shd w:val="clear" w:color="auto" w:fill="auto"/>
        <w:tabs>
          <w:tab w:val="left" w:pos="720"/>
        </w:tabs>
        <w:kinsoku/>
        <w:wordWrap/>
        <w:overflowPunct/>
        <w:topLinePunct w:val="0"/>
        <w:autoSpaceDE/>
        <w:autoSpaceDN/>
        <w:bidi w:val="0"/>
        <w:adjustRightInd/>
        <w:spacing w:line="400" w:lineRule="exact"/>
        <w:ind w:left="425" w:leftChars="0" w:hanging="425"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报价文件内容包括</w:t>
      </w:r>
    </w:p>
    <w:p w14:paraId="6895976D">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报价一览表（格式详见第六章 响应文件格式）；</w:t>
      </w:r>
    </w:p>
    <w:p w14:paraId="1E68D6BE">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）供应商针对报价需要说明的其他文件和说明（格式详见第六章 响应文件格式）；</w:t>
      </w:r>
    </w:p>
    <w:p w14:paraId="209C44C6">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（二）响应文件的语言及计量</w:t>
      </w:r>
    </w:p>
    <w:p w14:paraId="7B334F1B">
      <w:pPr>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★1.响应文件以及供应商与采购单位就有关磋商事宜的所有来往函电，均应以中文汉语书写。除签名、盖章、专用名称等特殊情形外，以中文汉语以外的文字表述的响应文件视同未提供。</w:t>
      </w:r>
    </w:p>
    <w:p w14:paraId="57C29599">
      <w:pPr>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★2.报价计量单位：磋商文件已有明确规定的，使用磋商文件规定的计量单位；磋商文件没有规定的，应采用中华人民共和国法定计量单位（货币单位：人民币元），否则视同未响应。</w:t>
      </w:r>
    </w:p>
    <w:p w14:paraId="55A7C1B7">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（三）报价要求</w:t>
      </w:r>
    </w:p>
    <w:p w14:paraId="7745B9EE">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1.报价应按磋商文件中相关附表格式填写。</w:t>
      </w:r>
    </w:p>
    <w:p w14:paraId="642984A5">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★2.响应文件只允许有一个报价，有选择的或有条件的报价将不予接受。</w:t>
      </w:r>
    </w:p>
    <w:p w14:paraId="474C9606">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（四）响应文件的有效期</w:t>
      </w:r>
    </w:p>
    <w:p w14:paraId="5F7A1AB7">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★1.自递交首次响应文件截止日起</w:t>
      </w:r>
      <w:r>
        <w:rPr>
          <w:rFonts w:hint="eastAsia" w:ascii="宋体" w:hAnsi="宋体" w:eastAsia="宋体" w:cs="宋体"/>
          <w:color w:val="auto"/>
          <w:sz w:val="21"/>
          <w:szCs w:val="21"/>
          <w:highlight w:val="none"/>
          <w:u w:val="single"/>
        </w:rPr>
        <w:t xml:space="preserve"> 60 </w:t>
      </w:r>
      <w:r>
        <w:rPr>
          <w:rFonts w:hint="eastAsia" w:ascii="宋体" w:hAnsi="宋体" w:eastAsia="宋体" w:cs="宋体"/>
          <w:color w:val="auto"/>
          <w:sz w:val="21"/>
          <w:szCs w:val="21"/>
          <w:highlight w:val="none"/>
        </w:rPr>
        <w:t>天响应文件应保持有效。</w:t>
      </w:r>
    </w:p>
    <w:p w14:paraId="69C753D3">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2.在特殊情况下，采购人可与供应商协商延长响应文件的有效期，这种要求和答复均以书面形式进行。</w:t>
      </w:r>
    </w:p>
    <w:p w14:paraId="106FEF39">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3.供应商可拒绝接受延期要求，但不能修改响应文件。 </w:t>
      </w:r>
    </w:p>
    <w:p w14:paraId="12A13D5E">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4.成交人的响应文件自递交首次响应文件截止之日起至合同履行完毕止均应保持有效。</w:t>
      </w:r>
    </w:p>
    <w:p w14:paraId="1BE9481F">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（五）响应文件的签署和份数</w:t>
      </w:r>
    </w:p>
    <w:p w14:paraId="11600751">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1.供应商应按本磋商文件规定的格式和顺序编制、装订响应文件，响应文件要求有目录并标注页码，响应文件内容不完整、编排混乱导致响应文件被误读、漏读或者查找不到相关内容的，是供应商的责任。</w:t>
      </w:r>
    </w:p>
    <w:p w14:paraId="12C25F90">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2.响应文件的份数：</w:t>
      </w:r>
    </w:p>
    <w:p w14:paraId="1F1D96BB">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本项目实行网上投标，供应商应准备以下响应文件：</w:t>
      </w:r>
    </w:p>
    <w:p w14:paraId="01A713AC">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（1）上传到政府采购云平台的电子响应文件（含资格文件、商务技术文件、报价文件）1份。</w:t>
      </w:r>
    </w:p>
    <w:p w14:paraId="123A1142">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（2）以U盘存储的电子备份响应文件（含资格文件、商务技术文件、报价文件）1份。</w:t>
      </w:r>
    </w:p>
    <w:p w14:paraId="296E77D6">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3.电子响应文件：</w:t>
      </w:r>
    </w:p>
    <w:p w14:paraId="35B8BEE2">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3.1供应商应根据政采云平台及本磋商文件规定的格式和顺序编制电子响应文件并进行关联定位。</w:t>
      </w:r>
    </w:p>
    <w:p w14:paraId="7262EE61">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（六）响应文件的包装、递交、修改和撤回</w:t>
      </w:r>
    </w:p>
    <w:p w14:paraId="3031CFA0">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sz w:val="21"/>
          <w:szCs w:val="21"/>
          <w:highlight w:val="none"/>
        </w:rPr>
        <w:t>以U盘存储的电子备份响应文件</w:t>
      </w:r>
      <w:r>
        <w:rPr>
          <w:rFonts w:hint="eastAsia" w:ascii="宋体" w:hAnsi="宋体" w:eastAsia="宋体" w:cs="宋体"/>
          <w:color w:val="auto"/>
          <w:kern w:val="2"/>
          <w:sz w:val="21"/>
          <w:szCs w:val="21"/>
          <w:highlight w:val="none"/>
        </w:rPr>
        <w:t>用封袋密封后递交。</w:t>
      </w:r>
    </w:p>
    <w:p w14:paraId="3CC5BC02">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w:t>
      </w:r>
      <w:r>
        <w:rPr>
          <w:rFonts w:hint="eastAsia" w:hAnsi="宋体" w:eastAsia="宋体" w:cs="宋体"/>
          <w:bCs/>
          <w:color w:val="auto"/>
          <w:kern w:val="2"/>
          <w:sz w:val="21"/>
          <w:szCs w:val="21"/>
          <w:highlight w:val="none"/>
          <w:lang w:val="en-US" w:eastAsia="zh-CN"/>
        </w:rPr>
        <w:t>电子备份</w:t>
      </w:r>
      <w:r>
        <w:rPr>
          <w:rFonts w:hint="eastAsia" w:ascii="宋体" w:hAnsi="宋体" w:eastAsia="宋体" w:cs="宋体"/>
          <w:color w:val="auto"/>
          <w:kern w:val="2"/>
          <w:sz w:val="21"/>
          <w:szCs w:val="21"/>
          <w:highlight w:val="none"/>
        </w:rPr>
        <w:t>响应文件的包装封面上应注明供应商名称、供应商地址、响应文件名称、投标项目名称、项目编号、标项号，并加盖供应商公章。</w:t>
      </w:r>
    </w:p>
    <w:p w14:paraId="78463EF2">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.未按规定密封或标记的响应文件将被拒绝，由此造成响应文件被误投或提前拆封的风险由供应商承担。</w:t>
      </w:r>
    </w:p>
    <w:p w14:paraId="3E9203A1">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.供应商在</w:t>
      </w:r>
      <w:r>
        <w:rPr>
          <w:rFonts w:hint="eastAsia" w:ascii="宋体" w:hAnsi="宋体" w:eastAsia="宋体" w:cs="宋体"/>
          <w:color w:val="auto"/>
          <w:sz w:val="21"/>
          <w:szCs w:val="21"/>
          <w:highlight w:val="none"/>
        </w:rPr>
        <w:t>递交首次响应文件截止时间</w:t>
      </w:r>
      <w:r>
        <w:rPr>
          <w:rFonts w:hint="eastAsia" w:ascii="宋体" w:hAnsi="宋体" w:eastAsia="宋体" w:cs="宋体"/>
          <w:color w:val="auto"/>
          <w:kern w:val="2"/>
          <w:sz w:val="21"/>
          <w:szCs w:val="21"/>
          <w:highlight w:val="none"/>
        </w:rPr>
        <w:t>之前，可以对已提交的</w:t>
      </w:r>
      <w:r>
        <w:rPr>
          <w:rFonts w:hint="eastAsia" w:ascii="宋体" w:hAnsi="宋体" w:eastAsia="宋体" w:cs="宋体"/>
          <w:color w:val="auto"/>
          <w:sz w:val="21"/>
          <w:szCs w:val="21"/>
          <w:highlight w:val="none"/>
        </w:rPr>
        <w:t>电子备份响应文件</w:t>
      </w:r>
      <w:r>
        <w:rPr>
          <w:rFonts w:hint="eastAsia" w:ascii="宋体" w:hAnsi="宋体" w:eastAsia="宋体" w:cs="宋体"/>
          <w:color w:val="auto"/>
          <w:kern w:val="2"/>
          <w:sz w:val="21"/>
          <w:szCs w:val="21"/>
          <w:highlight w:val="none"/>
        </w:rPr>
        <w:t>进行修改或撤回，并书面通知招标采购单位；在</w:t>
      </w:r>
      <w:r>
        <w:rPr>
          <w:rFonts w:hint="eastAsia" w:ascii="宋体" w:hAnsi="宋体" w:eastAsia="宋体" w:cs="宋体"/>
          <w:color w:val="auto"/>
          <w:sz w:val="21"/>
          <w:szCs w:val="21"/>
          <w:highlight w:val="none"/>
        </w:rPr>
        <w:t>递交首次响应文件截止时间</w:t>
      </w:r>
      <w:r>
        <w:rPr>
          <w:rFonts w:hint="eastAsia" w:ascii="宋体" w:hAnsi="宋体" w:eastAsia="宋体" w:cs="宋体"/>
          <w:color w:val="auto"/>
          <w:kern w:val="2"/>
          <w:sz w:val="21"/>
          <w:szCs w:val="21"/>
          <w:highlight w:val="none"/>
        </w:rPr>
        <w:t>后，供应商不得撤回、修改响应文件。修改后重新递交的电子备份响应文件应当按本磋商文件的要求签署、盖章和密封。</w:t>
      </w:r>
    </w:p>
    <w:p w14:paraId="2FF092F6">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供应商应当在首次递交响应文件截止时间前完成电子响应文件的传输递交，并可以补充、修改或者撤回电子响应文件。补充或者修改电子响应文件的，应当先行撤回原文件，补充、修改后重新传输递交。首次递交响应文件截止时间前未完成传输的，视为撤回响应文件。投标、响应截止时间后传输递交的投标、响应文件，将被拒收。</w:t>
      </w:r>
    </w:p>
    <w:p w14:paraId="6FB9C7D5">
      <w:pPr>
        <w:keepNext w:val="0"/>
        <w:keepLines w:val="0"/>
        <w:pageBreakBefore w:val="0"/>
        <w:widowControl w:val="0"/>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（七）响应文件的形式和效力</w:t>
      </w:r>
    </w:p>
    <w:p w14:paraId="29541EA8">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响应文件分为：“电子响应文件”、“电子备份响应文件”、。</w:t>
      </w:r>
    </w:p>
    <w:p w14:paraId="32D18A59">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“电子响应文件”是指通过“政采云电子交易客户端”完成响应文件编制后生成并加密的数据电文形式的响应文件（文件后缀为：jmbs）。</w:t>
      </w:r>
    </w:p>
    <w:p w14:paraId="53FE08E2">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“电子备份响应文件”是指与“电子响应文件”同时生成的数据电文形式的电子文件文件后缀为：bfbs（备份标书），其他方式编制的备份响应文件视为无效备份响应文件。</w:t>
      </w:r>
    </w:p>
    <w:p w14:paraId="03CCD303">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响应文件的效力：响应文件的启用，按先后顺位分别为“电子响应文件”、“电子备份响应文件”。</w:t>
      </w:r>
    </w:p>
    <w:p w14:paraId="265BE430">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电子备份响应文件”启用时，“电子响应文件”自动失效。“电子响应文件”在规定解密时间内无法解密时，供应商若在响应文件提交（上传）截止时间之前递交了“电子备份响应文件”的，由采购代理机构上传“电子备份响应文件”进行异常处理，并对“电子备份响应文件”进行解密，未在响应文件提交（上传）截止时间之前递交“电子备份响应文件”的视为放弃投标。其余供应商通过“政府采购云平台”上传递交的已按时解密的“电子响应文件”继续有效，其“电子备份响应文件”自动失效。</w:t>
      </w:r>
    </w:p>
    <w:p w14:paraId="4E591D8F">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（八）响应无效的情形</w:t>
      </w:r>
    </w:p>
    <w:p w14:paraId="4E6FCC6B">
      <w:pPr>
        <w:pStyle w:val="12"/>
        <w:keepNext w:val="0"/>
        <w:keepLines w:val="0"/>
        <w:pageBreakBefore w:val="0"/>
        <w:widowControl w:val="0"/>
        <w:shd w:val="clear" w:color="auto" w:fill="auto"/>
        <w:kinsoku/>
        <w:wordWrap/>
        <w:overflowPunct/>
        <w:topLinePunct w:val="0"/>
        <w:autoSpaceDE/>
        <w:autoSpaceDN/>
        <w:bidi w:val="0"/>
        <w:adjustRightInd/>
        <w:spacing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上没有响应磋商文件要求的响应文件将被视为无效响应，供应商不得通过修正或撤销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磋商文件要求的，应认定其响应无效。供应商澄清、说明或更正后，不影响磋商小组对其响应文件所作的评价和评分结果。</w:t>
      </w:r>
    </w:p>
    <w:p w14:paraId="77F77741">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★上传响应文件同一网卡地址、同一IP地址的为无效标。</w:t>
      </w:r>
    </w:p>
    <w:p w14:paraId="612E41FD">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1.在资格审查时，如发现下列情形之一的，响应文件将被视为无效：</w:t>
      </w:r>
    </w:p>
    <w:p w14:paraId="7AED096D">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（1）资格证明文件不全的，或者不符合磋商文件标明的资格要求的；</w:t>
      </w:r>
    </w:p>
    <w:p w14:paraId="64EC2467">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2.在符合性审查（商务技术文件）时，如发现下列情形之一的，响应文件将被视为无效：</w:t>
      </w:r>
    </w:p>
    <w:p w14:paraId="69E23FF8">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（1）未提交投标函或投标函内容不符合磋商文件要求；</w:t>
      </w:r>
    </w:p>
    <w:p w14:paraId="2559222D">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（2）未按照磋商文件规定要求签署或盖章；</w:t>
      </w:r>
    </w:p>
    <w:p w14:paraId="5C86FE35">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（3）响应文件规定部分无法定代表人签署本人姓名（或印盖本人姓名章），或签署人未提供有效的法定代表人授权委托书或授权委托书填写项目不齐全的； </w:t>
      </w:r>
    </w:p>
    <w:p w14:paraId="5E685332">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）响应文件标明的响应或偏离与事实不符或虚假投标的；</w:t>
      </w:r>
    </w:p>
    <w:p w14:paraId="070A4D66">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）响应文件的实质性内容未使用中文表述、意思表述不明确、前后矛盾或者使用计量单位不符合磋商文件要求的（经磋商小组认定并允许其当场更正的笔误除外）；</w:t>
      </w:r>
    </w:p>
    <w:p w14:paraId="1F55A756">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）带“★”的条款不能满足磋商文件要求、未实质性响应磋商文件要求或者响应文件有采购人不能接受的附加条件的；</w:t>
      </w:r>
    </w:p>
    <w:p w14:paraId="52167C5F">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）投标技术方案不明确，存在一个或一个以上备选（替代）投标方案的；</w:t>
      </w:r>
    </w:p>
    <w:p w14:paraId="1132367B">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）法律、法规和磋商文件规定的其他无效情形；</w:t>
      </w:r>
    </w:p>
    <w:p w14:paraId="2561CCFF">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）响应文件的有效期不满足磋商文件要求。</w:t>
      </w:r>
    </w:p>
    <w:p w14:paraId="41D25257">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3.在符合性审查（报价文件）时，如发现下列情形之一的，响应文件将被视为无效：</w:t>
      </w:r>
    </w:p>
    <w:p w14:paraId="76068C9C">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（1）未按照磋商文件规定要求签署或盖章；</w:t>
      </w:r>
    </w:p>
    <w:p w14:paraId="6583DE96">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）未采用人民币报价或者未按照磋商文件标明的币种报价的；</w:t>
      </w:r>
    </w:p>
    <w:p w14:paraId="771996CD">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）报价超出最高限价，或者超出采购预算金额，采购人不能支付的；</w:t>
      </w:r>
    </w:p>
    <w:p w14:paraId="5F5DF591">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）投标报价具有选择性的；</w:t>
      </w:r>
    </w:p>
    <w:p w14:paraId="058451A4">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）投标报价中出现重大缺项、漏项；</w:t>
      </w:r>
    </w:p>
    <w:p w14:paraId="3DED117F">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）磋商小组认为供应商的报价明显低于其他通过符合性审查供应商的报价，有可能影响产品质量或者不能诚信履约的，且不能在评标现场合理时间内提供相关证明材料说明其报价的合理性的；</w:t>
      </w:r>
    </w:p>
    <w:p w14:paraId="696A618C">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）响应文件（报价文件）内容与响应文件（商务技术文件）内容有重大差异的；</w:t>
      </w:r>
    </w:p>
    <w:p w14:paraId="2A73B34D">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）法律、法规和磋商文件规定的其他无效情形；</w:t>
      </w:r>
    </w:p>
    <w:p w14:paraId="1896D758">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四、磋商程序</w:t>
      </w:r>
    </w:p>
    <w:p w14:paraId="130ADA2E">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（一）磋商准备</w:t>
      </w:r>
    </w:p>
    <w:p w14:paraId="0ECEE2E9">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采购代理机构将在规定的时间和地点进行磋商，供应商的法定代表人或授权代表可参加磋商会议。供应商的法定代表人或授权代表未参加磋商会议的，视同放弃磋商权利、认可磋商结果。</w:t>
      </w:r>
    </w:p>
    <w:p w14:paraId="0CF330A0">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（二）磋商程序：</w:t>
      </w:r>
    </w:p>
    <w:p w14:paraId="09E960D1">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1、电子招投标开标程序：</w:t>
      </w:r>
    </w:p>
    <w:p w14:paraId="29405104">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第一阶段：</w:t>
      </w:r>
    </w:p>
    <w:p w14:paraId="4D8D123E">
      <w:pPr>
        <w:keepNext w:val="0"/>
        <w:keepLines w:val="0"/>
        <w:pageBreakBefore w:val="0"/>
        <w:widowControl w:val="0"/>
        <w:numPr>
          <w:ilvl w:val="0"/>
          <w:numId w:val="0"/>
        </w:numPr>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rPr>
        <w:t>首次递交响应文件截止时间后，供应商登录政府采购云平台，用“项目采购-开标评标”功能对电子响应文件进行在线解密，在线解密电子响应文件时间为首次递交响应文件截止时间后30分钟内。</w:t>
      </w:r>
    </w:p>
    <w:p w14:paraId="16CE4899">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第二阶段：</w:t>
      </w:r>
    </w:p>
    <w:p w14:paraId="4969FB3A">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kern w:val="2"/>
          <w:sz w:val="21"/>
          <w:szCs w:val="21"/>
          <w:highlight w:val="none"/>
        </w:rPr>
        <w:t>1）采购人或采购代理机构查阅响应文件，不符合资格审查的供应商将被拒绝。</w:t>
      </w:r>
    </w:p>
    <w:p w14:paraId="5B7C8683">
      <w:pPr>
        <w:keepNext w:val="0"/>
        <w:keepLines w:val="0"/>
        <w:pageBreakBefore w:val="0"/>
        <w:widowControl w:val="0"/>
        <w:numPr>
          <w:ilvl w:val="0"/>
          <w:numId w:val="0"/>
        </w:numPr>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rPr>
        <w:t>如磋商小组对响应文件有疑义，将向供应商在线发送询标函，供应商应在规定的时间内对在线询标函做出询标澄清。逾期澄清或未澄清的供应商视同认可磋商结果。</w:t>
      </w:r>
    </w:p>
    <w:p w14:paraId="51A5967D">
      <w:pPr>
        <w:keepNext w:val="0"/>
        <w:keepLines w:val="0"/>
        <w:pageBreakBefore w:val="0"/>
        <w:widowControl w:val="0"/>
        <w:numPr>
          <w:ilvl w:val="0"/>
          <w:numId w:val="0"/>
        </w:numPr>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rPr>
        <w:t>在磋商过程中，磋商小组可以根据磋商文件和磋商情况实质性变动采购需求中的技术、服务要求（即本磋商文件第</w:t>
      </w:r>
      <w:r>
        <w:rPr>
          <w:rFonts w:hint="eastAsia"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章 项目需求）以及合同草案条款（即本磋商文件</w:t>
      </w:r>
      <w:r>
        <w:rPr>
          <w:rFonts w:hint="eastAsia" w:hAnsi="宋体" w:eastAsia="宋体" w:cs="宋体"/>
          <w:color w:val="auto"/>
          <w:kern w:val="2"/>
          <w:sz w:val="21"/>
          <w:szCs w:val="21"/>
          <w:highlight w:val="none"/>
          <w:lang w:eastAsia="zh-CN"/>
        </w:rPr>
        <w:t>第四章</w:t>
      </w:r>
      <w:r>
        <w:rPr>
          <w:rFonts w:hint="eastAsia" w:ascii="宋体" w:hAnsi="宋体" w:eastAsia="宋体" w:cs="宋体"/>
          <w:color w:val="auto"/>
          <w:kern w:val="2"/>
          <w:sz w:val="21"/>
          <w:szCs w:val="21"/>
          <w:highlight w:val="none"/>
        </w:rPr>
        <w:t xml:space="preserve"> 合同条款及格式）；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后报价。最后报价是供应商响应文件的有效组成部分。</w:t>
      </w:r>
    </w:p>
    <w:p w14:paraId="5FD3FFA6">
      <w:pPr>
        <w:keepNext w:val="0"/>
        <w:keepLines w:val="0"/>
        <w:pageBreakBefore w:val="0"/>
        <w:widowControl w:val="0"/>
        <w:numPr>
          <w:ilvl w:val="0"/>
          <w:numId w:val="0"/>
        </w:numPr>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rPr>
        <w:t>经磋商确定最终采购需求和提交最后报价的供应商后，由磋商小组采用综合评分法对提交最后报价的供应商的响应文件和最后报价进行综合评分（评分标准详见</w:t>
      </w:r>
      <w:r>
        <w:rPr>
          <w:rFonts w:hint="eastAsia" w:hAnsi="宋体" w:eastAsia="宋体" w:cs="宋体"/>
          <w:color w:val="auto"/>
          <w:kern w:val="2"/>
          <w:sz w:val="21"/>
          <w:szCs w:val="21"/>
          <w:highlight w:val="none"/>
          <w:lang w:eastAsia="zh-CN"/>
        </w:rPr>
        <w:t>第四章</w:t>
      </w:r>
      <w:r>
        <w:rPr>
          <w:rFonts w:hint="eastAsia" w:ascii="宋体" w:hAnsi="宋体" w:eastAsia="宋体" w:cs="宋体"/>
          <w:color w:val="auto"/>
          <w:kern w:val="2"/>
          <w:sz w:val="21"/>
          <w:szCs w:val="21"/>
          <w:highlight w:val="none"/>
        </w:rPr>
        <w:t xml:space="preserve"> 评审标准）；</w:t>
      </w:r>
    </w:p>
    <w:p w14:paraId="7C07CAEB">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（5）磋商小组根据综合评分情况，按照评审得分由高到低顺序推荐3名以上成交候选人，并编写评审报告。若评审得分相同，则最后报价低者排名在前；评审得分且最后报价相同的则由抽签决定。</w:t>
      </w:r>
    </w:p>
    <w:p w14:paraId="1757E9D3">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（6）在</w:t>
      </w:r>
      <w:r>
        <w:rPr>
          <w:rFonts w:hint="eastAsia" w:ascii="宋体" w:hAnsi="宋体" w:eastAsia="宋体" w:cs="宋体"/>
          <w:color w:val="auto"/>
          <w:sz w:val="21"/>
          <w:szCs w:val="21"/>
          <w:highlight w:val="none"/>
        </w:rPr>
        <w:t>政府采购云平台</w:t>
      </w:r>
      <w:r>
        <w:rPr>
          <w:rFonts w:hint="eastAsia" w:ascii="宋体" w:hAnsi="宋体" w:eastAsia="宋体" w:cs="宋体"/>
          <w:color w:val="auto"/>
          <w:kern w:val="2"/>
          <w:sz w:val="21"/>
          <w:szCs w:val="21"/>
          <w:highlight w:val="none"/>
        </w:rPr>
        <w:t>公布评审结果。</w:t>
      </w:r>
    </w:p>
    <w:p w14:paraId="5E3F9CAE">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（7）磋商会议结束。</w:t>
      </w:r>
    </w:p>
    <w:p w14:paraId="58FEB724">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（8）采购人从评审报告提出的成交候选人中，按照得分排序由高到低的原则确定1名成交人。采购代理机构在磋商公告发布的网站上公布成交结果。</w:t>
      </w:r>
    </w:p>
    <w:p w14:paraId="0A573221">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、特别说明：</w:t>
      </w:r>
      <w:r>
        <w:rPr>
          <w:rFonts w:hint="eastAsia" w:ascii="宋体" w:hAnsi="宋体" w:eastAsia="宋体" w:cs="宋体"/>
          <w:color w:val="auto"/>
          <w:sz w:val="21"/>
          <w:szCs w:val="21"/>
          <w:highlight w:val="none"/>
        </w:rPr>
        <w:t>政府采购云平台</w:t>
      </w:r>
      <w:r>
        <w:rPr>
          <w:rFonts w:hint="eastAsia" w:ascii="宋体" w:hAnsi="宋体" w:eastAsia="宋体" w:cs="宋体"/>
          <w:color w:val="auto"/>
          <w:kern w:val="2"/>
          <w:sz w:val="21"/>
          <w:szCs w:val="21"/>
          <w:highlight w:val="none"/>
        </w:rPr>
        <w:t>如对电子化开标及评审程序有调整的，按调整后的程序操作。</w:t>
      </w:r>
    </w:p>
    <w:p w14:paraId="56955A09">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本项目原则上采用政采云</w:t>
      </w:r>
      <w:r>
        <w:rPr>
          <w:rFonts w:hint="eastAsia" w:ascii="宋体" w:hAnsi="宋体" w:eastAsia="宋体" w:cs="宋体"/>
          <w:bCs/>
          <w:color w:val="auto"/>
          <w:kern w:val="2"/>
          <w:sz w:val="21"/>
          <w:szCs w:val="21"/>
          <w:highlight w:val="none"/>
          <w:lang w:bidi="ar"/>
        </w:rPr>
        <w:t>电子招投标开标程序</w:t>
      </w:r>
      <w:r>
        <w:rPr>
          <w:rFonts w:hint="eastAsia" w:ascii="宋体" w:hAnsi="宋体" w:eastAsia="宋体" w:cs="宋体"/>
          <w:color w:val="auto"/>
          <w:kern w:val="2"/>
          <w:sz w:val="21"/>
          <w:szCs w:val="21"/>
          <w:highlight w:val="none"/>
        </w:rPr>
        <w:t>，但有以下情形之一的，按以下情况处理：</w:t>
      </w:r>
    </w:p>
    <w:p w14:paraId="4413C209">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（1）若供应商在规定时间内无法解密或解密失败，代理机构将开启解密失败供应商递交的</w:t>
      </w:r>
      <w:r>
        <w:rPr>
          <w:rFonts w:hint="eastAsia" w:ascii="宋体" w:hAnsi="宋体" w:eastAsia="宋体" w:cs="宋体"/>
          <w:color w:val="auto"/>
          <w:sz w:val="21"/>
          <w:szCs w:val="21"/>
          <w:highlight w:val="none"/>
        </w:rPr>
        <w:t>以U盘存储的电子备份响应文件</w:t>
      </w:r>
      <w:r>
        <w:rPr>
          <w:rFonts w:hint="eastAsia" w:ascii="宋体" w:hAnsi="宋体" w:eastAsia="宋体" w:cs="宋体"/>
          <w:color w:val="auto"/>
          <w:kern w:val="2"/>
          <w:sz w:val="21"/>
          <w:szCs w:val="21"/>
          <w:highlight w:val="none"/>
        </w:rPr>
        <w:t>，上传至政采云平台项目采购模块，电子响应文件自动失效。</w:t>
      </w:r>
    </w:p>
    <w:p w14:paraId="4AA3B71E">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）采购过程中出现以下情形，导致电子交易平台无法正常运行，或者无法保证电子交易的公平、公正和安全时，采购人（或代理机构）可中止电子交易活动：</w:t>
      </w:r>
    </w:p>
    <w:p w14:paraId="42D024FE">
      <w:pPr>
        <w:keepNext w:val="0"/>
        <w:keepLines w:val="0"/>
        <w:pageBreakBefore w:val="0"/>
        <w:widowControl w:val="0"/>
        <w:numPr>
          <w:ilvl w:val="0"/>
          <w:numId w:val="9"/>
        </w:numPr>
        <w:shd w:val="clear" w:color="auto" w:fill="auto"/>
        <w:kinsoku/>
        <w:wordWrap/>
        <w:overflowPunct/>
        <w:topLinePunct w:val="0"/>
        <w:autoSpaceDE/>
        <w:autoSpaceDN/>
        <w:bidi w:val="0"/>
        <w:adjustRightInd/>
        <w:spacing w:line="400" w:lineRule="exact"/>
        <w:ind w:left="425" w:leftChars="0" w:hanging="425" w:firstLine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电子交易平台发生故障而无法登录访问的； </w:t>
      </w:r>
    </w:p>
    <w:p w14:paraId="30298B3A">
      <w:pPr>
        <w:keepNext w:val="0"/>
        <w:keepLines w:val="0"/>
        <w:pageBreakBefore w:val="0"/>
        <w:widowControl w:val="0"/>
        <w:numPr>
          <w:ilvl w:val="0"/>
          <w:numId w:val="9"/>
        </w:numPr>
        <w:shd w:val="clear" w:color="auto" w:fill="auto"/>
        <w:kinsoku/>
        <w:wordWrap/>
        <w:overflowPunct/>
        <w:topLinePunct w:val="0"/>
        <w:autoSpaceDE/>
        <w:autoSpaceDN/>
        <w:bidi w:val="0"/>
        <w:adjustRightInd/>
        <w:spacing w:line="400" w:lineRule="exact"/>
        <w:ind w:left="425" w:leftChars="0" w:hanging="425" w:firstLine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电子交易平台应用或数据库出现错误，不能进行正常操作的；</w:t>
      </w:r>
    </w:p>
    <w:p w14:paraId="29BD0A35">
      <w:pPr>
        <w:keepNext w:val="0"/>
        <w:keepLines w:val="0"/>
        <w:pageBreakBefore w:val="0"/>
        <w:widowControl w:val="0"/>
        <w:numPr>
          <w:ilvl w:val="0"/>
          <w:numId w:val="9"/>
        </w:numPr>
        <w:shd w:val="clear" w:color="auto" w:fill="auto"/>
        <w:kinsoku/>
        <w:wordWrap/>
        <w:overflowPunct/>
        <w:topLinePunct w:val="0"/>
        <w:autoSpaceDE/>
        <w:autoSpaceDN/>
        <w:bidi w:val="0"/>
        <w:adjustRightInd/>
        <w:spacing w:line="400" w:lineRule="exact"/>
        <w:ind w:left="425" w:leftChars="0" w:hanging="425" w:firstLine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电子交易平台发现严重安全漏洞，有潜在泄密危险的；</w:t>
      </w:r>
    </w:p>
    <w:p w14:paraId="2B408BFB">
      <w:pPr>
        <w:keepNext w:val="0"/>
        <w:keepLines w:val="0"/>
        <w:pageBreakBefore w:val="0"/>
        <w:widowControl w:val="0"/>
        <w:numPr>
          <w:ilvl w:val="0"/>
          <w:numId w:val="9"/>
        </w:numPr>
        <w:shd w:val="clear" w:color="auto" w:fill="auto"/>
        <w:kinsoku/>
        <w:wordWrap/>
        <w:overflowPunct/>
        <w:topLinePunct w:val="0"/>
        <w:autoSpaceDE/>
        <w:autoSpaceDN/>
        <w:bidi w:val="0"/>
        <w:adjustRightInd/>
        <w:spacing w:line="400" w:lineRule="exact"/>
        <w:ind w:left="425" w:leftChars="0" w:hanging="425" w:firstLine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病毒发作导致不能进行正常操作的； </w:t>
      </w:r>
    </w:p>
    <w:p w14:paraId="3DDDB275">
      <w:pPr>
        <w:keepNext w:val="0"/>
        <w:keepLines w:val="0"/>
        <w:pageBreakBefore w:val="0"/>
        <w:widowControl w:val="0"/>
        <w:numPr>
          <w:ilvl w:val="0"/>
          <w:numId w:val="9"/>
        </w:numPr>
        <w:shd w:val="clear" w:color="auto" w:fill="auto"/>
        <w:kinsoku/>
        <w:wordWrap/>
        <w:overflowPunct/>
        <w:topLinePunct w:val="0"/>
        <w:autoSpaceDE/>
        <w:autoSpaceDN/>
        <w:bidi w:val="0"/>
        <w:adjustRightInd/>
        <w:spacing w:line="400" w:lineRule="exact"/>
        <w:ind w:left="425" w:leftChars="0" w:hanging="425" w:firstLine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其他无法保证电子交易的公平、公正和安全的情况。</w:t>
      </w:r>
    </w:p>
    <w:p w14:paraId="1B08DAC7">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出现前款规定情形，不影响采购公平、公正性的，采购人（或代理机构）可以待上述情形消除后继续组织电子交易活动。</w:t>
      </w:r>
    </w:p>
    <w:p w14:paraId="4B93E19A">
      <w:pPr>
        <w:keepNext w:val="0"/>
        <w:keepLines w:val="0"/>
        <w:pageBreakBefore w:val="0"/>
        <w:widowControl w:val="0"/>
        <w:numPr>
          <w:ilvl w:val="0"/>
          <w:numId w:val="0"/>
        </w:numPr>
        <w:shd w:val="clear" w:color="auto" w:fill="auto"/>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rPr>
        <w:t>未开启的备份响应文件现场予以退还。</w:t>
      </w:r>
    </w:p>
    <w:p w14:paraId="563529DA">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五、评审</w:t>
      </w:r>
    </w:p>
    <w:p w14:paraId="2D7E7DA7">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（一）组建磋商小组</w:t>
      </w:r>
    </w:p>
    <w:p w14:paraId="06B08C11">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磋商小组根据国家相关规定和有关的法规组成。</w:t>
      </w:r>
    </w:p>
    <w:p w14:paraId="723AA736">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（二）评审的方式</w:t>
      </w:r>
    </w:p>
    <w:p w14:paraId="2388AE4D">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本项目采用不公开方式评审，评审的依据为磋商文件和响应文件。</w:t>
      </w:r>
    </w:p>
    <w:p w14:paraId="565346C9">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bCs/>
          <w:color w:val="auto"/>
          <w:sz w:val="21"/>
          <w:szCs w:val="21"/>
          <w:highlight w:val="none"/>
        </w:rPr>
        <w:t>评审程序</w:t>
      </w:r>
    </w:p>
    <w:p w14:paraId="59FBB8CD">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（1）采购人代表或代理机构工作人员对供应商的资格进行审查。</w:t>
      </w:r>
    </w:p>
    <w:p w14:paraId="1317E031">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小组审查通过资格审查的供应商提供的响应文件的实质性内容是否符合磋商文件的实质性要求。磋商小组将根据供应商的响应文件进行审查、核对,如有疑问,将对供应商进行询问,供应商要向磋商小组澄清有关问题,并最终以规定形式进行答复。</w:t>
      </w:r>
    </w:p>
    <w:p w14:paraId="39713E08">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供应商代表未到场或者拒绝澄清或者澄清的内容改变了响应文件的实质性内容的，磋商小组有权对该响应文件作出不利于供应商的评判。</w:t>
      </w:r>
    </w:p>
    <w:p w14:paraId="0AE08E5A">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（3）各供应商的技术商务得分为所有磋商小组成员的有效评分的算术平均数，由指定专人进行计算复核。</w:t>
      </w:r>
    </w:p>
    <w:p w14:paraId="75A233C5">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（4）代理机构工作人员协助磋商小组根据本项目的评分标准计算各供应商的报价得分。</w:t>
      </w:r>
    </w:p>
    <w:p w14:paraId="1A136259">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完成评审后,评审成员对各部分得分汇总，计算出本项目最终得分，对明显畸高、畸低的评分（其主观总评分偏离所有评审成员主观总评分平均值30%以上的），磋商小组组长提醒相关评审人员进行复核或书面说明理由。磋商小组按评审原则推荐成交候选人同时起草评审报告。</w:t>
      </w:r>
    </w:p>
    <w:p w14:paraId="0C288C78">
      <w:pPr>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（四）澄清问题的形式</w:t>
      </w:r>
    </w:p>
    <w:p w14:paraId="155D4C24">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响应文件中含义不明确、同类问题表述不一致或者有明显文字和计算错误的内容，磋商小组可要求供应商作出必要的澄清、说明或者更正。供应商的澄清、说明或者更正应当由法定代表人或授权代表签字或盖章确认，并不得超出响应文件的范围或者改变响应文件的实质性内容。</w:t>
      </w:r>
    </w:p>
    <w:p w14:paraId="222A0059">
      <w:pPr>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（五）错误修正</w:t>
      </w:r>
    </w:p>
    <w:p w14:paraId="0654C8F3">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磋商文件如果出现计算或表达上的错误，修正错误的原则如下：</w:t>
      </w:r>
    </w:p>
    <w:p w14:paraId="2233D227">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1、磋商文件中报价一览表（报价表）内容与磋商文件中相应内容不一致的，以报价一览表（报价表）为准；</w:t>
      </w:r>
    </w:p>
    <w:p w14:paraId="6A6C3517">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1D1A564">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3、单价金额小数点或者百分比有明显错位的，以报价一览表的总价为准，并修改单价；</w:t>
      </w:r>
    </w:p>
    <w:p w14:paraId="35DBA42A">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1BDDB2C7">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5、政采云平台填报的报价一览表中的价格与上传的报价文件中报价一览表（报价表）的报价不一致的，以上传的报价文件为准。</w:t>
      </w:r>
    </w:p>
    <w:p w14:paraId="5D49E79D">
      <w:pPr>
        <w:pStyle w:val="13"/>
        <w:keepNext w:val="0"/>
        <w:keepLines w:val="0"/>
        <w:pageBreakBefore w:val="0"/>
        <w:widowControl w:val="0"/>
        <w:shd w:val="clear" w:color="auto" w:fill="auto"/>
        <w:tabs>
          <w:tab w:val="left" w:pos="630"/>
        </w:tabs>
        <w:kinsoku/>
        <w:wordWrap/>
        <w:overflowPunct/>
        <w:topLinePunct w:val="0"/>
        <w:autoSpaceDE/>
        <w:autoSpaceDN/>
        <w:bidi w:val="0"/>
        <w:adjustRightInd/>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同时出现两种以上不一致的，按照前款规定的顺序修正。修正后的报价按照磋商文件的规定经供应商确认后产生约束力，供应商不确认的，其投标无效。</w:t>
      </w:r>
    </w:p>
    <w:p w14:paraId="34FBAA92">
      <w:pPr>
        <w:pStyle w:val="13"/>
        <w:keepNext w:val="0"/>
        <w:keepLines w:val="0"/>
        <w:pageBreakBefore w:val="0"/>
        <w:widowControl w:val="0"/>
        <w:shd w:val="clear" w:color="auto" w:fill="auto"/>
        <w:tabs>
          <w:tab w:val="left" w:pos="63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（六）评审原则和评审办法</w:t>
      </w:r>
    </w:p>
    <w:p w14:paraId="028B477C">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16100B2C">
      <w:pPr>
        <w:pStyle w:val="13"/>
        <w:keepNext w:val="0"/>
        <w:keepLines w:val="0"/>
        <w:pageBreakBefore w:val="0"/>
        <w:widowControl w:val="0"/>
        <w:shd w:val="clear" w:color="auto" w:fill="auto"/>
        <w:tabs>
          <w:tab w:val="left" w:pos="63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2.评审办法。本项目评审办法是</w:t>
      </w:r>
      <w:r>
        <w:rPr>
          <w:rFonts w:hint="eastAsia" w:ascii="宋体" w:hAnsi="宋体" w:eastAsia="宋体" w:cs="宋体"/>
          <w:b/>
          <w:color w:val="auto"/>
          <w:sz w:val="21"/>
          <w:szCs w:val="21"/>
          <w:highlight w:val="none"/>
          <w:u w:val="single"/>
        </w:rPr>
        <w:t xml:space="preserve"> 综合评分法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，具体评审内容及评分标准等详见《</w:t>
      </w:r>
      <w:r>
        <w:rPr>
          <w:rFonts w:hint="eastAsia" w:ascii="宋体" w:hAnsi="宋体" w:cs="宋体"/>
          <w:color w:val="auto"/>
          <w:sz w:val="21"/>
          <w:szCs w:val="21"/>
          <w:highlight w:val="none"/>
          <w:lang w:eastAsia="zh-CN"/>
        </w:rPr>
        <w:t>第四章</w:t>
      </w:r>
      <w:r>
        <w:rPr>
          <w:rFonts w:hint="eastAsia" w:ascii="宋体" w:hAnsi="宋体" w:eastAsia="宋体" w:cs="宋体"/>
          <w:color w:val="auto"/>
          <w:sz w:val="21"/>
          <w:szCs w:val="21"/>
          <w:highlight w:val="none"/>
        </w:rPr>
        <w:t>：评审标准》。</w:t>
      </w:r>
    </w:p>
    <w:p w14:paraId="284F29F3">
      <w:pPr>
        <w:pStyle w:val="13"/>
        <w:keepNext w:val="0"/>
        <w:keepLines w:val="0"/>
        <w:pageBreakBefore w:val="0"/>
        <w:widowControl w:val="0"/>
        <w:shd w:val="clear" w:color="auto" w:fill="auto"/>
        <w:tabs>
          <w:tab w:val="left" w:pos="63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3.若出现首次递交响应文件的供应商不足</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家的情况，本项目作废标处理。</w:t>
      </w:r>
    </w:p>
    <w:p w14:paraId="237C3845">
      <w:pPr>
        <w:pStyle w:val="13"/>
        <w:keepNext w:val="0"/>
        <w:keepLines w:val="0"/>
        <w:pageBreakBefore w:val="0"/>
        <w:widowControl w:val="0"/>
        <w:shd w:val="clear" w:color="auto" w:fill="auto"/>
        <w:tabs>
          <w:tab w:val="left" w:pos="63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（七）评审专家有下列情形之一的，受到邀请应主动提出回避，采购当事人也可以要求该评审专家回避：</w:t>
      </w:r>
    </w:p>
    <w:p w14:paraId="41FE244B">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1、参加采购活动前三年内，与供应商存在劳动关系，或者担任过供应商的董事、监事，或者是供应商的控股股东或实际控制人；</w:t>
      </w:r>
    </w:p>
    <w:p w14:paraId="405CAFAB">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2、与供应商的法定代表人或者负责人有夫妻、直系血亲、三代以内旁系血亲或者近姻亲关系；</w:t>
      </w:r>
    </w:p>
    <w:p w14:paraId="5552C324">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3、与供应商有其他可能影响政府采购活动公平、公正进行的关系；</w:t>
      </w:r>
    </w:p>
    <w:p w14:paraId="668A7327">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4、参与过采购项目进口产品论证；</w:t>
      </w:r>
    </w:p>
    <w:p w14:paraId="13264942">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5、通过随机抽到本单位的评审专家，</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"http://www.caigou2003.com/cgr/" \t "/home/czj/Documents\\x/_blank"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已经指定了采购人代表，该评审专家应当回避，采购人自行选定相应专业领域评审专家情形除外；</w:t>
      </w:r>
    </w:p>
    <w:p w14:paraId="6287B0F4">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6、法律、法规、规章规定应当回避以及其他可能影响公正评审的。</w:t>
      </w:r>
    </w:p>
    <w:p w14:paraId="0665C512">
      <w:pPr>
        <w:pStyle w:val="13"/>
        <w:keepNext w:val="0"/>
        <w:keepLines w:val="0"/>
        <w:pageBreakBefore w:val="0"/>
        <w:widowControl w:val="0"/>
        <w:shd w:val="clear" w:color="auto" w:fill="auto"/>
        <w:tabs>
          <w:tab w:val="left" w:pos="63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（八）磋商小组判断响应文件的有效性、合格性和响应情况，仅依据供应商所提交一切文件的真实表述，不受与本项目无直接关联的外部信息、传言而影响自身的专业判断。</w:t>
      </w:r>
    </w:p>
    <w:p w14:paraId="3DB28135">
      <w:pPr>
        <w:pStyle w:val="13"/>
        <w:keepNext w:val="0"/>
        <w:keepLines w:val="0"/>
        <w:pageBreakBefore w:val="0"/>
        <w:widowControl w:val="0"/>
        <w:shd w:val="clear" w:color="auto" w:fill="auto"/>
        <w:tabs>
          <w:tab w:val="left" w:pos="63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磋商小组成员依法独立评审，并对评审意见承担个人责任。磋商小组成员对需要共同认定的事项存在争议的，按照少数服从多数的原则做出结论。持不同意见的磋商小组应当在评审报告上签署不同意见并说明理由，否则视为同意。</w:t>
      </w:r>
    </w:p>
    <w:p w14:paraId="208D195E">
      <w:pPr>
        <w:pStyle w:val="13"/>
        <w:keepNext w:val="0"/>
        <w:keepLines w:val="0"/>
        <w:pageBreakBefore w:val="0"/>
        <w:widowControl w:val="0"/>
        <w:shd w:val="clear" w:color="auto" w:fill="auto"/>
        <w:tabs>
          <w:tab w:val="left" w:pos="630"/>
        </w:tabs>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（十）评标过程的监控</w:t>
      </w:r>
    </w:p>
    <w:p w14:paraId="2229F3B9">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1.本项目评标过程实行全程录音、录像监控，供应商在评标过程中所进行的试图影响评标结果的不公正活动，可能导致其投标被拒绝。</w:t>
      </w:r>
    </w:p>
    <w:p w14:paraId="6A3F14F0">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2.成交通知书发出之前，所有涉及磋商小组名单以及对响应文件的澄清、评价、比较等情况，磋商小组成员、采购人和采购代理机构的有关人员均不得向供应商或其他无关人员透露。</w:t>
      </w:r>
    </w:p>
    <w:p w14:paraId="53B48E56">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六、确定成交人：</w:t>
      </w:r>
      <w:r>
        <w:rPr>
          <w:rFonts w:hint="eastAsia" w:ascii="宋体" w:hAnsi="宋体" w:eastAsia="宋体" w:cs="宋体"/>
          <w:b/>
          <w:bCs/>
          <w:color w:val="auto"/>
          <w:sz w:val="21"/>
          <w:szCs w:val="21"/>
          <w:highlight w:val="none"/>
        </w:rPr>
        <w:t>本项目由采购人确定成交人。</w:t>
      </w:r>
    </w:p>
    <w:p w14:paraId="6FC64D5F">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1.采购代理机构应当在评审结束后2个工作日内将评审报告送采购人确认。</w:t>
      </w:r>
    </w:p>
    <w:p w14:paraId="1DDC4279">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在收到评审报告后5个工作日内，从评审报告提出的成交候选人中，按照排序由高到低的原则确定成交人，也可以书面授权磋商小组直接确定成交人。采购人逾期未确定成交人且不提出异议的，视为确定评审报告提出的排序第一的供应商为成交人。</w:t>
      </w:r>
    </w:p>
    <w:p w14:paraId="05F78E2C">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3.采购人或者采购代理机构应当在成交人确定后2个工作日内，在省级以上财政部门指定的政府采购信息发布媒体上公告成交结果，同时向成交人发出成交通知书。</w:t>
      </w:r>
    </w:p>
    <w:p w14:paraId="2E8E024E">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4.若成交人放弃成交，或因不可抗力提出不能履行合同，或不按磋商文件规定提交履约保证金，或其它原因被依法撤销成交资格，则采购人重新组织招标。  </w:t>
      </w:r>
    </w:p>
    <w:p w14:paraId="588B7477">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0FAF157E">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1.采购人与成交人应当在《成交通知书》发出之日起</w:t>
      </w:r>
      <w:r>
        <w:rPr>
          <w:rFonts w:hint="eastAsia" w:ascii="宋体" w:hAnsi="宋体" w:eastAsia="宋体" w:cs="宋体"/>
          <w:b/>
          <w:color w:val="auto"/>
          <w:sz w:val="21"/>
          <w:szCs w:val="21"/>
          <w:highlight w:val="none"/>
          <w:u w:val="single"/>
        </w:rPr>
        <w:t>30</w:t>
      </w:r>
      <w:r>
        <w:rPr>
          <w:rFonts w:hint="eastAsia" w:ascii="宋体" w:hAnsi="宋体" w:eastAsia="宋体" w:cs="宋体"/>
          <w:color w:val="auto"/>
          <w:sz w:val="21"/>
          <w:szCs w:val="21"/>
          <w:highlight w:val="none"/>
        </w:rPr>
        <w:t>日内签订合同。同时，采购代理机构对合同内容进行审查，如发现与采购结果和响应承诺内容不一致的，应予以纠正。</w:t>
      </w:r>
    </w:p>
    <w:p w14:paraId="21E260EF">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2.成交人拖延、拒签合同的,将被取消成交资格。</w:t>
      </w:r>
    </w:p>
    <w:p w14:paraId="05761F69">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3.成交人拒绝与采购人签订合同的，采购人可以按照评审报告推荐的成交候选人名单排序，确定下一候选人为成交人或重新组织招标。拒绝签订政府采购合同的成交人不得参加该项目重新开展的采购活动。</w:t>
      </w:r>
    </w:p>
    <w:p w14:paraId="3988D26F">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人如不遵守磋商文件或响应文件各项条款的邀约与要约，或在接到成交通知书后借故拖延，拒签合同的，采购人将按《浙江省政府采购供应商注册及诚信管理暂行办法》的规定上报诚信状况。给采购人造成的损失的还应当予以赔偿。</w:t>
      </w:r>
    </w:p>
    <w:p w14:paraId="015B7D8B">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bookmarkStart w:id="65" w:name="_Toc8588"/>
      <w:r>
        <w:rPr>
          <w:rFonts w:hint="eastAsia" w:ascii="宋体" w:hAnsi="宋体" w:eastAsia="宋体" w:cs="宋体"/>
          <w:b/>
          <w:color w:val="auto"/>
          <w:sz w:val="21"/>
          <w:szCs w:val="21"/>
          <w:highlight w:val="none"/>
        </w:rPr>
        <w:t>八、履约验收</w:t>
      </w:r>
      <w:bookmarkEnd w:id="65"/>
    </w:p>
    <w:p w14:paraId="31FFEFA6">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采购人负责对成交人的履约行为进行验收。政府向社会公众提供的公共服务项目，验收时应当邀请服务对象参与并出具意见，验收结果应当向社会公告。</w:t>
      </w:r>
    </w:p>
    <w:p w14:paraId="5CE20418">
      <w:pPr>
        <w:pStyle w:val="13"/>
        <w:keepNext w:val="0"/>
        <w:keepLines w:val="0"/>
        <w:pageBreakBefore w:val="0"/>
        <w:widowControl w:val="0"/>
        <w:shd w:val="clear" w:color="auto" w:fill="auto"/>
        <w:kinsoku/>
        <w:wordWrap/>
        <w:overflowPunct/>
        <w:topLinePunct w:val="0"/>
        <w:autoSpaceDE/>
        <w:autoSpaceDN/>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九、特别说明</w:t>
      </w:r>
    </w:p>
    <w:p w14:paraId="1B06CCF9">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1</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b/>
          <w:bCs/>
          <w:color w:val="auto"/>
          <w:kern w:val="2"/>
          <w:sz w:val="21"/>
          <w:szCs w:val="21"/>
          <w:highlight w:val="none"/>
          <w:lang w:val="zh-CN"/>
        </w:rPr>
        <w:t>本项目</w:t>
      </w:r>
      <w:r>
        <w:rPr>
          <w:rFonts w:hint="eastAsia" w:hAnsi="宋体" w:eastAsia="宋体" w:cs="宋体"/>
          <w:b/>
          <w:bCs/>
          <w:color w:val="auto"/>
          <w:kern w:val="2"/>
          <w:sz w:val="21"/>
          <w:szCs w:val="21"/>
          <w:highlight w:val="none"/>
          <w:u w:val="single"/>
          <w:lang w:val="en-US" w:eastAsia="zh-CN"/>
        </w:rPr>
        <w:t xml:space="preserve"> 非</w:t>
      </w:r>
      <w:r>
        <w:rPr>
          <w:rFonts w:hint="eastAsia" w:ascii="宋体" w:hAnsi="宋体" w:eastAsia="宋体" w:cs="宋体"/>
          <w:b/>
          <w:bCs/>
          <w:color w:val="auto"/>
          <w:kern w:val="2"/>
          <w:sz w:val="21"/>
          <w:szCs w:val="21"/>
          <w:highlight w:val="none"/>
          <w:lang w:val="zh-CN"/>
        </w:rPr>
        <w:t>专门面向中小企业采购。</w:t>
      </w:r>
    </w:p>
    <w:p w14:paraId="08A52C08">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本项目对应的中小企业划分标准所属行业：</w:t>
      </w:r>
      <w:r>
        <w:rPr>
          <w:rFonts w:hint="eastAsia" w:ascii="宋体" w:hAnsi="宋体" w:eastAsia="宋体" w:cs="宋体"/>
          <w:color w:val="auto"/>
          <w:kern w:val="2"/>
          <w:sz w:val="21"/>
          <w:szCs w:val="21"/>
          <w:highlight w:val="none"/>
          <w:u w:val="single"/>
        </w:rPr>
        <w:t xml:space="preserve"> </w:t>
      </w:r>
      <w:r>
        <w:rPr>
          <w:rFonts w:hint="eastAsia" w:hAnsi="宋体" w:eastAsia="宋体" w:cs="宋体"/>
          <w:color w:val="auto"/>
          <w:kern w:val="2"/>
          <w:sz w:val="21"/>
          <w:szCs w:val="21"/>
          <w:highlight w:val="none"/>
          <w:u w:val="single"/>
          <w:lang w:val="en-US" w:eastAsia="zh-CN"/>
        </w:rPr>
        <w:t>其他未列明行业</w:t>
      </w:r>
      <w:r>
        <w:rPr>
          <w:rFonts w:hint="eastAsia" w:ascii="宋体" w:hAnsi="宋体" w:eastAsia="宋体" w:cs="宋体"/>
          <w:color w:val="auto"/>
          <w:kern w:val="2"/>
          <w:sz w:val="21"/>
          <w:szCs w:val="21"/>
          <w:highlight w:val="none"/>
          <w:lang w:val="zh-CN"/>
        </w:rPr>
        <w:t xml:space="preserve">。 </w:t>
      </w:r>
    </w:p>
    <w:p w14:paraId="6EBABADB">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小微企业是指中华人民共和国境内依法设立，依据国务院批准的中小企业划分标准确定的小型企业和微型企业，但与大企业的负责人为同一人，或者与大企业存在直接控股、管理关系的除外。</w:t>
      </w:r>
    </w:p>
    <w:p w14:paraId="2136F75F">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符合中小企业划分标准的个体工商户，在政府采购活动中视同中小企业。</w:t>
      </w:r>
    </w:p>
    <w:p w14:paraId="6ABB180F">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国务院批准的中小企业划分标准：具体见工信部联企业〔2011〕300号。</w:t>
      </w:r>
    </w:p>
    <w:p w14:paraId="5DBBA2C0">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在政府采购活动中，供应商提供的货物、工程或者服务符合下列情形的，符合本项目落实政府采购政策需满足的资格要求：</w:t>
      </w:r>
    </w:p>
    <w:p w14:paraId="4D831361">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（1）在货物采购项目中，货物由中小企业制造，即货物由中小企业生产且使用该中小企业商号或者注册商标；</w:t>
      </w:r>
    </w:p>
    <w:p w14:paraId="64FEEDFE">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（2）在工程采购项目中，工程由中小企业承建，即工程施工单位为中小企业；</w:t>
      </w:r>
    </w:p>
    <w:p w14:paraId="1D3163E0">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（3）在服务采购项目中，服务由中小企业承接，即提供服务的人员为中小企业依照《中华人民共和国劳动合同法》订立劳动合同的从业人员。</w:t>
      </w:r>
    </w:p>
    <w:p w14:paraId="6A0EE083">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以联合体形式参加政府采购活动，联合体各方均为中小企业的，联合体视同中小企业。</w:t>
      </w:r>
    </w:p>
    <w:p w14:paraId="6E3AE5E1">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小微企业应按照磋商文件格式要求提供《中小企业声明函》。</w:t>
      </w:r>
    </w:p>
    <w:p w14:paraId="43404327">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1662EFD">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根据《关于促进残疾人就业政府采购政策的通知》（财库〔2017〕141号）规定，在政府采购活动中，残疾人福利性单位视同小型、微型企业。残疾人福利性单位参加政府采购活动时，提供《残疾人福利性单位声明函》。</w:t>
      </w:r>
    </w:p>
    <w:p w14:paraId="374E27E4">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按规定享受扶持政策获得政府采购合同的，小微企业不得将合同分包给大中型企业，中型企业不得将合同分包给大型企业。</w:t>
      </w:r>
    </w:p>
    <w:p w14:paraId="242B711B">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供应商按照《政府采购促进中小企业发展管理办法》（财库﹝2020﹞46号）规定提供声明函内容不实的，属于提供虚假材料谋取中标、成交，依照《中华人民共和国政府采购法》等国家有关规定追究相应责任。</w:t>
      </w:r>
    </w:p>
    <w:p w14:paraId="47477C70">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p>
    <w:p w14:paraId="2E3CAB98">
      <w:pPr>
        <w:keepNext w:val="0"/>
        <w:keepLines w:val="0"/>
        <w:pageBreakBefore w:val="0"/>
        <w:widowControl w:val="0"/>
        <w:kinsoku/>
        <w:wordWrap/>
        <w:overflowPunct/>
        <w:topLinePunct w:val="0"/>
        <w:autoSpaceDE/>
        <w:autoSpaceDN/>
        <w:bidi w:val="0"/>
        <w:snapToGrid/>
        <w:spacing w:line="440" w:lineRule="exact"/>
        <w:rPr>
          <w:rFonts w:hint="eastAsia"/>
          <w:color w:val="auto"/>
          <w:highlight w:val="none"/>
        </w:rPr>
      </w:pPr>
      <w:r>
        <w:rPr>
          <w:rFonts w:hint="eastAsia" w:ascii="宋体" w:hAnsi="宋体" w:eastAsia="宋体" w:cs="宋体"/>
          <w:b/>
          <w:color w:val="auto"/>
          <w:kern w:val="2"/>
          <w:sz w:val="21"/>
          <w:szCs w:val="21"/>
          <w:highlight w:val="none"/>
        </w:rPr>
        <w:br w:type="page"/>
      </w:r>
      <w:bookmarkEnd w:id="60"/>
      <w:bookmarkEnd w:id="61"/>
      <w:bookmarkEnd w:id="62"/>
      <w:bookmarkEnd w:id="63"/>
      <w:bookmarkEnd w:id="64"/>
      <w:bookmarkStart w:id="66" w:name="_Toc16938590"/>
      <w:bookmarkStart w:id="67" w:name="_Toc20823346"/>
      <w:bookmarkStart w:id="68" w:name="_Toc120614244"/>
      <w:bookmarkStart w:id="69" w:name="_Toc5824"/>
      <w:bookmarkStart w:id="70" w:name="_Toc479757211"/>
      <w:bookmarkStart w:id="71" w:name="_Toc462564139"/>
    </w:p>
    <w:p w14:paraId="0CE35C1E">
      <w:pPr>
        <w:pStyle w:val="5"/>
        <w:bidi w:val="0"/>
        <w:jc w:val="center"/>
        <w:outlineLvl w:val="0"/>
        <w:rPr>
          <w:rFonts w:hint="eastAsia"/>
          <w:color w:val="auto"/>
          <w:highlight w:val="none"/>
        </w:rPr>
      </w:pPr>
      <w:bookmarkStart w:id="72" w:name="_Toc2084"/>
      <w:bookmarkStart w:id="73" w:name="_Toc27164"/>
      <w:r>
        <w:rPr>
          <w:rFonts w:hint="eastAsia"/>
          <w:color w:val="auto"/>
          <w:highlight w:val="none"/>
        </w:rPr>
        <w:t>第</w:t>
      </w:r>
      <w:r>
        <w:rPr>
          <w:rFonts w:hint="eastAsia"/>
          <w:color w:val="auto"/>
          <w:highlight w:val="none"/>
          <w:lang w:val="en-US" w:eastAsia="zh-CN"/>
        </w:rPr>
        <w:t>三</w:t>
      </w:r>
      <w:r>
        <w:rPr>
          <w:rFonts w:hint="eastAsia"/>
          <w:color w:val="auto"/>
          <w:highlight w:val="none"/>
        </w:rPr>
        <w:t>章 项目需求</w:t>
      </w:r>
      <w:bookmarkEnd w:id="66"/>
      <w:bookmarkEnd w:id="67"/>
      <w:bookmarkEnd w:id="68"/>
      <w:bookmarkEnd w:id="69"/>
      <w:bookmarkEnd w:id="72"/>
      <w:bookmarkEnd w:id="73"/>
      <w:bookmarkStart w:id="74" w:name="_Toc303512745"/>
      <w:bookmarkStart w:id="75" w:name="_Toc348790040"/>
      <w:bookmarkStart w:id="76" w:name="_Toc49090575"/>
      <w:bookmarkStart w:id="77" w:name="_Toc26554093"/>
    </w:p>
    <w:bookmarkEnd w:id="74"/>
    <w:bookmarkEnd w:id="75"/>
    <w:p w14:paraId="47D46257">
      <w:pPr>
        <w:spacing w:line="360" w:lineRule="auto"/>
        <w:ind w:firstLine="422" w:firstLineChars="200"/>
        <w:textAlignment w:val="baseline"/>
        <w:rPr>
          <w:rFonts w:hint="eastAsia" w:ascii="宋体" w:hAnsi="宋体" w:eastAsia="宋体" w:cs="宋体"/>
          <w:b/>
          <w:bCs/>
          <w:color w:val="auto"/>
          <w:sz w:val="21"/>
          <w:szCs w:val="21"/>
          <w:highlight w:val="none"/>
          <w:lang w:val="en-US" w:eastAsia="zh-CN"/>
        </w:rPr>
      </w:pPr>
      <w:bookmarkStart w:id="78" w:name="_Toc18061"/>
      <w:bookmarkStart w:id="79" w:name="_Toc120614281"/>
      <w:r>
        <w:rPr>
          <w:rFonts w:hint="eastAsia" w:ascii="宋体" w:hAnsi="宋体" w:eastAsia="宋体" w:cs="宋体"/>
          <w:b/>
          <w:bCs/>
          <w:color w:val="auto"/>
          <w:sz w:val="21"/>
          <w:szCs w:val="21"/>
          <w:highlight w:val="none"/>
          <w:lang w:val="en-US" w:eastAsia="zh-CN"/>
        </w:rPr>
        <w:t>一、项目概况</w:t>
      </w:r>
    </w:p>
    <w:p w14:paraId="456B19DB">
      <w:pPr>
        <w:keepNext w:val="0"/>
        <w:keepLines w:val="0"/>
        <w:pageBreakBefore w:val="0"/>
        <w:widowControl w:val="0"/>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前，我市外贸企业普遍面临出国受限、部分订单外流、在手订单下滑等问题，这对我市下半年外贸出口带来严峻挑战。根据《宁波市出口信用保险扶持资金实施细则》（甬商务财〔2021〕130号）文件规定：结合宁波出口重点市场、重点行业情况，由市商务局向保险公司统一采购定制化资信报告，帮助企业拓市场、防风险。定制化资信报告主要包括行业研究报告、国别风险分析报告、进口采购分析报告。</w:t>
      </w:r>
    </w:p>
    <w:p w14:paraId="3A05262A">
      <w:pPr>
        <w:keepNext w:val="0"/>
        <w:keepLines w:val="0"/>
        <w:pageBreakBefore w:val="0"/>
        <w:widowControl w:val="0"/>
        <w:kinsoku/>
        <w:wordWrap/>
        <w:overflowPunct/>
        <w:topLinePunct w:val="0"/>
        <w:autoSpaceDE/>
        <w:autoSpaceDN/>
        <w:bidi w:val="0"/>
        <w:adjustRightInd/>
        <w:snapToGrid/>
        <w:spacing w:line="360" w:lineRule="auto"/>
        <w:ind w:firstLine="42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经调研，现拟采购行业研究报告，该类报告根据行业特征，有针对性地选取不同的分析模块，以构建完整的分析逻辑，可以让企业充分了解行业市场特点、市场结构和市场主体，提前识别行业风险，对于企业开拓海外市场、抢抓订单抢抓发展机遇，具有较高参考价值。由于行业研究报告对行业分析内容丰富全面，且数据量庞大，需要由专业团队负责分析和制作。对于单个企业而言，购买此类报告有一定负担。现统一采购此类报告并分享给所需要的外贸企业，这将有助于企业开拓海外市场、抢抓订单，而且统一采购将有效降低报告成本，每份报告可供多家企业使用。</w:t>
      </w:r>
    </w:p>
    <w:p w14:paraId="41B5E038">
      <w:pPr>
        <w:numPr>
          <w:ilvl w:val="0"/>
          <w:numId w:val="10"/>
        </w:numPr>
        <w:spacing w:line="360" w:lineRule="auto"/>
        <w:ind w:firstLine="422"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报告清单及技术要求</w:t>
      </w:r>
    </w:p>
    <w:p w14:paraId="7D7FA972">
      <w:pPr>
        <w:numPr>
          <w:ilvl w:val="0"/>
          <w:numId w:val="0"/>
        </w:numPr>
        <w:spacing w:line="360" w:lineRule="auto"/>
        <w:textAlignment w:val="baseline"/>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1.报告清单</w:t>
      </w:r>
    </w:p>
    <w:tbl>
      <w:tblPr>
        <w:tblStyle w:val="27"/>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584"/>
        <w:gridCol w:w="4808"/>
      </w:tblGrid>
      <w:tr w14:paraId="25DF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45" w:type="dxa"/>
            <w:noWrap w:val="0"/>
            <w:vAlign w:val="center"/>
          </w:tcPr>
          <w:p w14:paraId="29F02635">
            <w:pPr>
              <w:jc w:val="center"/>
              <w:rPr>
                <w:rFonts w:hint="eastAsia" w:ascii="宋体" w:hAnsi="宋体" w:eastAsia="宋体" w:cs="宋体"/>
                <w:b/>
                <w:bCs/>
                <w:kern w:val="0"/>
                <w:sz w:val="21"/>
                <w:szCs w:val="21"/>
                <w:highlight w:val="none"/>
                <w:vertAlign w:val="baseline"/>
                <w:lang w:val="en-US" w:eastAsia="zh-CN"/>
              </w:rPr>
            </w:pPr>
            <w:r>
              <w:rPr>
                <w:rFonts w:hint="eastAsia" w:ascii="宋体" w:hAnsi="宋体" w:eastAsia="宋体" w:cs="宋体"/>
                <w:b/>
                <w:bCs/>
                <w:kern w:val="0"/>
                <w:sz w:val="21"/>
                <w:szCs w:val="21"/>
                <w:highlight w:val="none"/>
                <w:vertAlign w:val="baseline"/>
                <w:lang w:val="en-US" w:eastAsia="zh-CN"/>
              </w:rPr>
              <w:t>序号</w:t>
            </w:r>
          </w:p>
        </w:tc>
        <w:tc>
          <w:tcPr>
            <w:tcW w:w="3584" w:type="dxa"/>
            <w:noWrap w:val="0"/>
            <w:vAlign w:val="center"/>
          </w:tcPr>
          <w:p w14:paraId="53DEF1B8">
            <w:pPr>
              <w:jc w:val="center"/>
              <w:rPr>
                <w:rFonts w:hint="eastAsia" w:ascii="宋体" w:hAnsi="宋体" w:eastAsia="宋体" w:cs="宋体"/>
                <w:b/>
                <w:bCs/>
                <w:kern w:val="0"/>
                <w:sz w:val="21"/>
                <w:szCs w:val="21"/>
                <w:highlight w:val="none"/>
                <w:vertAlign w:val="baseline"/>
                <w:lang w:val="en-US" w:eastAsia="zh-CN"/>
              </w:rPr>
            </w:pPr>
            <w:r>
              <w:rPr>
                <w:rFonts w:hint="eastAsia" w:ascii="宋体" w:hAnsi="宋体" w:eastAsia="宋体" w:cs="宋体"/>
                <w:b/>
                <w:bCs/>
                <w:kern w:val="0"/>
                <w:sz w:val="21"/>
                <w:szCs w:val="21"/>
                <w:highlight w:val="none"/>
                <w:vertAlign w:val="baseline"/>
                <w:lang w:val="en-US" w:eastAsia="zh-CN"/>
              </w:rPr>
              <w:t>报告主题</w:t>
            </w:r>
          </w:p>
        </w:tc>
        <w:tc>
          <w:tcPr>
            <w:tcW w:w="4808" w:type="dxa"/>
            <w:noWrap w:val="0"/>
            <w:vAlign w:val="center"/>
          </w:tcPr>
          <w:p w14:paraId="1C5E4F1C">
            <w:pPr>
              <w:jc w:val="center"/>
              <w:rPr>
                <w:rFonts w:hint="eastAsia" w:ascii="宋体" w:hAnsi="宋体" w:eastAsia="宋体" w:cs="宋体"/>
                <w:b/>
                <w:bCs/>
                <w:kern w:val="0"/>
                <w:sz w:val="21"/>
                <w:szCs w:val="21"/>
                <w:highlight w:val="none"/>
                <w:vertAlign w:val="baseline"/>
                <w:lang w:val="en-US" w:eastAsia="zh-CN"/>
              </w:rPr>
            </w:pPr>
            <w:r>
              <w:rPr>
                <w:rFonts w:hint="eastAsia" w:ascii="宋体" w:hAnsi="宋体" w:eastAsia="宋体" w:cs="宋体"/>
                <w:b/>
                <w:bCs/>
                <w:kern w:val="0"/>
                <w:sz w:val="21"/>
                <w:szCs w:val="21"/>
                <w:highlight w:val="none"/>
                <w:vertAlign w:val="baseline"/>
                <w:lang w:val="en-US" w:eastAsia="zh-CN"/>
              </w:rPr>
              <w:t>主要研究方向</w:t>
            </w:r>
          </w:p>
        </w:tc>
      </w:tr>
      <w:tr w14:paraId="29C4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945" w:type="dxa"/>
            <w:noWrap w:val="0"/>
            <w:vAlign w:val="center"/>
          </w:tcPr>
          <w:p w14:paraId="1B6A2661">
            <w:pPr>
              <w:jc w:val="center"/>
              <w:rPr>
                <w:rFonts w:hint="eastAsia" w:ascii="宋体" w:hAnsi="宋体" w:eastAsia="宋体" w:cs="宋体"/>
                <w:kern w:val="0"/>
                <w:sz w:val="21"/>
                <w:szCs w:val="21"/>
                <w:highlight w:val="none"/>
                <w:vertAlign w:val="baseline"/>
                <w:lang w:val="en-US" w:eastAsia="zh-CN"/>
              </w:rPr>
            </w:pPr>
            <w:r>
              <w:rPr>
                <w:rFonts w:hint="eastAsia" w:ascii="宋体" w:hAnsi="宋体" w:eastAsia="宋体" w:cs="宋体"/>
                <w:kern w:val="0"/>
                <w:sz w:val="21"/>
                <w:szCs w:val="21"/>
                <w:highlight w:val="none"/>
                <w:vertAlign w:val="baseline"/>
                <w:lang w:val="en-US" w:eastAsia="zh-CN"/>
              </w:rPr>
              <w:t>1</w:t>
            </w:r>
          </w:p>
        </w:tc>
        <w:tc>
          <w:tcPr>
            <w:tcW w:w="3584" w:type="dxa"/>
            <w:noWrap w:val="0"/>
            <w:vAlign w:val="center"/>
          </w:tcPr>
          <w:p w14:paraId="740EDE93">
            <w:pPr>
              <w:jc w:val="center"/>
              <w:rPr>
                <w:rFonts w:hint="eastAsia" w:ascii="宋体" w:hAnsi="宋体" w:eastAsia="宋体" w:cs="宋体"/>
                <w:kern w:val="0"/>
                <w:sz w:val="21"/>
                <w:szCs w:val="21"/>
                <w:highlight w:val="none"/>
                <w:vertAlign w:val="baseline"/>
                <w:lang w:val="en-US" w:eastAsia="zh-CN"/>
              </w:rPr>
            </w:pPr>
            <w:r>
              <w:rPr>
                <w:rFonts w:hint="eastAsia" w:ascii="宋体" w:hAnsi="宋体" w:eastAsia="宋体" w:cs="宋体"/>
                <w:kern w:val="0"/>
                <w:sz w:val="21"/>
                <w:szCs w:val="21"/>
                <w:highlight w:val="none"/>
                <w:vertAlign w:val="baseline"/>
                <w:lang w:val="en-US" w:eastAsia="zh-CN"/>
              </w:rPr>
              <w:t>欧美七国日用品行业发展分析报告</w:t>
            </w:r>
          </w:p>
        </w:tc>
        <w:tc>
          <w:tcPr>
            <w:tcW w:w="4808" w:type="dxa"/>
            <w:noWrap w:val="0"/>
            <w:vAlign w:val="center"/>
          </w:tcPr>
          <w:p w14:paraId="0466094E">
            <w:pPr>
              <w:numPr>
                <w:ilvl w:val="-1"/>
                <w:numId w:val="0"/>
              </w:numPr>
              <w:jc w:val="left"/>
              <w:rPr>
                <w:rFonts w:hint="eastAsia" w:hAnsi="宋体" w:eastAsia="宋体" w:cs="宋体"/>
                <w:kern w:val="0"/>
                <w:sz w:val="21"/>
                <w:szCs w:val="21"/>
                <w:highlight w:val="none"/>
                <w:vertAlign w:val="baseline"/>
                <w:lang w:val="en-US" w:eastAsia="zh-CN"/>
              </w:rPr>
            </w:pPr>
            <w:r>
              <w:rPr>
                <w:rFonts w:hint="eastAsia" w:hAnsi="宋体" w:eastAsia="宋体" w:cs="宋体"/>
                <w:kern w:val="0"/>
                <w:sz w:val="21"/>
                <w:szCs w:val="21"/>
                <w:highlight w:val="none"/>
                <w:vertAlign w:val="baseline"/>
                <w:lang w:val="en-US" w:eastAsia="zh-CN"/>
              </w:rPr>
              <w:t>1.</w:t>
            </w:r>
            <w:r>
              <w:rPr>
                <w:rFonts w:hint="eastAsia" w:ascii="宋体" w:hAnsi="宋体" w:eastAsia="宋体" w:cs="宋体"/>
                <w:kern w:val="0"/>
                <w:sz w:val="21"/>
                <w:szCs w:val="21"/>
                <w:highlight w:val="none"/>
                <w:vertAlign w:val="baseline"/>
                <w:lang w:val="en-US" w:eastAsia="zh-CN"/>
              </w:rPr>
              <w:t>美国、英国、德国、法国、荷兰、波兰、俄罗斯日用品行业</w:t>
            </w:r>
            <w:r>
              <w:rPr>
                <w:rFonts w:hint="eastAsia" w:hAnsi="宋体" w:eastAsia="宋体" w:cs="宋体"/>
                <w:kern w:val="0"/>
                <w:sz w:val="21"/>
                <w:szCs w:val="21"/>
                <w:highlight w:val="none"/>
                <w:vertAlign w:val="baseline"/>
                <w:lang w:val="en-US" w:eastAsia="zh-CN"/>
              </w:rPr>
              <w:t>现状及趋势；</w:t>
            </w:r>
          </w:p>
          <w:p w14:paraId="579C0E25">
            <w:pPr>
              <w:numPr>
                <w:ilvl w:val="0"/>
                <w:numId w:val="0"/>
              </w:numPr>
              <w:jc w:val="left"/>
              <w:rPr>
                <w:rFonts w:hint="eastAsia" w:hAnsi="宋体" w:eastAsia="宋体" w:cs="宋体"/>
                <w:kern w:val="0"/>
                <w:sz w:val="21"/>
                <w:szCs w:val="21"/>
                <w:highlight w:val="none"/>
                <w:vertAlign w:val="baseline"/>
                <w:lang w:val="en-US" w:eastAsia="zh-CN"/>
              </w:rPr>
            </w:pPr>
            <w:r>
              <w:rPr>
                <w:rFonts w:hint="eastAsia" w:hAnsi="宋体" w:eastAsia="宋体" w:cs="宋体"/>
                <w:kern w:val="0"/>
                <w:sz w:val="21"/>
                <w:szCs w:val="21"/>
                <w:highlight w:val="none"/>
                <w:vertAlign w:val="baseline"/>
                <w:lang w:val="en-US" w:eastAsia="zh-CN"/>
              </w:rPr>
              <w:t>2.七国市场头部买方和品牌，及其经营近况；       3.七国日用品产业链上下游分布；</w:t>
            </w:r>
          </w:p>
          <w:p w14:paraId="7D4BFE3B">
            <w:pPr>
              <w:numPr>
                <w:ilvl w:val="0"/>
                <w:numId w:val="0"/>
              </w:numPr>
              <w:jc w:val="left"/>
              <w:rPr>
                <w:rFonts w:hint="default"/>
                <w:kern w:val="0"/>
                <w:highlight w:val="none"/>
                <w:lang w:val="en-US" w:eastAsia="zh-CN"/>
              </w:rPr>
            </w:pPr>
            <w:r>
              <w:rPr>
                <w:rFonts w:hint="eastAsia" w:hAnsi="宋体" w:eastAsia="宋体" w:cs="宋体"/>
                <w:b w:val="0"/>
                <w:bCs w:val="0"/>
                <w:kern w:val="0"/>
                <w:sz w:val="21"/>
                <w:szCs w:val="21"/>
                <w:highlight w:val="none"/>
                <w:vertAlign w:val="baseline"/>
                <w:lang w:val="en-US" w:eastAsia="zh-CN"/>
              </w:rPr>
              <w:t>4.中国企业在全球日用品零售市场发展。</w:t>
            </w:r>
          </w:p>
        </w:tc>
      </w:tr>
      <w:tr w14:paraId="3F3C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45" w:type="dxa"/>
            <w:noWrap w:val="0"/>
            <w:vAlign w:val="center"/>
          </w:tcPr>
          <w:p w14:paraId="3E9DFCE0">
            <w:pPr>
              <w:jc w:val="center"/>
              <w:rPr>
                <w:rFonts w:hint="eastAsia" w:ascii="宋体" w:hAnsi="宋体" w:eastAsia="宋体" w:cs="宋体"/>
                <w:kern w:val="0"/>
                <w:sz w:val="21"/>
                <w:szCs w:val="21"/>
                <w:highlight w:val="none"/>
                <w:vertAlign w:val="baseline"/>
                <w:lang w:val="en-US" w:eastAsia="zh-CN"/>
              </w:rPr>
            </w:pPr>
            <w:r>
              <w:rPr>
                <w:rFonts w:hint="eastAsia" w:ascii="宋体" w:hAnsi="宋体" w:eastAsia="宋体" w:cs="宋体"/>
                <w:kern w:val="0"/>
                <w:sz w:val="21"/>
                <w:szCs w:val="21"/>
                <w:highlight w:val="none"/>
                <w:vertAlign w:val="baseline"/>
                <w:lang w:val="en-US" w:eastAsia="zh-CN"/>
              </w:rPr>
              <w:t>2</w:t>
            </w:r>
          </w:p>
        </w:tc>
        <w:tc>
          <w:tcPr>
            <w:tcW w:w="3584" w:type="dxa"/>
            <w:noWrap w:val="0"/>
            <w:vAlign w:val="center"/>
          </w:tcPr>
          <w:p w14:paraId="13AD0C28">
            <w:pPr>
              <w:jc w:val="center"/>
              <w:rPr>
                <w:rFonts w:hint="eastAsia" w:ascii="宋体" w:hAnsi="宋体" w:eastAsia="宋体" w:cs="宋体"/>
                <w:b w:val="0"/>
                <w:bCs w:val="0"/>
                <w:kern w:val="0"/>
                <w:sz w:val="21"/>
                <w:szCs w:val="21"/>
                <w:highlight w:val="none"/>
                <w:vertAlign w:val="baseline"/>
                <w:lang w:val="en-US" w:eastAsia="zh-CN"/>
              </w:rPr>
            </w:pPr>
            <w:r>
              <w:rPr>
                <w:rFonts w:hint="eastAsia" w:hAnsi="宋体" w:eastAsia="宋体" w:cs="宋体"/>
                <w:b w:val="0"/>
                <w:bCs w:val="0"/>
                <w:kern w:val="0"/>
                <w:sz w:val="21"/>
                <w:szCs w:val="21"/>
                <w:highlight w:val="none"/>
                <w:vertAlign w:val="baseline"/>
                <w:lang w:val="en-US" w:eastAsia="zh-CN"/>
              </w:rPr>
              <w:t>东南亚和土耳其纺织服装行业研究报告</w:t>
            </w:r>
          </w:p>
        </w:tc>
        <w:tc>
          <w:tcPr>
            <w:tcW w:w="4808" w:type="dxa"/>
            <w:noWrap w:val="0"/>
            <w:vAlign w:val="center"/>
          </w:tcPr>
          <w:p w14:paraId="49853347">
            <w:pPr>
              <w:numPr>
                <w:ilvl w:val="-1"/>
                <w:numId w:val="0"/>
              </w:numPr>
              <w:jc w:val="left"/>
              <w:rPr>
                <w:rFonts w:hint="eastAsia" w:hAnsi="宋体" w:eastAsia="宋体" w:cs="宋体"/>
                <w:b w:val="0"/>
                <w:bCs w:val="0"/>
                <w:kern w:val="0"/>
                <w:sz w:val="21"/>
                <w:szCs w:val="21"/>
                <w:highlight w:val="none"/>
                <w:vertAlign w:val="baseline"/>
                <w:lang w:val="en-US" w:eastAsia="zh-CN"/>
              </w:rPr>
            </w:pPr>
            <w:r>
              <w:rPr>
                <w:rFonts w:hint="eastAsia" w:hAnsi="宋体" w:eastAsia="宋体" w:cs="宋体"/>
                <w:b w:val="0"/>
                <w:bCs w:val="0"/>
                <w:kern w:val="0"/>
                <w:sz w:val="21"/>
                <w:szCs w:val="21"/>
                <w:highlight w:val="none"/>
                <w:vertAlign w:val="baseline"/>
                <w:lang w:val="en-US" w:eastAsia="zh-CN"/>
              </w:rPr>
              <w:t>1.东南亚和土耳其纺织服装</w:t>
            </w:r>
            <w:r>
              <w:rPr>
                <w:rFonts w:hint="eastAsia" w:ascii="宋体" w:hAnsi="宋体" w:eastAsia="宋体" w:cs="宋体"/>
                <w:b w:val="0"/>
                <w:bCs w:val="0"/>
                <w:kern w:val="0"/>
                <w:sz w:val="21"/>
                <w:szCs w:val="21"/>
                <w:highlight w:val="none"/>
                <w:vertAlign w:val="baseline"/>
                <w:lang w:val="en-US" w:eastAsia="zh-CN"/>
              </w:rPr>
              <w:t>行业市场</w:t>
            </w:r>
            <w:r>
              <w:rPr>
                <w:rFonts w:hint="eastAsia" w:hAnsi="宋体" w:eastAsia="宋体" w:cs="宋体"/>
                <w:b w:val="0"/>
                <w:bCs w:val="0"/>
                <w:kern w:val="0"/>
                <w:sz w:val="21"/>
                <w:szCs w:val="21"/>
                <w:highlight w:val="none"/>
                <w:vertAlign w:val="baseline"/>
                <w:lang w:val="en-US" w:eastAsia="zh-CN"/>
              </w:rPr>
              <w:t>规模及结构；</w:t>
            </w:r>
          </w:p>
          <w:p w14:paraId="04CC27EF">
            <w:pPr>
              <w:numPr>
                <w:ilvl w:val="0"/>
                <w:numId w:val="0"/>
              </w:numPr>
              <w:jc w:val="left"/>
              <w:rPr>
                <w:rFonts w:hint="eastAsia" w:hAnsi="宋体" w:eastAsia="宋体" w:cs="宋体"/>
                <w:b w:val="0"/>
                <w:bCs w:val="0"/>
                <w:kern w:val="0"/>
                <w:sz w:val="21"/>
                <w:szCs w:val="21"/>
                <w:highlight w:val="none"/>
                <w:vertAlign w:val="baseline"/>
                <w:lang w:val="en-US" w:eastAsia="zh-CN"/>
              </w:rPr>
            </w:pPr>
            <w:r>
              <w:rPr>
                <w:rFonts w:hint="eastAsia" w:hAnsi="宋体" w:eastAsia="宋体" w:cs="宋体"/>
                <w:b w:val="0"/>
                <w:bCs w:val="0"/>
                <w:kern w:val="0"/>
                <w:sz w:val="21"/>
                <w:szCs w:val="21"/>
                <w:highlight w:val="none"/>
                <w:vertAlign w:val="baseline"/>
                <w:lang w:val="en-US" w:eastAsia="zh-CN"/>
              </w:rPr>
              <w:t>2.各国纺织服装产业链分布和产能分析；       3.各国纺织服装行业成本和出口分析；</w:t>
            </w:r>
          </w:p>
          <w:p w14:paraId="0B8AC11B">
            <w:pPr>
              <w:numPr>
                <w:ilvl w:val="0"/>
                <w:numId w:val="0"/>
              </w:numPr>
              <w:jc w:val="left"/>
              <w:rPr>
                <w:rFonts w:hint="default"/>
                <w:kern w:val="0"/>
                <w:highlight w:val="none"/>
                <w:lang w:val="en-US" w:eastAsia="zh-CN"/>
              </w:rPr>
            </w:pPr>
            <w:r>
              <w:rPr>
                <w:rFonts w:hint="eastAsia" w:hAnsi="宋体" w:eastAsia="宋体" w:cs="宋体"/>
                <w:b w:val="0"/>
                <w:bCs w:val="0"/>
                <w:kern w:val="0"/>
                <w:sz w:val="21"/>
                <w:szCs w:val="21"/>
                <w:highlight w:val="none"/>
                <w:vertAlign w:val="baseline"/>
                <w:lang w:val="en-US" w:eastAsia="zh-CN"/>
              </w:rPr>
              <w:t>4.各国纺织服装行业发展趋势。</w:t>
            </w:r>
          </w:p>
        </w:tc>
      </w:tr>
      <w:tr w14:paraId="47F2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45" w:type="dxa"/>
            <w:noWrap w:val="0"/>
            <w:vAlign w:val="center"/>
          </w:tcPr>
          <w:p w14:paraId="27EE4010">
            <w:pPr>
              <w:jc w:val="center"/>
              <w:rPr>
                <w:rFonts w:hint="eastAsia" w:ascii="宋体" w:hAnsi="宋体" w:eastAsia="宋体" w:cs="宋体"/>
                <w:kern w:val="0"/>
                <w:sz w:val="21"/>
                <w:szCs w:val="21"/>
                <w:highlight w:val="none"/>
                <w:vertAlign w:val="baseline"/>
                <w:lang w:val="en-US" w:eastAsia="zh-CN"/>
              </w:rPr>
            </w:pPr>
            <w:r>
              <w:rPr>
                <w:rFonts w:hint="eastAsia" w:ascii="宋体" w:hAnsi="宋体" w:eastAsia="宋体" w:cs="宋体"/>
                <w:kern w:val="0"/>
                <w:sz w:val="21"/>
                <w:szCs w:val="21"/>
                <w:highlight w:val="none"/>
                <w:vertAlign w:val="baseline"/>
                <w:lang w:val="en-US" w:eastAsia="zh-CN"/>
              </w:rPr>
              <w:t>3</w:t>
            </w:r>
          </w:p>
        </w:tc>
        <w:tc>
          <w:tcPr>
            <w:tcW w:w="3584" w:type="dxa"/>
            <w:noWrap w:val="0"/>
            <w:vAlign w:val="center"/>
          </w:tcPr>
          <w:p w14:paraId="2E3360F3">
            <w:pPr>
              <w:jc w:val="center"/>
              <w:rPr>
                <w:rFonts w:hint="eastAsia" w:ascii="宋体" w:hAnsi="宋体" w:eastAsia="宋体" w:cs="宋体"/>
                <w:kern w:val="0"/>
                <w:sz w:val="21"/>
                <w:szCs w:val="21"/>
                <w:highlight w:val="none"/>
                <w:vertAlign w:val="baseline"/>
                <w:lang w:val="en-US" w:eastAsia="zh-CN"/>
              </w:rPr>
            </w:pPr>
            <w:r>
              <w:rPr>
                <w:rFonts w:hint="eastAsia" w:ascii="宋体" w:hAnsi="宋体" w:eastAsia="宋体" w:cs="宋体"/>
                <w:kern w:val="0"/>
                <w:sz w:val="21"/>
                <w:szCs w:val="21"/>
                <w:highlight w:val="none"/>
                <w:vertAlign w:val="baseline"/>
                <w:lang w:val="en-US" w:eastAsia="zh-CN"/>
              </w:rPr>
              <w:t>汽车海外重点市场和造车新势力买方研究报告</w:t>
            </w:r>
          </w:p>
        </w:tc>
        <w:tc>
          <w:tcPr>
            <w:tcW w:w="4808" w:type="dxa"/>
            <w:noWrap w:val="0"/>
            <w:vAlign w:val="center"/>
          </w:tcPr>
          <w:p w14:paraId="6EFDC940">
            <w:pPr>
              <w:pStyle w:val="4"/>
              <w:numPr>
                <w:ilvl w:val="0"/>
                <w:numId w:val="11"/>
              </w:numPr>
              <w:spacing w:line="240" w:lineRule="auto"/>
              <w:rPr>
                <w:rFonts w:hint="default"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vertAlign w:val="baseline"/>
                <w:lang w:val="en-US" w:eastAsia="zh-CN"/>
              </w:rPr>
              <w:t>俄罗斯、墨西哥、比利时、英国、澳大利亚、沙特、阿联酋、泰国汽车市场潜力分析；</w:t>
            </w:r>
          </w:p>
          <w:p w14:paraId="4FB6C921">
            <w:pPr>
              <w:pStyle w:val="4"/>
              <w:numPr>
                <w:ilvl w:val="0"/>
                <w:numId w:val="0"/>
              </w:numPr>
              <w:spacing w:line="240" w:lineRule="auto"/>
              <w:rPr>
                <w:rFonts w:hint="default"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vertAlign w:val="baseline"/>
                <w:lang w:val="en-US" w:eastAsia="zh-CN"/>
              </w:rPr>
              <w:t>2.各国市场汽车产量、企业和地区分布；</w:t>
            </w:r>
          </w:p>
          <w:p w14:paraId="7E79B430">
            <w:pPr>
              <w:pStyle w:val="4"/>
              <w:numPr>
                <w:ilvl w:val="-1"/>
                <w:numId w:val="0"/>
              </w:numPr>
              <w:spacing w:line="240" w:lineRule="auto"/>
              <w:rPr>
                <w:rFonts w:hint="default"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vertAlign w:val="baseline"/>
                <w:lang w:val="en-US" w:eastAsia="zh-CN"/>
              </w:rPr>
              <w:t>3.各国汽车销售情况和竞争格局；</w:t>
            </w:r>
          </w:p>
          <w:p w14:paraId="785DE8FC">
            <w:pPr>
              <w:pStyle w:val="4"/>
              <w:numPr>
                <w:ilvl w:val="-1"/>
                <w:numId w:val="0"/>
              </w:numPr>
              <w:spacing w:line="240" w:lineRule="auto"/>
              <w:rPr>
                <w:rFonts w:hint="eastAsia"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4.各国市场进出口情况分析；</w:t>
            </w:r>
          </w:p>
          <w:p w14:paraId="68E68E4F">
            <w:pPr>
              <w:pStyle w:val="4"/>
              <w:numPr>
                <w:ilvl w:val="-1"/>
                <w:numId w:val="0"/>
              </w:numPr>
              <w:spacing w:line="240" w:lineRule="auto"/>
              <w:rPr>
                <w:rFonts w:hint="default" w:asciiTheme="minorEastAsia" w:hAnsiTheme="minorEastAsia" w:eastAsiaTheme="minorEastAsia" w:cstheme="minorEastAsia"/>
                <w:b w:val="0"/>
                <w:bCs w:val="0"/>
                <w:kern w:val="0"/>
                <w:sz w:val="21"/>
                <w:szCs w:val="21"/>
                <w:highlight w:val="none"/>
                <w:lang w:val="en-US" w:eastAsia="zh-CN"/>
              </w:rPr>
            </w:pPr>
            <w:r>
              <w:rPr>
                <w:rFonts w:hint="eastAsia" w:asciiTheme="minorEastAsia" w:hAnsiTheme="minorEastAsia" w:eastAsiaTheme="minorEastAsia" w:cstheme="minorEastAsia"/>
                <w:b w:val="0"/>
                <w:bCs w:val="0"/>
                <w:kern w:val="0"/>
                <w:sz w:val="21"/>
                <w:szCs w:val="21"/>
                <w:highlight w:val="none"/>
                <w:lang w:val="en-US" w:eastAsia="zh-CN"/>
              </w:rPr>
              <w:t>5.各国市场新能源汽车市场情况和消费者偏好。</w:t>
            </w:r>
          </w:p>
        </w:tc>
      </w:tr>
      <w:tr w14:paraId="1459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945" w:type="dxa"/>
            <w:noWrap w:val="0"/>
            <w:vAlign w:val="center"/>
          </w:tcPr>
          <w:p w14:paraId="0452D386">
            <w:pPr>
              <w:jc w:val="center"/>
              <w:rPr>
                <w:rFonts w:hint="eastAsia" w:ascii="宋体" w:hAnsi="宋体" w:eastAsia="宋体" w:cs="宋体"/>
                <w:kern w:val="0"/>
                <w:sz w:val="21"/>
                <w:szCs w:val="21"/>
                <w:highlight w:val="none"/>
                <w:vertAlign w:val="baseline"/>
                <w:lang w:val="en-US" w:eastAsia="zh-CN"/>
              </w:rPr>
            </w:pPr>
            <w:r>
              <w:rPr>
                <w:rFonts w:hint="eastAsia" w:ascii="宋体" w:hAnsi="宋体" w:eastAsia="宋体" w:cs="宋体"/>
                <w:kern w:val="0"/>
                <w:sz w:val="21"/>
                <w:szCs w:val="21"/>
                <w:highlight w:val="none"/>
                <w:vertAlign w:val="baseline"/>
                <w:lang w:val="en-US" w:eastAsia="zh-CN"/>
              </w:rPr>
              <w:t>4</w:t>
            </w:r>
          </w:p>
        </w:tc>
        <w:tc>
          <w:tcPr>
            <w:tcW w:w="3584" w:type="dxa"/>
            <w:noWrap w:val="0"/>
            <w:vAlign w:val="center"/>
          </w:tcPr>
          <w:p w14:paraId="6928A41F">
            <w:pPr>
              <w:jc w:val="center"/>
              <w:rPr>
                <w:rFonts w:hint="eastAsia" w:ascii="宋体" w:hAnsi="宋体" w:eastAsia="宋体" w:cs="宋体"/>
                <w:kern w:val="0"/>
                <w:sz w:val="21"/>
                <w:szCs w:val="21"/>
                <w:highlight w:val="none"/>
                <w:vertAlign w:val="baseline"/>
                <w:lang w:eastAsia="zh-CN"/>
              </w:rPr>
            </w:pPr>
            <w:r>
              <w:rPr>
                <w:rFonts w:hint="eastAsia" w:ascii="宋体" w:hAnsi="宋体" w:eastAsia="宋体" w:cs="宋体"/>
                <w:kern w:val="0"/>
                <w:sz w:val="21"/>
                <w:szCs w:val="21"/>
                <w:highlight w:val="none"/>
                <w:vertAlign w:val="baseline"/>
                <w:lang w:eastAsia="zh-CN"/>
              </w:rPr>
              <w:t>《</w:t>
            </w:r>
            <w:r>
              <w:rPr>
                <w:rFonts w:hint="eastAsia" w:ascii="宋体" w:hAnsi="宋体" w:eastAsia="宋体" w:cs="宋体"/>
                <w:kern w:val="0"/>
                <w:sz w:val="21"/>
                <w:szCs w:val="21"/>
                <w:highlight w:val="none"/>
                <w:vertAlign w:val="baseline"/>
                <w:lang w:val="en-US" w:eastAsia="zh-CN"/>
              </w:rPr>
              <w:t>中东欧盟国家对华出口贸易潜力报告及优势供应商目录</w:t>
            </w:r>
            <w:r>
              <w:rPr>
                <w:rFonts w:hint="eastAsia" w:ascii="宋体" w:hAnsi="宋体" w:eastAsia="宋体" w:cs="宋体"/>
                <w:kern w:val="0"/>
                <w:sz w:val="21"/>
                <w:szCs w:val="21"/>
                <w:highlight w:val="none"/>
                <w:vertAlign w:val="baseline"/>
                <w:lang w:eastAsia="zh-CN"/>
              </w:rPr>
              <w:t>》</w:t>
            </w:r>
          </w:p>
        </w:tc>
        <w:tc>
          <w:tcPr>
            <w:tcW w:w="4808" w:type="dxa"/>
            <w:noWrap w:val="0"/>
            <w:vAlign w:val="center"/>
          </w:tcPr>
          <w:p w14:paraId="10C1F697">
            <w:pPr>
              <w:jc w:val="left"/>
              <w:rPr>
                <w:rFonts w:hint="eastAsia" w:hAnsi="宋体" w:eastAsia="宋体" w:cs="宋体"/>
                <w:kern w:val="0"/>
                <w:sz w:val="21"/>
                <w:szCs w:val="21"/>
                <w:highlight w:val="none"/>
                <w:vertAlign w:val="baseline"/>
                <w:lang w:val="en-US" w:eastAsia="zh-CN"/>
              </w:rPr>
            </w:pPr>
            <w:r>
              <w:rPr>
                <w:rFonts w:hint="eastAsia" w:hAnsi="宋体" w:eastAsia="宋体" w:cs="宋体"/>
                <w:kern w:val="0"/>
                <w:sz w:val="21"/>
                <w:szCs w:val="21"/>
                <w:highlight w:val="none"/>
                <w:vertAlign w:val="baseline"/>
                <w:lang w:val="en-US" w:eastAsia="zh-CN"/>
              </w:rPr>
              <w:t>1.中</w:t>
            </w:r>
            <w:r>
              <w:rPr>
                <w:rFonts w:hint="eastAsia" w:ascii="宋体" w:hAnsi="宋体" w:eastAsia="宋体" w:cs="宋体"/>
                <w:kern w:val="0"/>
                <w:sz w:val="21"/>
                <w:szCs w:val="21"/>
                <w:highlight w:val="none"/>
                <w:vertAlign w:val="baseline"/>
                <w:lang w:val="en-US" w:eastAsia="zh-CN"/>
              </w:rPr>
              <w:t>东欧国家对华贸易潜力分析</w:t>
            </w:r>
            <w:r>
              <w:rPr>
                <w:rFonts w:hint="eastAsia" w:hAnsi="宋体" w:eastAsia="宋体" w:cs="宋体"/>
                <w:kern w:val="0"/>
                <w:sz w:val="21"/>
                <w:szCs w:val="21"/>
                <w:highlight w:val="none"/>
                <w:vertAlign w:val="baseline"/>
                <w:lang w:val="en-US" w:eastAsia="zh-CN"/>
              </w:rPr>
              <w:t>；</w:t>
            </w:r>
          </w:p>
          <w:p w14:paraId="7E53FC9B">
            <w:pPr>
              <w:jc w:val="left"/>
              <w:rPr>
                <w:rFonts w:hint="default" w:hAnsi="宋体" w:eastAsia="宋体" w:cs="宋体"/>
                <w:kern w:val="0"/>
                <w:sz w:val="21"/>
                <w:szCs w:val="21"/>
                <w:highlight w:val="none"/>
                <w:vertAlign w:val="baseline"/>
                <w:lang w:val="en-US" w:eastAsia="zh-CN"/>
              </w:rPr>
            </w:pPr>
            <w:r>
              <w:rPr>
                <w:rFonts w:hint="eastAsia" w:hAnsi="宋体" w:eastAsia="宋体" w:cs="宋体"/>
                <w:kern w:val="0"/>
                <w:sz w:val="21"/>
                <w:szCs w:val="21"/>
                <w:highlight w:val="none"/>
                <w:vertAlign w:val="baseline"/>
                <w:lang w:val="en-US" w:eastAsia="zh-CN"/>
              </w:rPr>
              <w:t>2.中东欧国家出口及对华贸易主要农副产品；</w:t>
            </w:r>
          </w:p>
          <w:p w14:paraId="5EE27D95">
            <w:pPr>
              <w:jc w:val="left"/>
              <w:rPr>
                <w:rFonts w:hint="default" w:ascii="宋体" w:hAnsi="宋体" w:eastAsia="宋体" w:cs="宋体"/>
                <w:kern w:val="0"/>
                <w:sz w:val="21"/>
                <w:szCs w:val="21"/>
                <w:highlight w:val="none"/>
                <w:vertAlign w:val="baseline"/>
                <w:lang w:val="en-US" w:eastAsia="zh-CN"/>
              </w:rPr>
            </w:pPr>
            <w:r>
              <w:rPr>
                <w:rFonts w:hint="eastAsia" w:hAnsi="宋体" w:eastAsia="宋体" w:cs="宋体"/>
                <w:kern w:val="0"/>
                <w:sz w:val="21"/>
                <w:szCs w:val="21"/>
                <w:highlight w:val="none"/>
                <w:vertAlign w:val="baseline"/>
                <w:lang w:val="en-US" w:eastAsia="zh-CN"/>
              </w:rPr>
              <w:t>3.</w:t>
            </w:r>
            <w:r>
              <w:rPr>
                <w:rFonts w:hint="eastAsia" w:ascii="宋体" w:hAnsi="宋体" w:eastAsia="宋体" w:cs="宋体"/>
                <w:kern w:val="0"/>
                <w:sz w:val="21"/>
                <w:szCs w:val="21"/>
                <w:highlight w:val="none"/>
                <w:vertAlign w:val="baseline"/>
                <w:lang w:val="en-US" w:eastAsia="zh-CN"/>
              </w:rPr>
              <w:t>对我市主要产品出口优势供应商目录</w:t>
            </w:r>
            <w:r>
              <w:rPr>
                <w:rFonts w:hint="eastAsia" w:hAnsi="宋体" w:eastAsia="宋体" w:cs="宋体"/>
                <w:kern w:val="0"/>
                <w:sz w:val="21"/>
                <w:szCs w:val="21"/>
                <w:highlight w:val="none"/>
                <w:vertAlign w:val="baseline"/>
                <w:lang w:val="en-US" w:eastAsia="zh-CN"/>
              </w:rPr>
              <w:t>及经营情况介绍。</w:t>
            </w:r>
          </w:p>
        </w:tc>
      </w:tr>
    </w:tbl>
    <w:p w14:paraId="363E0480">
      <w:pPr>
        <w:numPr>
          <w:ilvl w:val="0"/>
          <w:numId w:val="0"/>
        </w:numPr>
        <w:spacing w:line="360" w:lineRule="auto"/>
        <w:textAlignment w:val="baseline"/>
        <w:rPr>
          <w:rFonts w:hint="eastAsia" w:ascii="宋体" w:hAnsi="宋体" w:eastAsia="宋体" w:cs="宋体"/>
          <w:b/>
          <w:bCs/>
          <w:color w:val="auto"/>
          <w:sz w:val="21"/>
          <w:szCs w:val="21"/>
          <w:highlight w:val="none"/>
          <w:lang w:val="en-US" w:eastAsia="zh-CN"/>
        </w:rPr>
      </w:pPr>
    </w:p>
    <w:p w14:paraId="3C68ACAA">
      <w:pPr>
        <w:numPr>
          <w:ilvl w:val="0"/>
          <w:numId w:val="0"/>
        </w:numPr>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2.技术要求</w:t>
      </w:r>
    </w:p>
    <w:tbl>
      <w:tblPr>
        <w:tblStyle w:val="26"/>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5"/>
        <w:gridCol w:w="1102"/>
      </w:tblGrid>
      <w:tr w14:paraId="2B5F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5" w:type="dxa"/>
            <w:noWrap w:val="0"/>
            <w:vAlign w:val="center"/>
          </w:tcPr>
          <w:p w14:paraId="625A5AB7">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招标要求</w:t>
            </w:r>
          </w:p>
        </w:tc>
        <w:tc>
          <w:tcPr>
            <w:tcW w:w="1102" w:type="dxa"/>
            <w:noWrap w:val="0"/>
            <w:vAlign w:val="center"/>
          </w:tcPr>
          <w:p w14:paraId="33AA7D0D">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投标响应</w:t>
            </w:r>
          </w:p>
        </w:tc>
      </w:tr>
      <w:tr w14:paraId="652A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5" w:type="dxa"/>
            <w:noWrap w:val="0"/>
            <w:vAlign w:val="top"/>
          </w:tcPr>
          <w:p w14:paraId="0A76E1F4">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一、欧美七国</w:t>
            </w:r>
            <w:r>
              <w:rPr>
                <w:rFonts w:hint="eastAsia" w:hAnsi="宋体" w:eastAsia="宋体" w:cs="宋体"/>
                <w:b/>
                <w:bCs/>
                <w:sz w:val="21"/>
                <w:szCs w:val="21"/>
                <w:highlight w:val="none"/>
                <w:lang w:eastAsia="zh-CN"/>
              </w:rPr>
              <w:t>（</w:t>
            </w:r>
            <w:r>
              <w:rPr>
                <w:rFonts w:hint="eastAsia" w:hAnsi="宋体" w:eastAsia="宋体" w:cs="宋体"/>
                <w:b/>
                <w:bCs/>
                <w:sz w:val="21"/>
                <w:szCs w:val="21"/>
                <w:highlight w:val="none"/>
                <w:lang w:val="en-US" w:eastAsia="zh-CN"/>
              </w:rPr>
              <w:t>美国、俄罗斯、德国、荷兰、波兰、英国、法国</w:t>
            </w:r>
            <w:r>
              <w:rPr>
                <w:rFonts w:hint="eastAsia" w:hAnsi="宋体" w:eastAsia="宋体" w:cs="宋体"/>
                <w:b/>
                <w:bCs/>
                <w:sz w:val="21"/>
                <w:szCs w:val="21"/>
                <w:highlight w:val="none"/>
                <w:lang w:eastAsia="zh-CN"/>
              </w:rPr>
              <w:t>）</w:t>
            </w:r>
            <w:r>
              <w:rPr>
                <w:rFonts w:hint="eastAsia" w:ascii="宋体" w:hAnsi="宋体" w:eastAsia="宋体" w:cs="宋体"/>
                <w:b/>
                <w:bCs/>
                <w:sz w:val="21"/>
                <w:szCs w:val="21"/>
                <w:highlight w:val="none"/>
              </w:rPr>
              <w:t>日用品行业发展分析报告</w:t>
            </w:r>
          </w:p>
          <w:p w14:paraId="1B420076">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欧美七国</w:t>
            </w:r>
            <w:r>
              <w:rPr>
                <w:rFonts w:hint="eastAsia" w:asciiTheme="minorEastAsia" w:hAnsiTheme="minorEastAsia" w:eastAsiaTheme="minorEastAsia" w:cstheme="minorEastAsia"/>
                <w:sz w:val="21"/>
                <w:szCs w:val="21"/>
                <w:highlight w:val="none"/>
              </w:rPr>
              <w:t>日用品市场</w:t>
            </w:r>
            <w:r>
              <w:rPr>
                <w:rFonts w:hint="eastAsia" w:asciiTheme="minorEastAsia" w:hAnsiTheme="minorEastAsia" w:eastAsiaTheme="minorEastAsia" w:cstheme="minorEastAsia"/>
                <w:sz w:val="21"/>
                <w:szCs w:val="21"/>
                <w:highlight w:val="none"/>
                <w:lang w:val="en-US" w:eastAsia="zh-CN"/>
              </w:rPr>
              <w:t>规模及产业链分析包括但不仅限于市场总量、供应来源、外贸对象；</w:t>
            </w:r>
          </w:p>
          <w:p w14:paraId="6D5E264E">
            <w:pP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欧美七国</w:t>
            </w:r>
            <w:r>
              <w:rPr>
                <w:rFonts w:hint="eastAsia" w:asciiTheme="minorEastAsia" w:hAnsiTheme="minorEastAsia" w:eastAsiaTheme="minorEastAsia" w:cstheme="minorEastAsia"/>
                <w:sz w:val="21"/>
                <w:szCs w:val="21"/>
                <w:highlight w:val="none"/>
              </w:rPr>
              <w:t>日用品市场</w:t>
            </w:r>
            <w:r>
              <w:rPr>
                <w:rFonts w:hint="eastAsia" w:asciiTheme="minorEastAsia" w:hAnsiTheme="minorEastAsia" w:eastAsiaTheme="minorEastAsia" w:cstheme="minorEastAsia"/>
                <w:sz w:val="21"/>
                <w:szCs w:val="21"/>
                <w:highlight w:val="none"/>
                <w:lang w:val="en-US" w:eastAsia="zh-CN"/>
              </w:rPr>
              <w:t>特征与</w:t>
            </w:r>
            <w:r>
              <w:rPr>
                <w:rFonts w:hint="eastAsia" w:asciiTheme="minorEastAsia" w:hAnsiTheme="minorEastAsia" w:eastAsiaTheme="minorEastAsia" w:cstheme="minorEastAsia"/>
                <w:sz w:val="21"/>
                <w:szCs w:val="21"/>
                <w:highlight w:val="none"/>
              </w:rPr>
              <w:t>竞争格局</w:t>
            </w:r>
            <w:r>
              <w:rPr>
                <w:rFonts w:hint="eastAsia" w:asciiTheme="minorEastAsia" w:hAnsiTheme="minorEastAsia" w:eastAsiaTheme="minorEastAsia" w:cstheme="minorEastAsia"/>
                <w:sz w:val="21"/>
                <w:szCs w:val="21"/>
                <w:highlight w:val="none"/>
                <w:lang w:val="en-US" w:eastAsia="zh-CN"/>
              </w:rPr>
              <w:t>分析包括但不仅限于市场准入、营商环境、购销和售后模式、合作机构与活动；</w:t>
            </w:r>
          </w:p>
          <w:p w14:paraId="00669080">
            <w:p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欧美七国</w:t>
            </w:r>
            <w:r>
              <w:rPr>
                <w:rFonts w:hint="eastAsia" w:asciiTheme="minorEastAsia" w:hAnsiTheme="minorEastAsia" w:eastAsiaTheme="minorEastAsia" w:cstheme="minorEastAsia"/>
                <w:sz w:val="21"/>
                <w:szCs w:val="21"/>
                <w:highlight w:val="none"/>
              </w:rPr>
              <w:t>日用品</w:t>
            </w:r>
            <w:r>
              <w:rPr>
                <w:rFonts w:hint="eastAsia" w:asciiTheme="minorEastAsia" w:hAnsiTheme="minorEastAsia" w:eastAsiaTheme="minorEastAsia" w:cstheme="minorEastAsia"/>
                <w:sz w:val="21"/>
                <w:szCs w:val="21"/>
                <w:highlight w:val="none"/>
                <w:lang w:val="en-US" w:eastAsia="zh-CN"/>
              </w:rPr>
              <w:t>头部企业分析包括但不仅限于特征、优势、发展潜力；</w:t>
            </w:r>
          </w:p>
          <w:p w14:paraId="3AA589F7">
            <w:pPr>
              <w:spacing w:line="360" w:lineRule="auto"/>
              <w:rPr>
                <w:rFonts w:hint="eastAsia"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欧美七国</w:t>
            </w:r>
            <w:r>
              <w:rPr>
                <w:rFonts w:hint="eastAsia" w:hAnsi="宋体" w:eastAsia="宋体" w:cs="宋体"/>
                <w:sz w:val="21"/>
                <w:szCs w:val="21"/>
                <w:highlight w:val="none"/>
                <w:lang w:val="en-US" w:eastAsia="zh-CN"/>
              </w:rPr>
              <w:t>日用品行业发展潜力</w:t>
            </w:r>
            <w:r>
              <w:rPr>
                <w:rFonts w:hint="eastAsia" w:asciiTheme="minorEastAsia" w:hAnsiTheme="minorEastAsia" w:eastAsiaTheme="minorEastAsia" w:cstheme="minorEastAsia"/>
                <w:sz w:val="21"/>
                <w:szCs w:val="21"/>
                <w:highlight w:val="none"/>
                <w:lang w:val="en-US" w:eastAsia="zh-CN"/>
              </w:rPr>
              <w:t>但不仅限于</w:t>
            </w:r>
            <w:r>
              <w:rPr>
                <w:rFonts w:hint="eastAsia" w:hAnsi="宋体" w:eastAsia="宋体" w:cs="宋体"/>
                <w:sz w:val="21"/>
                <w:szCs w:val="21"/>
                <w:highlight w:val="none"/>
                <w:lang w:val="en-US" w:eastAsia="zh-CN"/>
              </w:rPr>
              <w:t>宏观贸易机遇、品类变化、政策机遇；</w:t>
            </w:r>
          </w:p>
          <w:p w14:paraId="18D11A38">
            <w:pPr>
              <w:spacing w:line="360" w:lineRule="auto"/>
              <w:rPr>
                <w:rFonts w:hint="default"/>
                <w:highlight w:val="none"/>
                <w:lang w:val="en-US" w:eastAsia="zh-CN"/>
              </w:rPr>
            </w:pPr>
            <w:r>
              <w:rPr>
                <w:rFonts w:hint="eastAsia" w:hAnsi="宋体" w:eastAsia="宋体" w:cs="宋体"/>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欧美七国</w:t>
            </w:r>
            <w:r>
              <w:rPr>
                <w:rFonts w:hint="eastAsia" w:hAnsi="宋体" w:eastAsia="宋体" w:cs="宋体"/>
                <w:sz w:val="21"/>
                <w:szCs w:val="21"/>
                <w:highlight w:val="none"/>
                <w:lang w:val="en-US" w:eastAsia="zh-CN"/>
              </w:rPr>
              <w:t>日用品潜在风险</w:t>
            </w:r>
            <w:r>
              <w:rPr>
                <w:rFonts w:hint="eastAsia" w:asciiTheme="minorEastAsia" w:hAnsiTheme="minorEastAsia" w:eastAsiaTheme="minorEastAsia" w:cstheme="minorEastAsia"/>
                <w:sz w:val="21"/>
                <w:szCs w:val="21"/>
                <w:highlight w:val="none"/>
                <w:lang w:val="en-US" w:eastAsia="zh-CN"/>
              </w:rPr>
              <w:t>包括</w:t>
            </w:r>
            <w:r>
              <w:rPr>
                <w:rFonts w:hint="eastAsia" w:hAnsi="宋体" w:eastAsia="宋体" w:cs="宋体"/>
                <w:sz w:val="21"/>
                <w:szCs w:val="21"/>
                <w:highlight w:val="none"/>
                <w:lang w:val="en-US" w:eastAsia="zh-CN"/>
              </w:rPr>
              <w:t>内部政治、地缘政治、贸易政策、市场竞争、金融汇率。</w:t>
            </w:r>
          </w:p>
        </w:tc>
        <w:tc>
          <w:tcPr>
            <w:tcW w:w="1102" w:type="dxa"/>
            <w:noWrap w:val="0"/>
            <w:vAlign w:val="top"/>
          </w:tcPr>
          <w:p w14:paraId="7E0C087E">
            <w:pPr>
              <w:spacing w:line="360" w:lineRule="auto"/>
              <w:jc w:val="left"/>
              <w:rPr>
                <w:rFonts w:hint="eastAsia" w:ascii="宋体" w:hAnsi="宋体" w:eastAsia="宋体" w:cs="宋体"/>
                <w:sz w:val="21"/>
                <w:szCs w:val="21"/>
                <w:highlight w:val="none"/>
              </w:rPr>
            </w:pPr>
          </w:p>
        </w:tc>
      </w:tr>
      <w:tr w14:paraId="1B7A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5" w:type="dxa"/>
            <w:noWrap w:val="0"/>
            <w:vAlign w:val="top"/>
          </w:tcPr>
          <w:p w14:paraId="6060DB17">
            <w:pPr>
              <w:spacing w:line="360" w:lineRule="auto"/>
              <w:rPr>
                <w:rFonts w:hint="eastAsia" w:ascii="宋体" w:hAnsi="宋体" w:eastAsia="宋体" w:cs="宋体"/>
                <w:b/>
                <w:bCs/>
                <w:color w:val="000000"/>
                <w:sz w:val="21"/>
                <w:szCs w:val="21"/>
                <w:highlight w:val="none"/>
                <w:shd w:val="clear" w:color="auto" w:fill="FFFFFF"/>
                <w:lang w:eastAsia="zh-CN"/>
              </w:rPr>
            </w:pPr>
            <w:r>
              <w:rPr>
                <w:rFonts w:hint="eastAsia" w:ascii="宋体" w:hAnsi="宋体" w:eastAsia="宋体" w:cs="宋体"/>
                <w:b/>
                <w:color w:val="000000"/>
                <w:sz w:val="21"/>
                <w:szCs w:val="21"/>
                <w:highlight w:val="none"/>
                <w:shd w:val="clear" w:color="auto" w:fill="FFFFFF"/>
              </w:rPr>
              <w:t>二、</w:t>
            </w:r>
            <w:r>
              <w:rPr>
                <w:rFonts w:hint="eastAsia" w:hAnsi="宋体" w:eastAsia="宋体" w:cs="宋体"/>
                <w:b/>
                <w:color w:val="000000"/>
                <w:sz w:val="21"/>
                <w:szCs w:val="21"/>
                <w:highlight w:val="none"/>
                <w:shd w:val="clear" w:color="auto" w:fill="FFFFFF"/>
                <w:lang w:eastAsia="zh-CN"/>
              </w:rPr>
              <w:t>东南亚和土耳其纺织服装行业研究报告</w:t>
            </w:r>
          </w:p>
          <w:p w14:paraId="00C0EB7F">
            <w:pPr>
              <w:pStyle w:val="36"/>
              <w:ind w:firstLine="0" w:firstLineChars="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东南亚和土耳其</w:t>
            </w:r>
            <w:r>
              <w:rPr>
                <w:rFonts w:hint="eastAsia" w:ascii="宋体" w:hAnsi="宋体" w:eastAsia="宋体" w:cs="宋体"/>
                <w:sz w:val="21"/>
                <w:szCs w:val="21"/>
                <w:highlight w:val="none"/>
              </w:rPr>
              <w:t>纺织服装</w:t>
            </w:r>
            <w:r>
              <w:rPr>
                <w:rFonts w:hint="eastAsia" w:ascii="宋体" w:hAnsi="宋体" w:cs="宋体"/>
                <w:sz w:val="21"/>
                <w:szCs w:val="21"/>
                <w:highlight w:val="none"/>
                <w:lang w:val="en-US" w:eastAsia="zh-CN"/>
              </w:rPr>
              <w:t>现状分析</w:t>
            </w:r>
            <w:r>
              <w:rPr>
                <w:rFonts w:hint="eastAsia" w:asciiTheme="minorEastAsia" w:hAnsiTheme="minorEastAsia" w:eastAsiaTheme="minorEastAsia" w:cstheme="minorEastAsia"/>
                <w:sz w:val="21"/>
                <w:szCs w:val="21"/>
                <w:highlight w:val="none"/>
                <w:lang w:val="en-US" w:eastAsia="zh-CN"/>
              </w:rPr>
              <w:t>包括但不仅限于规模总量、产业结构；</w:t>
            </w:r>
          </w:p>
          <w:p w14:paraId="6C00C888">
            <w:pPr>
              <w:pStyle w:val="36"/>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东南亚和土耳其</w:t>
            </w:r>
            <w:r>
              <w:rPr>
                <w:rFonts w:hint="eastAsia" w:ascii="宋体" w:hAnsi="宋体" w:eastAsia="宋体" w:cs="宋体"/>
                <w:sz w:val="21"/>
                <w:szCs w:val="21"/>
                <w:highlight w:val="none"/>
              </w:rPr>
              <w:t>纺织服装行业</w:t>
            </w:r>
            <w:r>
              <w:rPr>
                <w:rFonts w:hint="eastAsia" w:ascii="宋体" w:hAnsi="宋体" w:cs="宋体"/>
                <w:sz w:val="21"/>
                <w:szCs w:val="21"/>
                <w:highlight w:val="none"/>
                <w:lang w:val="en-US" w:eastAsia="zh-CN"/>
              </w:rPr>
              <w:t>产业链和产能分析</w:t>
            </w:r>
            <w:r>
              <w:rPr>
                <w:rFonts w:hint="eastAsia" w:asciiTheme="minorEastAsia" w:hAnsiTheme="minorEastAsia" w:eastAsiaTheme="minorEastAsia" w:cstheme="minorEastAsia"/>
                <w:sz w:val="21"/>
                <w:szCs w:val="21"/>
                <w:highlight w:val="none"/>
                <w:lang w:val="en-US" w:eastAsia="zh-CN"/>
              </w:rPr>
              <w:t>包括但不仅限于产业链分布、产能变化；</w:t>
            </w:r>
          </w:p>
          <w:p w14:paraId="6700A008">
            <w:pPr>
              <w:pStyle w:val="36"/>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东南亚和土耳其</w:t>
            </w:r>
            <w:r>
              <w:rPr>
                <w:rFonts w:hint="eastAsia" w:ascii="宋体" w:hAnsi="宋体" w:eastAsia="宋体" w:cs="宋体"/>
                <w:sz w:val="21"/>
                <w:szCs w:val="21"/>
                <w:highlight w:val="none"/>
              </w:rPr>
              <w:t>纺织服装行业</w:t>
            </w:r>
            <w:r>
              <w:rPr>
                <w:rFonts w:hint="eastAsia" w:ascii="宋体" w:hAnsi="宋体" w:cs="宋体"/>
                <w:sz w:val="21"/>
                <w:szCs w:val="21"/>
                <w:highlight w:val="none"/>
                <w:lang w:val="en-US" w:eastAsia="zh-CN"/>
              </w:rPr>
              <w:t>优势分析</w:t>
            </w:r>
            <w:r>
              <w:rPr>
                <w:rFonts w:hint="eastAsia" w:asciiTheme="minorEastAsia" w:hAnsiTheme="minorEastAsia" w:eastAsiaTheme="minorEastAsia" w:cstheme="minorEastAsia"/>
                <w:sz w:val="21"/>
                <w:szCs w:val="21"/>
                <w:highlight w:val="none"/>
                <w:lang w:val="en-US" w:eastAsia="zh-CN"/>
              </w:rPr>
              <w:t>包括但不仅限于生产成本、出口政策；</w:t>
            </w:r>
          </w:p>
          <w:p w14:paraId="395B295B">
            <w:pPr>
              <w:pStyle w:val="36"/>
              <w:ind w:firstLine="0" w:firstLineChars="0"/>
              <w:rPr>
                <w:rFonts w:hint="default" w:ascii="宋体" w:hAnsi="宋体" w:eastAsia="宋体" w:cs="宋体"/>
                <w:iCs/>
                <w:color w:val="44546A"/>
                <w:kern w:val="0"/>
                <w:sz w:val="21"/>
                <w:szCs w:val="21"/>
                <w:highlight w:val="none"/>
                <w:u w:val="single"/>
                <w:lang w:val="en-US"/>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东南亚和土耳其</w:t>
            </w:r>
            <w:r>
              <w:rPr>
                <w:rFonts w:hint="eastAsia" w:ascii="宋体" w:hAnsi="宋体" w:eastAsia="宋体" w:cs="宋体"/>
                <w:sz w:val="21"/>
                <w:szCs w:val="21"/>
                <w:highlight w:val="none"/>
              </w:rPr>
              <w:t>纺织服装行业</w:t>
            </w:r>
            <w:r>
              <w:rPr>
                <w:rFonts w:hint="eastAsia" w:ascii="宋体" w:hAnsi="宋体" w:cs="宋体"/>
                <w:sz w:val="21"/>
                <w:szCs w:val="21"/>
                <w:highlight w:val="none"/>
                <w:lang w:val="en-US" w:eastAsia="zh-CN"/>
              </w:rPr>
              <w:t>发展趋势分析</w:t>
            </w:r>
            <w:r>
              <w:rPr>
                <w:rFonts w:hint="eastAsia" w:asciiTheme="minorEastAsia" w:hAnsiTheme="minorEastAsia" w:eastAsiaTheme="minorEastAsia" w:cstheme="minorEastAsia"/>
                <w:sz w:val="21"/>
                <w:szCs w:val="21"/>
                <w:highlight w:val="none"/>
                <w:lang w:val="en-US" w:eastAsia="zh-CN"/>
              </w:rPr>
              <w:t>包括但不仅限于</w:t>
            </w:r>
            <w:r>
              <w:rPr>
                <w:rFonts w:hint="eastAsia" w:hAnsi="宋体" w:eastAsia="宋体" w:cs="宋体"/>
                <w:sz w:val="21"/>
                <w:szCs w:val="21"/>
                <w:highlight w:val="none"/>
                <w:lang w:val="en-US" w:eastAsia="zh-CN"/>
              </w:rPr>
              <w:t>内部政治、地缘政治、贸易政策、市场竞争</w:t>
            </w:r>
            <w:r>
              <w:rPr>
                <w:rFonts w:hint="eastAsia" w:hAnsi="宋体" w:cs="宋体"/>
                <w:sz w:val="21"/>
                <w:szCs w:val="21"/>
                <w:highlight w:val="none"/>
                <w:lang w:val="en-US" w:eastAsia="zh-CN"/>
              </w:rPr>
              <w:t>。</w:t>
            </w:r>
          </w:p>
        </w:tc>
        <w:tc>
          <w:tcPr>
            <w:tcW w:w="1102" w:type="dxa"/>
            <w:noWrap w:val="0"/>
            <w:vAlign w:val="top"/>
          </w:tcPr>
          <w:p w14:paraId="7DCDBD0D">
            <w:pPr>
              <w:spacing w:line="360" w:lineRule="auto"/>
              <w:jc w:val="left"/>
              <w:rPr>
                <w:rFonts w:hint="eastAsia" w:ascii="宋体" w:hAnsi="宋体" w:eastAsia="宋体" w:cs="宋体"/>
                <w:sz w:val="21"/>
                <w:szCs w:val="21"/>
                <w:highlight w:val="none"/>
              </w:rPr>
            </w:pPr>
          </w:p>
        </w:tc>
      </w:tr>
      <w:tr w14:paraId="7F9C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5" w:type="dxa"/>
            <w:noWrap w:val="0"/>
            <w:vAlign w:val="top"/>
          </w:tcPr>
          <w:p w14:paraId="3DFBD0A4">
            <w:pPr>
              <w:widowControl/>
              <w:spacing w:line="360" w:lineRule="auto"/>
              <w:jc w:val="left"/>
              <w:outlineLvl w:val="0"/>
              <w:rPr>
                <w:rFonts w:hint="eastAsia" w:ascii="宋体" w:hAnsi="宋体" w:eastAsia="宋体" w:cs="宋体"/>
                <w:b/>
                <w:bCs/>
                <w:sz w:val="21"/>
                <w:szCs w:val="21"/>
                <w:highlight w:val="none"/>
              </w:rPr>
            </w:pPr>
            <w:bookmarkStart w:id="80" w:name="_Toc15612"/>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、汽车海外重点市场</w:t>
            </w:r>
            <w:r>
              <w:rPr>
                <w:rFonts w:hint="eastAsia" w:hAnsi="宋体" w:eastAsia="宋体" w:cs="宋体"/>
                <w:b/>
                <w:bCs/>
                <w:sz w:val="21"/>
                <w:szCs w:val="21"/>
                <w:highlight w:val="none"/>
                <w:lang w:eastAsia="zh-CN"/>
              </w:rPr>
              <w:t>（俄罗斯、墨西哥、比利时、英国、澳大利亚、沙特、阿联酋、泰国）</w:t>
            </w:r>
            <w:r>
              <w:rPr>
                <w:rFonts w:hint="eastAsia" w:ascii="宋体" w:hAnsi="宋体" w:eastAsia="宋体" w:cs="宋体"/>
                <w:b/>
                <w:bCs/>
                <w:sz w:val="21"/>
                <w:szCs w:val="21"/>
                <w:highlight w:val="none"/>
              </w:rPr>
              <w:t>和造车新势力买方研究报告</w:t>
            </w:r>
            <w:bookmarkEnd w:id="80"/>
          </w:p>
          <w:p w14:paraId="79D51196">
            <w:pPr>
              <w:widowControl/>
              <w:spacing w:line="360" w:lineRule="auto"/>
              <w:jc w:val="left"/>
              <w:outlineLvl w:val="0"/>
              <w:rPr>
                <w:rFonts w:hint="default" w:hAnsi="宋体" w:eastAsia="宋体" w:cs="宋体"/>
                <w:color w:val="000000"/>
                <w:kern w:val="0"/>
                <w:sz w:val="21"/>
                <w:szCs w:val="21"/>
                <w:highlight w:val="none"/>
                <w:lang w:val="en-US" w:eastAsia="zh-CN" w:bidi="ar"/>
              </w:rPr>
            </w:pPr>
            <w:bookmarkStart w:id="81" w:name="_Toc1259"/>
            <w:r>
              <w:rPr>
                <w:rFonts w:hint="eastAsia"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w:t>
            </w:r>
            <w:r>
              <w:rPr>
                <w:rFonts w:hint="eastAsia" w:hAnsi="宋体" w:eastAsia="宋体" w:cs="宋体"/>
                <w:color w:val="000000"/>
                <w:kern w:val="0"/>
                <w:sz w:val="21"/>
                <w:szCs w:val="21"/>
                <w:highlight w:val="none"/>
                <w:lang w:val="en-US" w:eastAsia="zh-CN" w:bidi="ar"/>
              </w:rPr>
              <w:t>重点海外市场汽车生产分析</w:t>
            </w:r>
            <w:r>
              <w:rPr>
                <w:rFonts w:hint="eastAsia" w:asciiTheme="minorEastAsia" w:hAnsiTheme="minorEastAsia" w:eastAsiaTheme="minorEastAsia" w:cstheme="minorEastAsia"/>
                <w:sz w:val="21"/>
                <w:szCs w:val="21"/>
                <w:highlight w:val="none"/>
                <w:lang w:val="en-US" w:eastAsia="zh-CN"/>
              </w:rPr>
              <w:t>包括但不仅限于企业数量、企业分布、产量（分品类）；</w:t>
            </w:r>
            <w:bookmarkEnd w:id="81"/>
          </w:p>
          <w:p w14:paraId="4546FB28">
            <w:pPr>
              <w:widowControl/>
              <w:spacing w:line="360" w:lineRule="auto"/>
              <w:jc w:val="left"/>
              <w:outlineLvl w:val="0"/>
              <w:rPr>
                <w:rFonts w:hint="default" w:hAnsi="宋体" w:eastAsia="宋体" w:cs="宋体"/>
                <w:color w:val="000000"/>
                <w:kern w:val="0"/>
                <w:sz w:val="21"/>
                <w:szCs w:val="21"/>
                <w:highlight w:val="none"/>
                <w:lang w:val="en-US" w:eastAsia="zh-CN" w:bidi="ar"/>
              </w:rPr>
            </w:pPr>
            <w:bookmarkStart w:id="82" w:name="_Toc12207"/>
            <w:r>
              <w:rPr>
                <w:rFonts w:hint="eastAsia" w:hAnsi="宋体" w:eastAsia="宋体" w:cs="宋体"/>
                <w:color w:val="000000"/>
                <w:kern w:val="0"/>
                <w:sz w:val="21"/>
                <w:szCs w:val="21"/>
                <w:highlight w:val="none"/>
                <w:lang w:val="en-US" w:eastAsia="zh-CN" w:bidi="ar"/>
              </w:rPr>
              <w:t>2、重点海外市场汽车销售分析</w:t>
            </w:r>
            <w:r>
              <w:rPr>
                <w:rFonts w:hint="eastAsia" w:asciiTheme="minorEastAsia" w:hAnsiTheme="minorEastAsia" w:eastAsiaTheme="minorEastAsia" w:cstheme="minorEastAsia"/>
                <w:sz w:val="21"/>
                <w:szCs w:val="21"/>
                <w:highlight w:val="none"/>
                <w:lang w:val="en-US" w:eastAsia="zh-CN"/>
              </w:rPr>
              <w:t>包括但不仅限于销量情况、市场销售（分品类）；</w:t>
            </w:r>
            <w:bookmarkEnd w:id="82"/>
          </w:p>
          <w:p w14:paraId="6304E141">
            <w:pPr>
              <w:widowControl/>
              <w:spacing w:line="360" w:lineRule="auto"/>
              <w:jc w:val="left"/>
              <w:outlineLvl w:val="0"/>
              <w:rPr>
                <w:rFonts w:hint="default" w:hAnsi="宋体" w:eastAsia="宋体" w:cs="宋体"/>
                <w:color w:val="000000"/>
                <w:kern w:val="0"/>
                <w:sz w:val="21"/>
                <w:szCs w:val="21"/>
                <w:highlight w:val="none"/>
                <w:lang w:val="en-US" w:eastAsia="zh-CN" w:bidi="ar"/>
              </w:rPr>
            </w:pPr>
            <w:bookmarkStart w:id="83" w:name="_Toc17884"/>
            <w:r>
              <w:rPr>
                <w:rFonts w:hint="eastAsia" w:hAnsi="宋体" w:eastAsia="宋体" w:cs="宋体"/>
                <w:color w:val="000000"/>
                <w:kern w:val="0"/>
                <w:sz w:val="21"/>
                <w:szCs w:val="21"/>
                <w:highlight w:val="none"/>
                <w:lang w:val="en-US" w:eastAsia="zh-CN" w:bidi="ar"/>
              </w:rPr>
              <w:t>3、重点海外市场进出口分析包括但不仅限于主要进出口国别、进出口规模变化；</w:t>
            </w:r>
            <w:bookmarkEnd w:id="83"/>
          </w:p>
          <w:p w14:paraId="4F2858AC">
            <w:pPr>
              <w:widowControl/>
              <w:spacing w:line="360" w:lineRule="auto"/>
              <w:jc w:val="left"/>
              <w:outlineLvl w:val="0"/>
              <w:rPr>
                <w:rFonts w:hint="eastAsia" w:hAnsi="宋体" w:eastAsia="宋体" w:cs="宋体"/>
                <w:color w:val="000000"/>
                <w:kern w:val="0"/>
                <w:sz w:val="21"/>
                <w:szCs w:val="21"/>
                <w:highlight w:val="none"/>
                <w:lang w:val="en-US" w:eastAsia="zh-CN" w:bidi="ar"/>
              </w:rPr>
            </w:pPr>
            <w:bookmarkStart w:id="84" w:name="_Toc9559"/>
            <w:r>
              <w:rPr>
                <w:rFonts w:hint="eastAsia" w:hAnsi="宋体" w:eastAsia="宋体" w:cs="宋体"/>
                <w:color w:val="000000"/>
                <w:kern w:val="0"/>
                <w:sz w:val="21"/>
                <w:szCs w:val="21"/>
                <w:highlight w:val="none"/>
                <w:lang w:val="en-US" w:eastAsia="zh-CN" w:bidi="ar"/>
              </w:rPr>
              <w:t>4、重点海外市场新能源汽车市场分析包括但不仅限于市场驱动因素和挑战、竞争格局、新能源销量；</w:t>
            </w:r>
            <w:bookmarkEnd w:id="84"/>
          </w:p>
          <w:p w14:paraId="5FAA1A42">
            <w:pPr>
              <w:widowControl/>
              <w:spacing w:line="360" w:lineRule="auto"/>
              <w:jc w:val="left"/>
              <w:outlineLvl w:val="0"/>
              <w:rPr>
                <w:rFonts w:hint="default"/>
                <w:highlight w:val="none"/>
                <w:lang w:val="en-US" w:eastAsia="zh-CN"/>
              </w:rPr>
            </w:pPr>
            <w:bookmarkStart w:id="85" w:name="_Toc12437"/>
            <w:r>
              <w:rPr>
                <w:rFonts w:hint="eastAsia" w:hAnsi="宋体" w:eastAsia="宋体" w:cs="宋体"/>
                <w:color w:val="000000"/>
                <w:kern w:val="0"/>
                <w:sz w:val="21"/>
                <w:szCs w:val="21"/>
                <w:highlight w:val="none"/>
                <w:lang w:val="en-US" w:eastAsia="zh-CN" w:bidi="ar"/>
              </w:rPr>
              <w:t>5、重点海外市场新能源汽车消费者分析包括但不仅限于购买因素、品牌认知和偏好。</w:t>
            </w:r>
            <w:bookmarkEnd w:id="85"/>
          </w:p>
        </w:tc>
        <w:tc>
          <w:tcPr>
            <w:tcW w:w="1102" w:type="dxa"/>
            <w:noWrap w:val="0"/>
            <w:vAlign w:val="top"/>
          </w:tcPr>
          <w:p w14:paraId="6C9DFAF5">
            <w:pPr>
              <w:spacing w:line="360" w:lineRule="auto"/>
              <w:jc w:val="left"/>
              <w:rPr>
                <w:rFonts w:hint="eastAsia" w:ascii="宋体" w:hAnsi="宋体" w:eastAsia="宋体" w:cs="宋体"/>
                <w:sz w:val="21"/>
                <w:szCs w:val="21"/>
                <w:highlight w:val="none"/>
              </w:rPr>
            </w:pPr>
          </w:p>
        </w:tc>
      </w:tr>
      <w:tr w14:paraId="01E3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5" w:type="dxa"/>
            <w:noWrap w:val="0"/>
            <w:vAlign w:val="top"/>
          </w:tcPr>
          <w:p w14:paraId="1A6B2867">
            <w:pPr>
              <w:pStyle w:val="36"/>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、《中东欧国家对华出口贸易潜力报告及优势供应商目录》</w:t>
            </w:r>
          </w:p>
          <w:p w14:paraId="1B524920">
            <w:p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1、中东欧国家对华出口贸易</w:t>
            </w:r>
            <w:r>
              <w:rPr>
                <w:rFonts w:hint="eastAsia" w:hAnsi="宋体" w:eastAsia="宋体" w:cs="宋体"/>
                <w:sz w:val="21"/>
                <w:szCs w:val="21"/>
                <w:highlight w:val="none"/>
                <w:lang w:val="en-US" w:eastAsia="zh-CN"/>
              </w:rPr>
              <w:t>潜力分析</w:t>
            </w:r>
            <w:r>
              <w:rPr>
                <w:rFonts w:hint="eastAsia" w:asciiTheme="minorEastAsia" w:hAnsiTheme="minorEastAsia" w:eastAsiaTheme="minorEastAsia" w:cstheme="minorEastAsia"/>
                <w:sz w:val="21"/>
                <w:szCs w:val="21"/>
                <w:highlight w:val="none"/>
                <w:lang w:val="en-US" w:eastAsia="zh-CN"/>
              </w:rPr>
              <w:t>包括但不仅限于贸易规模、出口增速、政策机遇、宏观经济机遇。</w:t>
            </w:r>
          </w:p>
          <w:p w14:paraId="47FAA4D8">
            <w:pPr>
              <w:spacing w:line="360" w:lineRule="auto"/>
              <w:rPr>
                <w:rFonts w:hint="default" w:hAnsi="宋体" w:eastAsia="宋体" w:cs="宋体"/>
                <w:kern w:val="0"/>
                <w:sz w:val="21"/>
                <w:szCs w:val="21"/>
                <w:highlight w:val="none"/>
                <w:vertAlign w:val="baseline"/>
                <w:lang w:val="en-US" w:eastAsia="zh-CN"/>
              </w:rPr>
            </w:pPr>
            <w:r>
              <w:rPr>
                <w:rFonts w:hint="eastAsia" w:ascii="宋体" w:hAnsi="宋体" w:eastAsia="宋体" w:cs="宋体"/>
                <w:sz w:val="21"/>
                <w:szCs w:val="21"/>
                <w:highlight w:val="none"/>
                <w:lang w:val="en-US" w:eastAsia="zh-CN"/>
              </w:rPr>
              <w:t>2、</w:t>
            </w:r>
            <w:r>
              <w:rPr>
                <w:rFonts w:hint="eastAsia" w:hAnsi="宋体" w:eastAsia="宋体" w:cs="宋体"/>
                <w:kern w:val="0"/>
                <w:sz w:val="21"/>
                <w:szCs w:val="21"/>
                <w:highlight w:val="none"/>
                <w:vertAlign w:val="baseline"/>
                <w:lang w:val="en-US" w:eastAsia="zh-CN"/>
              </w:rPr>
              <w:t>中东欧国家出口及对华贸易主要农副产品分析</w:t>
            </w:r>
            <w:r>
              <w:rPr>
                <w:rFonts w:hint="eastAsia" w:asciiTheme="minorEastAsia" w:hAnsiTheme="minorEastAsia" w:eastAsiaTheme="minorEastAsia" w:cstheme="minorEastAsia"/>
                <w:sz w:val="21"/>
                <w:szCs w:val="21"/>
                <w:highlight w:val="none"/>
                <w:lang w:val="en-US" w:eastAsia="zh-CN"/>
              </w:rPr>
              <w:t>包括但不仅限于主要出口品类介绍、各品类出口规模和变化、各品类出口目的国。</w:t>
            </w:r>
          </w:p>
          <w:p w14:paraId="45A81407">
            <w:pPr>
              <w:spacing w:line="360" w:lineRule="auto"/>
              <w:rPr>
                <w:rFonts w:hint="default" w:ascii="宋体" w:hAnsi="宋体" w:eastAsia="宋体" w:cs="宋体"/>
                <w:strike/>
                <w:color w:val="FF0000"/>
                <w:sz w:val="21"/>
                <w:szCs w:val="21"/>
                <w:highlight w:val="none"/>
                <w:lang w:val="en-US" w:eastAsia="zh-CN"/>
              </w:rPr>
            </w:pPr>
            <w:r>
              <w:rPr>
                <w:rFonts w:hint="eastAsia" w:hAnsi="宋体" w:eastAsia="宋体" w:cs="宋体"/>
                <w:sz w:val="21"/>
                <w:szCs w:val="21"/>
                <w:highlight w:val="none"/>
                <w:lang w:val="en-US" w:eastAsia="zh-CN"/>
              </w:rPr>
              <w:t>3、中东欧</w:t>
            </w:r>
            <w:r>
              <w:rPr>
                <w:rFonts w:hint="eastAsia" w:ascii="宋体" w:hAnsi="宋体" w:eastAsia="宋体" w:cs="宋体"/>
                <w:kern w:val="0"/>
                <w:sz w:val="21"/>
                <w:szCs w:val="21"/>
                <w:highlight w:val="none"/>
                <w:vertAlign w:val="baseline"/>
                <w:lang w:val="en-US" w:eastAsia="zh-CN"/>
              </w:rPr>
              <w:t>我市主要产品出口优势供应商</w:t>
            </w:r>
            <w:r>
              <w:rPr>
                <w:rFonts w:hint="eastAsia" w:asciiTheme="minorEastAsia" w:hAnsiTheme="minorEastAsia" w:eastAsiaTheme="minorEastAsia" w:cstheme="minorEastAsia"/>
                <w:sz w:val="21"/>
                <w:szCs w:val="21"/>
                <w:highlight w:val="none"/>
                <w:lang w:val="en-US" w:eastAsia="zh-CN"/>
              </w:rPr>
              <w:t>包括但不仅限于供应商名录清单及主要出口品类、供应商简介及经营情况分析、供应商详细联系方式。</w:t>
            </w:r>
          </w:p>
        </w:tc>
        <w:tc>
          <w:tcPr>
            <w:tcW w:w="1102" w:type="dxa"/>
            <w:noWrap w:val="0"/>
            <w:vAlign w:val="top"/>
          </w:tcPr>
          <w:p w14:paraId="6332CC63">
            <w:pPr>
              <w:spacing w:line="360" w:lineRule="auto"/>
              <w:jc w:val="left"/>
              <w:rPr>
                <w:rFonts w:hint="eastAsia" w:ascii="宋体" w:hAnsi="宋体" w:eastAsia="宋体" w:cs="宋体"/>
                <w:sz w:val="21"/>
                <w:szCs w:val="21"/>
                <w:highlight w:val="none"/>
              </w:rPr>
            </w:pPr>
          </w:p>
        </w:tc>
      </w:tr>
    </w:tbl>
    <w:p w14:paraId="23BA69D5">
      <w:pPr>
        <w:numPr>
          <w:ilvl w:val="0"/>
          <w:numId w:val="0"/>
        </w:numPr>
        <w:spacing w:line="360" w:lineRule="auto"/>
        <w:rPr>
          <w:rFonts w:hint="eastAsia" w:hAnsi="宋体" w:eastAsia="宋体" w:cs="宋体"/>
          <w:b/>
          <w:bCs/>
          <w:sz w:val="21"/>
          <w:szCs w:val="21"/>
          <w:highlight w:val="none"/>
          <w:lang w:val="en-US" w:eastAsia="zh-CN"/>
        </w:rPr>
      </w:pPr>
    </w:p>
    <w:p w14:paraId="0C5278A2">
      <w:pPr>
        <w:adjustRightInd/>
        <w:spacing w:line="360" w:lineRule="auto"/>
        <w:textAlignment w:val="baseline"/>
        <w:rPr>
          <w:rFonts w:hint="eastAsia" w:hAnsi="宋体" w:eastAsia="宋体" w:cs="宋体"/>
          <w:b/>
          <w:bCs/>
          <w:color w:val="auto"/>
          <w:kern w:val="0"/>
          <w:sz w:val="21"/>
          <w:szCs w:val="21"/>
          <w:lang w:val="en-US" w:eastAsia="zh-CN"/>
        </w:rPr>
      </w:pPr>
      <w:r>
        <w:rPr>
          <w:rFonts w:hint="eastAsia" w:hAnsi="宋体" w:eastAsia="宋体" w:cs="宋体"/>
          <w:b/>
          <w:bCs/>
          <w:color w:val="auto"/>
          <w:kern w:val="0"/>
          <w:sz w:val="21"/>
          <w:szCs w:val="21"/>
          <w:lang w:val="en-US" w:eastAsia="zh-CN"/>
        </w:rPr>
        <w:t>三、服务内容及要求</w:t>
      </w:r>
    </w:p>
    <w:p w14:paraId="037CFF1C">
      <w:pPr>
        <w:bidi w:val="0"/>
        <w:rPr>
          <w:rFonts w:hint="eastAsia" w:hAnsi="宋体" w:eastAsia="宋体" w:cs="宋体"/>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1、要求供应商按上述报告清单及技术要求，通过行业调研、行业调查、行业研究研讨等方式形成基础数据和资料，撰写完成</w:t>
      </w:r>
      <w:r>
        <w:rPr>
          <w:rFonts w:hint="eastAsia" w:ascii="宋体" w:hAnsi="宋体" w:eastAsia="宋体" w:cs="宋体"/>
          <w:color w:val="auto"/>
          <w:kern w:val="0"/>
          <w:sz w:val="21"/>
          <w:szCs w:val="21"/>
          <w:highlight w:val="none"/>
          <w:vertAlign w:val="baseline"/>
          <w:lang w:val="en-US" w:eastAsia="zh-CN"/>
        </w:rPr>
        <w:t>欧美七国日用品行业发展分析报告</w:t>
      </w:r>
      <w:r>
        <w:rPr>
          <w:rFonts w:hint="eastAsia" w:hAnsi="宋体" w:eastAsia="宋体" w:cs="宋体"/>
          <w:color w:val="auto"/>
          <w:kern w:val="0"/>
          <w:sz w:val="21"/>
          <w:szCs w:val="21"/>
          <w:highlight w:val="none"/>
          <w:vertAlign w:val="baseline"/>
          <w:lang w:val="en-US" w:eastAsia="zh-CN"/>
        </w:rPr>
        <w:t>、</w:t>
      </w:r>
      <w:r>
        <w:rPr>
          <w:rFonts w:hint="eastAsia" w:hAnsi="宋体" w:eastAsia="宋体" w:cs="宋体"/>
          <w:b w:val="0"/>
          <w:bCs w:val="0"/>
          <w:color w:val="auto"/>
          <w:kern w:val="0"/>
          <w:sz w:val="21"/>
          <w:szCs w:val="21"/>
          <w:highlight w:val="none"/>
          <w:vertAlign w:val="baseline"/>
          <w:lang w:val="en-US" w:eastAsia="zh-CN"/>
        </w:rPr>
        <w:t>东南亚和土耳其纺织服装行业研究报告、</w:t>
      </w:r>
      <w:r>
        <w:rPr>
          <w:rFonts w:hint="eastAsia" w:ascii="宋体" w:hAnsi="宋体" w:eastAsia="宋体" w:cs="宋体"/>
          <w:color w:val="auto"/>
          <w:kern w:val="0"/>
          <w:sz w:val="21"/>
          <w:szCs w:val="21"/>
          <w:highlight w:val="none"/>
          <w:vertAlign w:val="baseline"/>
          <w:lang w:val="en-US" w:eastAsia="zh-CN"/>
        </w:rPr>
        <w:t>汽车海外重点市场和造车新势力买方研究报告</w:t>
      </w:r>
      <w:r>
        <w:rPr>
          <w:rFonts w:hint="eastAsia" w:hAnsi="宋体" w:eastAsia="宋体" w:cs="宋体"/>
          <w:color w:val="auto"/>
          <w:kern w:val="0"/>
          <w:sz w:val="21"/>
          <w:szCs w:val="21"/>
          <w:highlight w:val="none"/>
          <w:vertAlign w:val="baseline"/>
          <w:lang w:val="en-US" w:eastAsia="zh-CN"/>
        </w:rPr>
        <w:t>、</w:t>
      </w:r>
      <w:r>
        <w:rPr>
          <w:rFonts w:hint="eastAsia" w:ascii="宋体" w:hAnsi="宋体" w:eastAsia="宋体" w:cs="宋体"/>
          <w:color w:val="auto"/>
          <w:kern w:val="0"/>
          <w:sz w:val="21"/>
          <w:szCs w:val="21"/>
          <w:highlight w:val="none"/>
          <w:vertAlign w:val="baseline"/>
          <w:lang w:eastAsia="zh-CN"/>
        </w:rPr>
        <w:t>《</w:t>
      </w:r>
      <w:r>
        <w:rPr>
          <w:rFonts w:hint="eastAsia" w:ascii="宋体" w:hAnsi="宋体" w:eastAsia="宋体" w:cs="宋体"/>
          <w:color w:val="auto"/>
          <w:kern w:val="0"/>
          <w:sz w:val="21"/>
          <w:szCs w:val="21"/>
          <w:highlight w:val="none"/>
          <w:vertAlign w:val="baseline"/>
          <w:lang w:val="en-US" w:eastAsia="zh-CN"/>
        </w:rPr>
        <w:t>中东欧盟国家对华出口贸易潜力报告及优势供应商目录</w:t>
      </w:r>
      <w:r>
        <w:rPr>
          <w:rFonts w:hint="eastAsia" w:ascii="宋体" w:hAnsi="宋体" w:eastAsia="宋体" w:cs="宋体"/>
          <w:color w:val="auto"/>
          <w:kern w:val="0"/>
          <w:sz w:val="21"/>
          <w:szCs w:val="21"/>
          <w:highlight w:val="none"/>
          <w:vertAlign w:val="baseline"/>
          <w:lang w:eastAsia="zh-CN"/>
        </w:rPr>
        <w:t>》</w:t>
      </w:r>
      <w:r>
        <w:rPr>
          <w:rFonts w:hint="eastAsia" w:hAnsi="宋体" w:eastAsia="宋体" w:cs="宋体"/>
          <w:color w:val="auto"/>
          <w:kern w:val="0"/>
          <w:sz w:val="21"/>
          <w:szCs w:val="21"/>
          <w:highlight w:val="none"/>
          <w:vertAlign w:val="baseline"/>
          <w:lang w:val="en-US" w:eastAsia="zh-CN"/>
        </w:rPr>
        <w:t>各一份。</w:t>
      </w:r>
    </w:p>
    <w:p w14:paraId="7E6E07DD">
      <w:pPr>
        <w:bidi w:val="0"/>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2、团队人员要求</w:t>
      </w:r>
    </w:p>
    <w:p w14:paraId="2F4977E8">
      <w:pPr>
        <w:numPr>
          <w:ilvl w:val="0"/>
          <w:numId w:val="12"/>
        </w:numPr>
        <w:bidi w:val="0"/>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项目负责人要求</w:t>
      </w:r>
      <w:r>
        <w:rPr>
          <w:rFonts w:hint="eastAsia" w:hAnsi="宋体" w:eastAsia="宋体" w:cs="宋体"/>
          <w:color w:val="auto"/>
          <w:sz w:val="21"/>
          <w:szCs w:val="21"/>
          <w:highlight w:val="none"/>
          <w:lang w:val="en-US" w:eastAsia="zh-CN"/>
        </w:rPr>
        <w:t>经济学/金融等相关专业博士，行业发展研究相关经验丰富</w:t>
      </w:r>
      <w:r>
        <w:rPr>
          <w:rFonts w:hint="eastAsia" w:ascii="宋体" w:hAnsi="宋体" w:eastAsia="宋体" w:cs="宋体"/>
          <w:color w:val="auto"/>
          <w:sz w:val="21"/>
          <w:szCs w:val="21"/>
          <w:highlight w:val="none"/>
          <w:lang w:val="en-US" w:eastAsia="zh-CN"/>
        </w:rPr>
        <w:t>；</w:t>
      </w:r>
    </w:p>
    <w:p w14:paraId="7F87BCDF">
      <w:pPr>
        <w:numPr>
          <w:ilvl w:val="0"/>
          <w:numId w:val="12"/>
        </w:numPr>
        <w:bidi w:val="0"/>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团队其他成员要求研究生以上学历。</w:t>
      </w:r>
    </w:p>
    <w:p w14:paraId="3A6766CF">
      <w:pPr>
        <w:numPr>
          <w:ilvl w:val="0"/>
          <w:numId w:val="13"/>
        </w:numPr>
        <w:bidi w:val="0"/>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进度要求</w:t>
      </w:r>
    </w:p>
    <w:p w14:paraId="4C72967B">
      <w:pPr>
        <w:bidi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本项目拟定为三个阶段，具体需以实际工作安排为准，可根据采购人需求或项目实施进展调整。</w:t>
      </w:r>
    </w:p>
    <w:p w14:paraId="4B0F4454">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第一阶段：前期调查（</w:t>
      </w:r>
      <w:r>
        <w:rPr>
          <w:rFonts w:hint="eastAsia" w:hAnsi="宋体" w:eastAsia="宋体" w:cs="宋体"/>
          <w:color w:val="auto"/>
          <w:sz w:val="21"/>
          <w:szCs w:val="21"/>
          <w:highlight w:val="none"/>
          <w:lang w:val="en-US" w:eastAsia="zh-CN"/>
        </w:rPr>
        <w:t>自合同签订生效之日起约</w:t>
      </w:r>
      <w:r>
        <w:rPr>
          <w:rFonts w:hint="eastAsia" w:ascii="宋体" w:hAnsi="宋体" w:eastAsia="宋体" w:cs="宋体"/>
          <w:color w:val="auto"/>
          <w:sz w:val="21"/>
          <w:szCs w:val="21"/>
          <w:highlight w:val="none"/>
          <w:lang w:val="en-US" w:eastAsia="zh-CN"/>
        </w:rPr>
        <w:t>20天）</w:t>
      </w:r>
    </w:p>
    <w:p w14:paraId="3D83449D">
      <w:pPr>
        <w:bidi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全面梳理相关行业基础资料，汇总整理相关信息，形成初步报告提纲；</w:t>
      </w:r>
    </w:p>
    <w:p w14:paraId="34E66F0F">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第二阶段：形成初稿（</w:t>
      </w:r>
      <w:r>
        <w:rPr>
          <w:rFonts w:hint="eastAsia"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CN"/>
        </w:rPr>
        <w:t>20天）</w:t>
      </w:r>
    </w:p>
    <w:p w14:paraId="2AE2D6F6">
      <w:pPr>
        <w:bidi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从整体角度和项目实际情况出发，形成欧美七国日用品行业发展分析报告、</w:t>
      </w:r>
      <w:r>
        <w:rPr>
          <w:rFonts w:hint="eastAsia" w:hAnsi="宋体" w:eastAsia="宋体" w:cs="宋体"/>
          <w:color w:val="auto"/>
          <w:sz w:val="21"/>
          <w:szCs w:val="21"/>
          <w:highlight w:val="none"/>
          <w:lang w:val="en-US" w:eastAsia="zh-CN"/>
        </w:rPr>
        <w:t>东南亚和土耳其纺织服装行业研究报告</w:t>
      </w:r>
      <w:r>
        <w:rPr>
          <w:rFonts w:hint="eastAsia" w:ascii="宋体" w:hAnsi="宋体" w:eastAsia="宋体" w:cs="宋体"/>
          <w:color w:val="auto"/>
          <w:sz w:val="21"/>
          <w:szCs w:val="21"/>
          <w:highlight w:val="none"/>
          <w:lang w:val="en-US" w:eastAsia="zh-CN"/>
        </w:rPr>
        <w:t>、汽车海外重点市场和造车新势力买方研究报告、《中东欧盟国家对华出口贸易潜力报告及优势供应商目录》初稿。</w:t>
      </w:r>
    </w:p>
    <w:p w14:paraId="7270C373">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第三阶段：评审及结题（</w:t>
      </w:r>
      <w:r>
        <w:rPr>
          <w:rFonts w:hint="eastAsia"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CN"/>
        </w:rPr>
        <w:t>20天）</w:t>
      </w:r>
    </w:p>
    <w:p w14:paraId="2FDCCC1F">
      <w:pPr>
        <w:bidi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结合</w:t>
      </w:r>
      <w:r>
        <w:rPr>
          <w:rFonts w:hint="eastAsia"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建议，对相关内容进行补充完善，形成较为完整的</w:t>
      </w:r>
      <w:r>
        <w:rPr>
          <w:rFonts w:hint="eastAsia"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lang w:val="en-US" w:eastAsia="zh-CN"/>
        </w:rPr>
        <w:t>报告。提交最终报告和相关</w:t>
      </w:r>
      <w:r>
        <w:rPr>
          <w:rFonts w:hint="eastAsia" w:hAnsi="宋体" w:eastAsia="宋体" w:cs="宋体"/>
          <w:color w:val="auto"/>
          <w:sz w:val="21"/>
          <w:szCs w:val="21"/>
          <w:highlight w:val="none"/>
          <w:lang w:val="en-US" w:eastAsia="zh-CN"/>
        </w:rPr>
        <w:t>说明文件</w:t>
      </w:r>
      <w:r>
        <w:rPr>
          <w:rFonts w:hint="eastAsia" w:ascii="宋体" w:hAnsi="宋体" w:eastAsia="宋体" w:cs="宋体"/>
          <w:color w:val="auto"/>
          <w:sz w:val="21"/>
          <w:szCs w:val="21"/>
          <w:highlight w:val="none"/>
          <w:lang w:val="en-US" w:eastAsia="zh-CN"/>
        </w:rPr>
        <w:t>，召开相关评审会。</w:t>
      </w:r>
    </w:p>
    <w:p w14:paraId="3C9C3F91">
      <w:pPr>
        <w:numPr>
          <w:ilvl w:val="0"/>
          <w:numId w:val="13"/>
        </w:numPr>
        <w:bidi w:val="0"/>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成果要求</w:t>
      </w:r>
    </w:p>
    <w:p w14:paraId="46ECC6D1">
      <w:pPr>
        <w:numPr>
          <w:ilvl w:val="0"/>
          <w:numId w:val="14"/>
        </w:numPr>
        <w:bidi w:val="0"/>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成果包括报告文本，以及相关说明文件等。其中报告文本，需包括欧美七国日用品行业发展分析报告、</w:t>
      </w:r>
      <w:r>
        <w:rPr>
          <w:rFonts w:hint="eastAsia" w:hAnsi="宋体" w:eastAsia="宋体" w:cs="宋体"/>
          <w:color w:val="auto"/>
          <w:sz w:val="21"/>
          <w:szCs w:val="21"/>
          <w:highlight w:val="none"/>
          <w:lang w:val="en-US" w:eastAsia="zh-CN"/>
        </w:rPr>
        <w:t>东南亚和土耳其纺织服装行业研究报告</w:t>
      </w:r>
      <w:r>
        <w:rPr>
          <w:rFonts w:hint="eastAsia" w:ascii="宋体" w:hAnsi="宋体" w:eastAsia="宋体" w:cs="宋体"/>
          <w:color w:val="auto"/>
          <w:sz w:val="21"/>
          <w:szCs w:val="21"/>
          <w:highlight w:val="none"/>
          <w:lang w:val="en-US" w:eastAsia="zh-CN"/>
        </w:rPr>
        <w:t>、汽车海外重点市场和造车新势力买方研究报告、《中东欧盟国家对华出口贸易潜力报告及优势供应商目录》所要求的内容</w:t>
      </w:r>
      <w:r>
        <w:rPr>
          <w:rFonts w:hint="eastAsia" w:hAnsi="宋体" w:eastAsia="宋体" w:cs="宋体"/>
          <w:color w:val="auto"/>
          <w:sz w:val="21"/>
          <w:szCs w:val="21"/>
          <w:highlight w:val="none"/>
          <w:lang w:val="en-US" w:eastAsia="zh-CN"/>
        </w:rPr>
        <w:t>。</w:t>
      </w:r>
    </w:p>
    <w:p w14:paraId="200F20AE">
      <w:pPr>
        <w:numPr>
          <w:ilvl w:val="0"/>
          <w:numId w:val="14"/>
        </w:numPr>
        <w:bidi w:val="0"/>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成果文件规格及份数</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欧美七国日用品行业发展分析报告、</w:t>
      </w:r>
      <w:r>
        <w:rPr>
          <w:rFonts w:hint="eastAsia" w:hAnsi="宋体" w:eastAsia="宋体" w:cs="宋体"/>
          <w:color w:val="auto"/>
          <w:sz w:val="21"/>
          <w:szCs w:val="21"/>
          <w:highlight w:val="none"/>
          <w:lang w:val="en-US" w:eastAsia="zh-CN"/>
        </w:rPr>
        <w:t>东南亚和土耳其纺织服装行业研究报告</w:t>
      </w:r>
      <w:r>
        <w:rPr>
          <w:rFonts w:hint="eastAsia" w:ascii="宋体" w:hAnsi="宋体" w:eastAsia="宋体" w:cs="宋体"/>
          <w:color w:val="auto"/>
          <w:sz w:val="21"/>
          <w:szCs w:val="21"/>
          <w:highlight w:val="none"/>
          <w:lang w:val="en-US" w:eastAsia="zh-CN"/>
        </w:rPr>
        <w:t>、汽车海外重点市场和造车新势力买方研究报告、《中东欧盟国家对华出口贸易潜力报告及优势供应商目录》</w:t>
      </w:r>
      <w:r>
        <w:rPr>
          <w:rFonts w:hint="eastAsia" w:hAnsi="宋体" w:eastAsia="宋体" w:cs="宋体"/>
          <w:color w:val="auto"/>
          <w:sz w:val="21"/>
          <w:szCs w:val="21"/>
          <w:highlight w:val="none"/>
          <w:lang w:val="en-US" w:eastAsia="zh-CN"/>
        </w:rPr>
        <w:t>报告电子版文件各1份，纸质版文件各100份。</w:t>
      </w:r>
    </w:p>
    <w:p w14:paraId="412A2840">
      <w:pPr>
        <w:adjustRightInd/>
        <w:spacing w:line="360" w:lineRule="auto"/>
        <w:textAlignment w:val="baseline"/>
        <w:rPr>
          <w:rFonts w:hint="eastAsia" w:ascii="宋体" w:hAnsi="宋体" w:eastAsia="宋体" w:cs="宋体"/>
          <w:b/>
          <w:bCs/>
          <w:color w:val="auto"/>
          <w:kern w:val="0"/>
          <w:sz w:val="21"/>
          <w:szCs w:val="21"/>
          <w:lang w:val="en-US" w:eastAsia="zh-CN"/>
        </w:rPr>
      </w:pPr>
      <w:r>
        <w:rPr>
          <w:rFonts w:hint="eastAsia" w:hAnsi="宋体" w:eastAsia="宋体" w:cs="宋体"/>
          <w:b/>
          <w:bCs/>
          <w:color w:val="auto"/>
          <w:kern w:val="0"/>
          <w:sz w:val="21"/>
          <w:szCs w:val="21"/>
          <w:lang w:val="en-US" w:eastAsia="zh-CN"/>
        </w:rPr>
        <w:t>四</w:t>
      </w:r>
      <w:r>
        <w:rPr>
          <w:rFonts w:hint="eastAsia" w:ascii="宋体" w:hAnsi="宋体" w:eastAsia="宋体" w:cs="宋体"/>
          <w:b/>
          <w:bCs/>
          <w:color w:val="auto"/>
          <w:kern w:val="0"/>
          <w:sz w:val="21"/>
          <w:szCs w:val="21"/>
          <w:lang w:val="en-US" w:eastAsia="zh-CN"/>
        </w:rPr>
        <w:t>、商务条款</w:t>
      </w:r>
    </w:p>
    <w:tbl>
      <w:tblPr>
        <w:tblStyle w:val="26"/>
        <w:tblW w:w="93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1870"/>
        <w:gridCol w:w="6642"/>
      </w:tblGrid>
      <w:tr w14:paraId="7412D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B144F70">
            <w:pPr>
              <w:bidi w:val="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50DD4955">
            <w:pPr>
              <w:bidi w:val="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内容</w:t>
            </w:r>
          </w:p>
        </w:tc>
        <w:tc>
          <w:tcPr>
            <w:tcW w:w="6642" w:type="dxa"/>
            <w:tcBorders>
              <w:top w:val="single" w:color="auto" w:sz="4" w:space="0"/>
              <w:left w:val="single" w:color="auto" w:sz="4" w:space="0"/>
              <w:bottom w:val="single" w:color="auto" w:sz="4" w:space="0"/>
              <w:right w:val="single" w:color="auto" w:sz="4" w:space="0"/>
            </w:tcBorders>
            <w:noWrap w:val="0"/>
            <w:vAlign w:val="center"/>
          </w:tcPr>
          <w:p w14:paraId="41E3E000">
            <w:pPr>
              <w:bidi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要 求</w:t>
            </w:r>
          </w:p>
        </w:tc>
      </w:tr>
      <w:tr w14:paraId="031AB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5E70E66">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74306CA6">
            <w:pPr>
              <w:bidi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交付期</w:t>
            </w:r>
          </w:p>
        </w:tc>
        <w:tc>
          <w:tcPr>
            <w:tcW w:w="6642" w:type="dxa"/>
            <w:tcBorders>
              <w:top w:val="single" w:color="auto" w:sz="4" w:space="0"/>
              <w:left w:val="single" w:color="auto" w:sz="4" w:space="0"/>
              <w:bottom w:val="single" w:color="auto" w:sz="4" w:space="0"/>
              <w:right w:val="single" w:color="auto" w:sz="4" w:space="0"/>
            </w:tcBorders>
            <w:noWrap w:val="0"/>
            <w:vAlign w:val="center"/>
          </w:tcPr>
          <w:p w14:paraId="4AB5BC2A">
            <w:pPr>
              <w:bidi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合同签订之日后60日内交付</w:t>
            </w:r>
            <w:r>
              <w:rPr>
                <w:rFonts w:hint="eastAsia" w:hAnsi="宋体" w:eastAsia="宋体" w:cs="宋体"/>
                <w:color w:val="auto"/>
                <w:sz w:val="21"/>
                <w:szCs w:val="21"/>
                <w:lang w:eastAsia="zh-CN"/>
              </w:rPr>
              <w:t>。</w:t>
            </w:r>
          </w:p>
        </w:tc>
      </w:tr>
      <w:tr w14:paraId="1E368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F3BC77D">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2A2FD86B">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w:t>
            </w:r>
          </w:p>
        </w:tc>
        <w:tc>
          <w:tcPr>
            <w:tcW w:w="6642" w:type="dxa"/>
            <w:tcBorders>
              <w:top w:val="single" w:color="auto" w:sz="4" w:space="0"/>
              <w:left w:val="single" w:color="auto" w:sz="4" w:space="0"/>
              <w:bottom w:val="single" w:color="auto" w:sz="4" w:space="0"/>
              <w:right w:val="single" w:color="auto" w:sz="4" w:space="0"/>
            </w:tcBorders>
            <w:noWrap w:val="0"/>
            <w:vAlign w:val="center"/>
          </w:tcPr>
          <w:p w14:paraId="7E593165">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r w14:paraId="08562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17A7AA1">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25F41776">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付款条件</w:t>
            </w:r>
          </w:p>
        </w:tc>
        <w:tc>
          <w:tcPr>
            <w:tcW w:w="6642" w:type="dxa"/>
            <w:tcBorders>
              <w:top w:val="single" w:color="auto" w:sz="4" w:space="0"/>
              <w:left w:val="single" w:color="auto" w:sz="4" w:space="0"/>
              <w:bottom w:val="single" w:color="auto" w:sz="4" w:space="0"/>
              <w:right w:val="single" w:color="auto" w:sz="4" w:space="0"/>
            </w:tcBorders>
            <w:noWrap w:val="0"/>
            <w:vAlign w:val="center"/>
          </w:tcPr>
          <w:p w14:paraId="3CD88887">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（1）合同签订生效并具备实施条件后7个工作日内，采购人预付合同总价的50%； </w:t>
            </w:r>
          </w:p>
          <w:p w14:paraId="618426F9">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（2）定制化资信报告提交并经采购人初步验收合格后，采购人支付中标人合同总价的45%。</w:t>
            </w:r>
          </w:p>
          <w:p w14:paraId="33581D7A">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rPr>
              <w:t>（3）定制化资信报告经采购人最终验收后，采购人收到中标人提供的全额发票后7个工作日内支付中标人剩余合同总价的5%。</w:t>
            </w:r>
          </w:p>
        </w:tc>
      </w:tr>
      <w:tr w14:paraId="06B22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860281B">
            <w:pPr>
              <w:bidi w:val="0"/>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4</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19C7A5D4">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合同签订时间要求</w:t>
            </w:r>
          </w:p>
        </w:tc>
        <w:tc>
          <w:tcPr>
            <w:tcW w:w="6642" w:type="dxa"/>
            <w:tcBorders>
              <w:top w:val="single" w:color="auto" w:sz="4" w:space="0"/>
              <w:left w:val="single" w:color="auto" w:sz="4" w:space="0"/>
              <w:bottom w:val="single" w:color="auto" w:sz="4" w:space="0"/>
              <w:right w:val="single" w:color="auto" w:sz="4" w:space="0"/>
            </w:tcBorders>
            <w:noWrap w:val="0"/>
            <w:vAlign w:val="center"/>
          </w:tcPr>
          <w:p w14:paraId="6F508D44">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中标通知书发出后30日内签订</w:t>
            </w:r>
          </w:p>
        </w:tc>
      </w:tr>
    </w:tbl>
    <w:p w14:paraId="7C5A73F7">
      <w:pPr>
        <w:bidi w:val="0"/>
        <w:rPr>
          <w:rFonts w:hint="eastAsia" w:ascii="宋体" w:hAnsi="宋体" w:eastAsia="宋体" w:cs="宋体"/>
          <w:color w:val="auto"/>
          <w:sz w:val="21"/>
          <w:szCs w:val="21"/>
        </w:rPr>
      </w:pPr>
    </w:p>
    <w:p w14:paraId="36771B9D">
      <w:pPr>
        <w:widowControl/>
        <w:kinsoku/>
        <w:wordWrap/>
        <w:overflowPunct/>
        <w:topLinePunct w:val="0"/>
        <w:bidi w:val="0"/>
        <w:adjustRightInd/>
        <w:jc w:val="left"/>
        <w:outlineLvl w:val="9"/>
        <w:rPr>
          <w:rFonts w:hint="eastAsia"/>
          <w:color w:val="auto"/>
          <w:highlight w:val="none"/>
        </w:rPr>
      </w:pPr>
      <w:r>
        <w:rPr>
          <w:rFonts w:cs="仿宋_GB2312" w:asciiTheme="minorEastAsia" w:hAnsiTheme="minorEastAsia" w:eastAsiaTheme="minorEastAsia"/>
          <w:b/>
          <w:color w:val="auto"/>
          <w:sz w:val="36"/>
          <w:szCs w:val="36"/>
        </w:rPr>
        <w:br w:type="page"/>
      </w:r>
    </w:p>
    <w:p w14:paraId="60E00B39">
      <w:pPr>
        <w:pStyle w:val="5"/>
        <w:bidi w:val="0"/>
        <w:jc w:val="center"/>
        <w:outlineLvl w:val="0"/>
        <w:rPr>
          <w:rFonts w:hint="eastAsia"/>
          <w:color w:val="auto"/>
          <w:highlight w:val="none"/>
        </w:rPr>
      </w:pPr>
      <w:bookmarkStart w:id="86" w:name="_Toc9757"/>
      <w:bookmarkStart w:id="87" w:name="_Toc8893"/>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四</w:t>
      </w:r>
      <w:r>
        <w:rPr>
          <w:rFonts w:hint="eastAsia"/>
          <w:color w:val="auto"/>
          <w:highlight w:val="none"/>
        </w:rPr>
        <w:t>章 评审标准</w:t>
      </w:r>
      <w:bookmarkEnd w:id="78"/>
      <w:bookmarkEnd w:id="86"/>
      <w:bookmarkEnd w:id="87"/>
    </w:p>
    <w:p w14:paraId="05360E6A">
      <w:pPr>
        <w:pStyle w:val="15"/>
        <w:keepNext w:val="0"/>
        <w:keepLines w:val="0"/>
        <w:pageBreakBefore w:val="0"/>
        <w:widowControl w:val="0"/>
        <w:shd w:val="clear" w:color="auto" w:fill="auto"/>
        <w:kinsoku/>
        <w:wordWrap/>
        <w:overflowPunct/>
        <w:topLinePunct w:val="0"/>
        <w:autoSpaceDE/>
        <w:autoSpaceDN/>
        <w:bidi w:val="0"/>
        <w:adjustRightInd/>
        <w:snapToGrid/>
        <w:spacing w:after="0" w:line="500" w:lineRule="exact"/>
        <w:ind w:left="0" w:leftChars="0" w:firstLine="420" w:firstLineChars="200"/>
        <w:textAlignment w:val="baseline"/>
        <w:rPr>
          <w:rFonts w:hint="eastAsia" w:ascii="宋体" w:hAnsi="宋体" w:eastAsia="宋体" w:cs="宋体"/>
          <w:color w:val="auto"/>
          <w:sz w:val="21"/>
          <w:szCs w:val="21"/>
          <w:highlight w:val="none"/>
        </w:rPr>
      </w:pPr>
      <w:bookmarkStart w:id="88" w:name="OLE_LINK1"/>
      <w:bookmarkStart w:id="89" w:name="OLE_LINK2"/>
      <w:r>
        <w:rPr>
          <w:rFonts w:hint="eastAsia" w:ascii="宋体" w:hAnsi="宋体" w:eastAsia="宋体" w:cs="宋体"/>
          <w:color w:val="auto"/>
          <w:sz w:val="21"/>
          <w:szCs w:val="21"/>
          <w:highlight w:val="none"/>
        </w:rPr>
        <w:t xml:space="preserve"> </w:t>
      </w:r>
      <w:bookmarkEnd w:id="76"/>
      <w:bookmarkEnd w:id="77"/>
      <w:bookmarkEnd w:id="79"/>
      <w:bookmarkEnd w:id="88"/>
      <w:bookmarkEnd w:id="89"/>
      <w:r>
        <w:rPr>
          <w:rFonts w:hint="eastAsia" w:ascii="宋体" w:hAnsi="宋体" w:eastAsia="宋体" w:cs="宋体"/>
          <w:color w:val="auto"/>
          <w:sz w:val="21"/>
          <w:szCs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14:paraId="46269545">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总则</w:t>
      </w:r>
    </w:p>
    <w:p w14:paraId="31FB81CE">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本次磋商遵循公平、公正、科学、择优的原则依法进行，磋商活动及当事人接受依法实施的监督。本次磋商采用综合评分法。</w:t>
      </w:r>
    </w:p>
    <w:p w14:paraId="7394794A">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 磋商程序</w:t>
      </w:r>
    </w:p>
    <w:p w14:paraId="158EFCFD">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napToGrid/>
        <w:spacing w:line="500" w:lineRule="exact"/>
        <w:ind w:firstLine="420"/>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详见第二章供应商须知 四、磋商程序</w:t>
      </w:r>
    </w:p>
    <w:p w14:paraId="0D4177BB">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三．评审程序</w:t>
      </w:r>
    </w:p>
    <w:p w14:paraId="2F1DD552">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napToGrid/>
        <w:spacing w:line="500" w:lineRule="exac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详见第二章供应商须知 五、评审</w:t>
      </w:r>
    </w:p>
    <w:p w14:paraId="6BCC9B3F">
      <w:pPr>
        <w:keepNext w:val="0"/>
        <w:keepLines w:val="0"/>
        <w:pageBreakBefore w:val="0"/>
        <w:widowControl w:val="0"/>
        <w:numPr>
          <w:ilvl w:val="0"/>
          <w:numId w:val="15"/>
        </w:numPr>
        <w:shd w:val="clear" w:color="auto" w:fill="auto"/>
        <w:kinsoku/>
        <w:wordWrap/>
        <w:overflowPunct/>
        <w:topLinePunct w:val="0"/>
        <w:autoSpaceDE/>
        <w:autoSpaceDN/>
        <w:bidi w:val="0"/>
        <w:snapToGrid/>
        <w:spacing w:line="500" w:lineRule="exac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bl>
      <w:tblPr>
        <w:tblStyle w:val="26"/>
        <w:tblW w:w="94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7"/>
        <w:gridCol w:w="1260"/>
        <w:gridCol w:w="6667"/>
        <w:gridCol w:w="664"/>
      </w:tblGrid>
      <w:tr w14:paraId="6E7981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0" w:hRule="atLeast"/>
        </w:trPr>
        <w:tc>
          <w:tcPr>
            <w:tcW w:w="867" w:type="dxa"/>
            <w:tcBorders>
              <w:right w:val="single" w:color="auto" w:sz="4" w:space="0"/>
            </w:tcBorders>
            <w:noWrap w:val="0"/>
            <w:vAlign w:val="center"/>
          </w:tcPr>
          <w:p w14:paraId="3CF40610">
            <w:pPr>
              <w:widowControl/>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分类</w:t>
            </w:r>
          </w:p>
        </w:tc>
        <w:tc>
          <w:tcPr>
            <w:tcW w:w="1260" w:type="dxa"/>
            <w:tcBorders>
              <w:right w:val="single" w:color="auto" w:sz="4" w:space="0"/>
            </w:tcBorders>
            <w:noWrap w:val="0"/>
            <w:vAlign w:val="center"/>
          </w:tcPr>
          <w:p w14:paraId="5EE93602">
            <w:pPr>
              <w:widowControl/>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评分项</w:t>
            </w:r>
          </w:p>
        </w:tc>
        <w:tc>
          <w:tcPr>
            <w:tcW w:w="6667" w:type="dxa"/>
            <w:tcBorders>
              <w:right w:val="single" w:color="auto" w:sz="4" w:space="0"/>
            </w:tcBorders>
            <w:noWrap w:val="0"/>
            <w:vAlign w:val="center"/>
          </w:tcPr>
          <w:p w14:paraId="68C6A764">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评分内容</w:t>
            </w:r>
          </w:p>
        </w:tc>
        <w:tc>
          <w:tcPr>
            <w:tcW w:w="664" w:type="dxa"/>
            <w:tcBorders>
              <w:left w:val="single" w:color="auto" w:sz="4" w:space="0"/>
            </w:tcBorders>
            <w:noWrap w:val="0"/>
            <w:vAlign w:val="center"/>
          </w:tcPr>
          <w:p w14:paraId="76E14629">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分值</w:t>
            </w:r>
          </w:p>
        </w:tc>
      </w:tr>
      <w:tr w14:paraId="5A9526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7" w:hRule="atLeast"/>
        </w:trPr>
        <w:tc>
          <w:tcPr>
            <w:tcW w:w="867" w:type="dxa"/>
            <w:vMerge w:val="restart"/>
            <w:tcBorders>
              <w:right w:val="single" w:color="auto" w:sz="4" w:space="0"/>
            </w:tcBorders>
            <w:noWrap w:val="0"/>
            <w:vAlign w:val="center"/>
          </w:tcPr>
          <w:p w14:paraId="7DE566FA">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商务技术分</w:t>
            </w:r>
          </w:p>
          <w:p w14:paraId="65A6E4AD">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85</w:t>
            </w:r>
            <w:r>
              <w:rPr>
                <w:rFonts w:hint="eastAsia" w:ascii="宋体" w:hAnsi="宋体" w:eastAsia="宋体" w:cs="宋体"/>
                <w:b/>
                <w:bCs/>
                <w:color w:val="auto"/>
                <w:sz w:val="21"/>
                <w:szCs w:val="21"/>
                <w:highlight w:val="none"/>
              </w:rPr>
              <w:t>分</w:t>
            </w:r>
          </w:p>
        </w:tc>
        <w:tc>
          <w:tcPr>
            <w:tcW w:w="1260" w:type="dxa"/>
            <w:tcBorders>
              <w:right w:val="single" w:color="auto" w:sz="4" w:space="0"/>
            </w:tcBorders>
            <w:noWrap w:val="0"/>
            <w:vAlign w:val="center"/>
          </w:tcPr>
          <w:p w14:paraId="4B0F55C7">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项目整体认识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eastAsia="zh-CN"/>
              </w:rPr>
              <w:t>）</w:t>
            </w:r>
          </w:p>
        </w:tc>
        <w:tc>
          <w:tcPr>
            <w:tcW w:w="6667" w:type="dxa"/>
            <w:tcBorders>
              <w:right w:val="single" w:color="auto" w:sz="4" w:space="0"/>
            </w:tcBorders>
            <w:noWrap w:val="0"/>
            <w:vAlign w:val="center"/>
          </w:tcPr>
          <w:p w14:paraId="58C4CBA9">
            <w:pPr>
              <w:pStyle w:val="2"/>
              <w:adjustRightInd/>
              <w:spacing w:after="0"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根据供应商对欧美七国日用品行业发展、</w:t>
            </w:r>
            <w:r>
              <w:rPr>
                <w:rFonts w:hint="eastAsia" w:ascii="宋体" w:hAnsi="宋体" w:cs="宋体"/>
                <w:color w:val="auto"/>
                <w:sz w:val="21"/>
                <w:szCs w:val="21"/>
                <w:highlight w:val="none"/>
                <w:lang w:val="en-US" w:eastAsia="zh-CN"/>
              </w:rPr>
              <w:t>东南亚和土耳其</w:t>
            </w:r>
            <w:r>
              <w:rPr>
                <w:rFonts w:hint="eastAsia" w:ascii="宋体" w:hAnsi="宋体" w:eastAsia="宋体" w:cs="宋体"/>
                <w:color w:val="auto"/>
                <w:sz w:val="21"/>
                <w:szCs w:val="21"/>
                <w:highlight w:val="none"/>
                <w:lang w:val="en-US" w:eastAsia="zh-CN"/>
              </w:rPr>
              <w:t>纺织服装行业、汽车海外重点市场和造车新势力买方、中东欧盟国家对华出口贸易的情况了解、认识是否详实、透彻进行综合评议：</w:t>
            </w:r>
          </w:p>
          <w:p w14:paraId="00BC48B0">
            <w:pPr>
              <w:pStyle w:val="2"/>
              <w:adjustRightInd/>
              <w:spacing w:after="0"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对本项目采购需求报告中涉及的国家、行业具有系统性的认识、提供的分析内容完整全面、内容阐述详细的得8分；</w:t>
            </w:r>
          </w:p>
          <w:p w14:paraId="357E573D">
            <w:pPr>
              <w:pStyle w:val="2"/>
              <w:adjustRightInd/>
              <w:spacing w:after="0"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对本项目采购需求报告中涉及的国家、行业具有较深的认识、提供的分析内容完整较为全面、内容阐述较为详细的得5 分；</w:t>
            </w:r>
          </w:p>
          <w:p w14:paraId="441B977E">
            <w:pPr>
              <w:pStyle w:val="2"/>
              <w:adjustRightInd/>
              <w:spacing w:after="0"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对本项目采购需求报告中涉及的国家、行业分析欠缺、无充分认识的得 3分；</w:t>
            </w:r>
          </w:p>
          <w:p w14:paraId="6A6B928C">
            <w:pPr>
              <w:pStyle w:val="2"/>
              <w:adjustRightInd/>
              <w:spacing w:after="0"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未提供的不得分。</w:t>
            </w:r>
          </w:p>
        </w:tc>
        <w:tc>
          <w:tcPr>
            <w:tcW w:w="664" w:type="dxa"/>
            <w:tcBorders>
              <w:left w:val="single" w:color="auto" w:sz="4" w:space="0"/>
            </w:tcBorders>
            <w:noWrap w:val="0"/>
            <w:vAlign w:val="center"/>
          </w:tcPr>
          <w:p w14:paraId="2DA232A1">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r>
      <w:tr w14:paraId="2721B3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3" w:hRule="atLeast"/>
        </w:trPr>
        <w:tc>
          <w:tcPr>
            <w:tcW w:w="867" w:type="dxa"/>
            <w:vMerge w:val="continue"/>
            <w:tcBorders>
              <w:right w:val="single" w:color="auto" w:sz="4" w:space="0"/>
            </w:tcBorders>
            <w:noWrap w:val="0"/>
            <w:vAlign w:val="center"/>
          </w:tcPr>
          <w:p w14:paraId="66393FF9">
            <w:pPr>
              <w:widowControl/>
              <w:jc w:val="center"/>
              <w:rPr>
                <w:rFonts w:hint="eastAsia" w:ascii="宋体" w:hAnsi="宋体" w:eastAsia="宋体" w:cs="宋体"/>
                <w:bCs/>
                <w:color w:val="auto"/>
                <w:sz w:val="21"/>
                <w:szCs w:val="21"/>
                <w:highlight w:val="none"/>
              </w:rPr>
            </w:pPr>
          </w:p>
        </w:tc>
        <w:tc>
          <w:tcPr>
            <w:tcW w:w="1260" w:type="dxa"/>
            <w:vMerge w:val="restart"/>
            <w:tcBorders>
              <w:right w:val="single" w:color="auto" w:sz="4" w:space="0"/>
            </w:tcBorders>
            <w:noWrap w:val="0"/>
            <w:vAlign w:val="center"/>
          </w:tcPr>
          <w:p w14:paraId="19CD9638">
            <w:pPr>
              <w:pStyle w:val="3"/>
              <w:widowControl/>
              <w:spacing w:line="240" w:lineRule="auto"/>
              <w:jc w:val="center"/>
              <w:rPr>
                <w:rFonts w:hint="default" w:ascii="宋体" w:hAnsi="宋体" w:eastAsia="宋体" w:cs="宋体"/>
                <w:b w:val="0"/>
                <w:color w:val="auto"/>
                <w:kern w:val="0"/>
                <w:sz w:val="21"/>
                <w:szCs w:val="21"/>
                <w:highlight w:val="none"/>
                <w:lang w:val="en-US" w:eastAsia="zh-CN"/>
              </w:rPr>
            </w:pPr>
            <w:bookmarkStart w:id="90" w:name="_Toc7630"/>
            <w:r>
              <w:rPr>
                <w:rFonts w:hint="eastAsia" w:ascii="宋体" w:hAnsi="宋体" w:eastAsia="宋体" w:cs="宋体"/>
                <w:b w:val="0"/>
                <w:color w:val="auto"/>
                <w:kern w:val="0"/>
                <w:sz w:val="21"/>
                <w:szCs w:val="21"/>
                <w:highlight w:val="none"/>
                <w:lang w:val="en-US" w:eastAsia="zh-CN"/>
              </w:rPr>
              <w:t>2.实施方案（32分）</w:t>
            </w:r>
            <w:bookmarkEnd w:id="90"/>
          </w:p>
        </w:tc>
        <w:tc>
          <w:tcPr>
            <w:tcW w:w="6667" w:type="dxa"/>
            <w:tcBorders>
              <w:right w:val="single" w:color="auto" w:sz="4" w:space="0"/>
            </w:tcBorders>
            <w:noWrap w:val="0"/>
            <w:vAlign w:val="center"/>
          </w:tcPr>
          <w:p w14:paraId="5D3ECEBE">
            <w:pPr>
              <w:pStyle w:val="2"/>
              <w:adjustRightInd/>
              <w:spacing w:after="0"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（1）根据供应商</w:t>
            </w:r>
            <w:r>
              <w:rPr>
                <w:rFonts w:hint="eastAsia" w:ascii="宋体" w:hAnsi="宋体" w:cs="宋体"/>
                <w:color w:val="auto"/>
                <w:sz w:val="21"/>
                <w:szCs w:val="21"/>
                <w:highlight w:val="none"/>
                <w:lang w:val="en-US" w:eastAsia="zh-CN"/>
              </w:rPr>
              <w:t>提供的</w:t>
            </w:r>
            <w:r>
              <w:rPr>
                <w:rFonts w:hint="eastAsia" w:ascii="宋体" w:hAnsi="宋体" w:eastAsia="宋体" w:cs="宋体"/>
                <w:color w:val="auto"/>
                <w:sz w:val="21"/>
                <w:szCs w:val="21"/>
                <w:highlight w:val="none"/>
                <w:lang w:val="en-US" w:eastAsia="zh-CN"/>
              </w:rPr>
              <w:t>欧美七国（美国、俄罗斯、德国、荷兰、波兰、英国、法国）日用品行业发展分析报告进行综合评议：</w:t>
            </w:r>
          </w:p>
          <w:p w14:paraId="36AD96C7">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报告</w:t>
            </w:r>
            <w:r>
              <w:rPr>
                <w:rFonts w:hint="eastAsia" w:ascii="宋体" w:hAnsi="宋体" w:eastAsia="宋体" w:cs="宋体"/>
                <w:b w:val="0"/>
                <w:bCs w:val="0"/>
                <w:color w:val="auto"/>
                <w:kern w:val="0"/>
                <w:sz w:val="21"/>
                <w:szCs w:val="21"/>
                <w:highlight w:val="none"/>
                <w:lang w:val="en-US" w:eastAsia="zh-CN" w:bidi="ar-SA"/>
              </w:rPr>
              <w:t>内容详尽，</w:t>
            </w:r>
            <w:r>
              <w:rPr>
                <w:rFonts w:hint="eastAsia" w:ascii="宋体" w:hAnsi="宋体" w:eastAsia="宋体" w:cs="宋体"/>
                <w:color w:val="auto"/>
                <w:sz w:val="21"/>
                <w:szCs w:val="21"/>
                <w:highlight w:val="none"/>
                <w:lang w:val="en-US" w:eastAsia="zh-CN"/>
              </w:rPr>
              <w:t>欧美七国</w:t>
            </w:r>
            <w:r>
              <w:rPr>
                <w:rFonts w:hint="eastAsia" w:ascii="宋体" w:hAnsi="宋体" w:eastAsia="宋体" w:cs="宋体"/>
                <w:b w:val="0"/>
                <w:bCs w:val="0"/>
                <w:color w:val="auto"/>
                <w:kern w:val="0"/>
                <w:sz w:val="21"/>
                <w:szCs w:val="21"/>
                <w:highlight w:val="none"/>
                <w:lang w:val="en-US" w:eastAsia="zh-CN" w:bidi="ar-SA"/>
              </w:rPr>
              <w:t>市场规模及产业链</w:t>
            </w:r>
            <w:r>
              <w:rPr>
                <w:rFonts w:hint="eastAsia" w:ascii="宋体" w:hAnsi="宋体" w:cs="宋体"/>
                <w:b w:val="0"/>
                <w:bCs w:val="0"/>
                <w:color w:val="auto"/>
                <w:kern w:val="0"/>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市场</w:t>
            </w:r>
            <w:r>
              <w:rPr>
                <w:rFonts w:hint="eastAsia" w:asciiTheme="minorEastAsia" w:hAnsiTheme="minorEastAsia" w:eastAsiaTheme="minorEastAsia" w:cstheme="minorEastAsia"/>
                <w:color w:val="auto"/>
                <w:sz w:val="21"/>
                <w:szCs w:val="21"/>
                <w:highlight w:val="none"/>
                <w:lang w:val="en-US" w:eastAsia="zh-CN"/>
              </w:rPr>
              <w:t>特征与</w:t>
            </w:r>
            <w:r>
              <w:rPr>
                <w:rFonts w:hint="eastAsia" w:asciiTheme="minorEastAsia" w:hAnsiTheme="minorEastAsia" w:eastAsiaTheme="minorEastAsia" w:cstheme="minorEastAsia"/>
                <w:color w:val="auto"/>
                <w:sz w:val="21"/>
                <w:szCs w:val="21"/>
                <w:highlight w:val="none"/>
              </w:rPr>
              <w:t>竞争格局</w:t>
            </w:r>
            <w:r>
              <w:rPr>
                <w:rFonts w:hint="eastAsia" w:asciiTheme="minorEastAsia" w:hAnsiTheme="minorEastAsia" w:eastAsiaTheme="minorEastAsia" w:cstheme="minorEastAsia"/>
                <w:color w:val="auto"/>
                <w:sz w:val="21"/>
                <w:szCs w:val="21"/>
                <w:highlight w:val="none"/>
                <w:lang w:val="en-US" w:eastAsia="zh-CN"/>
              </w:rPr>
              <w:t>、头部企业等</w:t>
            </w:r>
            <w:r>
              <w:rPr>
                <w:rFonts w:hint="eastAsia" w:ascii="宋体" w:hAnsi="宋体" w:eastAsia="宋体" w:cs="宋体"/>
                <w:b w:val="0"/>
                <w:bCs w:val="0"/>
                <w:color w:val="auto"/>
                <w:kern w:val="0"/>
                <w:sz w:val="21"/>
                <w:szCs w:val="21"/>
                <w:highlight w:val="none"/>
                <w:lang w:val="en-US" w:eastAsia="zh-CN" w:bidi="ar-SA"/>
              </w:rPr>
              <w:t>分析</w:t>
            </w:r>
            <w:r>
              <w:rPr>
                <w:rFonts w:hint="eastAsia" w:ascii="宋体" w:hAnsi="宋体" w:cs="宋体"/>
                <w:b w:val="0"/>
                <w:bCs w:val="0"/>
                <w:color w:val="auto"/>
                <w:kern w:val="0"/>
                <w:sz w:val="21"/>
                <w:szCs w:val="21"/>
                <w:highlight w:val="none"/>
                <w:lang w:val="en-US" w:eastAsia="zh-CN" w:bidi="ar-SA"/>
              </w:rPr>
              <w:t>清晰</w:t>
            </w:r>
            <w:r>
              <w:rPr>
                <w:rFonts w:hint="eastAsia" w:ascii="宋体" w:hAnsi="宋体" w:eastAsia="宋体" w:cs="宋体"/>
                <w:b w:val="0"/>
                <w:bCs w:val="0"/>
                <w:color w:val="auto"/>
                <w:kern w:val="0"/>
                <w:sz w:val="21"/>
                <w:szCs w:val="21"/>
                <w:highlight w:val="none"/>
                <w:lang w:val="en-US" w:eastAsia="zh-CN" w:bidi="ar-SA"/>
              </w:rPr>
              <w:t>；行业发展潜力</w:t>
            </w:r>
            <w:r>
              <w:rPr>
                <w:rFonts w:hint="eastAsia" w:ascii="宋体" w:hAnsi="宋体" w:cs="宋体"/>
                <w:b w:val="0"/>
                <w:bCs w:val="0"/>
                <w:color w:val="auto"/>
                <w:kern w:val="0"/>
                <w:sz w:val="21"/>
                <w:szCs w:val="21"/>
                <w:highlight w:val="none"/>
                <w:lang w:val="en-US" w:eastAsia="zh-CN" w:bidi="ar-SA"/>
              </w:rPr>
              <w:t>、潜在风险阐述全面的</w:t>
            </w:r>
            <w:r>
              <w:rPr>
                <w:rFonts w:hint="eastAsia" w:ascii="宋体" w:hAnsi="宋体" w:eastAsia="宋体" w:cs="宋体"/>
                <w:b w:val="0"/>
                <w:bCs w:val="0"/>
                <w:color w:val="auto"/>
                <w:kern w:val="0"/>
                <w:sz w:val="21"/>
                <w:szCs w:val="21"/>
                <w:highlight w:val="none"/>
                <w:lang w:val="en-US" w:eastAsia="zh-CN" w:bidi="ar-SA"/>
              </w:rPr>
              <w:t>得8分；</w:t>
            </w:r>
          </w:p>
          <w:p w14:paraId="517AB8E7">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报告</w:t>
            </w:r>
            <w:r>
              <w:rPr>
                <w:rFonts w:hint="eastAsia" w:ascii="宋体" w:hAnsi="宋体" w:eastAsia="宋体" w:cs="宋体"/>
                <w:b w:val="0"/>
                <w:bCs w:val="0"/>
                <w:color w:val="auto"/>
                <w:kern w:val="0"/>
                <w:sz w:val="21"/>
                <w:szCs w:val="21"/>
                <w:highlight w:val="none"/>
                <w:lang w:val="en-US" w:eastAsia="zh-CN" w:bidi="ar-SA"/>
              </w:rPr>
              <w:t>内容</w:t>
            </w:r>
            <w:r>
              <w:rPr>
                <w:rFonts w:hint="eastAsia" w:ascii="宋体" w:hAnsi="宋体" w:cs="宋体"/>
                <w:b w:val="0"/>
                <w:bCs w:val="0"/>
                <w:color w:val="auto"/>
                <w:kern w:val="0"/>
                <w:sz w:val="21"/>
                <w:szCs w:val="21"/>
                <w:highlight w:val="none"/>
                <w:lang w:val="en-US" w:eastAsia="zh-CN" w:bidi="ar-SA"/>
              </w:rPr>
              <w:t>较为</w:t>
            </w:r>
            <w:r>
              <w:rPr>
                <w:rFonts w:hint="eastAsia" w:ascii="宋体" w:hAnsi="宋体" w:eastAsia="宋体" w:cs="宋体"/>
                <w:b w:val="0"/>
                <w:bCs w:val="0"/>
                <w:color w:val="auto"/>
                <w:kern w:val="0"/>
                <w:sz w:val="21"/>
                <w:szCs w:val="21"/>
                <w:highlight w:val="none"/>
                <w:lang w:val="en-US" w:eastAsia="zh-CN" w:bidi="ar-SA"/>
              </w:rPr>
              <w:t>完整，</w:t>
            </w:r>
            <w:r>
              <w:rPr>
                <w:rFonts w:hint="eastAsia" w:ascii="宋体" w:hAnsi="宋体" w:eastAsia="宋体" w:cs="宋体"/>
                <w:color w:val="auto"/>
                <w:sz w:val="21"/>
                <w:szCs w:val="21"/>
                <w:highlight w:val="none"/>
                <w:lang w:val="en-US" w:eastAsia="zh-CN"/>
              </w:rPr>
              <w:t>欧美七国</w:t>
            </w:r>
            <w:r>
              <w:rPr>
                <w:rFonts w:hint="eastAsia" w:ascii="宋体" w:hAnsi="宋体" w:eastAsia="宋体" w:cs="宋体"/>
                <w:b w:val="0"/>
                <w:bCs w:val="0"/>
                <w:color w:val="auto"/>
                <w:kern w:val="0"/>
                <w:sz w:val="21"/>
                <w:szCs w:val="21"/>
                <w:highlight w:val="none"/>
                <w:lang w:val="en-US" w:eastAsia="zh-CN" w:bidi="ar-SA"/>
              </w:rPr>
              <w:t>市场规模及产业链</w:t>
            </w:r>
            <w:r>
              <w:rPr>
                <w:rFonts w:hint="eastAsia" w:ascii="宋体" w:hAnsi="宋体" w:cs="宋体"/>
                <w:b w:val="0"/>
                <w:bCs w:val="0"/>
                <w:color w:val="auto"/>
                <w:kern w:val="0"/>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市场</w:t>
            </w:r>
            <w:r>
              <w:rPr>
                <w:rFonts w:hint="eastAsia" w:asciiTheme="minorEastAsia" w:hAnsiTheme="minorEastAsia" w:eastAsiaTheme="minorEastAsia" w:cstheme="minorEastAsia"/>
                <w:color w:val="auto"/>
                <w:sz w:val="21"/>
                <w:szCs w:val="21"/>
                <w:highlight w:val="none"/>
                <w:lang w:val="en-US" w:eastAsia="zh-CN"/>
              </w:rPr>
              <w:t>特征与</w:t>
            </w:r>
            <w:r>
              <w:rPr>
                <w:rFonts w:hint="eastAsia" w:asciiTheme="minorEastAsia" w:hAnsiTheme="minorEastAsia" w:eastAsiaTheme="minorEastAsia" w:cstheme="minorEastAsia"/>
                <w:color w:val="auto"/>
                <w:sz w:val="21"/>
                <w:szCs w:val="21"/>
                <w:highlight w:val="none"/>
              </w:rPr>
              <w:t>竞争格局</w:t>
            </w:r>
            <w:r>
              <w:rPr>
                <w:rFonts w:hint="eastAsia" w:asciiTheme="minorEastAsia" w:hAnsiTheme="minorEastAsia" w:eastAsiaTheme="minorEastAsia" w:cstheme="minorEastAsia"/>
                <w:color w:val="auto"/>
                <w:sz w:val="21"/>
                <w:szCs w:val="21"/>
                <w:highlight w:val="none"/>
                <w:lang w:val="en-US" w:eastAsia="zh-CN"/>
              </w:rPr>
              <w:t>、头部企业等</w:t>
            </w:r>
            <w:r>
              <w:rPr>
                <w:rFonts w:hint="eastAsia" w:ascii="宋体" w:hAnsi="宋体" w:eastAsia="宋体" w:cs="宋体"/>
                <w:b w:val="0"/>
                <w:bCs w:val="0"/>
                <w:color w:val="auto"/>
                <w:kern w:val="0"/>
                <w:sz w:val="21"/>
                <w:szCs w:val="21"/>
                <w:highlight w:val="none"/>
                <w:lang w:val="en-US" w:eastAsia="zh-CN" w:bidi="ar-SA"/>
              </w:rPr>
              <w:t>分析</w:t>
            </w:r>
            <w:r>
              <w:rPr>
                <w:rFonts w:hint="eastAsia" w:ascii="宋体" w:hAnsi="宋体" w:cs="宋体"/>
                <w:b w:val="0"/>
                <w:bCs w:val="0"/>
                <w:color w:val="auto"/>
                <w:kern w:val="0"/>
                <w:sz w:val="21"/>
                <w:szCs w:val="21"/>
                <w:highlight w:val="none"/>
                <w:lang w:val="en-US" w:eastAsia="zh-CN" w:bidi="ar-SA"/>
              </w:rPr>
              <w:t>较为清晰</w:t>
            </w:r>
            <w:r>
              <w:rPr>
                <w:rFonts w:hint="eastAsia" w:ascii="宋体" w:hAnsi="宋体" w:eastAsia="宋体" w:cs="宋体"/>
                <w:b w:val="0"/>
                <w:bCs w:val="0"/>
                <w:color w:val="auto"/>
                <w:kern w:val="0"/>
                <w:sz w:val="21"/>
                <w:szCs w:val="21"/>
                <w:highlight w:val="none"/>
                <w:lang w:val="en-US" w:eastAsia="zh-CN" w:bidi="ar-SA"/>
              </w:rPr>
              <w:t>；行业发展潜力</w:t>
            </w:r>
            <w:r>
              <w:rPr>
                <w:rFonts w:hint="eastAsia" w:ascii="宋体" w:hAnsi="宋体" w:cs="宋体"/>
                <w:b w:val="0"/>
                <w:bCs w:val="0"/>
                <w:color w:val="auto"/>
                <w:kern w:val="0"/>
                <w:sz w:val="21"/>
                <w:szCs w:val="21"/>
                <w:highlight w:val="none"/>
                <w:lang w:val="en-US" w:eastAsia="zh-CN" w:bidi="ar-SA"/>
              </w:rPr>
              <w:t>、潜在风险阐述较为全面的</w:t>
            </w:r>
            <w:r>
              <w:rPr>
                <w:rFonts w:hint="eastAsia" w:ascii="宋体" w:hAnsi="宋体" w:eastAsia="宋体" w:cs="宋体"/>
                <w:b w:val="0"/>
                <w:bCs w:val="0"/>
                <w:color w:val="auto"/>
                <w:kern w:val="0"/>
                <w:sz w:val="21"/>
                <w:szCs w:val="21"/>
                <w:highlight w:val="none"/>
                <w:lang w:val="en-US" w:eastAsia="zh-CN" w:bidi="ar-SA"/>
              </w:rPr>
              <w:t>得5分；</w:t>
            </w:r>
          </w:p>
          <w:p w14:paraId="2284533E">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方案内容较为简单，</w:t>
            </w:r>
            <w:r>
              <w:rPr>
                <w:rFonts w:hint="eastAsia" w:ascii="宋体" w:hAnsi="宋体" w:cs="宋体"/>
                <w:b w:val="0"/>
                <w:bCs w:val="0"/>
                <w:color w:val="auto"/>
                <w:kern w:val="0"/>
                <w:sz w:val="21"/>
                <w:szCs w:val="21"/>
                <w:highlight w:val="none"/>
                <w:lang w:val="en-US" w:eastAsia="zh-CN" w:bidi="ar-SA"/>
              </w:rPr>
              <w:t>各方面</w:t>
            </w:r>
            <w:r>
              <w:rPr>
                <w:rFonts w:hint="eastAsia" w:ascii="宋体" w:hAnsi="宋体" w:eastAsia="宋体" w:cs="宋体"/>
                <w:b w:val="0"/>
                <w:bCs w:val="0"/>
                <w:color w:val="auto"/>
                <w:kern w:val="0"/>
                <w:sz w:val="21"/>
                <w:szCs w:val="21"/>
                <w:highlight w:val="none"/>
                <w:lang w:val="en-US" w:eastAsia="zh-CN" w:bidi="ar-SA"/>
              </w:rPr>
              <w:t>缺乏对细节的深入分析</w:t>
            </w:r>
            <w:r>
              <w:rPr>
                <w:rFonts w:hint="eastAsia" w:ascii="宋体" w:hAnsi="宋体" w:cs="宋体"/>
                <w:b w:val="0"/>
                <w:bCs w:val="0"/>
                <w:color w:val="auto"/>
                <w:kern w:val="0"/>
                <w:sz w:val="21"/>
                <w:szCs w:val="21"/>
                <w:highlight w:val="none"/>
                <w:lang w:val="en-US" w:eastAsia="zh-CN" w:bidi="ar-SA"/>
              </w:rPr>
              <w:t>的</w:t>
            </w:r>
            <w:r>
              <w:rPr>
                <w:rFonts w:hint="eastAsia" w:ascii="宋体" w:hAnsi="宋体" w:eastAsia="宋体" w:cs="宋体"/>
                <w:b w:val="0"/>
                <w:bCs w:val="0"/>
                <w:color w:val="auto"/>
                <w:kern w:val="0"/>
                <w:sz w:val="21"/>
                <w:szCs w:val="21"/>
                <w:highlight w:val="none"/>
                <w:lang w:val="en-US" w:eastAsia="zh-CN" w:bidi="ar-SA"/>
              </w:rPr>
              <w:t>得3分；</w:t>
            </w:r>
          </w:p>
          <w:p w14:paraId="4130E2B7">
            <w:pPr>
              <w:pStyle w:val="2"/>
              <w:adjustRightInd/>
              <w:spacing w:after="0" w:line="320" w:lineRule="exact"/>
              <w:jc w:val="left"/>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未提供不得分。</w:t>
            </w:r>
          </w:p>
        </w:tc>
        <w:tc>
          <w:tcPr>
            <w:tcW w:w="664" w:type="dxa"/>
            <w:tcBorders>
              <w:left w:val="single" w:color="auto" w:sz="4" w:space="0"/>
            </w:tcBorders>
            <w:noWrap w:val="0"/>
            <w:vAlign w:val="center"/>
          </w:tcPr>
          <w:p w14:paraId="6E05C8A6">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r>
      <w:tr w14:paraId="360186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3" w:hRule="atLeast"/>
        </w:trPr>
        <w:tc>
          <w:tcPr>
            <w:tcW w:w="867" w:type="dxa"/>
            <w:vMerge w:val="continue"/>
            <w:tcBorders>
              <w:right w:val="single" w:color="auto" w:sz="4" w:space="0"/>
            </w:tcBorders>
            <w:noWrap w:val="0"/>
            <w:vAlign w:val="center"/>
          </w:tcPr>
          <w:p w14:paraId="4BD38B24">
            <w:pPr>
              <w:widowControl/>
              <w:jc w:val="center"/>
              <w:rPr>
                <w:rFonts w:hint="eastAsia" w:ascii="宋体" w:hAnsi="宋体" w:eastAsia="宋体" w:cs="宋体"/>
                <w:bCs/>
                <w:color w:val="auto"/>
                <w:sz w:val="21"/>
                <w:szCs w:val="21"/>
                <w:highlight w:val="none"/>
              </w:rPr>
            </w:pPr>
          </w:p>
        </w:tc>
        <w:tc>
          <w:tcPr>
            <w:tcW w:w="1260" w:type="dxa"/>
            <w:vMerge w:val="continue"/>
            <w:tcBorders>
              <w:right w:val="single" w:color="auto" w:sz="4" w:space="0"/>
            </w:tcBorders>
            <w:noWrap w:val="0"/>
            <w:vAlign w:val="center"/>
          </w:tcPr>
          <w:p w14:paraId="58AF9225">
            <w:pPr>
              <w:pStyle w:val="3"/>
              <w:widowControl/>
              <w:spacing w:line="240" w:lineRule="auto"/>
              <w:jc w:val="both"/>
              <w:rPr>
                <w:rFonts w:hint="eastAsia" w:ascii="宋体" w:hAnsi="宋体" w:eastAsia="宋体" w:cs="宋体"/>
                <w:b w:val="0"/>
                <w:color w:val="auto"/>
                <w:kern w:val="0"/>
                <w:sz w:val="21"/>
                <w:szCs w:val="21"/>
                <w:highlight w:val="none"/>
              </w:rPr>
            </w:pPr>
          </w:p>
        </w:tc>
        <w:tc>
          <w:tcPr>
            <w:tcW w:w="6667" w:type="dxa"/>
            <w:tcBorders>
              <w:right w:val="single" w:color="auto" w:sz="4" w:space="0"/>
            </w:tcBorders>
            <w:noWrap w:val="0"/>
            <w:vAlign w:val="center"/>
          </w:tcPr>
          <w:p w14:paraId="253A035A">
            <w:pPr>
              <w:pStyle w:val="2"/>
              <w:adjustRightInd/>
              <w:spacing w:after="0"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（2）根据供应商</w:t>
            </w:r>
            <w:r>
              <w:rPr>
                <w:rFonts w:hint="eastAsia" w:ascii="宋体" w:hAnsi="宋体" w:cs="宋体"/>
                <w:color w:val="auto"/>
                <w:sz w:val="21"/>
                <w:szCs w:val="21"/>
                <w:highlight w:val="none"/>
                <w:lang w:val="en-US" w:eastAsia="zh-CN"/>
              </w:rPr>
              <w:t>提供的东南亚和土耳其纺织服装行业研究报告</w:t>
            </w:r>
            <w:r>
              <w:rPr>
                <w:rFonts w:hint="eastAsia" w:ascii="宋体" w:hAnsi="宋体" w:eastAsia="宋体" w:cs="宋体"/>
                <w:color w:val="auto"/>
                <w:sz w:val="21"/>
                <w:szCs w:val="21"/>
                <w:highlight w:val="none"/>
                <w:lang w:val="en-US" w:eastAsia="zh-CN"/>
              </w:rPr>
              <w:t>进行综合评议：</w:t>
            </w:r>
          </w:p>
          <w:p w14:paraId="20334D25">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报告内容包含</w:t>
            </w:r>
            <w:r>
              <w:rPr>
                <w:rFonts w:hint="eastAsia" w:ascii="宋体" w:hAnsi="宋体" w:cs="宋体"/>
                <w:color w:val="auto"/>
                <w:sz w:val="21"/>
                <w:szCs w:val="21"/>
                <w:highlight w:val="none"/>
                <w:lang w:val="en-US" w:eastAsia="zh-CN"/>
              </w:rPr>
              <w:t>东南亚和土耳其</w:t>
            </w:r>
            <w:r>
              <w:rPr>
                <w:rFonts w:hint="eastAsia" w:ascii="宋体" w:hAnsi="宋体" w:eastAsia="宋体" w:cs="宋体"/>
                <w:color w:val="auto"/>
                <w:sz w:val="21"/>
                <w:szCs w:val="21"/>
                <w:highlight w:val="none"/>
              </w:rPr>
              <w:t>纺织服装</w:t>
            </w:r>
            <w:r>
              <w:rPr>
                <w:rFonts w:hint="eastAsia" w:ascii="宋体" w:hAnsi="宋体" w:cs="宋体"/>
                <w:color w:val="auto"/>
                <w:sz w:val="21"/>
                <w:szCs w:val="21"/>
                <w:highlight w:val="none"/>
                <w:lang w:val="en-US" w:eastAsia="zh-CN"/>
              </w:rPr>
              <w:t>现状分析、产业链和产能分析、优势分析、发展趋势分析</w:t>
            </w:r>
            <w:r>
              <w:rPr>
                <w:rFonts w:hint="eastAsia" w:ascii="宋体" w:hAnsi="宋体" w:eastAsia="宋体" w:cs="宋体"/>
                <w:b w:val="0"/>
                <w:bCs w:val="0"/>
                <w:color w:val="auto"/>
                <w:kern w:val="0"/>
                <w:sz w:val="21"/>
                <w:szCs w:val="21"/>
                <w:highlight w:val="none"/>
                <w:lang w:val="en-US" w:eastAsia="zh-CN" w:bidi="ar-SA"/>
              </w:rPr>
              <w:t>，各个方面</w:t>
            </w:r>
            <w:r>
              <w:rPr>
                <w:rFonts w:hint="eastAsia" w:ascii="宋体" w:hAnsi="宋体" w:cs="宋体"/>
                <w:b w:val="0"/>
                <w:bCs w:val="0"/>
                <w:color w:val="auto"/>
                <w:kern w:val="0"/>
                <w:sz w:val="21"/>
                <w:szCs w:val="21"/>
                <w:highlight w:val="none"/>
                <w:lang w:val="en-US" w:eastAsia="zh-CN" w:bidi="ar-SA"/>
              </w:rPr>
              <w:t>的</w:t>
            </w:r>
            <w:r>
              <w:rPr>
                <w:rFonts w:hint="eastAsia" w:ascii="宋体" w:hAnsi="宋体" w:eastAsia="宋体" w:cs="宋体"/>
                <w:b w:val="0"/>
                <w:bCs w:val="0"/>
                <w:color w:val="auto"/>
                <w:kern w:val="0"/>
                <w:sz w:val="21"/>
                <w:szCs w:val="21"/>
                <w:highlight w:val="none"/>
                <w:lang w:val="en-US" w:eastAsia="zh-CN" w:bidi="ar-SA"/>
              </w:rPr>
              <w:t>分析</w:t>
            </w:r>
            <w:r>
              <w:rPr>
                <w:rFonts w:hint="eastAsia" w:ascii="宋体" w:hAnsi="宋体" w:cs="宋体"/>
                <w:b w:val="0"/>
                <w:bCs w:val="0"/>
                <w:color w:val="auto"/>
                <w:kern w:val="0"/>
                <w:sz w:val="21"/>
                <w:szCs w:val="21"/>
                <w:highlight w:val="none"/>
                <w:lang w:val="en-US" w:eastAsia="zh-CN" w:bidi="ar-SA"/>
              </w:rPr>
              <w:t>全面详细的</w:t>
            </w:r>
            <w:r>
              <w:rPr>
                <w:rFonts w:hint="eastAsia" w:ascii="宋体" w:hAnsi="宋体" w:eastAsia="宋体" w:cs="宋体"/>
                <w:b w:val="0"/>
                <w:bCs w:val="0"/>
                <w:color w:val="auto"/>
                <w:kern w:val="0"/>
                <w:sz w:val="21"/>
                <w:szCs w:val="21"/>
                <w:highlight w:val="none"/>
                <w:lang w:val="en-US" w:eastAsia="zh-CN" w:bidi="ar-SA"/>
              </w:rPr>
              <w:t>得8分；</w:t>
            </w:r>
          </w:p>
          <w:p w14:paraId="30CE690D">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报告内容较为</w:t>
            </w:r>
            <w:r>
              <w:rPr>
                <w:rFonts w:hint="eastAsia" w:ascii="宋体" w:hAnsi="宋体" w:eastAsia="宋体" w:cs="宋体"/>
                <w:b w:val="0"/>
                <w:bCs w:val="0"/>
                <w:color w:val="auto"/>
                <w:kern w:val="0"/>
                <w:sz w:val="21"/>
                <w:szCs w:val="21"/>
                <w:highlight w:val="none"/>
                <w:lang w:val="en-US" w:eastAsia="zh-CN" w:bidi="ar-SA"/>
              </w:rPr>
              <w:t>完整，</w:t>
            </w:r>
            <w:r>
              <w:rPr>
                <w:rFonts w:hint="eastAsia" w:ascii="宋体" w:hAnsi="宋体" w:cs="宋体"/>
                <w:color w:val="auto"/>
                <w:sz w:val="21"/>
                <w:szCs w:val="21"/>
                <w:highlight w:val="none"/>
                <w:lang w:val="en-US" w:eastAsia="zh-CN"/>
              </w:rPr>
              <w:t>东南亚和土耳其</w:t>
            </w:r>
            <w:r>
              <w:rPr>
                <w:rFonts w:hint="eastAsia" w:ascii="宋体" w:hAnsi="宋体" w:eastAsia="宋体" w:cs="宋体"/>
                <w:color w:val="auto"/>
                <w:sz w:val="21"/>
                <w:szCs w:val="21"/>
                <w:highlight w:val="none"/>
              </w:rPr>
              <w:t>纺织服装</w:t>
            </w:r>
            <w:r>
              <w:rPr>
                <w:rFonts w:hint="eastAsia" w:ascii="宋体" w:hAnsi="宋体" w:cs="宋体"/>
                <w:color w:val="auto"/>
                <w:sz w:val="21"/>
                <w:szCs w:val="21"/>
                <w:highlight w:val="none"/>
                <w:lang w:val="en-US" w:eastAsia="zh-CN"/>
              </w:rPr>
              <w:t>现状分析、产业链和产能分析、优势分析、发展趋势分析均有涉及</w:t>
            </w:r>
            <w:r>
              <w:rPr>
                <w:rFonts w:hint="eastAsia" w:ascii="宋体" w:hAnsi="宋体" w:eastAsia="宋体" w:cs="宋体"/>
                <w:b w:val="0"/>
                <w:bCs w:val="0"/>
                <w:color w:val="auto"/>
                <w:kern w:val="0"/>
                <w:sz w:val="21"/>
                <w:szCs w:val="21"/>
                <w:highlight w:val="none"/>
                <w:lang w:val="en-US" w:eastAsia="zh-CN" w:bidi="ar-SA"/>
              </w:rPr>
              <w:t>的得5分；</w:t>
            </w:r>
          </w:p>
          <w:p w14:paraId="546A4977">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方案内容较为简单，</w:t>
            </w:r>
            <w:r>
              <w:rPr>
                <w:rFonts w:hint="eastAsia" w:ascii="宋体" w:hAnsi="宋体" w:cs="宋体"/>
                <w:b w:val="0"/>
                <w:bCs w:val="0"/>
                <w:color w:val="auto"/>
                <w:kern w:val="0"/>
                <w:sz w:val="21"/>
                <w:szCs w:val="21"/>
                <w:highlight w:val="none"/>
                <w:lang w:val="en-US" w:eastAsia="zh-CN" w:bidi="ar-SA"/>
              </w:rPr>
              <w:t>各方面</w:t>
            </w:r>
            <w:r>
              <w:rPr>
                <w:rFonts w:hint="eastAsia" w:ascii="宋体" w:hAnsi="宋体" w:eastAsia="宋体" w:cs="宋体"/>
                <w:b w:val="0"/>
                <w:bCs w:val="0"/>
                <w:color w:val="auto"/>
                <w:kern w:val="0"/>
                <w:sz w:val="21"/>
                <w:szCs w:val="21"/>
                <w:highlight w:val="none"/>
                <w:lang w:val="en-US" w:eastAsia="zh-CN" w:bidi="ar-SA"/>
              </w:rPr>
              <w:t>缺乏对细节的深入分析</w:t>
            </w:r>
            <w:r>
              <w:rPr>
                <w:rFonts w:hint="eastAsia" w:ascii="宋体" w:hAnsi="宋体" w:cs="宋体"/>
                <w:b w:val="0"/>
                <w:bCs w:val="0"/>
                <w:color w:val="auto"/>
                <w:kern w:val="0"/>
                <w:sz w:val="21"/>
                <w:szCs w:val="21"/>
                <w:highlight w:val="none"/>
                <w:lang w:val="en-US" w:eastAsia="zh-CN" w:bidi="ar-SA"/>
              </w:rPr>
              <w:t>的</w:t>
            </w:r>
            <w:r>
              <w:rPr>
                <w:rFonts w:hint="eastAsia" w:ascii="宋体" w:hAnsi="宋体" w:eastAsia="宋体" w:cs="宋体"/>
                <w:b w:val="0"/>
                <w:bCs w:val="0"/>
                <w:color w:val="auto"/>
                <w:kern w:val="0"/>
                <w:sz w:val="21"/>
                <w:szCs w:val="21"/>
                <w:highlight w:val="none"/>
                <w:lang w:val="en-US" w:eastAsia="zh-CN" w:bidi="ar-SA"/>
              </w:rPr>
              <w:t>得3分；</w:t>
            </w:r>
          </w:p>
          <w:p w14:paraId="23C3627F">
            <w:pPr>
              <w:pStyle w:val="2"/>
              <w:adjustRightInd/>
              <w:spacing w:after="0"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SA"/>
              </w:rPr>
              <w:t>未提供不得分。</w:t>
            </w:r>
          </w:p>
        </w:tc>
        <w:tc>
          <w:tcPr>
            <w:tcW w:w="664" w:type="dxa"/>
            <w:tcBorders>
              <w:left w:val="single" w:color="auto" w:sz="4" w:space="0"/>
            </w:tcBorders>
            <w:noWrap w:val="0"/>
            <w:vAlign w:val="center"/>
          </w:tcPr>
          <w:p w14:paraId="6451992D">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r>
      <w:tr w14:paraId="6FFCC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3" w:hRule="atLeast"/>
        </w:trPr>
        <w:tc>
          <w:tcPr>
            <w:tcW w:w="867" w:type="dxa"/>
            <w:vMerge w:val="continue"/>
            <w:tcBorders>
              <w:right w:val="single" w:color="auto" w:sz="4" w:space="0"/>
            </w:tcBorders>
            <w:noWrap w:val="0"/>
            <w:vAlign w:val="center"/>
          </w:tcPr>
          <w:p w14:paraId="2D08438B">
            <w:pPr>
              <w:widowControl/>
              <w:jc w:val="center"/>
              <w:rPr>
                <w:rFonts w:hint="eastAsia" w:ascii="宋体" w:hAnsi="宋体" w:eastAsia="宋体" w:cs="宋体"/>
                <w:bCs/>
                <w:color w:val="auto"/>
                <w:sz w:val="21"/>
                <w:szCs w:val="21"/>
                <w:highlight w:val="none"/>
              </w:rPr>
            </w:pPr>
          </w:p>
        </w:tc>
        <w:tc>
          <w:tcPr>
            <w:tcW w:w="1260" w:type="dxa"/>
            <w:vMerge w:val="continue"/>
            <w:tcBorders>
              <w:right w:val="single" w:color="auto" w:sz="4" w:space="0"/>
            </w:tcBorders>
            <w:noWrap w:val="0"/>
            <w:vAlign w:val="center"/>
          </w:tcPr>
          <w:p w14:paraId="67CE5F45">
            <w:pPr>
              <w:pStyle w:val="3"/>
              <w:widowControl/>
              <w:spacing w:line="240" w:lineRule="auto"/>
              <w:jc w:val="both"/>
              <w:rPr>
                <w:rFonts w:hint="eastAsia" w:ascii="宋体" w:hAnsi="宋体" w:eastAsia="宋体" w:cs="宋体"/>
                <w:b w:val="0"/>
                <w:color w:val="auto"/>
                <w:kern w:val="0"/>
                <w:sz w:val="21"/>
                <w:szCs w:val="21"/>
                <w:highlight w:val="none"/>
              </w:rPr>
            </w:pPr>
          </w:p>
        </w:tc>
        <w:tc>
          <w:tcPr>
            <w:tcW w:w="6667" w:type="dxa"/>
            <w:tcBorders>
              <w:right w:val="single" w:color="auto" w:sz="4" w:space="0"/>
            </w:tcBorders>
            <w:noWrap w:val="0"/>
            <w:vAlign w:val="center"/>
          </w:tcPr>
          <w:p w14:paraId="7816126D">
            <w:pPr>
              <w:pStyle w:val="2"/>
              <w:adjustRightInd/>
              <w:spacing w:after="0"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（3）根据供应商</w:t>
            </w:r>
            <w:r>
              <w:rPr>
                <w:rFonts w:hint="eastAsia" w:ascii="宋体" w:hAnsi="宋体" w:cs="宋体"/>
                <w:color w:val="auto"/>
                <w:sz w:val="21"/>
                <w:szCs w:val="21"/>
                <w:highlight w:val="none"/>
                <w:lang w:val="en-US" w:eastAsia="zh-CN"/>
              </w:rPr>
              <w:t>提供的</w:t>
            </w:r>
            <w:r>
              <w:rPr>
                <w:rFonts w:hint="eastAsia" w:ascii="宋体" w:hAnsi="宋体" w:eastAsia="宋体" w:cs="宋体"/>
                <w:b w:val="0"/>
                <w:bCs w:val="0"/>
                <w:color w:val="auto"/>
                <w:sz w:val="21"/>
                <w:szCs w:val="21"/>
                <w:highlight w:val="none"/>
              </w:rPr>
              <w:t>汽车海外重点市场</w:t>
            </w:r>
            <w:r>
              <w:rPr>
                <w:rFonts w:hint="eastAsia" w:hAnsi="宋体" w:eastAsia="宋体" w:cs="宋体"/>
                <w:b w:val="0"/>
                <w:bCs w:val="0"/>
                <w:color w:val="auto"/>
                <w:sz w:val="21"/>
                <w:szCs w:val="21"/>
                <w:highlight w:val="none"/>
                <w:lang w:eastAsia="zh-CN"/>
              </w:rPr>
              <w:t>（俄罗斯、墨西哥、比利时、英国、澳大利亚、沙特、阿联酋、泰国）</w:t>
            </w:r>
            <w:r>
              <w:rPr>
                <w:rFonts w:hint="eastAsia" w:ascii="宋体" w:hAnsi="宋体" w:eastAsia="宋体" w:cs="宋体"/>
                <w:b w:val="0"/>
                <w:bCs w:val="0"/>
                <w:color w:val="auto"/>
                <w:sz w:val="21"/>
                <w:szCs w:val="21"/>
                <w:highlight w:val="none"/>
              </w:rPr>
              <w:t>和造车新势力买方研究报告</w:t>
            </w:r>
            <w:r>
              <w:rPr>
                <w:rFonts w:hint="eastAsia" w:ascii="宋体" w:hAnsi="宋体" w:eastAsia="宋体" w:cs="宋体"/>
                <w:b w:val="0"/>
                <w:bCs w:val="0"/>
                <w:color w:val="auto"/>
                <w:sz w:val="21"/>
                <w:szCs w:val="21"/>
                <w:highlight w:val="none"/>
                <w:lang w:val="en-US" w:eastAsia="zh-CN"/>
              </w:rPr>
              <w:t>进行综合评议：</w:t>
            </w:r>
          </w:p>
          <w:p w14:paraId="2DC7463B">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报告内容包含</w:t>
            </w:r>
            <w:r>
              <w:rPr>
                <w:rFonts w:hint="eastAsia" w:hAnsi="宋体" w:eastAsia="宋体" w:cs="宋体"/>
                <w:color w:val="auto"/>
                <w:kern w:val="0"/>
                <w:sz w:val="21"/>
                <w:szCs w:val="21"/>
                <w:highlight w:val="none"/>
                <w:lang w:val="en-US" w:eastAsia="zh-CN" w:bidi="ar"/>
              </w:rPr>
              <w:t>重点海外市场汽车生产分析</w:t>
            </w:r>
            <w:r>
              <w:rPr>
                <w:rFonts w:hint="eastAsia" w:ascii="宋体" w:hAnsi="宋体" w:cs="宋体"/>
                <w:color w:val="auto"/>
                <w:sz w:val="21"/>
                <w:szCs w:val="21"/>
                <w:highlight w:val="none"/>
                <w:lang w:val="en-US" w:eastAsia="zh-CN"/>
              </w:rPr>
              <w:t>、</w:t>
            </w:r>
            <w:r>
              <w:rPr>
                <w:rFonts w:hint="eastAsia" w:hAnsi="宋体" w:eastAsia="宋体" w:cs="宋体"/>
                <w:color w:val="auto"/>
                <w:kern w:val="0"/>
                <w:sz w:val="21"/>
                <w:szCs w:val="21"/>
                <w:highlight w:val="none"/>
                <w:lang w:val="en-US" w:eastAsia="zh-CN" w:bidi="ar"/>
              </w:rPr>
              <w:t>汽车销售分析</w:t>
            </w:r>
            <w:r>
              <w:rPr>
                <w:rFonts w:hint="eastAsia" w:ascii="宋体" w:hAnsi="宋体" w:cs="宋体"/>
                <w:color w:val="auto"/>
                <w:sz w:val="21"/>
                <w:szCs w:val="21"/>
                <w:highlight w:val="none"/>
                <w:lang w:val="en-US" w:eastAsia="zh-CN"/>
              </w:rPr>
              <w:t>、</w:t>
            </w:r>
            <w:r>
              <w:rPr>
                <w:rFonts w:hint="eastAsia" w:hAnsi="宋体" w:eastAsia="宋体" w:cs="宋体"/>
                <w:color w:val="auto"/>
                <w:kern w:val="0"/>
                <w:sz w:val="21"/>
                <w:szCs w:val="21"/>
                <w:highlight w:val="none"/>
                <w:lang w:val="en-US" w:eastAsia="zh-CN" w:bidi="ar"/>
              </w:rPr>
              <w:t>进出口分析</w:t>
            </w:r>
            <w:r>
              <w:rPr>
                <w:rFonts w:hint="eastAsia" w:ascii="宋体" w:hAnsi="宋体" w:cs="宋体"/>
                <w:color w:val="auto"/>
                <w:sz w:val="21"/>
                <w:szCs w:val="21"/>
                <w:highlight w:val="none"/>
                <w:lang w:val="en-US" w:eastAsia="zh-CN"/>
              </w:rPr>
              <w:t>、</w:t>
            </w:r>
            <w:r>
              <w:rPr>
                <w:rFonts w:hint="eastAsia" w:hAnsi="宋体" w:eastAsia="宋体" w:cs="宋体"/>
                <w:color w:val="auto"/>
                <w:kern w:val="0"/>
                <w:sz w:val="21"/>
                <w:szCs w:val="21"/>
                <w:highlight w:val="none"/>
                <w:lang w:val="en-US" w:eastAsia="zh-CN" w:bidi="ar"/>
              </w:rPr>
              <w:t>新能源汽车市场分析</w:t>
            </w:r>
            <w:r>
              <w:rPr>
                <w:rFonts w:hint="eastAsia" w:ascii="宋体" w:hAnsi="宋体" w:eastAsia="宋体" w:cs="宋体"/>
                <w:b w:val="0"/>
                <w:bCs w:val="0"/>
                <w:color w:val="auto"/>
                <w:kern w:val="0"/>
                <w:sz w:val="21"/>
                <w:szCs w:val="21"/>
                <w:highlight w:val="none"/>
                <w:lang w:val="en-US" w:eastAsia="zh-CN" w:bidi="ar-SA"/>
              </w:rPr>
              <w:t>，各个方面</w:t>
            </w:r>
            <w:r>
              <w:rPr>
                <w:rFonts w:hint="eastAsia" w:ascii="宋体" w:hAnsi="宋体" w:cs="宋体"/>
                <w:b w:val="0"/>
                <w:bCs w:val="0"/>
                <w:color w:val="auto"/>
                <w:kern w:val="0"/>
                <w:sz w:val="21"/>
                <w:szCs w:val="21"/>
                <w:highlight w:val="none"/>
                <w:lang w:val="en-US" w:eastAsia="zh-CN" w:bidi="ar-SA"/>
              </w:rPr>
              <w:t>的</w:t>
            </w:r>
            <w:r>
              <w:rPr>
                <w:rFonts w:hint="eastAsia" w:ascii="宋体" w:hAnsi="宋体" w:eastAsia="宋体" w:cs="宋体"/>
                <w:b w:val="0"/>
                <w:bCs w:val="0"/>
                <w:color w:val="auto"/>
                <w:kern w:val="0"/>
                <w:sz w:val="21"/>
                <w:szCs w:val="21"/>
                <w:highlight w:val="none"/>
                <w:lang w:val="en-US" w:eastAsia="zh-CN" w:bidi="ar-SA"/>
              </w:rPr>
              <w:t>分析</w:t>
            </w:r>
            <w:r>
              <w:rPr>
                <w:rFonts w:hint="eastAsia" w:ascii="宋体" w:hAnsi="宋体" w:cs="宋体"/>
                <w:b w:val="0"/>
                <w:bCs w:val="0"/>
                <w:color w:val="auto"/>
                <w:kern w:val="0"/>
                <w:sz w:val="21"/>
                <w:szCs w:val="21"/>
                <w:highlight w:val="none"/>
                <w:lang w:val="en-US" w:eastAsia="zh-CN" w:bidi="ar-SA"/>
              </w:rPr>
              <w:t>全面详细的</w:t>
            </w:r>
            <w:r>
              <w:rPr>
                <w:rFonts w:hint="eastAsia" w:ascii="宋体" w:hAnsi="宋体" w:eastAsia="宋体" w:cs="宋体"/>
                <w:b w:val="0"/>
                <w:bCs w:val="0"/>
                <w:color w:val="auto"/>
                <w:kern w:val="0"/>
                <w:sz w:val="21"/>
                <w:szCs w:val="21"/>
                <w:highlight w:val="none"/>
                <w:lang w:val="en-US" w:eastAsia="zh-CN" w:bidi="ar-SA"/>
              </w:rPr>
              <w:t>得8分；</w:t>
            </w:r>
          </w:p>
          <w:p w14:paraId="7C90147F">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报告内容较为完整，</w:t>
            </w:r>
            <w:r>
              <w:rPr>
                <w:rFonts w:hint="eastAsia" w:hAnsi="宋体" w:eastAsia="宋体" w:cs="宋体"/>
                <w:color w:val="auto"/>
                <w:kern w:val="0"/>
                <w:sz w:val="21"/>
                <w:szCs w:val="21"/>
                <w:highlight w:val="none"/>
                <w:lang w:val="en-US" w:eastAsia="zh-CN" w:bidi="ar"/>
              </w:rPr>
              <w:t>重点海外市场汽车生产分析</w:t>
            </w:r>
            <w:r>
              <w:rPr>
                <w:rFonts w:hint="eastAsia" w:ascii="宋体" w:hAnsi="宋体" w:cs="宋体"/>
                <w:color w:val="auto"/>
                <w:sz w:val="21"/>
                <w:szCs w:val="21"/>
                <w:highlight w:val="none"/>
                <w:lang w:val="en-US" w:eastAsia="zh-CN"/>
              </w:rPr>
              <w:t>、</w:t>
            </w:r>
            <w:r>
              <w:rPr>
                <w:rFonts w:hint="eastAsia" w:hAnsi="宋体" w:eastAsia="宋体" w:cs="宋体"/>
                <w:color w:val="auto"/>
                <w:kern w:val="0"/>
                <w:sz w:val="21"/>
                <w:szCs w:val="21"/>
                <w:highlight w:val="none"/>
                <w:lang w:val="en-US" w:eastAsia="zh-CN" w:bidi="ar"/>
              </w:rPr>
              <w:t>汽车销售分析</w:t>
            </w:r>
            <w:r>
              <w:rPr>
                <w:rFonts w:hint="eastAsia" w:ascii="宋体" w:hAnsi="宋体" w:cs="宋体"/>
                <w:color w:val="auto"/>
                <w:sz w:val="21"/>
                <w:szCs w:val="21"/>
                <w:highlight w:val="none"/>
                <w:lang w:val="en-US" w:eastAsia="zh-CN"/>
              </w:rPr>
              <w:t>、</w:t>
            </w:r>
            <w:r>
              <w:rPr>
                <w:rFonts w:hint="eastAsia" w:hAnsi="宋体" w:eastAsia="宋体" w:cs="宋体"/>
                <w:color w:val="auto"/>
                <w:kern w:val="0"/>
                <w:sz w:val="21"/>
                <w:szCs w:val="21"/>
                <w:highlight w:val="none"/>
                <w:lang w:val="en-US" w:eastAsia="zh-CN" w:bidi="ar"/>
              </w:rPr>
              <w:t>进出口分析</w:t>
            </w:r>
            <w:r>
              <w:rPr>
                <w:rFonts w:hint="eastAsia" w:ascii="宋体" w:hAnsi="宋体" w:cs="宋体"/>
                <w:color w:val="auto"/>
                <w:sz w:val="21"/>
                <w:szCs w:val="21"/>
                <w:highlight w:val="none"/>
                <w:lang w:val="en-US" w:eastAsia="zh-CN"/>
              </w:rPr>
              <w:t>、</w:t>
            </w:r>
            <w:r>
              <w:rPr>
                <w:rFonts w:hint="eastAsia" w:hAnsi="宋体" w:eastAsia="宋体" w:cs="宋体"/>
                <w:color w:val="auto"/>
                <w:kern w:val="0"/>
                <w:sz w:val="21"/>
                <w:szCs w:val="21"/>
                <w:highlight w:val="none"/>
                <w:lang w:val="en-US" w:eastAsia="zh-CN" w:bidi="ar"/>
              </w:rPr>
              <w:t>新能源汽车市场</w:t>
            </w:r>
            <w:r>
              <w:rPr>
                <w:rFonts w:hint="eastAsia" w:ascii="宋体" w:hAnsi="宋体" w:eastAsia="宋体" w:cs="宋体"/>
                <w:b w:val="0"/>
                <w:bCs w:val="0"/>
                <w:color w:val="auto"/>
                <w:kern w:val="0"/>
                <w:sz w:val="21"/>
                <w:szCs w:val="21"/>
                <w:highlight w:val="none"/>
                <w:lang w:val="en-US" w:eastAsia="zh-CN" w:bidi="ar-SA"/>
              </w:rPr>
              <w:t>分析均有涉及的得5分；</w:t>
            </w:r>
          </w:p>
          <w:p w14:paraId="2770417B">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方案内容较为简单，</w:t>
            </w:r>
            <w:r>
              <w:rPr>
                <w:rFonts w:hint="eastAsia" w:ascii="宋体" w:hAnsi="宋体" w:cs="宋体"/>
                <w:b w:val="0"/>
                <w:bCs w:val="0"/>
                <w:color w:val="auto"/>
                <w:kern w:val="0"/>
                <w:sz w:val="21"/>
                <w:szCs w:val="21"/>
                <w:highlight w:val="none"/>
                <w:lang w:val="en-US" w:eastAsia="zh-CN" w:bidi="ar-SA"/>
              </w:rPr>
              <w:t>各方面</w:t>
            </w:r>
            <w:r>
              <w:rPr>
                <w:rFonts w:hint="eastAsia" w:ascii="宋体" w:hAnsi="宋体" w:eastAsia="宋体" w:cs="宋体"/>
                <w:b w:val="0"/>
                <w:bCs w:val="0"/>
                <w:color w:val="auto"/>
                <w:kern w:val="0"/>
                <w:sz w:val="21"/>
                <w:szCs w:val="21"/>
                <w:highlight w:val="none"/>
                <w:lang w:val="en-US" w:eastAsia="zh-CN" w:bidi="ar-SA"/>
              </w:rPr>
              <w:t>缺乏对细节的深入分析</w:t>
            </w:r>
            <w:r>
              <w:rPr>
                <w:rFonts w:hint="eastAsia" w:ascii="宋体" w:hAnsi="宋体" w:cs="宋体"/>
                <w:b w:val="0"/>
                <w:bCs w:val="0"/>
                <w:color w:val="auto"/>
                <w:kern w:val="0"/>
                <w:sz w:val="21"/>
                <w:szCs w:val="21"/>
                <w:highlight w:val="none"/>
                <w:lang w:val="en-US" w:eastAsia="zh-CN" w:bidi="ar-SA"/>
              </w:rPr>
              <w:t>的</w:t>
            </w:r>
            <w:r>
              <w:rPr>
                <w:rFonts w:hint="eastAsia" w:ascii="宋体" w:hAnsi="宋体" w:eastAsia="宋体" w:cs="宋体"/>
                <w:b w:val="0"/>
                <w:bCs w:val="0"/>
                <w:color w:val="auto"/>
                <w:kern w:val="0"/>
                <w:sz w:val="21"/>
                <w:szCs w:val="21"/>
                <w:highlight w:val="none"/>
                <w:lang w:val="en-US" w:eastAsia="zh-CN" w:bidi="ar-SA"/>
              </w:rPr>
              <w:t>得3分；</w:t>
            </w:r>
          </w:p>
          <w:p w14:paraId="02BEA213">
            <w:pPr>
              <w:pStyle w:val="2"/>
              <w:adjustRightInd/>
              <w:spacing w:after="0"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SA"/>
              </w:rPr>
              <w:t>未提供不得分。</w:t>
            </w:r>
          </w:p>
        </w:tc>
        <w:tc>
          <w:tcPr>
            <w:tcW w:w="664" w:type="dxa"/>
            <w:tcBorders>
              <w:left w:val="single" w:color="auto" w:sz="4" w:space="0"/>
            </w:tcBorders>
            <w:noWrap w:val="0"/>
            <w:vAlign w:val="center"/>
          </w:tcPr>
          <w:p w14:paraId="74BE458A">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r>
      <w:tr w14:paraId="5A68DF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97" w:hRule="atLeast"/>
        </w:trPr>
        <w:tc>
          <w:tcPr>
            <w:tcW w:w="867" w:type="dxa"/>
            <w:vMerge w:val="continue"/>
            <w:tcBorders>
              <w:right w:val="single" w:color="auto" w:sz="4" w:space="0"/>
            </w:tcBorders>
            <w:noWrap w:val="0"/>
            <w:vAlign w:val="center"/>
          </w:tcPr>
          <w:p w14:paraId="0DCFBE52">
            <w:pPr>
              <w:widowControl/>
              <w:jc w:val="center"/>
              <w:rPr>
                <w:rFonts w:hint="eastAsia" w:ascii="宋体" w:hAnsi="宋体" w:eastAsia="宋体" w:cs="宋体"/>
                <w:bCs/>
                <w:color w:val="auto"/>
                <w:sz w:val="21"/>
                <w:szCs w:val="21"/>
                <w:highlight w:val="none"/>
              </w:rPr>
            </w:pPr>
          </w:p>
        </w:tc>
        <w:tc>
          <w:tcPr>
            <w:tcW w:w="1260" w:type="dxa"/>
            <w:vMerge w:val="continue"/>
            <w:tcBorders>
              <w:right w:val="single" w:color="auto" w:sz="4" w:space="0"/>
            </w:tcBorders>
            <w:noWrap w:val="0"/>
            <w:vAlign w:val="center"/>
          </w:tcPr>
          <w:p w14:paraId="55380045">
            <w:pPr>
              <w:pStyle w:val="3"/>
              <w:widowControl/>
              <w:spacing w:line="240" w:lineRule="auto"/>
              <w:jc w:val="both"/>
              <w:rPr>
                <w:rFonts w:hint="eastAsia" w:ascii="宋体" w:hAnsi="宋体" w:eastAsia="宋体" w:cs="宋体"/>
                <w:b w:val="0"/>
                <w:color w:val="auto"/>
                <w:kern w:val="0"/>
                <w:sz w:val="21"/>
                <w:szCs w:val="21"/>
                <w:highlight w:val="none"/>
              </w:rPr>
            </w:pPr>
          </w:p>
        </w:tc>
        <w:tc>
          <w:tcPr>
            <w:tcW w:w="6667" w:type="dxa"/>
            <w:tcBorders>
              <w:right w:val="single" w:color="auto" w:sz="4" w:space="0"/>
            </w:tcBorders>
            <w:noWrap w:val="0"/>
            <w:vAlign w:val="center"/>
          </w:tcPr>
          <w:p w14:paraId="55BDB26D">
            <w:pPr>
              <w:pStyle w:val="2"/>
              <w:adjustRightInd/>
              <w:spacing w:after="0"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（4）根据供应商</w:t>
            </w:r>
            <w:r>
              <w:rPr>
                <w:rFonts w:hint="eastAsia" w:ascii="宋体" w:hAnsi="宋体" w:cs="宋体"/>
                <w:color w:val="auto"/>
                <w:sz w:val="21"/>
                <w:szCs w:val="21"/>
                <w:highlight w:val="none"/>
                <w:lang w:val="en-US" w:eastAsia="zh-CN"/>
              </w:rPr>
              <w:t>提供的</w:t>
            </w:r>
            <w:r>
              <w:rPr>
                <w:rFonts w:hint="eastAsia" w:ascii="宋体" w:hAnsi="宋体" w:eastAsia="宋体" w:cs="宋体"/>
                <w:color w:val="auto"/>
                <w:sz w:val="21"/>
                <w:szCs w:val="21"/>
                <w:highlight w:val="none"/>
                <w:lang w:val="en-US" w:eastAsia="zh-CN"/>
              </w:rPr>
              <w:t>《中东欧国家对华出口贸易潜力报告及优势供应商目录》进行综合评议：</w:t>
            </w:r>
          </w:p>
          <w:p w14:paraId="30D641D3">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报告内容包含</w:t>
            </w:r>
            <w:r>
              <w:rPr>
                <w:rFonts w:hint="eastAsia" w:ascii="宋体" w:hAnsi="宋体" w:eastAsia="宋体" w:cs="宋体"/>
                <w:color w:val="auto"/>
                <w:sz w:val="21"/>
                <w:szCs w:val="21"/>
                <w:highlight w:val="none"/>
              </w:rPr>
              <w:t>中东欧国家对华出口贸易</w:t>
            </w:r>
            <w:r>
              <w:rPr>
                <w:rFonts w:hint="eastAsia" w:hAnsi="宋体" w:eastAsia="宋体" w:cs="宋体"/>
                <w:color w:val="auto"/>
                <w:sz w:val="21"/>
                <w:szCs w:val="21"/>
                <w:highlight w:val="none"/>
                <w:lang w:val="en-US" w:eastAsia="zh-CN"/>
              </w:rPr>
              <w:t>潜力分析</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对华出口</w:t>
            </w:r>
            <w:r>
              <w:rPr>
                <w:rFonts w:hint="eastAsia" w:hAnsi="宋体" w:eastAsia="宋体" w:cs="宋体"/>
                <w:color w:val="auto"/>
                <w:kern w:val="0"/>
                <w:sz w:val="21"/>
                <w:szCs w:val="21"/>
                <w:highlight w:val="none"/>
                <w:vertAlign w:val="baseline"/>
                <w:lang w:val="en-US" w:eastAsia="zh-CN"/>
              </w:rPr>
              <w:t>贸易主要农副产品分析</w:t>
            </w:r>
            <w:r>
              <w:rPr>
                <w:rFonts w:hint="eastAsia" w:ascii="宋体" w:hAnsi="宋体" w:cs="宋体"/>
                <w:b w:val="0"/>
                <w:bCs w:val="0"/>
                <w:color w:val="auto"/>
                <w:kern w:val="0"/>
                <w:sz w:val="21"/>
                <w:szCs w:val="21"/>
                <w:highlight w:val="none"/>
                <w:lang w:val="en-US" w:eastAsia="zh-CN" w:bidi="ar-SA"/>
              </w:rPr>
              <w:t>全面详细</w:t>
            </w:r>
            <w:r>
              <w:rPr>
                <w:rFonts w:hint="eastAsia" w:hAnsi="宋体" w:cs="宋体"/>
                <w:color w:val="auto"/>
                <w:kern w:val="0"/>
                <w:sz w:val="21"/>
                <w:szCs w:val="21"/>
                <w:highlight w:val="none"/>
                <w:vertAlign w:val="baseline"/>
                <w:lang w:val="en-US" w:eastAsia="zh-CN"/>
              </w:rPr>
              <w:t>，报告中提供完整的</w:t>
            </w:r>
            <w:r>
              <w:rPr>
                <w:rFonts w:hint="eastAsia" w:hAnsi="宋体" w:eastAsia="宋体" w:cs="宋体"/>
                <w:color w:val="auto"/>
                <w:sz w:val="21"/>
                <w:szCs w:val="21"/>
                <w:highlight w:val="none"/>
                <w:lang w:val="en-US" w:eastAsia="zh-CN"/>
              </w:rPr>
              <w:t>中东欧</w:t>
            </w:r>
            <w:r>
              <w:rPr>
                <w:rFonts w:hint="eastAsia" w:ascii="宋体" w:hAnsi="宋体" w:eastAsia="宋体" w:cs="宋体"/>
                <w:color w:val="auto"/>
                <w:kern w:val="0"/>
                <w:sz w:val="21"/>
                <w:szCs w:val="21"/>
                <w:highlight w:val="none"/>
                <w:vertAlign w:val="baseline"/>
                <w:lang w:val="en-US" w:eastAsia="zh-CN"/>
              </w:rPr>
              <w:t>我市主要产品出口优势供应商名录清单及主要出口品类</w:t>
            </w:r>
            <w:r>
              <w:rPr>
                <w:rFonts w:hint="eastAsia" w:ascii="宋体" w:hAnsi="宋体" w:cs="宋体"/>
                <w:color w:val="auto"/>
                <w:kern w:val="0"/>
                <w:sz w:val="21"/>
                <w:szCs w:val="21"/>
                <w:highlight w:val="none"/>
                <w:vertAlign w:val="baseline"/>
                <w:lang w:val="en-US" w:eastAsia="zh-CN"/>
              </w:rPr>
              <w:t>，</w:t>
            </w:r>
            <w:r>
              <w:rPr>
                <w:rFonts w:hint="eastAsia" w:ascii="宋体" w:hAnsi="宋体" w:eastAsia="宋体" w:cs="宋体"/>
                <w:color w:val="auto"/>
                <w:kern w:val="0"/>
                <w:sz w:val="21"/>
                <w:szCs w:val="21"/>
                <w:highlight w:val="none"/>
                <w:vertAlign w:val="baseline"/>
                <w:lang w:val="en-US" w:eastAsia="zh-CN"/>
              </w:rPr>
              <w:t>供应商简介及经营情况分析</w:t>
            </w:r>
            <w:r>
              <w:rPr>
                <w:rFonts w:hint="eastAsia" w:ascii="宋体" w:hAnsi="宋体" w:cs="宋体"/>
                <w:color w:val="auto"/>
                <w:kern w:val="0"/>
                <w:sz w:val="21"/>
                <w:szCs w:val="21"/>
                <w:highlight w:val="none"/>
                <w:vertAlign w:val="baseline"/>
                <w:lang w:val="en-US" w:eastAsia="zh-CN"/>
              </w:rPr>
              <w:t>完整</w:t>
            </w:r>
            <w:r>
              <w:rPr>
                <w:rFonts w:hint="eastAsia" w:ascii="宋体" w:hAnsi="宋体" w:cs="宋体"/>
                <w:b w:val="0"/>
                <w:bCs w:val="0"/>
                <w:color w:val="auto"/>
                <w:kern w:val="0"/>
                <w:sz w:val="21"/>
                <w:szCs w:val="21"/>
                <w:highlight w:val="none"/>
                <w:lang w:val="en-US" w:eastAsia="zh-CN" w:bidi="ar-SA"/>
              </w:rPr>
              <w:t>的</w:t>
            </w:r>
            <w:r>
              <w:rPr>
                <w:rFonts w:hint="eastAsia" w:ascii="宋体" w:hAnsi="宋体" w:eastAsia="宋体" w:cs="宋体"/>
                <w:b w:val="0"/>
                <w:bCs w:val="0"/>
                <w:color w:val="auto"/>
                <w:kern w:val="0"/>
                <w:sz w:val="21"/>
                <w:szCs w:val="21"/>
                <w:highlight w:val="none"/>
                <w:lang w:val="en-US" w:eastAsia="zh-CN" w:bidi="ar-SA"/>
              </w:rPr>
              <w:t>得8分；</w:t>
            </w:r>
          </w:p>
          <w:p w14:paraId="0BB90374">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报告内容较为完整，</w:t>
            </w:r>
            <w:r>
              <w:rPr>
                <w:rFonts w:hint="eastAsia" w:hAnsi="宋体" w:eastAsia="宋体" w:cs="宋体"/>
                <w:color w:val="auto"/>
                <w:kern w:val="0"/>
                <w:sz w:val="21"/>
                <w:szCs w:val="21"/>
                <w:highlight w:val="none"/>
                <w:lang w:val="en-US" w:eastAsia="zh-CN" w:bidi="ar"/>
              </w:rPr>
              <w:t>中东欧国家对华出口贸易潜力分析、对华出口贸易主要农副产品</w:t>
            </w:r>
            <w:r>
              <w:rPr>
                <w:rFonts w:hint="eastAsia" w:ascii="宋体" w:hAnsi="宋体" w:eastAsia="宋体" w:cs="宋体"/>
                <w:b w:val="0"/>
                <w:bCs w:val="0"/>
                <w:color w:val="auto"/>
                <w:kern w:val="0"/>
                <w:sz w:val="21"/>
                <w:szCs w:val="21"/>
                <w:highlight w:val="none"/>
                <w:lang w:val="en-US" w:eastAsia="zh-CN" w:bidi="ar-SA"/>
              </w:rPr>
              <w:t>分析均有涉及，</w:t>
            </w:r>
            <w:r>
              <w:rPr>
                <w:rFonts w:hint="eastAsia" w:ascii="宋体" w:hAnsi="宋体" w:cs="宋体"/>
                <w:b w:val="0"/>
                <w:bCs w:val="0"/>
                <w:color w:val="auto"/>
                <w:kern w:val="0"/>
                <w:sz w:val="21"/>
                <w:szCs w:val="21"/>
                <w:highlight w:val="none"/>
                <w:lang w:val="en-US" w:eastAsia="zh-CN" w:bidi="ar-SA"/>
              </w:rPr>
              <w:t>报告中均有涉及</w:t>
            </w:r>
            <w:r>
              <w:rPr>
                <w:rFonts w:hint="eastAsia" w:hAnsi="宋体" w:eastAsia="宋体" w:cs="宋体"/>
                <w:color w:val="auto"/>
                <w:sz w:val="21"/>
                <w:szCs w:val="21"/>
                <w:highlight w:val="none"/>
                <w:lang w:val="en-US" w:eastAsia="zh-CN"/>
              </w:rPr>
              <w:t>中东欧</w:t>
            </w:r>
            <w:r>
              <w:rPr>
                <w:rFonts w:hint="eastAsia" w:ascii="宋体" w:hAnsi="宋体" w:eastAsia="宋体" w:cs="宋体"/>
                <w:color w:val="auto"/>
                <w:kern w:val="0"/>
                <w:sz w:val="21"/>
                <w:szCs w:val="21"/>
                <w:highlight w:val="none"/>
                <w:vertAlign w:val="baseline"/>
                <w:lang w:val="en-US" w:eastAsia="zh-CN"/>
              </w:rPr>
              <w:t>我市主要产品出口优势供应商名录清单及主要出口品类</w:t>
            </w:r>
            <w:r>
              <w:rPr>
                <w:rFonts w:hint="eastAsia" w:ascii="宋体" w:hAnsi="宋体" w:cs="宋体"/>
                <w:color w:val="auto"/>
                <w:kern w:val="0"/>
                <w:sz w:val="21"/>
                <w:szCs w:val="21"/>
                <w:highlight w:val="none"/>
                <w:vertAlign w:val="baseline"/>
                <w:lang w:val="en-US" w:eastAsia="zh-CN"/>
              </w:rPr>
              <w:t>，</w:t>
            </w:r>
            <w:r>
              <w:rPr>
                <w:rFonts w:hint="eastAsia" w:ascii="宋体" w:hAnsi="宋体" w:eastAsia="宋体" w:cs="宋体"/>
                <w:color w:val="auto"/>
                <w:kern w:val="0"/>
                <w:sz w:val="21"/>
                <w:szCs w:val="21"/>
                <w:highlight w:val="none"/>
                <w:vertAlign w:val="baseline"/>
                <w:lang w:val="en-US" w:eastAsia="zh-CN"/>
              </w:rPr>
              <w:t>供应商简介及经营情况</w:t>
            </w:r>
            <w:r>
              <w:rPr>
                <w:rFonts w:hint="eastAsia" w:ascii="宋体" w:hAnsi="宋体" w:cs="宋体"/>
                <w:color w:val="auto"/>
                <w:kern w:val="0"/>
                <w:sz w:val="21"/>
                <w:szCs w:val="21"/>
                <w:highlight w:val="none"/>
                <w:vertAlign w:val="baseline"/>
                <w:lang w:val="en-US" w:eastAsia="zh-CN"/>
              </w:rPr>
              <w:t>较为完整</w:t>
            </w:r>
            <w:r>
              <w:rPr>
                <w:rFonts w:hint="eastAsia" w:ascii="宋体" w:hAnsi="宋体" w:eastAsia="宋体" w:cs="宋体"/>
                <w:b w:val="0"/>
                <w:bCs w:val="0"/>
                <w:color w:val="auto"/>
                <w:kern w:val="0"/>
                <w:sz w:val="21"/>
                <w:szCs w:val="21"/>
                <w:highlight w:val="none"/>
                <w:lang w:val="en-US" w:eastAsia="zh-CN" w:bidi="ar-SA"/>
              </w:rPr>
              <w:t>的得5分；</w:t>
            </w:r>
          </w:p>
          <w:p w14:paraId="2CFA3586">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方案内容较为简单，</w:t>
            </w:r>
            <w:r>
              <w:rPr>
                <w:rFonts w:hint="eastAsia" w:ascii="宋体" w:hAnsi="宋体" w:cs="宋体"/>
                <w:b w:val="0"/>
                <w:bCs w:val="0"/>
                <w:color w:val="auto"/>
                <w:kern w:val="0"/>
                <w:sz w:val="21"/>
                <w:szCs w:val="21"/>
                <w:highlight w:val="none"/>
                <w:lang w:val="en-US" w:eastAsia="zh-CN" w:bidi="ar-SA"/>
              </w:rPr>
              <w:t>各方面</w:t>
            </w:r>
            <w:r>
              <w:rPr>
                <w:rFonts w:hint="eastAsia" w:ascii="宋体" w:hAnsi="宋体" w:eastAsia="宋体" w:cs="宋体"/>
                <w:b w:val="0"/>
                <w:bCs w:val="0"/>
                <w:color w:val="auto"/>
                <w:kern w:val="0"/>
                <w:sz w:val="21"/>
                <w:szCs w:val="21"/>
                <w:highlight w:val="none"/>
                <w:lang w:val="en-US" w:eastAsia="zh-CN" w:bidi="ar-SA"/>
              </w:rPr>
              <w:t>缺乏对细节的深入分析</w:t>
            </w:r>
            <w:r>
              <w:rPr>
                <w:rFonts w:hint="eastAsia" w:ascii="宋体" w:hAnsi="宋体" w:cs="宋体"/>
                <w:b w:val="0"/>
                <w:bCs w:val="0"/>
                <w:color w:val="auto"/>
                <w:kern w:val="0"/>
                <w:sz w:val="21"/>
                <w:szCs w:val="21"/>
                <w:highlight w:val="none"/>
                <w:lang w:val="en-US" w:eastAsia="zh-CN" w:bidi="ar-SA"/>
              </w:rPr>
              <w:t>的</w:t>
            </w:r>
            <w:r>
              <w:rPr>
                <w:rFonts w:hint="eastAsia" w:ascii="宋体" w:hAnsi="宋体" w:eastAsia="宋体" w:cs="宋体"/>
                <w:b w:val="0"/>
                <w:bCs w:val="0"/>
                <w:color w:val="auto"/>
                <w:kern w:val="0"/>
                <w:sz w:val="21"/>
                <w:szCs w:val="21"/>
                <w:highlight w:val="none"/>
                <w:lang w:val="en-US" w:eastAsia="zh-CN" w:bidi="ar-SA"/>
              </w:rPr>
              <w:t>得3分；</w:t>
            </w:r>
          </w:p>
          <w:p w14:paraId="5427D082">
            <w:pPr>
              <w:pStyle w:val="2"/>
              <w:adjustRightInd/>
              <w:spacing w:after="0"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SA"/>
              </w:rPr>
              <w:t>未提供不得分。</w:t>
            </w:r>
          </w:p>
        </w:tc>
        <w:tc>
          <w:tcPr>
            <w:tcW w:w="664" w:type="dxa"/>
            <w:tcBorders>
              <w:left w:val="single" w:color="auto" w:sz="4" w:space="0"/>
            </w:tcBorders>
            <w:noWrap w:val="0"/>
            <w:vAlign w:val="center"/>
          </w:tcPr>
          <w:p w14:paraId="7CB2FC73">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r>
      <w:tr w14:paraId="2C910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0" w:hRule="atLeast"/>
        </w:trPr>
        <w:tc>
          <w:tcPr>
            <w:tcW w:w="867" w:type="dxa"/>
            <w:vMerge w:val="continue"/>
            <w:tcBorders>
              <w:right w:val="single" w:color="auto" w:sz="4" w:space="0"/>
            </w:tcBorders>
            <w:noWrap w:val="0"/>
            <w:vAlign w:val="center"/>
          </w:tcPr>
          <w:p w14:paraId="28FA44C0">
            <w:pPr>
              <w:widowControl/>
              <w:jc w:val="center"/>
              <w:rPr>
                <w:rFonts w:hint="eastAsia" w:ascii="宋体" w:hAnsi="宋体" w:eastAsia="宋体" w:cs="宋体"/>
                <w:bCs/>
                <w:color w:val="auto"/>
                <w:sz w:val="21"/>
                <w:szCs w:val="21"/>
                <w:highlight w:val="none"/>
              </w:rPr>
            </w:pPr>
          </w:p>
        </w:tc>
        <w:tc>
          <w:tcPr>
            <w:tcW w:w="1260" w:type="dxa"/>
            <w:tcBorders>
              <w:right w:val="single" w:color="auto" w:sz="4" w:space="0"/>
            </w:tcBorders>
            <w:noWrap w:val="0"/>
            <w:vAlign w:val="center"/>
          </w:tcPr>
          <w:p w14:paraId="002BD5F3">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报告编制进度</w:t>
            </w: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5分</w:t>
            </w:r>
            <w:r>
              <w:rPr>
                <w:rFonts w:hint="eastAsia" w:ascii="宋体" w:hAnsi="宋体" w:eastAsia="宋体" w:cs="宋体"/>
                <w:b w:val="0"/>
                <w:bCs w:val="0"/>
                <w:color w:val="auto"/>
                <w:kern w:val="0"/>
                <w:sz w:val="21"/>
                <w:szCs w:val="21"/>
                <w:highlight w:val="none"/>
                <w:lang w:eastAsia="zh-CN"/>
              </w:rPr>
              <w:t>）</w:t>
            </w:r>
          </w:p>
        </w:tc>
        <w:tc>
          <w:tcPr>
            <w:tcW w:w="6667" w:type="dxa"/>
            <w:tcBorders>
              <w:right w:val="single" w:color="auto" w:sz="4" w:space="0"/>
            </w:tcBorders>
            <w:noWrap w:val="0"/>
            <w:vAlign w:val="center"/>
          </w:tcPr>
          <w:p w14:paraId="4424C840">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根据供应商提供的针对本项目涉及</w:t>
            </w:r>
            <w:r>
              <w:rPr>
                <w:rFonts w:hint="eastAsia" w:ascii="宋体" w:hAnsi="宋体" w:cs="宋体"/>
                <w:b w:val="0"/>
                <w:bCs w:val="0"/>
                <w:color w:val="auto"/>
                <w:kern w:val="0"/>
                <w:sz w:val="21"/>
                <w:szCs w:val="21"/>
                <w:highlight w:val="none"/>
                <w:lang w:val="en-US" w:eastAsia="zh-CN" w:bidi="ar-SA"/>
              </w:rPr>
              <w:t>的各部分</w:t>
            </w:r>
            <w:r>
              <w:rPr>
                <w:rFonts w:hint="eastAsia" w:ascii="宋体" w:hAnsi="宋体" w:eastAsia="宋体" w:cs="宋体"/>
                <w:b w:val="0"/>
                <w:bCs w:val="0"/>
                <w:color w:val="auto"/>
                <w:kern w:val="0"/>
                <w:sz w:val="21"/>
                <w:szCs w:val="21"/>
                <w:highlight w:val="none"/>
                <w:lang w:val="en-US" w:eastAsia="zh-CN" w:bidi="ar-SA"/>
              </w:rPr>
              <w:t>报告编制实施的任务划分、关键时间节点把握、进度保障措施由评委进行综合评议。</w:t>
            </w:r>
          </w:p>
          <w:p w14:paraId="3F79E128">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任务划分清晰准确、关键时间节点把握精准、确保</w:t>
            </w:r>
            <w:r>
              <w:rPr>
                <w:rFonts w:hint="eastAsia" w:ascii="宋体" w:hAnsi="宋体" w:eastAsia="宋体" w:cs="宋体"/>
                <w:color w:val="auto"/>
                <w:kern w:val="0"/>
                <w:sz w:val="21"/>
                <w:szCs w:val="21"/>
                <w:highlight w:val="none"/>
              </w:rPr>
              <w:t>报告编制进度的各项措施得力有效</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能有效确保在采购人规定时间内提交报告</w:t>
            </w:r>
            <w:r>
              <w:rPr>
                <w:rFonts w:hint="eastAsia" w:ascii="宋体" w:hAnsi="宋体" w:eastAsia="宋体" w:cs="宋体"/>
                <w:b w:val="0"/>
                <w:bCs w:val="0"/>
                <w:color w:val="auto"/>
                <w:kern w:val="0"/>
                <w:sz w:val="21"/>
                <w:szCs w:val="21"/>
                <w:highlight w:val="none"/>
                <w:lang w:val="en-US" w:eastAsia="zh-CN" w:bidi="ar-SA"/>
              </w:rPr>
              <w:t>的得5分；</w:t>
            </w:r>
          </w:p>
          <w:p w14:paraId="3A679933">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任务划分较为准确、关键时间节点把握较为精准、确保</w:t>
            </w:r>
            <w:r>
              <w:rPr>
                <w:rFonts w:hint="eastAsia" w:ascii="宋体" w:hAnsi="宋体" w:eastAsia="宋体" w:cs="宋体"/>
                <w:color w:val="auto"/>
                <w:kern w:val="0"/>
                <w:sz w:val="21"/>
                <w:szCs w:val="21"/>
                <w:highlight w:val="none"/>
              </w:rPr>
              <w:t>报告编制进度的各项措施</w:t>
            </w:r>
            <w:r>
              <w:rPr>
                <w:rFonts w:hint="eastAsia" w:ascii="宋体" w:hAnsi="宋体" w:eastAsia="宋体" w:cs="宋体"/>
                <w:color w:val="auto"/>
                <w:kern w:val="0"/>
                <w:sz w:val="21"/>
                <w:szCs w:val="21"/>
                <w:highlight w:val="none"/>
                <w:lang w:val="en-US" w:eastAsia="zh-CN"/>
              </w:rPr>
              <w:t>较得力</w:t>
            </w:r>
            <w:r>
              <w:rPr>
                <w:rFonts w:hint="eastAsia" w:ascii="宋体" w:hAnsi="宋体" w:cs="宋体"/>
                <w:color w:val="auto"/>
                <w:kern w:val="0"/>
                <w:sz w:val="21"/>
                <w:szCs w:val="21"/>
                <w:highlight w:val="none"/>
                <w:lang w:val="en-US" w:eastAsia="zh-CN"/>
              </w:rPr>
              <w:t>，基本保障在规定时间内提交报告</w:t>
            </w:r>
            <w:r>
              <w:rPr>
                <w:rFonts w:hint="eastAsia" w:ascii="宋体" w:hAnsi="宋体" w:eastAsia="宋体" w:cs="宋体"/>
                <w:b w:val="0"/>
                <w:bCs w:val="0"/>
                <w:color w:val="auto"/>
                <w:kern w:val="0"/>
                <w:sz w:val="21"/>
                <w:szCs w:val="21"/>
                <w:highlight w:val="none"/>
                <w:lang w:val="en-US" w:eastAsia="zh-CN" w:bidi="ar-SA"/>
              </w:rPr>
              <w:t>的得3分；</w:t>
            </w:r>
          </w:p>
          <w:p w14:paraId="33E5EF4C">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任务划分模糊、关键时间节点把握不够精准存在缺陷、进度保障措施缺失或不全</w:t>
            </w:r>
            <w:r>
              <w:rPr>
                <w:rFonts w:hint="eastAsia" w:ascii="宋体" w:hAnsi="宋体" w:cs="宋体"/>
                <w:b w:val="0"/>
                <w:bCs w:val="0"/>
                <w:color w:val="auto"/>
                <w:kern w:val="0"/>
                <w:sz w:val="21"/>
                <w:szCs w:val="21"/>
                <w:highlight w:val="none"/>
                <w:lang w:val="en-US" w:eastAsia="zh-CN" w:bidi="ar-SA"/>
              </w:rPr>
              <w:t>，无法确保在</w:t>
            </w:r>
            <w:r>
              <w:rPr>
                <w:rFonts w:hint="eastAsia" w:ascii="宋体" w:hAnsi="宋体" w:cs="宋体"/>
                <w:color w:val="auto"/>
                <w:kern w:val="0"/>
                <w:sz w:val="21"/>
                <w:szCs w:val="21"/>
                <w:highlight w:val="none"/>
                <w:lang w:val="en-US" w:eastAsia="zh-CN"/>
              </w:rPr>
              <w:t>规定时间内提交报告</w:t>
            </w:r>
            <w:r>
              <w:rPr>
                <w:rFonts w:hint="eastAsia" w:ascii="宋体" w:hAnsi="宋体" w:eastAsia="宋体" w:cs="宋体"/>
                <w:b w:val="0"/>
                <w:bCs w:val="0"/>
                <w:color w:val="auto"/>
                <w:kern w:val="0"/>
                <w:sz w:val="21"/>
                <w:szCs w:val="21"/>
                <w:highlight w:val="none"/>
                <w:lang w:val="en-US" w:eastAsia="zh-CN" w:bidi="ar-SA"/>
              </w:rPr>
              <w:t>的的得1分；</w:t>
            </w:r>
          </w:p>
          <w:p w14:paraId="008170BB">
            <w:pPr>
              <w:pStyle w:val="2"/>
              <w:adjustRightInd/>
              <w:spacing w:after="0"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未提供的不得分。</w:t>
            </w:r>
          </w:p>
        </w:tc>
        <w:tc>
          <w:tcPr>
            <w:tcW w:w="664" w:type="dxa"/>
            <w:tcBorders>
              <w:left w:val="single" w:color="auto" w:sz="4" w:space="0"/>
            </w:tcBorders>
            <w:noWrap w:val="0"/>
            <w:vAlign w:val="center"/>
          </w:tcPr>
          <w:p w14:paraId="6CEE05B6">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190ADC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0" w:hRule="atLeast"/>
        </w:trPr>
        <w:tc>
          <w:tcPr>
            <w:tcW w:w="867" w:type="dxa"/>
            <w:vMerge w:val="continue"/>
            <w:tcBorders>
              <w:right w:val="single" w:color="auto" w:sz="4" w:space="0"/>
            </w:tcBorders>
            <w:noWrap w:val="0"/>
            <w:vAlign w:val="center"/>
          </w:tcPr>
          <w:p w14:paraId="28B633BE">
            <w:pPr>
              <w:widowControl/>
              <w:jc w:val="center"/>
              <w:rPr>
                <w:rFonts w:hint="eastAsia" w:ascii="宋体" w:hAnsi="宋体" w:eastAsia="宋体" w:cs="宋体"/>
                <w:bCs/>
                <w:color w:val="auto"/>
                <w:sz w:val="21"/>
                <w:szCs w:val="21"/>
                <w:highlight w:val="none"/>
              </w:rPr>
            </w:pPr>
          </w:p>
        </w:tc>
        <w:tc>
          <w:tcPr>
            <w:tcW w:w="1260" w:type="dxa"/>
            <w:tcBorders>
              <w:right w:val="single" w:color="auto" w:sz="4" w:space="0"/>
            </w:tcBorders>
            <w:noWrap w:val="0"/>
            <w:vAlign w:val="center"/>
          </w:tcPr>
          <w:p w14:paraId="070E8C0A">
            <w:pPr>
              <w:widowControl/>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4.项目难点（8分）</w:t>
            </w:r>
          </w:p>
        </w:tc>
        <w:tc>
          <w:tcPr>
            <w:tcW w:w="6667" w:type="dxa"/>
            <w:tcBorders>
              <w:right w:val="single" w:color="auto" w:sz="4" w:space="0"/>
            </w:tcBorders>
            <w:noWrap w:val="0"/>
            <w:vAlign w:val="center"/>
          </w:tcPr>
          <w:p w14:paraId="15D3F63E">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根据供应商提供的对本项目涉及的</w:t>
            </w:r>
            <w:r>
              <w:rPr>
                <w:rFonts w:hint="eastAsia" w:ascii="宋体" w:hAnsi="宋体" w:cs="宋体"/>
                <w:b w:val="0"/>
                <w:bCs w:val="0"/>
                <w:color w:val="auto"/>
                <w:kern w:val="0"/>
                <w:sz w:val="21"/>
                <w:szCs w:val="21"/>
                <w:highlight w:val="none"/>
                <w:lang w:val="en-US" w:eastAsia="zh-CN" w:bidi="ar-SA"/>
              </w:rPr>
              <w:t>各部分</w:t>
            </w:r>
            <w:r>
              <w:rPr>
                <w:rFonts w:hint="eastAsia" w:ascii="宋体" w:hAnsi="宋体" w:eastAsia="宋体" w:cs="宋体"/>
                <w:b w:val="0"/>
                <w:bCs w:val="0"/>
                <w:color w:val="auto"/>
                <w:kern w:val="0"/>
                <w:sz w:val="21"/>
                <w:szCs w:val="21"/>
                <w:highlight w:val="none"/>
                <w:lang w:val="en-US" w:eastAsia="zh-CN" w:bidi="ar-SA"/>
              </w:rPr>
              <w:t>报告编制的关键点、难点及对应解决措施进行</w:t>
            </w:r>
            <w:r>
              <w:rPr>
                <w:rFonts w:hint="eastAsia" w:ascii="宋体" w:hAnsi="宋体" w:cs="宋体"/>
                <w:b w:val="0"/>
                <w:bCs w:val="0"/>
                <w:color w:val="auto"/>
                <w:kern w:val="0"/>
                <w:sz w:val="21"/>
                <w:szCs w:val="21"/>
                <w:highlight w:val="none"/>
                <w:lang w:val="en-US" w:eastAsia="zh-CN" w:bidi="ar-SA"/>
              </w:rPr>
              <w:t>综合</w:t>
            </w:r>
            <w:r>
              <w:rPr>
                <w:rFonts w:hint="eastAsia" w:ascii="宋体" w:hAnsi="宋体" w:eastAsia="宋体" w:cs="宋体"/>
                <w:b w:val="0"/>
                <w:bCs w:val="0"/>
                <w:color w:val="auto"/>
                <w:kern w:val="0"/>
                <w:sz w:val="21"/>
                <w:szCs w:val="21"/>
                <w:highlight w:val="none"/>
                <w:lang w:val="en-US" w:eastAsia="zh-CN" w:bidi="ar-SA"/>
              </w:rPr>
              <w:t>评议。</w:t>
            </w:r>
          </w:p>
          <w:p w14:paraId="47ADC6A9">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关键点、难点分析全面、透彻，详细描述了解决项目重点难点的具体措施和方法；解决措施详细、切实可行，能够有效解决问题的，得8分；</w:t>
            </w:r>
          </w:p>
          <w:p w14:paraId="0B6DD5C4">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关键点、难点分析基本准确，基本覆盖了解决项目重点难点的主要方面，但存在一些遗漏；解决措施具有一定针对性、可行性，并能够达到预期效果的，得5分；</w:t>
            </w:r>
          </w:p>
          <w:p w14:paraId="09B3FE0C">
            <w:pPr>
              <w:pStyle w:val="2"/>
              <w:adjustRightInd/>
              <w:spacing w:after="0" w:line="32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关键点、难点分析不到位，方案描述较为简略，缺乏具体细节和实施步骤；解决措施粗糙、缺乏针对性或不足以解决问题的，得3分；</w:t>
            </w:r>
          </w:p>
          <w:p w14:paraId="1D4DF7C2">
            <w:pPr>
              <w:pStyle w:val="2"/>
              <w:adjustRightInd/>
              <w:spacing w:after="0" w:line="32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未提供不得分。</w:t>
            </w:r>
          </w:p>
        </w:tc>
        <w:tc>
          <w:tcPr>
            <w:tcW w:w="664" w:type="dxa"/>
            <w:tcBorders>
              <w:left w:val="single" w:color="auto" w:sz="4" w:space="0"/>
            </w:tcBorders>
            <w:noWrap w:val="0"/>
            <w:vAlign w:val="center"/>
          </w:tcPr>
          <w:p w14:paraId="5D876C4F">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r>
      <w:tr w14:paraId="14F2E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85" w:hRule="atLeast"/>
        </w:trPr>
        <w:tc>
          <w:tcPr>
            <w:tcW w:w="867" w:type="dxa"/>
            <w:vMerge w:val="continue"/>
            <w:tcBorders>
              <w:right w:val="single" w:color="auto" w:sz="4" w:space="0"/>
            </w:tcBorders>
            <w:noWrap w:val="0"/>
            <w:vAlign w:val="center"/>
          </w:tcPr>
          <w:p w14:paraId="7DA1AA2B">
            <w:pPr>
              <w:widowControl/>
              <w:jc w:val="center"/>
              <w:rPr>
                <w:rFonts w:hint="eastAsia" w:ascii="宋体" w:hAnsi="宋体" w:eastAsia="宋体" w:cs="宋体"/>
                <w:bCs/>
                <w:color w:val="auto"/>
                <w:sz w:val="21"/>
                <w:szCs w:val="21"/>
                <w:highlight w:val="none"/>
              </w:rPr>
            </w:pPr>
          </w:p>
        </w:tc>
        <w:tc>
          <w:tcPr>
            <w:tcW w:w="1260" w:type="dxa"/>
            <w:tcBorders>
              <w:right w:val="single" w:color="auto" w:sz="4" w:space="0"/>
            </w:tcBorders>
            <w:noWrap w:val="0"/>
            <w:vAlign w:val="center"/>
          </w:tcPr>
          <w:p w14:paraId="4BD53347">
            <w:pPr>
              <w:numPr>
                <w:ilvl w:val="0"/>
                <w:numId w:val="0"/>
              </w:numPr>
              <w:ind w:left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5.质量保证措施（8分）</w:t>
            </w:r>
          </w:p>
        </w:tc>
        <w:tc>
          <w:tcPr>
            <w:tcW w:w="6667" w:type="dxa"/>
            <w:tcBorders>
              <w:right w:val="single" w:color="auto" w:sz="4" w:space="0"/>
            </w:tcBorders>
            <w:noWrap w:val="0"/>
            <w:vAlign w:val="center"/>
          </w:tcPr>
          <w:p w14:paraId="647664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提供的为实现</w:t>
            </w:r>
            <w:r>
              <w:rPr>
                <w:rFonts w:hint="eastAsia" w:hAnsi="宋体" w:eastAsia="宋体" w:cs="宋体"/>
                <w:color w:val="auto"/>
                <w:sz w:val="21"/>
                <w:szCs w:val="21"/>
                <w:highlight w:val="none"/>
                <w:lang w:val="en-US" w:eastAsia="zh-CN"/>
              </w:rPr>
              <w:t>各部分</w:t>
            </w:r>
            <w:r>
              <w:rPr>
                <w:rFonts w:hint="eastAsia" w:ascii="宋体" w:hAnsi="宋体" w:eastAsia="宋体" w:cs="宋体"/>
                <w:color w:val="auto"/>
                <w:sz w:val="21"/>
                <w:szCs w:val="21"/>
                <w:highlight w:val="none"/>
              </w:rPr>
              <w:t>报告编制的质量保证措施方案等进行综合评议。</w:t>
            </w:r>
          </w:p>
          <w:p w14:paraId="1AA672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具有完善的质量管理</w:t>
            </w:r>
            <w:r>
              <w:rPr>
                <w:rFonts w:hint="eastAsia" w:ascii="宋体" w:hAnsi="宋体" w:eastAsia="宋体" w:cs="宋体"/>
                <w:color w:val="auto"/>
                <w:sz w:val="21"/>
                <w:szCs w:val="21"/>
                <w:highlight w:val="none"/>
                <w:lang w:val="en-US" w:eastAsia="zh-CN"/>
              </w:rPr>
              <w:t>流程</w:t>
            </w:r>
            <w:r>
              <w:rPr>
                <w:rFonts w:hint="eastAsia" w:ascii="宋体" w:hAnsi="宋体" w:eastAsia="宋体" w:cs="宋体"/>
                <w:color w:val="auto"/>
                <w:sz w:val="21"/>
                <w:szCs w:val="21"/>
                <w:highlight w:val="none"/>
              </w:rPr>
              <w:t>和先进的质量控制方法，对项目成果进行多轮次的审核，能够全面保证项目成果的质量；具备严格的质量责任制，明确每个环节的质量标准和责任人，确保项目成果的质量的，得8分；</w:t>
            </w:r>
          </w:p>
          <w:p w14:paraId="4997112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具有较为完善的质量管理</w:t>
            </w:r>
            <w:r>
              <w:rPr>
                <w:rFonts w:hint="eastAsia" w:ascii="宋体" w:hAnsi="宋体" w:eastAsia="宋体" w:cs="宋体"/>
                <w:color w:val="auto"/>
                <w:sz w:val="21"/>
                <w:szCs w:val="21"/>
                <w:highlight w:val="none"/>
                <w:lang w:val="en-US" w:eastAsia="zh-CN"/>
              </w:rPr>
              <w:t>流程</w:t>
            </w:r>
            <w:r>
              <w:rPr>
                <w:rFonts w:hint="eastAsia" w:ascii="宋体" w:hAnsi="宋体" w:eastAsia="宋体" w:cs="宋体"/>
                <w:color w:val="auto"/>
                <w:sz w:val="21"/>
                <w:szCs w:val="21"/>
                <w:highlight w:val="none"/>
              </w:rPr>
              <w:t>，会采用质量控制方法对项目成果进行审核，但可能存在一些不足或漏洞；基本建立质量责任制，但可能存在执行不到位或责任不明确的问题的，得5分；</w:t>
            </w:r>
          </w:p>
          <w:p w14:paraId="5B436C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r>
              <w:rPr>
                <w:rFonts w:hint="eastAsia" w:ascii="宋体" w:hAnsi="宋体" w:eastAsia="宋体" w:cs="宋体"/>
                <w:color w:val="auto"/>
                <w:sz w:val="21"/>
                <w:szCs w:val="21"/>
                <w:highlight w:val="none"/>
                <w:lang w:val="en-US" w:eastAsia="zh-CN"/>
              </w:rPr>
              <w:t>流程</w:t>
            </w:r>
            <w:r>
              <w:rPr>
                <w:rFonts w:hint="eastAsia" w:ascii="宋体" w:hAnsi="宋体" w:eastAsia="宋体" w:cs="宋体"/>
                <w:color w:val="auto"/>
                <w:sz w:val="21"/>
                <w:szCs w:val="21"/>
                <w:highlight w:val="none"/>
              </w:rPr>
              <w:t>不够完善，无法保证项目成果的质量；缺乏有效的质量控制方法和手段，无法对项目成果进行有效的审核；未建立质量责任制或执行不到位，无法确保项目成果的，得3分；</w:t>
            </w:r>
          </w:p>
          <w:p w14:paraId="4260938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664" w:type="dxa"/>
            <w:tcBorders>
              <w:left w:val="single" w:color="auto" w:sz="4" w:space="0"/>
            </w:tcBorders>
            <w:noWrap w:val="0"/>
            <w:vAlign w:val="center"/>
          </w:tcPr>
          <w:p w14:paraId="6EB828F7">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r>
      <w:tr w14:paraId="42FF98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85" w:hRule="atLeast"/>
        </w:trPr>
        <w:tc>
          <w:tcPr>
            <w:tcW w:w="867" w:type="dxa"/>
            <w:vMerge w:val="continue"/>
            <w:tcBorders>
              <w:right w:val="single" w:color="auto" w:sz="4" w:space="0"/>
            </w:tcBorders>
            <w:noWrap w:val="0"/>
            <w:vAlign w:val="center"/>
          </w:tcPr>
          <w:p w14:paraId="6CBEACDF">
            <w:pPr>
              <w:widowControl/>
              <w:jc w:val="center"/>
              <w:rPr>
                <w:rFonts w:hint="eastAsia" w:ascii="宋体" w:hAnsi="宋体" w:eastAsia="宋体" w:cs="宋体"/>
                <w:bCs/>
                <w:color w:val="auto"/>
                <w:sz w:val="21"/>
                <w:szCs w:val="21"/>
                <w:highlight w:val="none"/>
              </w:rPr>
            </w:pPr>
          </w:p>
        </w:tc>
        <w:tc>
          <w:tcPr>
            <w:tcW w:w="1260" w:type="dxa"/>
            <w:tcBorders>
              <w:right w:val="single" w:color="auto" w:sz="4" w:space="0"/>
            </w:tcBorders>
            <w:noWrap w:val="0"/>
            <w:vAlign w:val="center"/>
          </w:tcPr>
          <w:p w14:paraId="29E4DFBD">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6.服务响应（6分）</w:t>
            </w:r>
          </w:p>
        </w:tc>
        <w:tc>
          <w:tcPr>
            <w:tcW w:w="6667" w:type="dxa"/>
            <w:tcBorders>
              <w:right w:val="single" w:color="auto" w:sz="4" w:space="0"/>
            </w:tcBorders>
            <w:noWrap w:val="0"/>
            <w:vAlign w:val="center"/>
          </w:tcPr>
          <w:p w14:paraId="39D341B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w:t>
            </w:r>
            <w:r>
              <w:rPr>
                <w:rFonts w:hint="eastAsia" w:ascii="宋体" w:hAnsi="宋体" w:eastAsia="宋体" w:cs="宋体"/>
                <w:b w:val="0"/>
                <w:bCs w:val="0"/>
                <w:color w:val="auto"/>
                <w:kern w:val="0"/>
                <w:sz w:val="21"/>
                <w:szCs w:val="21"/>
                <w:highlight w:val="none"/>
                <w:lang w:val="en-US" w:eastAsia="zh-CN" w:bidi="ar-SA"/>
              </w:rPr>
              <w:t>本项目</w:t>
            </w:r>
            <w:r>
              <w:rPr>
                <w:rFonts w:hint="eastAsia" w:ascii="宋体" w:hAnsi="宋体" w:eastAsia="宋体" w:cs="宋体"/>
                <w:color w:val="auto"/>
                <w:sz w:val="21"/>
                <w:szCs w:val="21"/>
                <w:highlight w:val="none"/>
                <w:lang w:val="en-US" w:eastAsia="zh-CN"/>
              </w:rPr>
              <w:t>涉及的各部分报告编制</w:t>
            </w:r>
            <w:r>
              <w:rPr>
                <w:rFonts w:hint="eastAsia" w:ascii="宋体" w:hAnsi="宋体" w:eastAsia="宋体" w:cs="宋体"/>
                <w:color w:val="auto"/>
                <w:sz w:val="21"/>
                <w:szCs w:val="21"/>
                <w:highlight w:val="none"/>
              </w:rPr>
              <w:t>的服务</w:t>
            </w:r>
            <w:r>
              <w:rPr>
                <w:rFonts w:hint="eastAsia"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承诺进行综合评议。</w:t>
            </w:r>
          </w:p>
          <w:p w14:paraId="4E6D6D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服务响应迅速，能为采购人提供高效便捷且高标准的服务保障的得</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96083F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服务响应及时，能为采购人提供较完善及良好的服务保障的得</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9288A5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服务响应较慢或不便，不能提供良好的服务保障的得2分；</w:t>
            </w:r>
          </w:p>
          <w:p w14:paraId="05DBBF2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p w14:paraId="00A7948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注：投标文件内提供服务保障机构设置情况、服务响应时间承诺等与项目实施过程配合实施相关的服务响应方案。</w:t>
            </w:r>
          </w:p>
        </w:tc>
        <w:tc>
          <w:tcPr>
            <w:tcW w:w="664" w:type="dxa"/>
            <w:tcBorders>
              <w:left w:val="single" w:color="auto" w:sz="4" w:space="0"/>
            </w:tcBorders>
            <w:noWrap w:val="0"/>
            <w:vAlign w:val="center"/>
          </w:tcPr>
          <w:p w14:paraId="61F7988D">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r>
      <w:tr w14:paraId="7F7BE9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85" w:hRule="atLeast"/>
        </w:trPr>
        <w:tc>
          <w:tcPr>
            <w:tcW w:w="867" w:type="dxa"/>
            <w:vMerge w:val="continue"/>
            <w:tcBorders>
              <w:right w:val="single" w:color="auto" w:sz="4" w:space="0"/>
            </w:tcBorders>
            <w:noWrap w:val="0"/>
            <w:vAlign w:val="center"/>
          </w:tcPr>
          <w:p w14:paraId="146FAF4D">
            <w:pPr>
              <w:widowControl/>
              <w:jc w:val="center"/>
              <w:rPr>
                <w:rFonts w:hint="eastAsia" w:ascii="宋体" w:hAnsi="宋体" w:eastAsia="宋体" w:cs="宋体"/>
                <w:bCs/>
                <w:color w:val="auto"/>
                <w:sz w:val="21"/>
                <w:szCs w:val="21"/>
                <w:highlight w:val="none"/>
              </w:rPr>
            </w:pPr>
          </w:p>
        </w:tc>
        <w:tc>
          <w:tcPr>
            <w:tcW w:w="1260" w:type="dxa"/>
            <w:tcBorders>
              <w:right w:val="single" w:color="auto" w:sz="4" w:space="0"/>
            </w:tcBorders>
            <w:noWrap w:val="0"/>
            <w:vAlign w:val="center"/>
          </w:tcPr>
          <w:p w14:paraId="6BC9A9F3">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7.保密制度及措施（6分）</w:t>
            </w:r>
          </w:p>
        </w:tc>
        <w:tc>
          <w:tcPr>
            <w:tcW w:w="6667" w:type="dxa"/>
            <w:tcBorders>
              <w:right w:val="single" w:color="auto" w:sz="4" w:space="0"/>
            </w:tcBorders>
            <w:noWrap w:val="0"/>
            <w:vAlign w:val="center"/>
          </w:tcPr>
          <w:p w14:paraId="2BAE403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根据供应商提供的针对</w:t>
            </w:r>
            <w:r>
              <w:rPr>
                <w:rFonts w:hint="eastAsia" w:ascii="宋体" w:hAnsi="宋体" w:eastAsia="宋体" w:cs="宋体"/>
                <w:b w:val="0"/>
                <w:bCs w:val="0"/>
                <w:color w:val="auto"/>
                <w:kern w:val="0"/>
                <w:sz w:val="21"/>
                <w:szCs w:val="21"/>
                <w:highlight w:val="none"/>
                <w:lang w:val="en-US" w:eastAsia="zh-CN" w:bidi="ar-SA"/>
              </w:rPr>
              <w:t>本项目</w:t>
            </w:r>
            <w:r>
              <w:rPr>
                <w:rFonts w:hint="eastAsia" w:ascii="宋体" w:hAnsi="宋体" w:eastAsia="宋体" w:cs="宋体"/>
                <w:color w:val="auto"/>
                <w:sz w:val="21"/>
                <w:szCs w:val="21"/>
                <w:highlight w:val="none"/>
                <w:lang w:val="en-US" w:eastAsia="zh-CN"/>
              </w:rPr>
              <w:t>涉及的各部分报告编制</w:t>
            </w:r>
            <w:r>
              <w:rPr>
                <w:rFonts w:hint="eastAsia" w:ascii="宋体" w:hAnsi="宋体" w:eastAsia="宋体" w:cs="宋体"/>
                <w:color w:val="auto"/>
                <w:sz w:val="21"/>
                <w:szCs w:val="21"/>
                <w:highlight w:val="none"/>
              </w:rPr>
              <w:t>过程中可能涉及的保密制度及措施进行综合评议：</w:t>
            </w:r>
          </w:p>
          <w:p w14:paraId="692FAB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保密制度</w:t>
            </w:r>
            <w:r>
              <w:rPr>
                <w:rFonts w:hint="eastAsia" w:hAnsi="宋体" w:eastAsia="宋体" w:cs="宋体"/>
                <w:color w:val="auto"/>
                <w:sz w:val="21"/>
                <w:szCs w:val="21"/>
                <w:highlight w:val="none"/>
                <w:lang w:val="en-US" w:eastAsia="zh-CN"/>
              </w:rPr>
              <w:t>设置</w:t>
            </w:r>
            <w:r>
              <w:rPr>
                <w:rFonts w:hint="eastAsia" w:ascii="宋体" w:hAnsi="宋体" w:eastAsia="宋体" w:cs="宋体"/>
                <w:color w:val="auto"/>
                <w:sz w:val="21"/>
                <w:szCs w:val="21"/>
                <w:highlight w:val="none"/>
                <w:lang w:val="en-US" w:eastAsia="zh-CN"/>
              </w:rPr>
              <w:t>全面</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规范，制度内容</w:t>
            </w:r>
            <w:r>
              <w:rPr>
                <w:rFonts w:hint="eastAsia" w:hAnsi="宋体" w:eastAsia="宋体" w:cs="宋体"/>
                <w:color w:val="auto"/>
                <w:sz w:val="21"/>
                <w:szCs w:val="21"/>
                <w:highlight w:val="none"/>
                <w:lang w:val="en-US" w:eastAsia="zh-CN"/>
              </w:rPr>
              <w:t>及措施</w:t>
            </w:r>
            <w:r>
              <w:rPr>
                <w:rFonts w:hint="eastAsia" w:ascii="宋体" w:hAnsi="宋体" w:eastAsia="宋体" w:cs="宋体"/>
                <w:color w:val="auto"/>
                <w:sz w:val="21"/>
                <w:szCs w:val="21"/>
                <w:highlight w:val="none"/>
              </w:rPr>
              <w:t>满足本项目实施的风险管理和保密控制要求的得6分；</w:t>
            </w:r>
          </w:p>
          <w:p w14:paraId="75E7E70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保密制度设置</w:t>
            </w:r>
            <w:r>
              <w:rPr>
                <w:rFonts w:hint="eastAsia" w:hAnsi="宋体" w:eastAsia="宋体" w:cs="宋体"/>
                <w:color w:val="auto"/>
                <w:sz w:val="21"/>
                <w:szCs w:val="21"/>
                <w:highlight w:val="none"/>
                <w:lang w:val="en-US" w:eastAsia="zh-CN"/>
              </w:rPr>
              <w:t>较为齐全</w:t>
            </w:r>
            <w:r>
              <w:rPr>
                <w:rFonts w:hint="eastAsia" w:ascii="宋体" w:hAnsi="宋体" w:eastAsia="宋体" w:cs="宋体"/>
                <w:color w:val="auto"/>
                <w:sz w:val="21"/>
                <w:szCs w:val="21"/>
                <w:highlight w:val="none"/>
              </w:rPr>
              <w:t>规范，制度内容及措施</w:t>
            </w:r>
            <w:r>
              <w:rPr>
                <w:rFonts w:hint="eastAsia" w:hAnsi="宋体" w:eastAsia="宋体" w:cs="宋体"/>
                <w:color w:val="auto"/>
                <w:sz w:val="21"/>
                <w:szCs w:val="21"/>
                <w:highlight w:val="none"/>
                <w:lang w:val="en-US" w:eastAsia="zh-CN"/>
              </w:rPr>
              <w:t>基本上</w:t>
            </w:r>
            <w:r>
              <w:rPr>
                <w:rFonts w:hint="eastAsia" w:ascii="宋体" w:hAnsi="宋体" w:eastAsia="宋体" w:cs="宋体"/>
                <w:color w:val="auto"/>
                <w:sz w:val="21"/>
                <w:szCs w:val="21"/>
                <w:highlight w:val="none"/>
              </w:rPr>
              <w:t>满足本项目实施的风险管理和保密控制要求的的得4分；</w:t>
            </w:r>
          </w:p>
          <w:p w14:paraId="1B2AB3A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保密制度设置</w:t>
            </w:r>
            <w:r>
              <w:rPr>
                <w:rFonts w:hint="eastAsia" w:hAnsi="宋体" w:eastAsia="宋体" w:cs="宋体"/>
                <w:color w:val="auto"/>
                <w:sz w:val="21"/>
                <w:szCs w:val="21"/>
                <w:highlight w:val="none"/>
                <w:lang w:val="en-US" w:eastAsia="zh-CN"/>
              </w:rPr>
              <w:t>欠规范</w:t>
            </w:r>
            <w:r>
              <w:rPr>
                <w:rFonts w:hint="eastAsia" w:ascii="宋体" w:hAnsi="宋体" w:eastAsia="宋体" w:cs="宋体"/>
                <w:color w:val="auto"/>
                <w:sz w:val="21"/>
                <w:szCs w:val="21"/>
                <w:highlight w:val="none"/>
              </w:rPr>
              <w:t>，制度内容</w:t>
            </w:r>
            <w:r>
              <w:rPr>
                <w:rFonts w:hint="eastAsia" w:hAnsi="宋体" w:eastAsia="宋体" w:cs="宋体"/>
                <w:color w:val="auto"/>
                <w:sz w:val="21"/>
                <w:szCs w:val="21"/>
                <w:highlight w:val="none"/>
                <w:lang w:val="en-US" w:eastAsia="zh-CN"/>
              </w:rPr>
              <w:t>及措施</w:t>
            </w:r>
            <w:r>
              <w:rPr>
                <w:rFonts w:hint="eastAsia" w:ascii="宋体" w:hAnsi="宋体" w:eastAsia="宋体" w:cs="宋体"/>
                <w:color w:val="auto"/>
                <w:sz w:val="21"/>
                <w:szCs w:val="21"/>
                <w:highlight w:val="none"/>
              </w:rPr>
              <w:t>不能满足项目实施的风险管理和保密控制要求的得2分；</w:t>
            </w:r>
          </w:p>
          <w:p w14:paraId="410774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664" w:type="dxa"/>
            <w:tcBorders>
              <w:left w:val="single" w:color="auto" w:sz="4" w:space="0"/>
            </w:tcBorders>
            <w:noWrap w:val="0"/>
            <w:vAlign w:val="center"/>
          </w:tcPr>
          <w:p w14:paraId="291B3D18">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r>
      <w:tr w14:paraId="676B67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70" w:hRule="atLeast"/>
        </w:trPr>
        <w:tc>
          <w:tcPr>
            <w:tcW w:w="867" w:type="dxa"/>
            <w:vMerge w:val="continue"/>
            <w:tcBorders>
              <w:right w:val="single" w:color="auto" w:sz="4" w:space="0"/>
            </w:tcBorders>
            <w:noWrap w:val="0"/>
            <w:vAlign w:val="center"/>
          </w:tcPr>
          <w:p w14:paraId="6BF1B6D9">
            <w:pPr>
              <w:widowControl/>
              <w:jc w:val="center"/>
              <w:rPr>
                <w:rFonts w:hint="eastAsia" w:ascii="宋体" w:hAnsi="宋体" w:eastAsia="宋体" w:cs="宋体"/>
                <w:bCs/>
                <w:color w:val="auto"/>
                <w:sz w:val="21"/>
                <w:szCs w:val="21"/>
                <w:highlight w:val="none"/>
              </w:rPr>
            </w:pPr>
          </w:p>
        </w:tc>
        <w:tc>
          <w:tcPr>
            <w:tcW w:w="1260" w:type="dxa"/>
            <w:tcBorders>
              <w:right w:val="single" w:color="auto" w:sz="4" w:space="0"/>
            </w:tcBorders>
            <w:noWrap w:val="0"/>
            <w:vAlign w:val="center"/>
          </w:tcPr>
          <w:p w14:paraId="455593E6">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8.内部管理制度（4分）</w:t>
            </w:r>
          </w:p>
        </w:tc>
        <w:tc>
          <w:tcPr>
            <w:tcW w:w="6667" w:type="dxa"/>
            <w:tcBorders>
              <w:right w:val="single" w:color="auto" w:sz="4" w:space="0"/>
            </w:tcBorders>
            <w:noWrap w:val="0"/>
            <w:vAlign w:val="center"/>
          </w:tcPr>
          <w:p w14:paraId="46ADAF4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根据供应商是否具有完备的管理组织、管理制度、项目实施规范、考核体系等进行综合评议；</w:t>
            </w:r>
          </w:p>
          <w:p w14:paraId="47F9947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管理组织、管理制度设置合理，项目实施规范健全，考核体系严谨，有利于项目实施的的得4分；</w:t>
            </w:r>
          </w:p>
          <w:p w14:paraId="498CE133">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管理组织、管理制度设置较为合理，项目实施规范齐全，考核体系基本完整得3分；</w:t>
            </w:r>
          </w:p>
          <w:p w14:paraId="2AB7409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管理组织、管理制度简单，项目实施规范缺失、考核体系不够合理的得1分；</w:t>
            </w:r>
          </w:p>
          <w:p w14:paraId="6B6EE7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未提供不得分。</w:t>
            </w:r>
          </w:p>
        </w:tc>
        <w:tc>
          <w:tcPr>
            <w:tcW w:w="664" w:type="dxa"/>
            <w:tcBorders>
              <w:left w:val="single" w:color="auto" w:sz="4" w:space="0"/>
            </w:tcBorders>
            <w:noWrap w:val="0"/>
            <w:vAlign w:val="center"/>
          </w:tcPr>
          <w:p w14:paraId="4C3C8197">
            <w:pPr>
              <w:widowControl/>
              <w:jc w:val="center"/>
              <w:rPr>
                <w:rFonts w:hint="default"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4</w:t>
            </w:r>
          </w:p>
        </w:tc>
      </w:tr>
      <w:tr w14:paraId="6A872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0" w:hRule="atLeast"/>
        </w:trPr>
        <w:tc>
          <w:tcPr>
            <w:tcW w:w="867" w:type="dxa"/>
            <w:vMerge w:val="continue"/>
            <w:tcBorders>
              <w:right w:val="single" w:color="auto" w:sz="4" w:space="0"/>
            </w:tcBorders>
            <w:noWrap w:val="0"/>
            <w:vAlign w:val="center"/>
          </w:tcPr>
          <w:p w14:paraId="20A9CA42">
            <w:pPr>
              <w:widowControl/>
              <w:jc w:val="center"/>
              <w:rPr>
                <w:rFonts w:hint="eastAsia" w:ascii="宋体" w:hAnsi="宋体" w:eastAsia="宋体" w:cs="宋体"/>
                <w:bCs/>
                <w:color w:val="auto"/>
                <w:sz w:val="21"/>
                <w:szCs w:val="21"/>
                <w:highlight w:val="none"/>
              </w:rPr>
            </w:pPr>
          </w:p>
        </w:tc>
        <w:tc>
          <w:tcPr>
            <w:tcW w:w="1260" w:type="dxa"/>
            <w:vMerge w:val="restart"/>
            <w:tcBorders>
              <w:right w:val="single" w:color="auto" w:sz="4" w:space="0"/>
            </w:tcBorders>
            <w:noWrap w:val="0"/>
            <w:vAlign w:val="center"/>
          </w:tcPr>
          <w:p w14:paraId="028936D6">
            <w:pP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拟投入本项目的项目团队成员</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7分</w:t>
            </w:r>
            <w:r>
              <w:rPr>
                <w:rFonts w:hint="eastAsia" w:ascii="宋体" w:hAnsi="宋体" w:eastAsia="宋体" w:cs="宋体"/>
                <w:b w:val="0"/>
                <w:bCs w:val="0"/>
                <w:color w:val="auto"/>
                <w:sz w:val="21"/>
                <w:szCs w:val="21"/>
                <w:highlight w:val="none"/>
                <w:lang w:eastAsia="zh-CN"/>
              </w:rPr>
              <w:t>）</w:t>
            </w:r>
          </w:p>
        </w:tc>
        <w:tc>
          <w:tcPr>
            <w:tcW w:w="6667" w:type="dxa"/>
            <w:tcBorders>
              <w:right w:val="single" w:color="auto" w:sz="4" w:space="0"/>
            </w:tcBorders>
            <w:noWrap w:val="0"/>
            <w:vAlign w:val="center"/>
          </w:tcPr>
          <w:p w14:paraId="722E58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项目负责人：项目负责人拥有经济类相关专业博士学</w:t>
            </w:r>
            <w:r>
              <w:rPr>
                <w:rFonts w:hint="eastAsia" w:hAnsi="宋体" w:eastAsia="宋体" w:cs="宋体"/>
                <w:color w:val="auto"/>
                <w:sz w:val="21"/>
                <w:szCs w:val="21"/>
                <w:highlight w:val="none"/>
                <w:lang w:val="en-US" w:eastAsia="zh-CN"/>
              </w:rPr>
              <w:t>位</w:t>
            </w:r>
            <w:r>
              <w:rPr>
                <w:rFonts w:hint="eastAsia" w:ascii="宋体" w:hAnsi="宋体" w:eastAsia="宋体" w:cs="宋体"/>
                <w:color w:val="auto"/>
                <w:sz w:val="21"/>
                <w:szCs w:val="21"/>
                <w:highlight w:val="none"/>
              </w:rPr>
              <w:t>的，得4分，拥有经济类相关专业硕士学</w:t>
            </w:r>
            <w:r>
              <w:rPr>
                <w:rFonts w:hint="eastAsia" w:hAnsi="宋体" w:eastAsia="宋体" w:cs="宋体"/>
                <w:color w:val="auto"/>
                <w:sz w:val="21"/>
                <w:szCs w:val="21"/>
                <w:highlight w:val="none"/>
                <w:lang w:val="en-US" w:eastAsia="zh-CN"/>
              </w:rPr>
              <w:t>位</w:t>
            </w:r>
            <w:r>
              <w:rPr>
                <w:rFonts w:hint="eastAsia" w:ascii="宋体" w:hAnsi="宋体" w:eastAsia="宋体" w:cs="宋体"/>
                <w:color w:val="auto"/>
                <w:sz w:val="21"/>
                <w:szCs w:val="21"/>
                <w:highlight w:val="none"/>
              </w:rPr>
              <w:t>的，得3分，拥有经济类相关专业</w:t>
            </w:r>
            <w:r>
              <w:rPr>
                <w:rFonts w:hint="eastAsia" w:hAnsi="宋体" w:eastAsia="宋体" w:cs="宋体"/>
                <w:color w:val="auto"/>
                <w:sz w:val="21"/>
                <w:szCs w:val="21"/>
                <w:highlight w:val="none"/>
                <w:lang w:val="en-US" w:eastAsia="zh-CN"/>
              </w:rPr>
              <w:t>学士</w:t>
            </w:r>
            <w:r>
              <w:rPr>
                <w:rFonts w:hint="eastAsia" w:ascii="宋体" w:hAnsi="宋体" w:eastAsia="宋体" w:cs="宋体"/>
                <w:color w:val="auto"/>
                <w:sz w:val="21"/>
                <w:szCs w:val="21"/>
                <w:highlight w:val="none"/>
              </w:rPr>
              <w:t>学</w:t>
            </w:r>
            <w:r>
              <w:rPr>
                <w:rFonts w:hint="eastAsia" w:hAnsi="宋体" w:eastAsia="宋体" w:cs="宋体"/>
                <w:color w:val="auto"/>
                <w:sz w:val="21"/>
                <w:szCs w:val="21"/>
                <w:highlight w:val="none"/>
                <w:lang w:val="en-US" w:eastAsia="zh-CN"/>
              </w:rPr>
              <w:t>位</w:t>
            </w:r>
            <w:r>
              <w:rPr>
                <w:rFonts w:hint="eastAsia" w:ascii="宋体" w:hAnsi="宋体" w:eastAsia="宋体" w:cs="宋体"/>
                <w:color w:val="auto"/>
                <w:sz w:val="21"/>
                <w:szCs w:val="21"/>
                <w:highlight w:val="none"/>
              </w:rPr>
              <w:t>的，得2分，其余不得分。</w:t>
            </w:r>
          </w:p>
          <w:p w14:paraId="6E4FA8F1">
            <w:pP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提供项目负责人</w:t>
            </w:r>
            <w:r>
              <w:rPr>
                <w:rFonts w:hint="eastAsia" w:hAnsi="宋体" w:eastAsia="宋体" w:cs="宋体"/>
                <w:b w:val="0"/>
                <w:bCs/>
                <w:color w:val="auto"/>
                <w:sz w:val="21"/>
                <w:szCs w:val="21"/>
                <w:highlight w:val="none"/>
                <w:lang w:val="en-US" w:eastAsia="zh-CN"/>
              </w:rPr>
              <w:t>学位</w:t>
            </w:r>
            <w:r>
              <w:rPr>
                <w:rFonts w:hint="eastAsia" w:ascii="宋体" w:hAnsi="宋体" w:eastAsia="宋体" w:cs="宋体"/>
                <w:b w:val="0"/>
                <w:bCs/>
                <w:color w:val="auto"/>
                <w:sz w:val="21"/>
                <w:szCs w:val="21"/>
                <w:highlight w:val="none"/>
                <w:lang w:val="en-US" w:eastAsia="zh-CN"/>
              </w:rPr>
              <w:t>证明加盖公章，未提供不得分。</w:t>
            </w:r>
          </w:p>
        </w:tc>
        <w:tc>
          <w:tcPr>
            <w:tcW w:w="664" w:type="dxa"/>
            <w:tcBorders>
              <w:left w:val="single" w:color="auto" w:sz="4" w:space="0"/>
            </w:tcBorders>
            <w:noWrap w:val="0"/>
            <w:vAlign w:val="center"/>
          </w:tcPr>
          <w:p w14:paraId="08F03BD1">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r>
      <w:tr w14:paraId="09A131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85" w:hRule="atLeast"/>
        </w:trPr>
        <w:tc>
          <w:tcPr>
            <w:tcW w:w="867" w:type="dxa"/>
            <w:vMerge w:val="continue"/>
            <w:tcBorders>
              <w:right w:val="single" w:color="auto" w:sz="4" w:space="0"/>
            </w:tcBorders>
            <w:noWrap w:val="0"/>
            <w:vAlign w:val="center"/>
          </w:tcPr>
          <w:p w14:paraId="0B3D5E6B">
            <w:pPr>
              <w:widowControl/>
              <w:jc w:val="center"/>
              <w:rPr>
                <w:rFonts w:hint="eastAsia" w:ascii="宋体" w:hAnsi="宋体" w:eastAsia="宋体" w:cs="宋体"/>
                <w:bCs/>
                <w:color w:val="auto"/>
                <w:sz w:val="21"/>
                <w:szCs w:val="21"/>
                <w:highlight w:val="none"/>
              </w:rPr>
            </w:pPr>
          </w:p>
        </w:tc>
        <w:tc>
          <w:tcPr>
            <w:tcW w:w="1260" w:type="dxa"/>
            <w:vMerge w:val="continue"/>
            <w:tcBorders>
              <w:right w:val="single" w:color="auto" w:sz="4" w:space="0"/>
            </w:tcBorders>
            <w:noWrap w:val="0"/>
            <w:vAlign w:val="center"/>
          </w:tcPr>
          <w:p w14:paraId="52A773F5">
            <w:pPr>
              <w:rPr>
                <w:rFonts w:hint="eastAsia" w:ascii="宋体" w:hAnsi="宋体" w:eastAsia="宋体" w:cs="宋体"/>
                <w:b w:val="0"/>
                <w:bCs w:val="0"/>
                <w:color w:val="auto"/>
                <w:sz w:val="21"/>
                <w:szCs w:val="21"/>
                <w:highlight w:val="none"/>
                <w:lang w:val="en-US" w:eastAsia="zh-CN"/>
              </w:rPr>
            </w:pPr>
          </w:p>
        </w:tc>
        <w:tc>
          <w:tcPr>
            <w:tcW w:w="6667" w:type="dxa"/>
            <w:tcBorders>
              <w:right w:val="single" w:color="auto" w:sz="4" w:space="0"/>
            </w:tcBorders>
            <w:noWrap w:val="0"/>
            <w:vAlign w:val="center"/>
          </w:tcPr>
          <w:p w14:paraId="2AF029E2">
            <w:pPr>
              <w:numPr>
                <w:ilvl w:val="0"/>
                <w:numId w:val="16"/>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团队其他成员</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w:t>
            </w:r>
          </w:p>
          <w:p w14:paraId="44A97864">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提供的团队其他成员的</w:t>
            </w:r>
            <w:r>
              <w:rPr>
                <w:rFonts w:hint="eastAsia" w:hAnsi="宋体" w:eastAsia="宋体" w:cs="宋体"/>
                <w:color w:val="auto"/>
                <w:sz w:val="21"/>
                <w:szCs w:val="21"/>
                <w:highlight w:val="none"/>
                <w:lang w:val="en-US" w:eastAsia="zh-CN"/>
              </w:rPr>
              <w:t>受教育程度</w:t>
            </w:r>
            <w:r>
              <w:rPr>
                <w:rFonts w:hint="eastAsia" w:ascii="宋体" w:hAnsi="宋体" w:eastAsia="宋体" w:cs="宋体"/>
                <w:color w:val="auto"/>
                <w:sz w:val="21"/>
                <w:szCs w:val="21"/>
                <w:highlight w:val="none"/>
              </w:rPr>
              <w:t>或职称证书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工作分工、项目经验等情况进行综合评议；</w:t>
            </w:r>
          </w:p>
          <w:p w14:paraId="4CE65B61">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其他成员</w:t>
            </w:r>
            <w:r>
              <w:rPr>
                <w:rFonts w:hint="eastAsia" w:hAnsi="宋体" w:eastAsia="宋体" w:cs="宋体"/>
                <w:color w:val="auto"/>
                <w:sz w:val="21"/>
                <w:szCs w:val="21"/>
                <w:highlight w:val="none"/>
                <w:lang w:val="en-US" w:eastAsia="zh-CN"/>
              </w:rPr>
              <w:t>受教育程度在研究生及以上学历</w:t>
            </w:r>
            <w:r>
              <w:rPr>
                <w:rFonts w:hint="eastAsia" w:ascii="宋体" w:hAnsi="宋体" w:eastAsia="宋体" w:cs="宋体"/>
                <w:color w:val="auto"/>
                <w:sz w:val="21"/>
                <w:szCs w:val="21"/>
                <w:highlight w:val="none"/>
                <w:lang w:val="en-US" w:eastAsia="zh-CN"/>
              </w:rPr>
              <w:t>或</w:t>
            </w:r>
            <w:r>
              <w:rPr>
                <w:rFonts w:hint="eastAsia" w:hAnsi="宋体" w:eastAsia="宋体" w:cs="宋体"/>
                <w:color w:val="auto"/>
                <w:sz w:val="21"/>
                <w:szCs w:val="21"/>
                <w:highlight w:val="none"/>
                <w:lang w:val="en-US" w:eastAsia="zh-CN"/>
              </w:rPr>
              <w:t>具有高级及以上职称</w:t>
            </w:r>
            <w:r>
              <w:rPr>
                <w:rFonts w:hint="eastAsia" w:ascii="宋体" w:hAnsi="宋体" w:eastAsia="宋体" w:cs="宋体"/>
                <w:color w:val="auto"/>
                <w:sz w:val="21"/>
                <w:szCs w:val="21"/>
                <w:highlight w:val="none"/>
                <w:lang w:val="en-US" w:eastAsia="zh-CN"/>
              </w:rPr>
              <w:t>、工作分工合理、</w:t>
            </w:r>
            <w:r>
              <w:rPr>
                <w:rFonts w:hint="eastAsia"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类似项目</w:t>
            </w:r>
            <w:r>
              <w:rPr>
                <w:rFonts w:hint="eastAsia" w:hAnsi="宋体" w:eastAsia="宋体" w:cs="宋体"/>
                <w:color w:val="auto"/>
                <w:sz w:val="21"/>
                <w:szCs w:val="21"/>
                <w:highlight w:val="none"/>
                <w:lang w:val="en-US" w:eastAsia="zh-CN"/>
              </w:rPr>
              <w:t>3年及以上从业经验</w:t>
            </w:r>
            <w:r>
              <w:rPr>
                <w:rFonts w:hint="eastAsia" w:ascii="宋体" w:hAnsi="宋体" w:eastAsia="宋体" w:cs="宋体"/>
                <w:color w:val="auto"/>
                <w:sz w:val="21"/>
                <w:szCs w:val="21"/>
                <w:highlight w:val="none"/>
                <w:lang w:val="en-US" w:eastAsia="zh-CN"/>
              </w:rPr>
              <w:t>的得3分；</w:t>
            </w:r>
          </w:p>
          <w:p w14:paraId="79EACFE2">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其他成员</w:t>
            </w:r>
            <w:r>
              <w:rPr>
                <w:rFonts w:hint="eastAsia" w:hAnsi="宋体" w:eastAsia="宋体" w:cs="宋体"/>
                <w:color w:val="auto"/>
                <w:sz w:val="21"/>
                <w:szCs w:val="21"/>
                <w:highlight w:val="none"/>
                <w:lang w:val="en-US" w:eastAsia="zh-CN"/>
              </w:rPr>
              <w:t>受教育程度</w:t>
            </w:r>
            <w:r>
              <w:rPr>
                <w:rFonts w:hint="eastAsia" w:ascii="宋体" w:hAnsi="宋体" w:eastAsia="宋体" w:cs="宋体"/>
                <w:color w:val="auto"/>
                <w:sz w:val="21"/>
                <w:szCs w:val="21"/>
                <w:highlight w:val="none"/>
                <w:lang w:val="en-US" w:eastAsia="zh-CN"/>
              </w:rPr>
              <w:t>在</w:t>
            </w:r>
            <w:r>
              <w:rPr>
                <w:rFonts w:hint="eastAsia" w:hAnsi="宋体" w:eastAsia="宋体" w:cs="宋体"/>
                <w:color w:val="auto"/>
                <w:sz w:val="21"/>
                <w:szCs w:val="21"/>
                <w:highlight w:val="none"/>
                <w:lang w:val="en-US" w:eastAsia="zh-CN"/>
              </w:rPr>
              <w:t>本科及以上学历</w:t>
            </w:r>
            <w:r>
              <w:rPr>
                <w:rFonts w:hint="eastAsia" w:ascii="宋体" w:hAnsi="宋体" w:eastAsia="宋体" w:cs="宋体"/>
                <w:color w:val="auto"/>
                <w:sz w:val="21"/>
                <w:szCs w:val="21"/>
                <w:highlight w:val="none"/>
                <w:lang w:val="en-US" w:eastAsia="zh-CN"/>
              </w:rPr>
              <w:t>或具有</w:t>
            </w:r>
            <w:r>
              <w:rPr>
                <w:rFonts w:hint="eastAsia"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级及以上职称、工作分工较为合理、具有类似项目</w:t>
            </w:r>
            <w:r>
              <w:rPr>
                <w:rFonts w:hint="eastAsia" w:hAnsi="宋体" w:eastAsia="宋体" w:cs="宋体"/>
                <w:color w:val="auto"/>
                <w:sz w:val="21"/>
                <w:szCs w:val="21"/>
                <w:highlight w:val="none"/>
                <w:lang w:val="en-US" w:eastAsia="zh-CN"/>
              </w:rPr>
              <w:t>2年及以上</w:t>
            </w:r>
            <w:r>
              <w:rPr>
                <w:rFonts w:hint="eastAsia" w:ascii="宋体" w:hAnsi="宋体" w:eastAsia="宋体" w:cs="宋体"/>
                <w:color w:val="auto"/>
                <w:sz w:val="21"/>
                <w:szCs w:val="21"/>
                <w:highlight w:val="none"/>
                <w:lang w:val="en-US" w:eastAsia="zh-CN"/>
              </w:rPr>
              <w:t>从业经验的得2分；</w:t>
            </w:r>
          </w:p>
          <w:p w14:paraId="469773E2">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其他成员</w:t>
            </w:r>
            <w:r>
              <w:rPr>
                <w:rFonts w:hint="eastAsia" w:hAnsi="宋体" w:eastAsia="宋体" w:cs="宋体"/>
                <w:color w:val="auto"/>
                <w:sz w:val="21"/>
                <w:szCs w:val="21"/>
                <w:highlight w:val="none"/>
                <w:lang w:val="en-US" w:eastAsia="zh-CN"/>
              </w:rPr>
              <w:t>受教育程度在大专及以上学历</w:t>
            </w:r>
            <w:r>
              <w:rPr>
                <w:rFonts w:hint="eastAsia" w:ascii="宋体" w:hAnsi="宋体" w:eastAsia="宋体" w:cs="宋体"/>
                <w:color w:val="auto"/>
                <w:sz w:val="21"/>
                <w:szCs w:val="21"/>
                <w:highlight w:val="none"/>
                <w:lang w:val="en-US" w:eastAsia="zh-CN"/>
              </w:rPr>
              <w:t>或具有</w:t>
            </w:r>
            <w:r>
              <w:rPr>
                <w:rFonts w:hint="eastAsia" w:hAnsi="宋体" w:eastAsia="宋体" w:cs="宋体"/>
                <w:color w:val="auto"/>
                <w:sz w:val="21"/>
                <w:szCs w:val="21"/>
                <w:highlight w:val="none"/>
                <w:lang w:val="en-US" w:eastAsia="zh-CN"/>
              </w:rPr>
              <w:t>初</w:t>
            </w:r>
            <w:r>
              <w:rPr>
                <w:rFonts w:hint="eastAsia" w:ascii="宋体" w:hAnsi="宋体" w:eastAsia="宋体" w:cs="宋体"/>
                <w:color w:val="auto"/>
                <w:sz w:val="21"/>
                <w:szCs w:val="21"/>
                <w:highlight w:val="none"/>
                <w:lang w:val="en-US" w:eastAsia="zh-CN"/>
              </w:rPr>
              <w:t>级及以上职称、工作分工模糊不清、缺乏类似项目从业经验的得1分；</w:t>
            </w:r>
          </w:p>
          <w:p w14:paraId="1552ED73">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p w14:paraId="0B84E92D">
            <w:pPr>
              <w:pStyle w:val="2"/>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bidi="ar-SA"/>
              </w:rPr>
              <w:t>备注：</w:t>
            </w:r>
            <w:r>
              <w:rPr>
                <w:rFonts w:hint="eastAsia" w:ascii="宋体" w:hAnsi="宋体" w:cs="宋体"/>
                <w:color w:val="auto"/>
                <w:sz w:val="21"/>
                <w:szCs w:val="21"/>
                <w:highlight w:val="none"/>
                <w:lang w:val="en-US" w:eastAsia="zh-CN" w:bidi="ar-SA"/>
              </w:rPr>
              <w:t>提供学历证书或职称证书扫描件，经验证明材料等作为评审依据。</w:t>
            </w:r>
          </w:p>
        </w:tc>
        <w:tc>
          <w:tcPr>
            <w:tcW w:w="664" w:type="dxa"/>
            <w:tcBorders>
              <w:left w:val="single" w:color="auto" w:sz="4" w:space="0"/>
            </w:tcBorders>
            <w:noWrap w:val="0"/>
            <w:vAlign w:val="center"/>
          </w:tcPr>
          <w:p w14:paraId="669BF146">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14:paraId="4C062D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0" w:hRule="atLeast"/>
        </w:trPr>
        <w:tc>
          <w:tcPr>
            <w:tcW w:w="867" w:type="dxa"/>
            <w:vMerge w:val="continue"/>
            <w:tcBorders>
              <w:right w:val="single" w:color="auto" w:sz="4" w:space="0"/>
            </w:tcBorders>
            <w:noWrap w:val="0"/>
            <w:vAlign w:val="center"/>
          </w:tcPr>
          <w:p w14:paraId="556562A3">
            <w:pPr>
              <w:widowControl/>
              <w:jc w:val="center"/>
              <w:rPr>
                <w:rFonts w:hint="eastAsia" w:ascii="宋体" w:hAnsi="宋体" w:eastAsia="宋体" w:cs="宋体"/>
                <w:bCs/>
                <w:color w:val="auto"/>
                <w:sz w:val="21"/>
                <w:szCs w:val="21"/>
                <w:highlight w:val="none"/>
              </w:rPr>
            </w:pPr>
          </w:p>
        </w:tc>
        <w:tc>
          <w:tcPr>
            <w:tcW w:w="1260" w:type="dxa"/>
            <w:tcBorders>
              <w:right w:val="single" w:color="auto" w:sz="4" w:space="0"/>
            </w:tcBorders>
            <w:noWrap w:val="0"/>
            <w:vAlign w:val="center"/>
          </w:tcPr>
          <w:p w14:paraId="05C15C27">
            <w:pPr>
              <w:widowControl/>
              <w:wordWrap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10.业绩（1分）</w:t>
            </w:r>
          </w:p>
        </w:tc>
        <w:tc>
          <w:tcPr>
            <w:tcW w:w="6667" w:type="dxa"/>
            <w:tcBorders>
              <w:right w:val="single" w:color="auto" w:sz="4" w:space="0"/>
            </w:tcBorders>
            <w:noWrap w:val="0"/>
            <w:vAlign w:val="center"/>
          </w:tcPr>
          <w:p w14:paraId="679F026C">
            <w:pPr>
              <w:widowControl/>
              <w:wordWrap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2021年</w:t>
            </w: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月1日至今（以合同签订日期为准），</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完成过同类项目业绩的，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文件中提供有效的合同复印件加盖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公章得1分。</w:t>
            </w:r>
          </w:p>
        </w:tc>
        <w:tc>
          <w:tcPr>
            <w:tcW w:w="664" w:type="dxa"/>
            <w:tcBorders>
              <w:left w:val="single" w:color="auto" w:sz="4" w:space="0"/>
            </w:tcBorders>
            <w:noWrap w:val="0"/>
            <w:vAlign w:val="center"/>
          </w:tcPr>
          <w:p w14:paraId="1F08C73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2AC685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5" w:hRule="atLeast"/>
        </w:trPr>
        <w:tc>
          <w:tcPr>
            <w:tcW w:w="2127" w:type="dxa"/>
            <w:gridSpan w:val="2"/>
            <w:tcBorders>
              <w:right w:val="single" w:color="auto" w:sz="4" w:space="0"/>
            </w:tcBorders>
            <w:noWrap w:val="0"/>
            <w:vAlign w:val="center"/>
          </w:tcPr>
          <w:p w14:paraId="75895254">
            <w:pPr>
              <w:widowControl/>
              <w:wordWrap w:val="0"/>
              <w:jc w:val="center"/>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价格分15分</w:t>
            </w:r>
          </w:p>
        </w:tc>
        <w:tc>
          <w:tcPr>
            <w:tcW w:w="6667" w:type="dxa"/>
            <w:tcBorders>
              <w:right w:val="single" w:color="auto" w:sz="4" w:space="0"/>
            </w:tcBorders>
            <w:noWrap w:val="0"/>
            <w:vAlign w:val="center"/>
          </w:tcPr>
          <w:p w14:paraId="330CCD6B">
            <w:pPr>
              <w:widowControl/>
              <w:wordWrap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满足磋商文件要求且最后报价最低</w:t>
            </w:r>
            <w:r>
              <w:rPr>
                <w:rFonts w:hint="eastAsia" w:ascii="宋体" w:hAnsi="宋体" w:eastAsia="宋体" w:cs="宋体"/>
                <w:color w:val="auto"/>
                <w:sz w:val="21"/>
                <w:szCs w:val="21"/>
                <w:highlight w:val="none"/>
                <w:lang w:val="en-US" w:eastAsia="zh-CN"/>
              </w:rPr>
              <w:t>参与评审的</w:t>
            </w:r>
            <w:r>
              <w:rPr>
                <w:rFonts w:hint="eastAsia" w:ascii="宋体" w:hAnsi="宋体" w:eastAsia="宋体" w:cs="宋体"/>
                <w:color w:val="auto"/>
                <w:sz w:val="21"/>
                <w:szCs w:val="21"/>
                <w:highlight w:val="none"/>
              </w:rPr>
              <w:t>的供应商的价格为磋商基准价，其价格分为满分。</w:t>
            </w:r>
          </w:p>
          <w:p w14:paraId="5D2A9CD2">
            <w:pPr>
              <w:widowControl/>
              <w:wordWrap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参与评审的价格=</w:t>
            </w:r>
            <w:r>
              <w:rPr>
                <w:rFonts w:hint="eastAsia" w:ascii="宋体" w:hAnsi="宋体" w:eastAsia="宋体" w:cs="宋体"/>
                <w:color w:val="auto"/>
                <w:sz w:val="21"/>
                <w:szCs w:val="21"/>
                <w:highlight w:val="none"/>
              </w:rPr>
              <w:t>最后报价</w:t>
            </w:r>
            <w:r>
              <w:rPr>
                <w:rFonts w:hint="eastAsia" w:ascii="宋体" w:hAnsi="宋体" w:eastAsia="宋体" w:cs="宋体"/>
                <w:color w:val="auto"/>
                <w:sz w:val="21"/>
                <w:szCs w:val="21"/>
                <w:highlight w:val="none"/>
                <w:lang w:val="en-US" w:eastAsia="zh-CN"/>
              </w:rPr>
              <w:t>-小微企业优惠10%（如有）</w:t>
            </w:r>
          </w:p>
          <w:p w14:paraId="277A981F">
            <w:pPr>
              <w:widowControl/>
              <w:wordWrap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其他供应商的价格分统一按照下列公式计算:</w:t>
            </w:r>
          </w:p>
          <w:p w14:paraId="10D30087">
            <w:pPr>
              <w:widowControl/>
              <w:wordWrap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磋商报价得分=(磋商基准价/</w:t>
            </w:r>
            <w:r>
              <w:rPr>
                <w:rFonts w:hint="eastAsia" w:ascii="宋体" w:hAnsi="宋体" w:eastAsia="宋体" w:cs="宋体"/>
                <w:color w:val="auto"/>
                <w:sz w:val="21"/>
                <w:szCs w:val="21"/>
                <w:highlight w:val="none"/>
                <w:lang w:val="en-US" w:eastAsia="zh-CN"/>
              </w:rPr>
              <w:t>参与评审报价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15%*100</w:t>
            </w:r>
          </w:p>
        </w:tc>
        <w:tc>
          <w:tcPr>
            <w:tcW w:w="664" w:type="dxa"/>
            <w:tcBorders>
              <w:left w:val="single" w:color="auto" w:sz="4" w:space="0"/>
            </w:tcBorders>
            <w:noWrap w:val="0"/>
            <w:vAlign w:val="center"/>
          </w:tcPr>
          <w:p w14:paraId="0DA2F803">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r>
    </w:tbl>
    <w:p w14:paraId="7846869D">
      <w:pPr>
        <w:keepNext w:val="0"/>
        <w:keepLines w:val="0"/>
        <w:pageBreakBefore w:val="0"/>
        <w:shd w:val="clear" w:color="auto" w:fill="auto"/>
        <w:kinsoku/>
        <w:wordWrap/>
        <w:overflowPunct/>
        <w:topLinePunct w:val="0"/>
        <w:bidi w:val="0"/>
        <w:adjustRightInd/>
        <w:spacing w:line="500" w:lineRule="exact"/>
        <w:textAlignment w:val="auto"/>
        <w:rPr>
          <w:rFonts w:hint="eastAsia" w:hAnsi="宋体" w:eastAsia="宋体" w:cs="宋体"/>
          <w:color w:val="auto"/>
          <w:kern w:val="2"/>
          <w:sz w:val="21"/>
          <w:highlight w:val="none"/>
        </w:rPr>
      </w:pPr>
      <w:r>
        <w:rPr>
          <w:rFonts w:hint="eastAsia" w:hAnsi="宋体" w:eastAsia="宋体" w:cs="宋体"/>
          <w:color w:val="auto"/>
          <w:kern w:val="2"/>
          <w:sz w:val="21"/>
          <w:highlight w:val="none"/>
        </w:rPr>
        <w:t>注：</w:t>
      </w:r>
    </w:p>
    <w:p w14:paraId="6D1365D4">
      <w:pPr>
        <w:keepNext w:val="0"/>
        <w:keepLines w:val="0"/>
        <w:pageBreakBefore w:val="0"/>
        <w:shd w:val="clear" w:color="auto" w:fill="auto"/>
        <w:kinsoku/>
        <w:wordWrap/>
        <w:overflowPunct/>
        <w:topLinePunct w:val="0"/>
        <w:bidi w:val="0"/>
        <w:adjustRightInd/>
        <w:spacing w:line="500" w:lineRule="exact"/>
        <w:textAlignment w:val="auto"/>
        <w:rPr>
          <w:rFonts w:hint="eastAsia" w:hAnsi="宋体" w:eastAsia="宋体" w:cs="宋体"/>
          <w:color w:val="auto"/>
          <w:kern w:val="2"/>
          <w:sz w:val="21"/>
          <w:highlight w:val="none"/>
        </w:rPr>
      </w:pPr>
      <w:r>
        <w:rPr>
          <w:rFonts w:hint="eastAsia" w:hAnsi="宋体" w:eastAsia="宋体" w:cs="宋体"/>
          <w:color w:val="auto"/>
          <w:kern w:val="2"/>
          <w:sz w:val="21"/>
          <w:highlight w:val="none"/>
        </w:rPr>
        <w:t>1、评委在上表设定的分值范围内打分（四舍五入保留一位小数），对缺项的项目按零分计。分数汇总后，计算算术平均值作为资信技术分，平均分值计算四舍五入保留两位小数点。</w:t>
      </w:r>
    </w:p>
    <w:p w14:paraId="0392B6A5">
      <w:pPr>
        <w:keepNext w:val="0"/>
        <w:keepLines w:val="0"/>
        <w:pageBreakBefore w:val="0"/>
        <w:shd w:val="clear" w:color="auto" w:fill="auto"/>
        <w:kinsoku/>
        <w:wordWrap/>
        <w:overflowPunct/>
        <w:topLinePunct w:val="0"/>
        <w:bidi w:val="0"/>
        <w:adjustRightInd/>
        <w:spacing w:line="500" w:lineRule="exact"/>
        <w:textAlignment w:val="auto"/>
        <w:rPr>
          <w:rFonts w:hint="eastAsia" w:hAnsi="宋体" w:eastAsia="宋体" w:cs="宋体"/>
          <w:b/>
          <w:color w:val="auto"/>
          <w:kern w:val="2"/>
          <w:sz w:val="21"/>
          <w:highlight w:val="none"/>
        </w:rPr>
      </w:pPr>
      <w:r>
        <w:rPr>
          <w:rFonts w:hint="eastAsia" w:hAnsi="宋体" w:eastAsia="宋体" w:cs="宋体"/>
          <w:color w:val="auto"/>
          <w:kern w:val="2"/>
          <w:sz w:val="21"/>
          <w:highlight w:val="none"/>
        </w:rPr>
        <w:t>2、评委对需要共同认定的事项存在争议的，按少数服从多数的原则做出结论。</w:t>
      </w:r>
    </w:p>
    <w:p w14:paraId="3931E093">
      <w:pPr>
        <w:pStyle w:val="5"/>
        <w:bidi w:val="0"/>
        <w:jc w:val="center"/>
        <w:outlineLvl w:val="0"/>
        <w:rPr>
          <w:rFonts w:hint="eastAsia" w:ascii="宋体" w:hAnsi="宋体"/>
          <w:b/>
          <w:color w:val="auto"/>
          <w:kern w:val="2"/>
          <w:sz w:val="32"/>
          <w:szCs w:val="32"/>
          <w:highlight w:val="none"/>
        </w:rPr>
      </w:pPr>
      <w:r>
        <w:rPr>
          <w:rFonts w:hint="eastAsia" w:hAnsi="宋体" w:eastAsia="宋体" w:cs="宋体"/>
          <w:color w:val="auto"/>
          <w:kern w:val="2"/>
          <w:sz w:val="21"/>
          <w:highlight w:val="none"/>
        </w:rPr>
        <w:br w:type="page"/>
      </w:r>
      <w:bookmarkEnd w:id="70"/>
      <w:bookmarkEnd w:id="71"/>
      <w:bookmarkStart w:id="91" w:name="_Toc8874"/>
      <w:bookmarkStart w:id="92" w:name="_Toc8782"/>
      <w:bookmarkStart w:id="93" w:name="_Toc20586"/>
      <w:bookmarkStart w:id="94" w:name="_Toc23854"/>
      <w:bookmarkStart w:id="95" w:name="_Toc1823"/>
      <w:r>
        <w:rPr>
          <w:rStyle w:val="39"/>
          <w:rFonts w:hint="eastAsia"/>
          <w:b/>
          <w:bCs/>
          <w:color w:val="auto"/>
          <w:highlight w:val="none"/>
          <w:lang w:eastAsia="zh-CN"/>
        </w:rPr>
        <w:t>第</w:t>
      </w:r>
      <w:r>
        <w:rPr>
          <w:rStyle w:val="39"/>
          <w:rFonts w:hint="eastAsia"/>
          <w:b/>
          <w:bCs/>
          <w:color w:val="auto"/>
          <w:highlight w:val="none"/>
          <w:lang w:val="en-US" w:eastAsia="zh-CN"/>
        </w:rPr>
        <w:t>五</w:t>
      </w:r>
      <w:r>
        <w:rPr>
          <w:rStyle w:val="39"/>
          <w:rFonts w:hint="eastAsia"/>
          <w:b/>
          <w:bCs/>
          <w:color w:val="auto"/>
          <w:highlight w:val="none"/>
          <w:lang w:eastAsia="zh-CN"/>
        </w:rPr>
        <w:t>章</w:t>
      </w:r>
      <w:r>
        <w:rPr>
          <w:rStyle w:val="39"/>
          <w:rFonts w:hint="eastAsia"/>
          <w:b/>
          <w:bCs/>
          <w:color w:val="auto"/>
          <w:highlight w:val="none"/>
        </w:rPr>
        <w:t xml:space="preserve"> 合同条款及格式</w:t>
      </w:r>
      <w:bookmarkEnd w:id="91"/>
      <w:bookmarkEnd w:id="92"/>
      <w:bookmarkEnd w:id="93"/>
    </w:p>
    <w:p w14:paraId="2C3F10D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b/>
          <w:sz w:val="44"/>
          <w:szCs w:val="44"/>
        </w:rPr>
      </w:pPr>
      <w:bookmarkStart w:id="96" w:name="_Toc15246"/>
      <w:r>
        <w:rPr>
          <w:rFonts w:hint="eastAsia" w:ascii="宋体" w:hAnsi="宋体" w:eastAsia="宋体" w:cs="宋体"/>
          <w:b/>
          <w:sz w:val="44"/>
          <w:szCs w:val="44"/>
        </w:rPr>
        <w:t>咨询服务合同</w:t>
      </w:r>
    </w:p>
    <w:p w14:paraId="266A6E99">
      <w:pPr>
        <w:pStyle w:val="44"/>
        <w:spacing w:before="156" w:beforeLines="50" w:after="156" w:afterLines="50"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14:paraId="543695C9">
      <w:pPr>
        <w:pStyle w:val="44"/>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pPr>
    </w:p>
    <w:p w14:paraId="50B87C8B">
      <w:pPr>
        <w:pStyle w:val="44"/>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pPr>
    </w:p>
    <w:p w14:paraId="7D9C0482">
      <w:pPr>
        <w:pStyle w:val="44"/>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pPr>
    </w:p>
    <w:p w14:paraId="506BCE8E">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甲      方：</w:t>
      </w:r>
    </w:p>
    <w:p w14:paraId="61F5B6B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val="en-US" w:eastAsia="zh-CN"/>
        </w:rPr>
        <w:t>/授权代表人</w:t>
      </w:r>
      <w:r>
        <w:rPr>
          <w:rFonts w:hint="eastAsia" w:ascii="仿宋_GB2312" w:hAnsi="仿宋_GB2312" w:eastAsia="仿宋_GB2312" w:cs="仿宋_GB2312"/>
          <w:kern w:val="0"/>
          <w:sz w:val="32"/>
          <w:szCs w:val="32"/>
        </w:rPr>
        <w:t>：</w:t>
      </w:r>
    </w:p>
    <w:p w14:paraId="68B5B7B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295D42E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      编：</w:t>
      </w:r>
    </w:p>
    <w:p w14:paraId="4B23B150">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rPr>
      </w:pPr>
    </w:p>
    <w:p w14:paraId="4593BCA7">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rPr>
      </w:pPr>
    </w:p>
    <w:p w14:paraId="1FCC8592">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乙      方：</w:t>
      </w:r>
    </w:p>
    <w:p w14:paraId="20ABC8E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val="en-US" w:eastAsia="zh-CN"/>
        </w:rPr>
        <w:t>/授权代表人</w:t>
      </w:r>
      <w:r>
        <w:rPr>
          <w:rFonts w:hint="eastAsia" w:ascii="仿宋_GB2312" w:hAnsi="仿宋_GB2312" w:eastAsia="仿宋_GB2312" w:cs="仿宋_GB2312"/>
          <w:kern w:val="0"/>
          <w:sz w:val="32"/>
          <w:szCs w:val="32"/>
        </w:rPr>
        <w:t>：</w:t>
      </w:r>
    </w:p>
    <w:p w14:paraId="75CF91D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5750F92A">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      编：</w:t>
      </w:r>
    </w:p>
    <w:p w14:paraId="1F9DC2D3">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鉴于乙方在【                 】具有丰富的专业经验，甲方愿意委托乙方为其提供咨询服务，为此，双方根据《中华人民共和国</w:t>
      </w:r>
      <w:r>
        <w:rPr>
          <w:rFonts w:hint="eastAsia" w:ascii="宋体" w:hAnsi="宋体" w:eastAsia="宋体" w:cs="宋体"/>
          <w:sz w:val="21"/>
          <w:szCs w:val="21"/>
          <w:lang w:eastAsia="zh-CN"/>
        </w:rPr>
        <w:t>民法典</w:t>
      </w:r>
      <w:r>
        <w:rPr>
          <w:rFonts w:hint="eastAsia" w:ascii="宋体" w:hAnsi="宋体" w:eastAsia="宋体" w:cs="宋体"/>
          <w:sz w:val="21"/>
          <w:szCs w:val="21"/>
        </w:rPr>
        <w:t>》，本着平等互利的原则，经友好协商，达成本合同。</w:t>
      </w:r>
    </w:p>
    <w:p w14:paraId="00AF4275">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97" w:name="_Toc17374"/>
      <w:r>
        <w:rPr>
          <w:rFonts w:hint="eastAsia" w:ascii="宋体" w:hAnsi="宋体" w:eastAsia="宋体" w:cs="宋体"/>
          <w:b/>
          <w:bCs/>
          <w:sz w:val="21"/>
          <w:szCs w:val="21"/>
        </w:rPr>
        <w:t>第一条 服务内容</w:t>
      </w:r>
      <w:bookmarkEnd w:id="97"/>
    </w:p>
    <w:p w14:paraId="1E744E50">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甲方委托乙方就【             】提供咨询服务，具体服务内容见本合同附件【           】，该附件为本合同的有效组成部分。</w:t>
      </w:r>
    </w:p>
    <w:p w14:paraId="5881D008">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1.2 乙方提供的咨询服务成果仅供甲方在其内部作为业务参考使用。</w:t>
      </w:r>
    </w:p>
    <w:p w14:paraId="710EE93E">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98" w:name="_Toc9118"/>
      <w:r>
        <w:rPr>
          <w:rFonts w:hint="eastAsia" w:ascii="宋体" w:hAnsi="宋体" w:eastAsia="宋体" w:cs="宋体"/>
          <w:b/>
          <w:bCs/>
          <w:sz w:val="21"/>
          <w:szCs w:val="21"/>
        </w:rPr>
        <w:t>第二条 服务方式</w:t>
      </w:r>
      <w:bookmarkEnd w:id="98"/>
    </w:p>
    <w:p w14:paraId="18CBD382">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2.1 乙方选派资深咨询顾问、专家及若干咨询助理组成项目组，与甲方人员共同工作，完成本合同约定的咨询服务。</w:t>
      </w:r>
    </w:p>
    <w:p w14:paraId="09C0CDFC">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2.2 为完成本咨询服务，甲方应提供如下支持：</w:t>
      </w:r>
    </w:p>
    <w:p w14:paraId="16DACB13">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b/>
          <w:sz w:val="21"/>
          <w:szCs w:val="21"/>
        </w:rPr>
        <w:t>秘书工作：</w:t>
      </w:r>
      <w:r>
        <w:rPr>
          <w:rFonts w:hint="eastAsia" w:ascii="宋体" w:hAnsi="宋体" w:eastAsia="宋体" w:cs="宋体"/>
          <w:sz w:val="21"/>
          <w:szCs w:val="21"/>
        </w:rPr>
        <w:t>在咨询服务过程中，若涉及调查访谈甲方人员或需要其他相关配合时，甲方应做出相应安排并提供</w:t>
      </w:r>
      <w:r>
        <w:rPr>
          <w:rFonts w:hint="eastAsia" w:ascii="宋体" w:hAnsi="宋体" w:eastAsia="宋体" w:cs="宋体"/>
          <w:sz w:val="21"/>
          <w:szCs w:val="21"/>
          <w:lang w:eastAsia="zh-CN"/>
        </w:rPr>
        <w:t>报告相关</w:t>
      </w:r>
      <w:r>
        <w:rPr>
          <w:rFonts w:hint="eastAsia" w:ascii="宋体" w:hAnsi="宋体" w:eastAsia="宋体" w:cs="宋体"/>
          <w:sz w:val="21"/>
          <w:szCs w:val="21"/>
        </w:rPr>
        <w:t>工作支持；乙方项目组亦有接触甲方相关部门及人员的自由。</w:t>
      </w:r>
    </w:p>
    <w:p w14:paraId="68CFBFA9">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b/>
          <w:sz w:val="21"/>
          <w:szCs w:val="21"/>
        </w:rPr>
        <w:t>提供真实合法的信息和资料：</w:t>
      </w:r>
      <w:r>
        <w:rPr>
          <w:rFonts w:hint="eastAsia" w:ascii="宋体" w:hAnsi="宋体" w:eastAsia="宋体" w:cs="宋体"/>
          <w:bCs/>
          <w:sz w:val="21"/>
          <w:szCs w:val="21"/>
        </w:rPr>
        <w:t>乙方将以甲方提供的信息和资料为基础开展咨询服务工作</w:t>
      </w:r>
      <w:r>
        <w:rPr>
          <w:rFonts w:hint="eastAsia" w:ascii="宋体" w:hAnsi="宋体" w:eastAsia="宋体" w:cs="宋体"/>
          <w:sz w:val="21"/>
          <w:szCs w:val="21"/>
        </w:rPr>
        <w:t>，甲方应确保其提供的信息和资料真实、合法、完整且及时。</w:t>
      </w:r>
    </w:p>
    <w:p w14:paraId="097AC500">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99" w:name="_Toc566"/>
      <w:r>
        <w:rPr>
          <w:rFonts w:hint="eastAsia" w:ascii="宋体" w:hAnsi="宋体" w:eastAsia="宋体" w:cs="宋体"/>
          <w:b/>
          <w:bCs/>
          <w:sz w:val="21"/>
          <w:szCs w:val="21"/>
        </w:rPr>
        <w:t>第三条 合同成果提交</w:t>
      </w:r>
      <w:bookmarkEnd w:id="99"/>
    </w:p>
    <w:p w14:paraId="2A326C8E">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3.1 乙方应于【   】年【  】月【  】日前向甲方提交咨询服务报告初稿。</w:t>
      </w:r>
    </w:p>
    <w:p w14:paraId="7C1F0168">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3.2 甲方</w:t>
      </w:r>
      <w:r>
        <w:rPr>
          <w:rFonts w:hint="eastAsia" w:ascii="宋体" w:hAnsi="宋体" w:eastAsia="宋体" w:cs="宋体"/>
          <w:sz w:val="21"/>
          <w:szCs w:val="21"/>
          <w:lang w:eastAsia="zh-CN"/>
        </w:rPr>
        <w:t>应在</w:t>
      </w:r>
      <w:r>
        <w:rPr>
          <w:rFonts w:hint="eastAsia" w:ascii="宋体" w:hAnsi="宋体" w:eastAsia="宋体" w:cs="宋体"/>
          <w:sz w:val="21"/>
          <w:szCs w:val="21"/>
        </w:rPr>
        <w:t>收到报告初稿及后续</w:t>
      </w:r>
      <w:r>
        <w:rPr>
          <w:rFonts w:hint="eastAsia" w:ascii="宋体" w:hAnsi="宋体" w:eastAsia="宋体" w:cs="宋体"/>
          <w:sz w:val="21"/>
          <w:szCs w:val="21"/>
          <w:lang w:eastAsia="zh-CN"/>
        </w:rPr>
        <w:t>修订</w:t>
      </w:r>
      <w:r>
        <w:rPr>
          <w:rFonts w:hint="eastAsia" w:ascii="宋体" w:hAnsi="宋体" w:eastAsia="宋体" w:cs="宋体"/>
          <w:sz w:val="21"/>
          <w:szCs w:val="21"/>
        </w:rPr>
        <w:t>版本之日起【 】个工作日内向乙方反馈意见，乙方据此对咨询服务报告及时修订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修订时限不超过3次</w:t>
      </w:r>
      <w:r>
        <w:rPr>
          <w:rFonts w:hint="eastAsia" w:ascii="宋体" w:hAnsi="宋体" w:eastAsia="宋体" w:cs="宋体"/>
          <w:sz w:val="21"/>
          <w:szCs w:val="21"/>
          <w:lang w:eastAsia="zh-CN"/>
        </w:rPr>
        <w:t>）</w:t>
      </w:r>
      <w:r>
        <w:rPr>
          <w:rFonts w:hint="eastAsia" w:ascii="宋体" w:hAnsi="宋体" w:eastAsia="宋体" w:cs="宋体"/>
          <w:sz w:val="21"/>
          <w:szCs w:val="21"/>
        </w:rPr>
        <w:t>并再次征求甲方意见。</w:t>
      </w:r>
    </w:p>
    <w:p w14:paraId="2B222A13">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3.3 甲方逾期未反馈意见的，视为甲方已认可该咨询服务报告</w:t>
      </w:r>
      <w:r>
        <w:rPr>
          <w:rFonts w:hint="eastAsia" w:ascii="宋体" w:hAnsi="宋体" w:eastAsia="宋体" w:cs="宋体"/>
          <w:sz w:val="21"/>
          <w:szCs w:val="21"/>
          <w:lang w:eastAsia="zh-CN"/>
        </w:rPr>
        <w:t>或其修订版本</w:t>
      </w:r>
      <w:r>
        <w:rPr>
          <w:rFonts w:hint="eastAsia" w:ascii="宋体" w:hAnsi="宋体" w:eastAsia="宋体" w:cs="宋体"/>
          <w:sz w:val="21"/>
          <w:szCs w:val="21"/>
        </w:rPr>
        <w:t>。</w:t>
      </w:r>
    </w:p>
    <w:p w14:paraId="3DD3DFC0">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rPr>
        <w:t>3.4 乙方根据本条前款规定</w:t>
      </w:r>
      <w:r>
        <w:rPr>
          <w:rFonts w:hint="eastAsia" w:ascii="宋体" w:hAnsi="宋体" w:eastAsia="宋体" w:cs="宋体"/>
          <w:sz w:val="21"/>
          <w:szCs w:val="21"/>
          <w:lang w:eastAsia="zh-CN"/>
        </w:rPr>
        <w:t>进行</w:t>
      </w:r>
      <w:r>
        <w:rPr>
          <w:rFonts w:hint="eastAsia" w:ascii="宋体" w:hAnsi="宋体" w:eastAsia="宋体" w:cs="宋体"/>
          <w:sz w:val="21"/>
          <w:szCs w:val="21"/>
        </w:rPr>
        <w:t>的修订，最多不超过3次</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但因乙方成果报告未满足合同约定或双方确定的服务要求而导致的多次调整不受前述次数限制。</w:t>
      </w:r>
    </w:p>
    <w:p w14:paraId="41EAAE25">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3.5由于甲方原因导致乙方未能按时提交合同成果的，乙方不承担任何责任，并有权相应延迟提交时间。</w:t>
      </w:r>
    </w:p>
    <w:p w14:paraId="667F9600">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100" w:name="_Toc10325"/>
      <w:r>
        <w:rPr>
          <w:rFonts w:hint="eastAsia" w:ascii="宋体" w:hAnsi="宋体" w:eastAsia="宋体" w:cs="宋体"/>
          <w:b/>
          <w:bCs/>
          <w:sz w:val="21"/>
          <w:szCs w:val="21"/>
        </w:rPr>
        <w:t>第四条 合同价款及支付</w:t>
      </w:r>
      <w:bookmarkEnd w:id="100"/>
    </w:p>
    <w:p w14:paraId="1AF54683">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4.1 合同总价</w:t>
      </w:r>
      <w:r>
        <w:rPr>
          <w:rFonts w:hint="eastAsia" w:ascii="宋体" w:hAnsi="宋体" w:eastAsia="宋体" w:cs="宋体"/>
          <w:sz w:val="21"/>
          <w:szCs w:val="21"/>
          <w:lang w:eastAsia="zh-CN"/>
        </w:rPr>
        <w:t>（含税）</w:t>
      </w:r>
      <w:r>
        <w:rPr>
          <w:rFonts w:hint="eastAsia" w:ascii="宋体" w:hAnsi="宋体" w:eastAsia="宋体" w:cs="宋体"/>
          <w:sz w:val="21"/>
          <w:szCs w:val="21"/>
        </w:rPr>
        <w:t>：人民币（大写）【  】元整，（小写）￥【  】元。</w:t>
      </w:r>
    </w:p>
    <w:p w14:paraId="3F8BC092">
      <w:pPr>
        <w:numPr>
          <w:ilvl w:val="0"/>
          <w:numId w:val="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4.2 付款方式：</w:t>
      </w:r>
    </w:p>
    <w:p w14:paraId="30D53978">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（1）合同签订生效并具备实施条件后7个工作日内，采购人预付合同总价的50%； </w:t>
      </w:r>
    </w:p>
    <w:p w14:paraId="37262C8D">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（2）定制化资信报告提交并经采购人初步验收合格后，采购人支付中标人合同总价的45%。</w:t>
      </w:r>
    </w:p>
    <w:p w14:paraId="4FD054FC">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（3）定制化资信报告经采购人最终验收后，采购人收到中标人提供的全额发票后7个工作日内支付中标人剩余合同总价的5%。</w:t>
      </w:r>
    </w:p>
    <w:p w14:paraId="6E0C8F81">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4.3乙方收款账户信息：</w:t>
      </w:r>
    </w:p>
    <w:p w14:paraId="192349DB">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账户户名：</w:t>
      </w:r>
    </w:p>
    <w:p w14:paraId="29AE49A2">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账    号：</w:t>
      </w:r>
    </w:p>
    <w:p w14:paraId="5545369F">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开户银行：</w:t>
      </w:r>
    </w:p>
    <w:p w14:paraId="28C63D78">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101" w:name="_Toc32240"/>
      <w:r>
        <w:rPr>
          <w:rFonts w:hint="eastAsia" w:ascii="宋体" w:hAnsi="宋体" w:eastAsia="宋体" w:cs="宋体"/>
          <w:b/>
          <w:bCs/>
          <w:sz w:val="21"/>
          <w:szCs w:val="21"/>
        </w:rPr>
        <w:t>第五条 尽职与免责条款</w:t>
      </w:r>
      <w:bookmarkEnd w:id="101"/>
      <w:r>
        <w:rPr>
          <w:rFonts w:hint="eastAsia" w:ascii="宋体" w:hAnsi="宋体" w:eastAsia="宋体" w:cs="宋体"/>
          <w:b/>
          <w:bCs/>
          <w:sz w:val="21"/>
          <w:szCs w:val="21"/>
        </w:rPr>
        <w:t xml:space="preserve">  </w:t>
      </w:r>
    </w:p>
    <w:p w14:paraId="44D8EFAA">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5.1 </w:t>
      </w:r>
      <w:r>
        <w:rPr>
          <w:rFonts w:hint="eastAsia" w:ascii="宋体" w:hAnsi="宋体" w:eastAsia="宋体" w:cs="宋体"/>
          <w:b/>
          <w:bCs/>
          <w:kern w:val="0"/>
          <w:sz w:val="21"/>
          <w:szCs w:val="21"/>
        </w:rPr>
        <w:t>乙方应本着尽职原则、尽最大努力向甲方提供本合同约定的咨询服务，</w:t>
      </w:r>
      <w:r>
        <w:rPr>
          <w:rFonts w:hint="eastAsia" w:ascii="宋体" w:hAnsi="宋体" w:eastAsia="宋体" w:cs="宋体"/>
          <w:b/>
          <w:bCs/>
          <w:kern w:val="0"/>
          <w:sz w:val="21"/>
          <w:szCs w:val="21"/>
          <w:lang w:val="en-US" w:eastAsia="zh-CN"/>
        </w:rPr>
        <w:t>尽最大努力确保</w:t>
      </w:r>
      <w:r>
        <w:rPr>
          <w:rFonts w:hint="eastAsia" w:ascii="宋体" w:hAnsi="宋体" w:eastAsia="宋体" w:cs="宋体"/>
          <w:b/>
          <w:bCs/>
          <w:kern w:val="0"/>
          <w:sz w:val="21"/>
          <w:szCs w:val="21"/>
        </w:rPr>
        <w:t>咨询服务成果的准确性、</w:t>
      </w:r>
      <w:r>
        <w:rPr>
          <w:rFonts w:hint="eastAsia" w:ascii="宋体" w:hAnsi="宋体" w:eastAsia="宋体" w:cs="宋体"/>
          <w:b/>
          <w:bCs/>
          <w:kern w:val="0"/>
          <w:sz w:val="21"/>
          <w:szCs w:val="21"/>
          <w:lang w:eastAsia="zh-CN"/>
        </w:rPr>
        <w:t>时效</w:t>
      </w:r>
      <w:r>
        <w:rPr>
          <w:rFonts w:hint="eastAsia" w:ascii="宋体" w:hAnsi="宋体" w:eastAsia="宋体" w:cs="宋体"/>
          <w:b/>
          <w:bCs/>
          <w:kern w:val="0"/>
          <w:sz w:val="21"/>
          <w:szCs w:val="21"/>
        </w:rPr>
        <w:t>性、全面性和充分性给，</w:t>
      </w:r>
      <w:r>
        <w:rPr>
          <w:rFonts w:hint="eastAsia" w:ascii="宋体" w:hAnsi="宋体" w:eastAsia="宋体" w:cs="宋体"/>
          <w:b/>
          <w:bCs/>
          <w:kern w:val="0"/>
          <w:sz w:val="21"/>
          <w:szCs w:val="21"/>
          <w:lang w:val="en-US" w:eastAsia="zh-CN"/>
        </w:rPr>
        <w:t>但</w:t>
      </w:r>
      <w:r>
        <w:rPr>
          <w:rFonts w:hint="eastAsia" w:ascii="宋体" w:hAnsi="宋体" w:eastAsia="宋体" w:cs="宋体"/>
          <w:b/>
          <w:bCs/>
          <w:kern w:val="0"/>
          <w:sz w:val="21"/>
          <w:szCs w:val="21"/>
        </w:rPr>
        <w:t>不对甲方使用上述咨询服务成果可实现的任何目的（包括但不限于向乙方申请相应保险或担保）或取得任何效果做明示或暗示的陈述与保证。</w:t>
      </w:r>
    </w:p>
    <w:p w14:paraId="072191B0">
      <w:pPr>
        <w:keepNext w:val="0"/>
        <w:keepLines w:val="0"/>
        <w:pageBreakBefore w:val="0"/>
        <w:widowControl/>
        <w:kinsoku/>
        <w:wordWrap/>
        <w:overflowPunct/>
        <w:topLinePunct w:val="0"/>
        <w:bidi w:val="0"/>
        <w:spacing w:line="600" w:lineRule="exact"/>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5.2 乙方提供的咨询服务成果仅作为甲方决策时的参考信息之一，不是项目成功实施的必要条件。</w:t>
      </w:r>
      <w:r>
        <w:rPr>
          <w:rFonts w:hint="eastAsia" w:ascii="宋体" w:hAnsi="宋体" w:eastAsia="宋体" w:cs="宋体"/>
          <w:b/>
          <w:bCs/>
          <w:kern w:val="0"/>
          <w:sz w:val="21"/>
          <w:szCs w:val="21"/>
        </w:rPr>
        <w:t>甲方应运用专业知识，包括就具体项目开展尽职调查等，就其商业交易做出独立判断和决策。</w:t>
      </w:r>
    </w:p>
    <w:p w14:paraId="2513B89D">
      <w:pPr>
        <w:keepNext w:val="0"/>
        <w:keepLines w:val="0"/>
        <w:pageBreakBefore w:val="0"/>
        <w:widowControl/>
        <w:kinsoku/>
        <w:wordWrap/>
        <w:overflowPunct/>
        <w:topLinePunct w:val="0"/>
        <w:bidi w:val="0"/>
        <w:spacing w:line="600" w:lineRule="exact"/>
        <w:ind w:firstLine="48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5.3 除本合同第六条第4项的规定外，乙方对甲方因使用乙方提供的咨询服务成果导致的任何损失均不承担赔偿责任。</w:t>
      </w:r>
    </w:p>
    <w:p w14:paraId="7DD77BA7">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102" w:name="_Toc15396"/>
      <w:r>
        <w:rPr>
          <w:rFonts w:hint="eastAsia" w:ascii="宋体" w:hAnsi="宋体" w:eastAsia="宋体" w:cs="宋体"/>
          <w:b/>
          <w:bCs/>
          <w:sz w:val="21"/>
          <w:szCs w:val="21"/>
        </w:rPr>
        <w:t>第六条 违约责任</w:t>
      </w:r>
      <w:bookmarkEnd w:id="102"/>
    </w:p>
    <w:p w14:paraId="6A796CB5">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6.1 任何一方违反其在本合同中的义务，对方可以要求违约方继续履约或采取其他补救措施，并有权要求违约方赔偿其损失。</w:t>
      </w:r>
    </w:p>
    <w:p w14:paraId="60E39DD8">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kern w:val="0"/>
          <w:sz w:val="21"/>
          <w:szCs w:val="21"/>
        </w:rPr>
        <w:t>6.2 甲方应保证乙方使用其提供的信息或资料不会侵犯任何第三方的合法权益，否则甲方应承担全部责任并赔偿由此给乙方造成的一切损失</w:t>
      </w:r>
      <w:r>
        <w:rPr>
          <w:rFonts w:hint="eastAsia" w:ascii="宋体" w:hAnsi="宋体" w:eastAsia="宋体" w:cs="宋体"/>
          <w:sz w:val="21"/>
          <w:szCs w:val="21"/>
        </w:rPr>
        <w:t>。</w:t>
      </w:r>
    </w:p>
    <w:p w14:paraId="513EA936">
      <w:pPr>
        <w:numPr>
          <w:ilvl w:val="0"/>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 xml:space="preserve">6.3 </w:t>
      </w:r>
      <w:r>
        <w:rPr>
          <w:rFonts w:hint="eastAsia" w:ascii="宋体" w:hAnsi="宋体" w:eastAsia="宋体" w:cs="宋体"/>
          <w:sz w:val="21"/>
          <w:szCs w:val="21"/>
          <w:lang w:val="en-US" w:eastAsia="zh-CN"/>
        </w:rPr>
        <w:t>甲方逾期付款时，应每日另行向乙方支付应付金额的0.05%作为违约金。逾期超过30（三十）日时，乙方有权解除合同并要求甲方承担违约责任。</w:t>
      </w:r>
    </w:p>
    <w:p w14:paraId="021A81C0">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b w:val="0"/>
          <w:bCs w:val="0"/>
          <w:sz w:val="21"/>
          <w:szCs w:val="21"/>
          <w:lang w:val="en-US"/>
        </w:rPr>
      </w:pPr>
      <w:r>
        <w:rPr>
          <w:rFonts w:hint="eastAsia" w:ascii="宋体" w:hAnsi="宋体" w:eastAsia="宋体" w:cs="宋体"/>
          <w:sz w:val="21"/>
          <w:szCs w:val="21"/>
          <w:lang w:val="en-US" w:eastAsia="zh-CN"/>
        </w:rPr>
        <w:t>乙方逾期提交咨询成果或提供其他咨询服务的，应每日向甲方支付合同总额0.1%作为违约金。逾期超过30（三十）</w:t>
      </w:r>
      <w:r>
        <w:rPr>
          <w:rFonts w:hint="eastAsia" w:ascii="宋体" w:hAnsi="宋体" w:eastAsia="宋体" w:cs="宋体"/>
          <w:b w:val="0"/>
          <w:bCs w:val="0"/>
          <w:sz w:val="21"/>
          <w:szCs w:val="21"/>
          <w:lang w:val="en-US" w:eastAsia="zh-CN"/>
        </w:rPr>
        <w:t>日时，甲方有权解除合同、要求乙方返还全部已付款项并要求乙方承担违约责任及损失赔偿。</w:t>
      </w:r>
    </w:p>
    <w:p w14:paraId="42D468E7">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6.4 </w:t>
      </w:r>
      <w:r>
        <w:rPr>
          <w:rFonts w:hint="eastAsia" w:ascii="宋体" w:hAnsi="宋体" w:eastAsia="宋体" w:cs="宋体"/>
          <w:b w:val="0"/>
          <w:bCs w:val="0"/>
          <w:sz w:val="21"/>
          <w:szCs w:val="21"/>
          <w:lang w:val="en-US" w:eastAsia="zh-CN"/>
        </w:rPr>
        <w:t>因乙方原因导致其提供的服务与客观事实严重不符，甲方因此提起索赔，无论索赔是因侵权、违约或其他诉由所提起，乙方对甲方的赔偿责任应以甲方所能证明的实际经济损失为限；同时甲方有权选择解除合同，要求乙方返还全部已付款项。</w:t>
      </w:r>
      <w:r>
        <w:rPr>
          <w:rFonts w:hint="eastAsia" w:ascii="宋体" w:hAnsi="宋体" w:eastAsia="宋体" w:cs="宋体"/>
          <w:b w:val="0"/>
          <w:bCs w:val="0"/>
          <w:sz w:val="21"/>
          <w:szCs w:val="21"/>
        </w:rPr>
        <w:t>。</w:t>
      </w:r>
    </w:p>
    <w:p w14:paraId="74B74C2B">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kern w:val="0"/>
          <w:sz w:val="21"/>
          <w:szCs w:val="21"/>
        </w:rPr>
        <w:t>6.5本合同与双方签署的保险合同（如有）等其他合同所建立的法律关系相互独立，任何一方不得以对方在其中一个合同项下应承担违约责任为由，而要求豁免本方在另一个合同项下应承担的违约责任（如有）。</w:t>
      </w:r>
    </w:p>
    <w:p w14:paraId="74F03D2F">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103" w:name="_Toc16297"/>
      <w:r>
        <w:rPr>
          <w:rFonts w:hint="eastAsia" w:ascii="宋体" w:hAnsi="宋体" w:eastAsia="宋体" w:cs="宋体"/>
          <w:b/>
          <w:bCs/>
          <w:sz w:val="21"/>
          <w:szCs w:val="21"/>
        </w:rPr>
        <w:t>第七条 不可抗力</w:t>
      </w:r>
      <w:bookmarkEnd w:id="103"/>
    </w:p>
    <w:p w14:paraId="54B818CE">
      <w:pPr>
        <w:keepNext w:val="0"/>
        <w:keepLines w:val="0"/>
        <w:pageBreakBefore w:val="0"/>
        <w:widowControl/>
        <w:kinsoku/>
        <w:wordWrap/>
        <w:overflowPunct/>
        <w:topLinePunct w:val="0"/>
        <w:bidi w:val="0"/>
        <w:spacing w:line="6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rPr>
        <w:t>由于法律法规或监管政策变化、发生不可抗力事件，致使合同全部或部分无法继续履行的，</w:t>
      </w:r>
      <w:r>
        <w:rPr>
          <w:rFonts w:hint="eastAsia" w:ascii="宋体" w:hAnsi="宋体" w:eastAsia="宋体" w:cs="宋体"/>
          <w:kern w:val="0"/>
          <w:sz w:val="21"/>
          <w:szCs w:val="21"/>
          <w:lang w:val="en-US" w:eastAsia="zh-CN"/>
        </w:rPr>
        <w:t>双方均</w:t>
      </w:r>
      <w:r>
        <w:rPr>
          <w:rFonts w:hint="eastAsia" w:ascii="宋体" w:hAnsi="宋体" w:eastAsia="宋体" w:cs="宋体"/>
          <w:kern w:val="0"/>
          <w:sz w:val="21"/>
          <w:szCs w:val="21"/>
        </w:rPr>
        <w:t>不承担违约责任，但应当及时书面通知甲方。</w:t>
      </w:r>
      <w:r>
        <w:rPr>
          <w:rFonts w:hint="eastAsia" w:ascii="宋体" w:hAnsi="宋体" w:eastAsia="宋体" w:cs="宋体"/>
          <w:sz w:val="21"/>
          <w:szCs w:val="21"/>
        </w:rPr>
        <w:t>甲方可根据该不可抗力的严重程度作出如下选择：顺延项目的完成期限；或立即终止本合同。</w:t>
      </w:r>
    </w:p>
    <w:p w14:paraId="367CE27C">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104" w:name="_Toc18728"/>
      <w:r>
        <w:rPr>
          <w:rFonts w:hint="eastAsia" w:ascii="宋体" w:hAnsi="宋体" w:eastAsia="宋体" w:cs="宋体"/>
          <w:b/>
          <w:bCs/>
          <w:sz w:val="21"/>
          <w:szCs w:val="21"/>
        </w:rPr>
        <w:t>第八条 知识产权</w:t>
      </w:r>
      <w:bookmarkEnd w:id="104"/>
    </w:p>
    <w:p w14:paraId="75C50D3E">
      <w:pPr>
        <w:keepNext w:val="0"/>
        <w:keepLines w:val="0"/>
        <w:pageBreakBefore w:val="0"/>
        <w:widowControl/>
        <w:kinsoku/>
        <w:wordWrap/>
        <w:overflowPunct/>
        <w:topLinePunct w:val="0"/>
        <w:bidi w:val="0"/>
        <w:spacing w:line="600" w:lineRule="exact"/>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8.1 甲方提供给乙方的信息及资料中的知识产权归甲方所有。甲方授权乙方使用其拥有知识产权的信息和资料，乙方仅为履行本合同项下义务使用上述信息。</w:t>
      </w:r>
    </w:p>
    <w:p w14:paraId="6354E7D9">
      <w:pPr>
        <w:keepNext w:val="0"/>
        <w:keepLines w:val="0"/>
        <w:pageBreakBefore w:val="0"/>
        <w:widowControl/>
        <w:kinsoku/>
        <w:wordWrap/>
        <w:overflowPunct/>
        <w:topLinePunct w:val="0"/>
        <w:bidi w:val="0"/>
        <w:spacing w:line="600" w:lineRule="exact"/>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8.2 乙方向甲方提供的咨询服务成果的知识产权始终归乙方所有，乙方向甲方提供咨询服务成果的行为在任何情况下均不得视为乙方向甲方转让了相关知识产权。除本合同约定用途外，甲方未经乙方事先书面同意，不得擅自进行复制、编辑、改编、发行、出版，不得再次销售或者基于商业目的而使用。</w:t>
      </w:r>
    </w:p>
    <w:p w14:paraId="33F233B9">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105" w:name="_Toc17716"/>
      <w:r>
        <w:rPr>
          <w:rFonts w:hint="eastAsia" w:ascii="宋体" w:hAnsi="宋体" w:eastAsia="宋体" w:cs="宋体"/>
          <w:b/>
          <w:bCs/>
          <w:sz w:val="21"/>
          <w:szCs w:val="21"/>
        </w:rPr>
        <w:t>第九条 保密</w:t>
      </w:r>
      <w:r>
        <w:rPr>
          <w:rFonts w:hint="eastAsia" w:ascii="宋体" w:hAnsi="宋体" w:eastAsia="宋体" w:cs="宋体"/>
          <w:b/>
          <w:bCs/>
          <w:sz w:val="21"/>
          <w:szCs w:val="21"/>
          <w:lang w:eastAsia="zh-CN"/>
        </w:rPr>
        <w:t>和数据安全</w:t>
      </w:r>
      <w:r>
        <w:rPr>
          <w:rFonts w:hint="eastAsia" w:ascii="宋体" w:hAnsi="宋体" w:eastAsia="宋体" w:cs="宋体"/>
          <w:b/>
          <w:bCs/>
          <w:sz w:val="21"/>
          <w:szCs w:val="21"/>
        </w:rPr>
        <w:t>责任</w:t>
      </w:r>
      <w:bookmarkEnd w:id="105"/>
    </w:p>
    <w:p w14:paraId="00FB3BD2">
      <w:pPr>
        <w:keepNext w:val="0"/>
        <w:keepLines w:val="0"/>
        <w:pageBreakBefore w:val="0"/>
        <w:widowControl/>
        <w:kinsoku/>
        <w:wordWrap/>
        <w:overflowPunct/>
        <w:topLinePunct w:val="0"/>
        <w:bidi w:val="0"/>
        <w:spacing w:line="600" w:lineRule="exact"/>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9.1 甲、乙双方均有义务对本合同全部内容保密。</w:t>
      </w:r>
    </w:p>
    <w:p w14:paraId="3482AA3F">
      <w:pPr>
        <w:keepNext w:val="0"/>
        <w:keepLines w:val="0"/>
        <w:pageBreakBefore w:val="0"/>
        <w:widowControl/>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kern w:val="0"/>
          <w:sz w:val="21"/>
          <w:szCs w:val="21"/>
        </w:rPr>
        <w:t xml:space="preserve">9.2 </w:t>
      </w:r>
      <w:r>
        <w:rPr>
          <w:rFonts w:hint="eastAsia" w:ascii="宋体" w:hAnsi="宋体" w:eastAsia="宋体" w:cs="宋体"/>
          <w:sz w:val="21"/>
          <w:szCs w:val="21"/>
        </w:rPr>
        <w:t>乙方承诺对从甲方收到的任何信息及资料对第三方保密，</w:t>
      </w:r>
      <w:r>
        <w:rPr>
          <w:rFonts w:hint="eastAsia" w:ascii="宋体" w:hAnsi="宋体" w:eastAsia="宋体" w:cs="宋体"/>
          <w:sz w:val="21"/>
          <w:szCs w:val="21"/>
          <w:lang w:eastAsia="zh-CN"/>
        </w:rPr>
        <w:t>除为履行本合同目的外，</w:t>
      </w:r>
      <w:r>
        <w:rPr>
          <w:rFonts w:hint="eastAsia" w:ascii="宋体" w:hAnsi="宋体" w:eastAsia="宋体" w:cs="宋体"/>
          <w:sz w:val="21"/>
          <w:szCs w:val="21"/>
        </w:rPr>
        <w:t>未经甲方事先书面许可，乙方不得向任何第三方透露。</w:t>
      </w:r>
    </w:p>
    <w:p w14:paraId="6259AF36">
      <w:pPr>
        <w:keepNext w:val="0"/>
        <w:keepLines w:val="0"/>
        <w:pageBreakBefore w:val="0"/>
        <w:widowControl/>
        <w:kinsoku/>
        <w:wordWrap/>
        <w:overflowPunct/>
        <w:topLinePunct w:val="0"/>
        <w:bidi w:val="0"/>
        <w:spacing w:line="600" w:lineRule="exact"/>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9.3 未经乙方事先书面同意，甲方不应以任何方式全部或部分地向包括被调查企业在内的任何第三人披露、泄露或许可使用乙方提供给甲方的咨询服务成果，法律法规、监管规定另有规定的除外。</w:t>
      </w:r>
    </w:p>
    <w:p w14:paraId="74CF7AB3">
      <w:pPr>
        <w:keepNext w:val="0"/>
        <w:keepLines w:val="0"/>
        <w:pageBreakBefore w:val="0"/>
        <w:widowControl/>
        <w:kinsoku/>
        <w:wordWrap/>
        <w:overflowPunct/>
        <w:topLinePunct w:val="0"/>
        <w:bidi w:val="0"/>
        <w:spacing w:line="600" w:lineRule="exact"/>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上述咨询服务成果不得用于任何司法、行政程序。</w:t>
      </w:r>
    </w:p>
    <w:p w14:paraId="44D8A744">
      <w:pPr>
        <w:keepNext w:val="0"/>
        <w:keepLines w:val="0"/>
        <w:pageBreakBefore w:val="0"/>
        <w:widowControl/>
        <w:kinsoku/>
        <w:wordWrap/>
        <w:overflowPunct/>
        <w:topLinePunct w:val="0"/>
        <w:bidi w:val="0"/>
        <w:spacing w:line="600" w:lineRule="exact"/>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9.4 任何一方因违反本保密约定给对方造成损失的，应承担全部赔偿责任。</w:t>
      </w:r>
    </w:p>
    <w:p w14:paraId="4D13B100">
      <w:pPr>
        <w:keepNext w:val="0"/>
        <w:keepLines w:val="0"/>
        <w:pageBreakBefore w:val="0"/>
        <w:kinsoku/>
        <w:wordWrap/>
        <w:overflowPunct/>
        <w:topLinePunct w:val="0"/>
        <w:bidi w:val="0"/>
        <w:spacing w:line="600" w:lineRule="exact"/>
        <w:ind w:firstLine="480"/>
        <w:textAlignment w:val="auto"/>
        <w:outlineLvl w:val="0"/>
        <w:rPr>
          <w:rFonts w:hint="eastAsia" w:ascii="宋体" w:hAnsi="宋体" w:eastAsia="宋体" w:cs="宋体"/>
          <w:kern w:val="0"/>
          <w:sz w:val="21"/>
          <w:szCs w:val="21"/>
        </w:rPr>
      </w:pPr>
      <w:bookmarkStart w:id="106" w:name="_Toc18793"/>
      <w:r>
        <w:rPr>
          <w:rFonts w:hint="eastAsia" w:ascii="宋体" w:hAnsi="宋体" w:eastAsia="宋体" w:cs="宋体"/>
          <w:kern w:val="0"/>
          <w:sz w:val="21"/>
          <w:szCs w:val="21"/>
        </w:rPr>
        <w:t>9.</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双方均</w:t>
      </w:r>
      <w:r>
        <w:rPr>
          <w:rFonts w:hint="eastAsia" w:ascii="宋体" w:hAnsi="宋体" w:eastAsia="宋体" w:cs="宋体"/>
          <w:kern w:val="0"/>
          <w:sz w:val="21"/>
          <w:szCs w:val="21"/>
        </w:rPr>
        <w:t>应严格遵守国家数据安全法律法规、在确保数据安全的前提下在其内部使用</w:t>
      </w:r>
      <w:r>
        <w:rPr>
          <w:rFonts w:hint="eastAsia" w:ascii="宋体" w:hAnsi="宋体" w:eastAsia="宋体" w:cs="宋体"/>
          <w:kern w:val="0"/>
          <w:sz w:val="21"/>
          <w:szCs w:val="21"/>
          <w:lang w:val="en-US" w:eastAsia="zh-CN"/>
        </w:rPr>
        <w:t>另一方</w:t>
      </w:r>
      <w:r>
        <w:rPr>
          <w:rFonts w:hint="eastAsia" w:ascii="宋体" w:hAnsi="宋体" w:eastAsia="宋体" w:cs="宋体"/>
          <w:kern w:val="0"/>
          <w:sz w:val="21"/>
          <w:szCs w:val="21"/>
        </w:rPr>
        <w:t>提供的信息和数据。</w:t>
      </w:r>
      <w:bookmarkEnd w:id="106"/>
    </w:p>
    <w:p w14:paraId="3A976A10">
      <w:pPr>
        <w:keepNext w:val="0"/>
        <w:keepLines w:val="0"/>
        <w:pageBreakBefore w:val="0"/>
        <w:kinsoku/>
        <w:wordWrap/>
        <w:overflowPunct/>
        <w:topLinePunct w:val="0"/>
        <w:bidi w:val="0"/>
        <w:spacing w:line="600" w:lineRule="exact"/>
        <w:ind w:firstLine="480"/>
        <w:textAlignment w:val="auto"/>
        <w:outlineLvl w:val="0"/>
        <w:rPr>
          <w:rFonts w:hint="eastAsia" w:ascii="宋体" w:hAnsi="宋体" w:eastAsia="宋体" w:cs="宋体"/>
          <w:kern w:val="0"/>
          <w:sz w:val="21"/>
          <w:szCs w:val="21"/>
        </w:rPr>
      </w:pPr>
      <w:bookmarkStart w:id="107" w:name="_Toc19950"/>
      <w:r>
        <w:rPr>
          <w:rFonts w:hint="eastAsia" w:ascii="宋体" w:hAnsi="宋体" w:eastAsia="宋体" w:cs="宋体"/>
          <w:kern w:val="0"/>
          <w:sz w:val="21"/>
          <w:szCs w:val="21"/>
        </w:rPr>
        <w:t>9.</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 xml:space="preserve"> 甲方使用乙方咨询服务成果的期限为（注：在相应选项前的括号中打√）：</w:t>
      </w:r>
      <w:bookmarkEnd w:id="107"/>
    </w:p>
    <w:p w14:paraId="6DC48504">
      <w:pPr>
        <w:keepNext w:val="0"/>
        <w:keepLines w:val="0"/>
        <w:pageBreakBefore w:val="0"/>
        <w:kinsoku/>
        <w:wordWrap/>
        <w:overflowPunct/>
        <w:topLinePunct w:val="0"/>
        <w:bidi w:val="0"/>
        <w:spacing w:line="600" w:lineRule="exact"/>
        <w:ind w:firstLine="480"/>
        <w:textAlignment w:val="auto"/>
        <w:outlineLvl w:val="0"/>
        <w:rPr>
          <w:rFonts w:hint="eastAsia" w:ascii="宋体" w:hAnsi="宋体" w:eastAsia="宋体" w:cs="宋体"/>
          <w:kern w:val="0"/>
          <w:sz w:val="21"/>
          <w:szCs w:val="21"/>
        </w:rPr>
      </w:pPr>
      <w:bookmarkStart w:id="108" w:name="_Toc24158"/>
      <w:r>
        <w:rPr>
          <w:rFonts w:hint="eastAsia" w:ascii="宋体" w:hAnsi="宋体" w:eastAsia="宋体" w:cs="宋体"/>
          <w:kern w:val="0"/>
          <w:sz w:val="21"/>
          <w:szCs w:val="21"/>
        </w:rPr>
        <w:t>（ ）自本协议生效之日起【】年，到期之后甲方应当根据乙方要求返还或销毁相应服务成果；</w:t>
      </w:r>
      <w:bookmarkEnd w:id="108"/>
    </w:p>
    <w:p w14:paraId="4FD8323D">
      <w:pPr>
        <w:keepNext w:val="0"/>
        <w:keepLines w:val="0"/>
        <w:pageBreakBefore w:val="0"/>
        <w:kinsoku/>
        <w:wordWrap/>
        <w:overflowPunct/>
        <w:topLinePunct w:val="0"/>
        <w:bidi w:val="0"/>
        <w:spacing w:line="600" w:lineRule="exact"/>
        <w:ind w:firstLine="480"/>
        <w:textAlignment w:val="auto"/>
        <w:outlineLvl w:val="0"/>
        <w:rPr>
          <w:rFonts w:hint="eastAsia" w:ascii="宋体" w:hAnsi="宋体" w:eastAsia="宋体" w:cs="宋体"/>
          <w:kern w:val="0"/>
          <w:sz w:val="21"/>
          <w:szCs w:val="21"/>
        </w:rPr>
      </w:pPr>
      <w:bookmarkStart w:id="109" w:name="_Toc7874"/>
      <w:r>
        <w:rPr>
          <w:rFonts w:hint="eastAsia" w:ascii="宋体" w:hAnsi="宋体" w:eastAsia="宋体" w:cs="宋体"/>
          <w:kern w:val="0"/>
          <w:sz w:val="21"/>
          <w:szCs w:val="21"/>
        </w:rPr>
        <w:t>（ ）长期，且甲方应始终履行相关保密和数据安全义务。</w:t>
      </w:r>
      <w:bookmarkEnd w:id="109"/>
    </w:p>
    <w:p w14:paraId="243661AB">
      <w:pPr>
        <w:keepNext w:val="0"/>
        <w:keepLines w:val="0"/>
        <w:pageBreakBefore w:val="0"/>
        <w:kinsoku/>
        <w:wordWrap/>
        <w:overflowPunct/>
        <w:topLinePunct w:val="0"/>
        <w:bidi w:val="0"/>
        <w:spacing w:line="600" w:lineRule="exact"/>
        <w:ind w:firstLine="480"/>
        <w:textAlignment w:val="auto"/>
        <w:outlineLvl w:val="0"/>
        <w:rPr>
          <w:rFonts w:hint="eastAsia" w:ascii="宋体" w:hAnsi="宋体" w:eastAsia="宋体" w:cs="宋体"/>
          <w:kern w:val="0"/>
          <w:sz w:val="21"/>
          <w:szCs w:val="21"/>
        </w:rPr>
      </w:pPr>
      <w:bookmarkStart w:id="110" w:name="_Toc25966"/>
      <w:r>
        <w:rPr>
          <w:rFonts w:hint="eastAsia" w:ascii="宋体" w:hAnsi="宋体" w:eastAsia="宋体" w:cs="宋体"/>
          <w:kern w:val="0"/>
          <w:sz w:val="21"/>
          <w:szCs w:val="21"/>
        </w:rPr>
        <w:t>9.</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 xml:space="preserve"> 本</w:t>
      </w:r>
      <w:r>
        <w:rPr>
          <w:rFonts w:hint="eastAsia" w:ascii="宋体" w:hAnsi="宋体" w:eastAsia="宋体" w:cs="宋体"/>
          <w:kern w:val="0"/>
          <w:sz w:val="21"/>
          <w:szCs w:val="21"/>
          <w:lang w:eastAsia="zh-CN"/>
        </w:rPr>
        <w:t>条</w:t>
      </w:r>
      <w:r>
        <w:rPr>
          <w:rFonts w:hint="eastAsia" w:ascii="宋体" w:hAnsi="宋体" w:eastAsia="宋体" w:cs="宋体"/>
          <w:kern w:val="0"/>
          <w:sz w:val="21"/>
          <w:szCs w:val="21"/>
        </w:rPr>
        <w:t>保密</w:t>
      </w:r>
      <w:r>
        <w:rPr>
          <w:rFonts w:hint="eastAsia" w:ascii="宋体" w:hAnsi="宋体" w:eastAsia="宋体" w:cs="宋体"/>
          <w:kern w:val="0"/>
          <w:sz w:val="21"/>
          <w:szCs w:val="21"/>
          <w:lang w:eastAsia="zh-CN"/>
        </w:rPr>
        <w:t>和数据安全</w:t>
      </w:r>
      <w:r>
        <w:rPr>
          <w:rFonts w:hint="eastAsia" w:ascii="宋体" w:hAnsi="宋体" w:eastAsia="宋体" w:cs="宋体"/>
          <w:kern w:val="0"/>
          <w:sz w:val="21"/>
          <w:szCs w:val="21"/>
        </w:rPr>
        <w:t>义务不因</w:t>
      </w:r>
      <w:r>
        <w:rPr>
          <w:rFonts w:hint="eastAsia" w:ascii="宋体" w:hAnsi="宋体" w:eastAsia="宋体" w:cs="宋体"/>
          <w:kern w:val="0"/>
          <w:sz w:val="21"/>
          <w:szCs w:val="21"/>
          <w:lang w:eastAsia="zh-CN"/>
        </w:rPr>
        <w:t>本</w:t>
      </w:r>
      <w:r>
        <w:rPr>
          <w:rFonts w:hint="eastAsia" w:ascii="宋体" w:hAnsi="宋体" w:eastAsia="宋体" w:cs="宋体"/>
          <w:kern w:val="0"/>
          <w:sz w:val="21"/>
          <w:szCs w:val="21"/>
        </w:rPr>
        <w:t>合同终止而终止。</w:t>
      </w:r>
      <w:bookmarkEnd w:id="110"/>
    </w:p>
    <w:p w14:paraId="65AFB20D">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111" w:name="_Toc8976"/>
      <w:r>
        <w:rPr>
          <w:rFonts w:hint="eastAsia" w:ascii="宋体" w:hAnsi="宋体" w:eastAsia="宋体" w:cs="宋体"/>
          <w:b/>
          <w:bCs/>
          <w:sz w:val="21"/>
          <w:szCs w:val="21"/>
        </w:rPr>
        <w:t>第十条 联系方式</w:t>
      </w:r>
      <w:bookmarkEnd w:id="111"/>
    </w:p>
    <w:p w14:paraId="24BA7558">
      <w:pPr>
        <w:keepNext w:val="0"/>
        <w:keepLines w:val="0"/>
        <w:pageBreakBefore w:val="0"/>
        <w:kinsoku/>
        <w:wordWrap/>
        <w:overflowPunct/>
        <w:topLinePunct w:val="0"/>
        <w:bidi w:val="0"/>
        <w:spacing w:line="600" w:lineRule="exact"/>
        <w:ind w:firstLine="480"/>
        <w:textAlignment w:val="auto"/>
        <w:outlineLvl w:val="0"/>
        <w:rPr>
          <w:rFonts w:hint="eastAsia" w:ascii="宋体" w:hAnsi="宋体" w:eastAsia="宋体" w:cs="宋体"/>
          <w:kern w:val="0"/>
          <w:sz w:val="21"/>
          <w:szCs w:val="21"/>
        </w:rPr>
      </w:pPr>
      <w:bookmarkStart w:id="112" w:name="_Toc31143"/>
      <w:r>
        <w:rPr>
          <w:rFonts w:hint="eastAsia" w:ascii="宋体" w:hAnsi="宋体" w:eastAsia="宋体" w:cs="宋体"/>
          <w:kern w:val="0"/>
          <w:sz w:val="21"/>
          <w:szCs w:val="21"/>
        </w:rPr>
        <w:t>10.1 本合同项下双方应通过如下方式进行联系：</w:t>
      </w:r>
      <w:bookmarkEnd w:id="112"/>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590"/>
        <w:gridCol w:w="2270"/>
        <w:gridCol w:w="3021"/>
      </w:tblGrid>
      <w:tr w14:paraId="2A60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01" w:type="dxa"/>
            <w:tcBorders>
              <w:top w:val="single" w:color="auto" w:sz="4" w:space="0"/>
              <w:left w:val="single" w:color="auto" w:sz="4" w:space="0"/>
              <w:bottom w:val="single" w:color="auto" w:sz="4" w:space="0"/>
              <w:right w:val="single" w:color="auto" w:sz="4" w:space="0"/>
            </w:tcBorders>
            <w:noWrap w:val="0"/>
            <w:vAlign w:val="center"/>
          </w:tcPr>
          <w:p w14:paraId="2524DB29">
            <w:pPr>
              <w:keepNext w:val="0"/>
              <w:keepLines w:val="0"/>
              <w:pageBreakBefore w:val="0"/>
              <w:kinsoku/>
              <w:wordWrap/>
              <w:overflowPunct/>
              <w:topLinePunct w:val="0"/>
              <w:bidi w:val="0"/>
              <w:snapToGrid w:val="0"/>
              <w:spacing w:line="600" w:lineRule="exact"/>
              <w:jc w:val="center"/>
              <w:textAlignment w:val="auto"/>
              <w:outlineLvl w:val="0"/>
              <w:rPr>
                <w:rFonts w:hint="eastAsia" w:ascii="宋体" w:hAnsi="宋体" w:eastAsia="宋体" w:cs="宋体"/>
                <w:kern w:val="0"/>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4AE9B31">
            <w:pPr>
              <w:keepNext w:val="0"/>
              <w:keepLines w:val="0"/>
              <w:pageBreakBefore w:val="0"/>
              <w:kinsoku/>
              <w:wordWrap/>
              <w:overflowPunct/>
              <w:topLinePunct w:val="0"/>
              <w:bidi w:val="0"/>
              <w:snapToGrid w:val="0"/>
              <w:spacing w:line="600" w:lineRule="exact"/>
              <w:jc w:val="center"/>
              <w:textAlignment w:val="auto"/>
              <w:outlineLvl w:val="0"/>
              <w:rPr>
                <w:rFonts w:hint="eastAsia" w:ascii="宋体" w:hAnsi="宋体" w:eastAsia="宋体" w:cs="宋体"/>
                <w:kern w:val="0"/>
                <w:sz w:val="21"/>
                <w:szCs w:val="21"/>
              </w:rPr>
            </w:pPr>
            <w:bookmarkStart w:id="113" w:name="_Toc14876"/>
            <w:r>
              <w:rPr>
                <w:rFonts w:hint="eastAsia" w:ascii="宋体" w:hAnsi="宋体" w:eastAsia="宋体" w:cs="宋体"/>
                <w:kern w:val="0"/>
                <w:sz w:val="21"/>
                <w:szCs w:val="21"/>
              </w:rPr>
              <w:t>姓名</w:t>
            </w:r>
            <w:bookmarkEnd w:id="113"/>
          </w:p>
        </w:tc>
        <w:tc>
          <w:tcPr>
            <w:tcW w:w="2270" w:type="dxa"/>
            <w:tcBorders>
              <w:top w:val="single" w:color="auto" w:sz="4" w:space="0"/>
              <w:left w:val="single" w:color="auto" w:sz="4" w:space="0"/>
              <w:bottom w:val="single" w:color="auto" w:sz="4" w:space="0"/>
              <w:right w:val="single" w:color="auto" w:sz="4" w:space="0"/>
            </w:tcBorders>
            <w:noWrap w:val="0"/>
            <w:vAlign w:val="center"/>
          </w:tcPr>
          <w:p w14:paraId="0C138648">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kern w:val="0"/>
                <w:sz w:val="21"/>
                <w:szCs w:val="21"/>
              </w:rPr>
            </w:pPr>
            <w:bookmarkStart w:id="114" w:name="_Toc5122"/>
            <w:r>
              <w:rPr>
                <w:rFonts w:hint="eastAsia" w:ascii="宋体" w:hAnsi="宋体" w:eastAsia="宋体" w:cs="宋体"/>
                <w:kern w:val="0"/>
                <w:sz w:val="21"/>
                <w:szCs w:val="21"/>
              </w:rPr>
              <w:t>电话</w:t>
            </w:r>
            <w:bookmarkEnd w:id="114"/>
          </w:p>
        </w:tc>
        <w:tc>
          <w:tcPr>
            <w:tcW w:w="3021" w:type="dxa"/>
            <w:tcBorders>
              <w:top w:val="single" w:color="auto" w:sz="4" w:space="0"/>
              <w:left w:val="single" w:color="auto" w:sz="4" w:space="0"/>
              <w:bottom w:val="single" w:color="auto" w:sz="4" w:space="0"/>
              <w:right w:val="single" w:color="auto" w:sz="4" w:space="0"/>
            </w:tcBorders>
            <w:noWrap w:val="0"/>
            <w:vAlign w:val="center"/>
          </w:tcPr>
          <w:p w14:paraId="4EA9A64B">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kern w:val="0"/>
                <w:sz w:val="21"/>
                <w:szCs w:val="21"/>
              </w:rPr>
            </w:pPr>
            <w:bookmarkStart w:id="115" w:name="_Toc15537"/>
            <w:r>
              <w:rPr>
                <w:rFonts w:hint="eastAsia" w:ascii="宋体" w:hAnsi="宋体" w:eastAsia="宋体" w:cs="宋体"/>
                <w:kern w:val="0"/>
                <w:sz w:val="21"/>
                <w:szCs w:val="21"/>
              </w:rPr>
              <w:t>电子邮件地址</w:t>
            </w:r>
            <w:bookmarkEnd w:id="115"/>
          </w:p>
        </w:tc>
      </w:tr>
      <w:tr w14:paraId="6A6C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1501" w:type="dxa"/>
            <w:tcBorders>
              <w:top w:val="single" w:color="auto" w:sz="4" w:space="0"/>
              <w:left w:val="single" w:color="auto" w:sz="4" w:space="0"/>
              <w:bottom w:val="single" w:color="auto" w:sz="4" w:space="0"/>
              <w:right w:val="single" w:color="auto" w:sz="4" w:space="0"/>
            </w:tcBorders>
            <w:noWrap w:val="0"/>
            <w:vAlign w:val="center"/>
          </w:tcPr>
          <w:p w14:paraId="26FC196D">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kern w:val="0"/>
                <w:sz w:val="21"/>
                <w:szCs w:val="21"/>
              </w:rPr>
            </w:pPr>
            <w:bookmarkStart w:id="116" w:name="_Toc18155"/>
            <w:r>
              <w:rPr>
                <w:rFonts w:hint="eastAsia" w:ascii="宋体" w:hAnsi="宋体" w:eastAsia="宋体" w:cs="宋体"/>
                <w:kern w:val="0"/>
                <w:sz w:val="21"/>
                <w:szCs w:val="21"/>
              </w:rPr>
              <w:t>甲方联系人</w:t>
            </w:r>
            <w:bookmarkEnd w:id="116"/>
          </w:p>
        </w:tc>
        <w:tc>
          <w:tcPr>
            <w:tcW w:w="1590" w:type="dxa"/>
            <w:tcBorders>
              <w:top w:val="single" w:color="auto" w:sz="4" w:space="0"/>
              <w:left w:val="single" w:color="auto" w:sz="4" w:space="0"/>
              <w:bottom w:val="single" w:color="auto" w:sz="4" w:space="0"/>
              <w:right w:val="single" w:color="auto" w:sz="4" w:space="0"/>
            </w:tcBorders>
            <w:noWrap w:val="0"/>
            <w:vAlign w:val="center"/>
          </w:tcPr>
          <w:p w14:paraId="6E9C30B0">
            <w:pPr>
              <w:keepNext w:val="0"/>
              <w:keepLines w:val="0"/>
              <w:pageBreakBefore w:val="0"/>
              <w:kinsoku/>
              <w:wordWrap/>
              <w:overflowPunct/>
              <w:topLinePunct w:val="0"/>
              <w:bidi w:val="0"/>
              <w:spacing w:line="600" w:lineRule="exact"/>
              <w:ind w:firstLine="480"/>
              <w:jc w:val="center"/>
              <w:textAlignment w:val="auto"/>
              <w:outlineLvl w:val="0"/>
              <w:rPr>
                <w:rFonts w:hint="eastAsia" w:ascii="宋体" w:hAnsi="宋体" w:eastAsia="宋体" w:cs="宋体"/>
                <w:kern w:val="0"/>
                <w:sz w:val="21"/>
                <w:szCs w:val="21"/>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14:paraId="516F0106">
            <w:pPr>
              <w:keepNext w:val="0"/>
              <w:keepLines w:val="0"/>
              <w:pageBreakBefore w:val="0"/>
              <w:kinsoku/>
              <w:wordWrap/>
              <w:overflowPunct/>
              <w:topLinePunct w:val="0"/>
              <w:bidi w:val="0"/>
              <w:spacing w:line="600" w:lineRule="exact"/>
              <w:ind w:firstLine="480"/>
              <w:jc w:val="center"/>
              <w:textAlignment w:val="auto"/>
              <w:outlineLvl w:val="0"/>
              <w:rPr>
                <w:rFonts w:hint="eastAsia" w:ascii="宋体" w:hAnsi="宋体" w:eastAsia="宋体" w:cs="宋体"/>
                <w:kern w:val="0"/>
                <w:sz w:val="21"/>
                <w:szCs w:val="21"/>
              </w:rPr>
            </w:pPr>
          </w:p>
        </w:tc>
        <w:tc>
          <w:tcPr>
            <w:tcW w:w="3021" w:type="dxa"/>
            <w:tcBorders>
              <w:top w:val="single" w:color="auto" w:sz="4" w:space="0"/>
              <w:left w:val="single" w:color="auto" w:sz="4" w:space="0"/>
              <w:bottom w:val="single" w:color="auto" w:sz="4" w:space="0"/>
              <w:right w:val="single" w:color="auto" w:sz="4" w:space="0"/>
            </w:tcBorders>
            <w:noWrap w:val="0"/>
            <w:vAlign w:val="center"/>
          </w:tcPr>
          <w:p w14:paraId="17315AE0">
            <w:pPr>
              <w:keepNext w:val="0"/>
              <w:keepLines w:val="0"/>
              <w:pageBreakBefore w:val="0"/>
              <w:kinsoku/>
              <w:wordWrap/>
              <w:overflowPunct/>
              <w:topLinePunct w:val="0"/>
              <w:bidi w:val="0"/>
              <w:spacing w:line="600" w:lineRule="exact"/>
              <w:ind w:firstLine="480"/>
              <w:jc w:val="center"/>
              <w:textAlignment w:val="auto"/>
              <w:outlineLvl w:val="0"/>
              <w:rPr>
                <w:rFonts w:hint="eastAsia" w:ascii="宋体" w:hAnsi="宋体" w:eastAsia="宋体" w:cs="宋体"/>
                <w:kern w:val="0"/>
                <w:sz w:val="21"/>
                <w:szCs w:val="21"/>
              </w:rPr>
            </w:pPr>
          </w:p>
        </w:tc>
      </w:tr>
      <w:tr w14:paraId="556F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01" w:type="dxa"/>
            <w:tcBorders>
              <w:top w:val="single" w:color="auto" w:sz="4" w:space="0"/>
              <w:left w:val="single" w:color="auto" w:sz="4" w:space="0"/>
              <w:bottom w:val="single" w:color="auto" w:sz="4" w:space="0"/>
              <w:right w:val="single" w:color="auto" w:sz="4" w:space="0"/>
            </w:tcBorders>
            <w:noWrap w:val="0"/>
            <w:vAlign w:val="center"/>
          </w:tcPr>
          <w:p w14:paraId="33286794">
            <w:pPr>
              <w:keepNext w:val="0"/>
              <w:keepLines w:val="0"/>
              <w:pageBreakBefore w:val="0"/>
              <w:kinsoku/>
              <w:wordWrap/>
              <w:overflowPunct/>
              <w:topLinePunct w:val="0"/>
              <w:bidi w:val="0"/>
              <w:snapToGrid w:val="0"/>
              <w:spacing w:line="600" w:lineRule="exact"/>
              <w:jc w:val="center"/>
              <w:textAlignment w:val="auto"/>
              <w:outlineLvl w:val="0"/>
              <w:rPr>
                <w:rFonts w:hint="eastAsia" w:ascii="宋体" w:hAnsi="宋体" w:eastAsia="宋体" w:cs="宋体"/>
                <w:kern w:val="0"/>
                <w:sz w:val="21"/>
                <w:szCs w:val="21"/>
              </w:rPr>
            </w:pPr>
            <w:bookmarkStart w:id="117" w:name="_Toc25883"/>
            <w:r>
              <w:rPr>
                <w:rFonts w:hint="eastAsia" w:ascii="宋体" w:hAnsi="宋体" w:eastAsia="宋体" w:cs="宋体"/>
                <w:kern w:val="0"/>
                <w:sz w:val="21"/>
                <w:szCs w:val="21"/>
              </w:rPr>
              <w:t>乙方联系人</w:t>
            </w:r>
            <w:bookmarkEnd w:id="117"/>
          </w:p>
        </w:tc>
        <w:tc>
          <w:tcPr>
            <w:tcW w:w="1590" w:type="dxa"/>
            <w:tcBorders>
              <w:top w:val="single" w:color="auto" w:sz="4" w:space="0"/>
              <w:left w:val="single" w:color="auto" w:sz="4" w:space="0"/>
              <w:bottom w:val="single" w:color="auto" w:sz="4" w:space="0"/>
              <w:right w:val="single" w:color="auto" w:sz="4" w:space="0"/>
            </w:tcBorders>
            <w:noWrap w:val="0"/>
            <w:vAlign w:val="center"/>
          </w:tcPr>
          <w:p w14:paraId="24BFE871">
            <w:pPr>
              <w:keepNext w:val="0"/>
              <w:keepLines w:val="0"/>
              <w:pageBreakBefore w:val="0"/>
              <w:kinsoku/>
              <w:wordWrap/>
              <w:overflowPunct/>
              <w:topLinePunct w:val="0"/>
              <w:bidi w:val="0"/>
              <w:snapToGrid w:val="0"/>
              <w:spacing w:line="600" w:lineRule="exact"/>
              <w:ind w:firstLine="480"/>
              <w:jc w:val="center"/>
              <w:textAlignment w:val="auto"/>
              <w:outlineLvl w:val="0"/>
              <w:rPr>
                <w:rFonts w:hint="eastAsia" w:ascii="宋体" w:hAnsi="宋体" w:eastAsia="宋体" w:cs="宋体"/>
                <w:kern w:val="0"/>
                <w:sz w:val="21"/>
                <w:szCs w:val="21"/>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281CCCC">
            <w:pPr>
              <w:keepNext w:val="0"/>
              <w:keepLines w:val="0"/>
              <w:pageBreakBefore w:val="0"/>
              <w:kinsoku/>
              <w:wordWrap/>
              <w:overflowPunct/>
              <w:topLinePunct w:val="0"/>
              <w:bidi w:val="0"/>
              <w:snapToGrid w:val="0"/>
              <w:spacing w:line="600" w:lineRule="exact"/>
              <w:ind w:left="-106" w:leftChars="-38" w:firstLine="480"/>
              <w:jc w:val="center"/>
              <w:textAlignment w:val="auto"/>
              <w:outlineLvl w:val="0"/>
              <w:rPr>
                <w:rFonts w:hint="eastAsia" w:ascii="宋体" w:hAnsi="宋体" w:eastAsia="宋体" w:cs="宋体"/>
                <w:kern w:val="0"/>
                <w:sz w:val="21"/>
                <w:szCs w:val="21"/>
              </w:rPr>
            </w:pPr>
          </w:p>
        </w:tc>
        <w:tc>
          <w:tcPr>
            <w:tcW w:w="3021" w:type="dxa"/>
            <w:tcBorders>
              <w:top w:val="single" w:color="auto" w:sz="4" w:space="0"/>
              <w:left w:val="single" w:color="auto" w:sz="4" w:space="0"/>
              <w:bottom w:val="single" w:color="auto" w:sz="4" w:space="0"/>
              <w:right w:val="single" w:color="auto" w:sz="4" w:space="0"/>
            </w:tcBorders>
            <w:noWrap w:val="0"/>
            <w:vAlign w:val="center"/>
          </w:tcPr>
          <w:p w14:paraId="2105B15C">
            <w:pPr>
              <w:keepNext w:val="0"/>
              <w:keepLines w:val="0"/>
              <w:pageBreakBefore w:val="0"/>
              <w:kinsoku/>
              <w:wordWrap/>
              <w:overflowPunct/>
              <w:topLinePunct w:val="0"/>
              <w:bidi w:val="0"/>
              <w:snapToGrid w:val="0"/>
              <w:spacing w:line="600" w:lineRule="exact"/>
              <w:ind w:firstLine="480"/>
              <w:jc w:val="center"/>
              <w:textAlignment w:val="auto"/>
              <w:outlineLvl w:val="0"/>
              <w:rPr>
                <w:rFonts w:hint="eastAsia" w:ascii="宋体" w:hAnsi="宋体" w:eastAsia="宋体" w:cs="宋体"/>
                <w:kern w:val="0"/>
                <w:sz w:val="21"/>
                <w:szCs w:val="21"/>
              </w:rPr>
            </w:pPr>
          </w:p>
        </w:tc>
      </w:tr>
    </w:tbl>
    <w:p w14:paraId="638AF828">
      <w:pPr>
        <w:keepNext w:val="0"/>
        <w:keepLines w:val="0"/>
        <w:pageBreakBefore w:val="0"/>
        <w:widowControl/>
        <w:kinsoku/>
        <w:wordWrap/>
        <w:overflowPunct/>
        <w:topLinePunct w:val="0"/>
        <w:bidi w:val="0"/>
        <w:spacing w:line="600" w:lineRule="exact"/>
        <w:ind w:firstLine="480"/>
        <w:textAlignment w:val="auto"/>
        <w:outlineLvl w:val="0"/>
        <w:rPr>
          <w:rFonts w:hint="eastAsia" w:ascii="宋体" w:hAnsi="宋体" w:eastAsia="宋体" w:cs="宋体"/>
          <w:kern w:val="0"/>
          <w:sz w:val="21"/>
          <w:szCs w:val="21"/>
        </w:rPr>
      </w:pPr>
      <w:bookmarkStart w:id="118" w:name="_Toc14054"/>
      <w:r>
        <w:rPr>
          <w:rFonts w:hint="eastAsia" w:ascii="宋体" w:hAnsi="宋体" w:eastAsia="宋体" w:cs="宋体"/>
          <w:kern w:val="0"/>
          <w:sz w:val="21"/>
          <w:szCs w:val="21"/>
        </w:rPr>
        <w:t>10.2 任何一方联系方式发生变化的，应事先书面通知另一方。</w:t>
      </w:r>
      <w:bookmarkEnd w:id="118"/>
    </w:p>
    <w:p w14:paraId="04389A26">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119" w:name="_Toc21409"/>
      <w:r>
        <w:rPr>
          <w:rFonts w:hint="eastAsia" w:ascii="宋体" w:hAnsi="宋体" w:eastAsia="宋体" w:cs="宋体"/>
          <w:b/>
          <w:bCs/>
          <w:sz w:val="21"/>
          <w:szCs w:val="21"/>
        </w:rPr>
        <w:t>第十一条 法律适用及争议解决</w:t>
      </w:r>
      <w:bookmarkEnd w:id="119"/>
    </w:p>
    <w:p w14:paraId="3E88F807">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本合同的解释和执行适用中华人民共和国法律，双方在履行本合同中出现的争议首先通过友好协商的方式解决，协商不成时，</w:t>
      </w:r>
      <w:r>
        <w:rPr>
          <w:rFonts w:hint="eastAsia" w:ascii="宋体" w:hAnsi="宋体" w:eastAsia="宋体" w:cs="宋体"/>
          <w:sz w:val="21"/>
          <w:szCs w:val="21"/>
          <w:lang w:val="en-US" w:eastAsia="zh-CN"/>
        </w:rPr>
        <w:t>本合同的解释和执行适用中华人民共和国法律，双方在履行本合同中出现的争议首先通过友好协商的方式解决，协商不成时，双方应将争议提交宁波仲裁委，仲裁地点为宁波。</w:t>
      </w:r>
    </w:p>
    <w:p w14:paraId="75FD1960">
      <w:pPr>
        <w:keepNext w:val="0"/>
        <w:keepLines w:val="0"/>
        <w:pageBreakBefore w:val="0"/>
        <w:kinsoku/>
        <w:wordWrap/>
        <w:overflowPunct/>
        <w:topLinePunct w:val="0"/>
        <w:bidi w:val="0"/>
        <w:spacing w:line="600" w:lineRule="exact"/>
        <w:jc w:val="center"/>
        <w:textAlignment w:val="auto"/>
        <w:outlineLvl w:val="0"/>
        <w:rPr>
          <w:rFonts w:hint="eastAsia" w:ascii="宋体" w:hAnsi="宋体" w:eastAsia="宋体" w:cs="宋体"/>
          <w:b/>
          <w:bCs/>
          <w:sz w:val="21"/>
          <w:szCs w:val="21"/>
        </w:rPr>
      </w:pPr>
      <w:bookmarkStart w:id="120" w:name="_Toc16779"/>
      <w:r>
        <w:rPr>
          <w:rFonts w:hint="eastAsia" w:ascii="宋体" w:hAnsi="宋体" w:eastAsia="宋体" w:cs="宋体"/>
          <w:b/>
          <w:bCs/>
          <w:sz w:val="21"/>
          <w:szCs w:val="21"/>
        </w:rPr>
        <w:t>第十二条 签字及生效</w:t>
      </w:r>
      <w:bookmarkEnd w:id="120"/>
    </w:p>
    <w:p w14:paraId="6D51CF9A">
      <w:pPr>
        <w:keepNext w:val="0"/>
        <w:keepLines w:val="0"/>
        <w:pageBreakBefore w:val="0"/>
        <w:kinsoku/>
        <w:wordWrap/>
        <w:overflowPunct/>
        <w:topLinePunct w:val="0"/>
        <w:bidi w:val="0"/>
        <w:spacing w:line="6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lang w:eastAsia="zh-CN"/>
        </w:rPr>
        <w:t>陆</w:t>
      </w:r>
      <w:r>
        <w:rPr>
          <w:rFonts w:hint="eastAsia" w:ascii="宋体" w:hAnsi="宋体" w:eastAsia="宋体" w:cs="宋体"/>
          <w:sz w:val="21"/>
          <w:szCs w:val="21"/>
        </w:rPr>
        <w:t>份，自双方授权代表签字、盖章之日起生效，具备同等法律效力。</w:t>
      </w:r>
    </w:p>
    <w:p w14:paraId="22F06E2C">
      <w:pPr>
        <w:pStyle w:val="4"/>
        <w:rPr>
          <w:rFonts w:hint="eastAsia"/>
        </w:rPr>
      </w:pPr>
    </w:p>
    <w:p w14:paraId="2CC85A78">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 xml:space="preserve">甲方: </w:t>
      </w:r>
    </w:p>
    <w:p w14:paraId="450C6E80">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法定代表人/授权代表人：【授权代表姓名及职务】 </w:t>
      </w:r>
    </w:p>
    <w:p w14:paraId="7676C4BB">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p>
    <w:p w14:paraId="17720BC0">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签署日期：  年  月  日</w:t>
      </w:r>
    </w:p>
    <w:p w14:paraId="18ADEA56">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（盖章）</w:t>
      </w:r>
    </w:p>
    <w:p w14:paraId="7AEEE50B">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p>
    <w:p w14:paraId="442A8819">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p>
    <w:p w14:paraId="7A24C3D1">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p>
    <w:p w14:paraId="05F86019">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乙方: </w:t>
      </w:r>
    </w:p>
    <w:p w14:paraId="166836BD">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法定代表人/授权代表人：【授权代表姓名及职务】</w:t>
      </w:r>
    </w:p>
    <w:p w14:paraId="395FB1FB">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p>
    <w:p w14:paraId="7D91BF1C">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签署日期： 年  月  日</w:t>
      </w:r>
    </w:p>
    <w:p w14:paraId="0FEA74EC">
      <w:pPr>
        <w:pStyle w:val="38"/>
        <w:keepNext w:val="0"/>
        <w:keepLines w:val="0"/>
        <w:pageBreakBefore w:val="0"/>
        <w:kinsoku/>
        <w:wordWrap/>
        <w:overflowPunct/>
        <w:topLinePunct w:val="0"/>
        <w:bidi w:val="0"/>
        <w:spacing w:line="600" w:lineRule="exact"/>
        <w:ind w:firstLine="560"/>
        <w:textAlignment w:val="auto"/>
        <w:rPr>
          <w:rFonts w:hint="eastAsia" w:ascii="宋体" w:hAnsi="宋体" w:eastAsia="宋体" w:cs="宋体"/>
          <w:sz w:val="21"/>
          <w:szCs w:val="21"/>
        </w:rPr>
      </w:pPr>
      <w:r>
        <w:rPr>
          <w:rFonts w:hint="eastAsia" w:ascii="宋体" w:hAnsi="宋体" w:eastAsia="宋体" w:cs="宋体"/>
          <w:sz w:val="21"/>
          <w:szCs w:val="21"/>
        </w:rPr>
        <w:t>（盖章）</w:t>
      </w:r>
    </w:p>
    <w:p w14:paraId="5AB7D7AD">
      <w:pPr>
        <w:pStyle w:val="5"/>
        <w:bidi w:val="0"/>
        <w:jc w:val="center"/>
        <w:outlineLvl w:val="0"/>
        <w:rPr>
          <w:rStyle w:val="39"/>
          <w:rFonts w:hint="eastAsia"/>
          <w:b/>
          <w:bCs/>
          <w:color w:val="auto"/>
          <w:highlight w:val="none"/>
        </w:rPr>
        <w:sectPr>
          <w:headerReference r:id="rId8" w:type="default"/>
          <w:footerReference r:id="rId9" w:type="default"/>
          <w:pgSz w:w="11906" w:h="16838"/>
          <w:pgMar w:top="1474" w:right="1474" w:bottom="1247" w:left="1474" w:header="851" w:footer="850" w:gutter="0"/>
          <w:cols w:space="720" w:num="1"/>
          <w:docGrid w:linePitch="312" w:charSpace="0"/>
        </w:sectPr>
      </w:pPr>
      <w:bookmarkStart w:id="121" w:name="_Toc31785"/>
    </w:p>
    <w:p w14:paraId="791D3A26">
      <w:pPr>
        <w:pStyle w:val="5"/>
        <w:bidi w:val="0"/>
        <w:jc w:val="center"/>
        <w:outlineLvl w:val="0"/>
        <w:rPr>
          <w:rFonts w:hint="eastAsia" w:hAnsi="宋体" w:eastAsia="宋体" w:cs="宋体"/>
          <w:b/>
          <w:color w:val="auto"/>
          <w:highlight w:val="none"/>
        </w:rPr>
      </w:pPr>
      <w:r>
        <w:rPr>
          <w:rStyle w:val="39"/>
          <w:rFonts w:hint="eastAsia"/>
          <w:b/>
          <w:bCs/>
          <w:color w:val="auto"/>
          <w:highlight w:val="none"/>
        </w:rPr>
        <w:t>第六章 响应文件格式</w:t>
      </w:r>
      <w:bookmarkEnd w:id="94"/>
      <w:bookmarkEnd w:id="95"/>
      <w:bookmarkEnd w:id="96"/>
      <w:bookmarkEnd w:id="121"/>
    </w:p>
    <w:p w14:paraId="121F4106">
      <w:pPr>
        <w:shd w:val="clear" w:color="auto" w:fill="auto"/>
        <w:snapToGrid w:val="0"/>
        <w:jc w:val="center"/>
        <w:rPr>
          <w:rFonts w:hint="eastAsia" w:hAnsi="宋体" w:eastAsia="宋体" w:cs="宋体"/>
          <w:b/>
          <w:color w:val="auto"/>
          <w:sz w:val="21"/>
          <w:highlight w:val="none"/>
        </w:rPr>
      </w:pPr>
      <w:bookmarkStart w:id="122" w:name="_Toc294085258"/>
      <w:bookmarkStart w:id="123" w:name="_Toc294193701"/>
      <w:bookmarkStart w:id="124" w:name="_Toc294085997"/>
    </w:p>
    <w:p w14:paraId="279DBDB4">
      <w:pPr>
        <w:shd w:val="clear" w:color="auto" w:fill="auto"/>
        <w:snapToGrid w:val="0"/>
        <w:jc w:val="left"/>
        <w:rPr>
          <w:rFonts w:hint="eastAsia" w:hAnsi="宋体" w:eastAsia="宋体" w:cs="宋体"/>
          <w:b/>
          <w:bCs w:val="0"/>
          <w:color w:val="auto"/>
          <w:sz w:val="21"/>
          <w:highlight w:val="none"/>
        </w:rPr>
      </w:pPr>
      <w:r>
        <w:rPr>
          <w:rFonts w:hint="eastAsia" w:hAnsi="宋体" w:eastAsia="宋体" w:cs="宋体"/>
          <w:b/>
          <w:bCs w:val="0"/>
          <w:color w:val="auto"/>
          <w:sz w:val="21"/>
          <w:highlight w:val="none"/>
        </w:rPr>
        <w:t>1.外包装格式（提供电子备份投标文件信封密封时使用）</w:t>
      </w:r>
    </w:p>
    <w:p w14:paraId="01ADF211">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rPr>
        <w:t>电子备份投标文件</w:t>
      </w:r>
    </w:p>
    <w:p w14:paraId="594F77BB">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rPr>
        <w:t>项目名称：</w:t>
      </w:r>
    </w:p>
    <w:p w14:paraId="53FDD1EE">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rPr>
        <w:t>项目编号：</w:t>
      </w:r>
    </w:p>
    <w:p w14:paraId="63C4EDDB">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lang w:val="en-US" w:eastAsia="zh-CN"/>
        </w:rPr>
        <w:t>供应商</w:t>
      </w:r>
      <w:r>
        <w:rPr>
          <w:rFonts w:hint="eastAsia" w:hAnsi="宋体" w:eastAsia="宋体" w:cs="宋体"/>
          <w:b w:val="0"/>
          <w:bCs/>
          <w:color w:val="auto"/>
          <w:sz w:val="21"/>
          <w:highlight w:val="none"/>
        </w:rPr>
        <w:t>名称（加盖公章）：</w:t>
      </w:r>
    </w:p>
    <w:p w14:paraId="67AEDAC8">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lang w:val="en-US" w:eastAsia="zh-CN"/>
        </w:rPr>
        <w:t>供应商</w:t>
      </w:r>
      <w:r>
        <w:rPr>
          <w:rFonts w:hint="eastAsia" w:hAnsi="宋体" w:eastAsia="宋体" w:cs="宋体"/>
          <w:b w:val="0"/>
          <w:bCs/>
          <w:color w:val="auto"/>
          <w:sz w:val="21"/>
          <w:highlight w:val="none"/>
        </w:rPr>
        <w:t>地址：</w:t>
      </w:r>
    </w:p>
    <w:p w14:paraId="6E9D5F7C">
      <w:pPr>
        <w:shd w:val="clear" w:color="auto" w:fill="auto"/>
        <w:snapToGrid w:val="0"/>
        <w:jc w:val="center"/>
        <w:rPr>
          <w:rFonts w:hint="eastAsia" w:hAnsi="宋体" w:eastAsia="宋体" w:cs="宋体"/>
          <w:b w:val="0"/>
          <w:bCs/>
          <w:color w:val="auto"/>
          <w:sz w:val="21"/>
          <w:highlight w:val="none"/>
        </w:rPr>
      </w:pPr>
      <w:r>
        <w:rPr>
          <w:rFonts w:hint="eastAsia" w:hAnsi="宋体" w:eastAsia="宋体" w:cs="宋体"/>
          <w:b w:val="0"/>
          <w:bCs/>
          <w:color w:val="auto"/>
          <w:sz w:val="21"/>
          <w:highlight w:val="none"/>
        </w:rPr>
        <w:t>（投标截止时间前不得启封）</w:t>
      </w:r>
    </w:p>
    <w:p w14:paraId="10746C59">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rPr>
        <w:t xml:space="preserve">                                                            年  月  日</w:t>
      </w:r>
    </w:p>
    <w:p w14:paraId="051AA831">
      <w:pPr>
        <w:shd w:val="clear" w:color="auto" w:fill="auto"/>
        <w:snapToGrid w:val="0"/>
        <w:jc w:val="left"/>
        <w:rPr>
          <w:rFonts w:hint="eastAsia" w:hAnsi="宋体" w:eastAsia="宋体" w:cs="宋体"/>
          <w:b/>
          <w:color w:val="auto"/>
          <w:sz w:val="21"/>
          <w:highlight w:val="none"/>
        </w:rPr>
      </w:pPr>
    </w:p>
    <w:p w14:paraId="2E1B7883">
      <w:pPr>
        <w:shd w:val="clear" w:color="auto" w:fill="auto"/>
        <w:snapToGrid w:val="0"/>
        <w:jc w:val="left"/>
        <w:rPr>
          <w:rFonts w:hint="eastAsia" w:hAnsi="宋体" w:eastAsia="宋体" w:cs="宋体"/>
          <w:b/>
          <w:color w:val="auto"/>
          <w:sz w:val="21"/>
          <w:highlight w:val="none"/>
        </w:rPr>
      </w:pPr>
    </w:p>
    <w:p w14:paraId="370D8D3D">
      <w:pPr>
        <w:shd w:val="clear" w:color="auto" w:fill="auto"/>
        <w:snapToGrid w:val="0"/>
        <w:jc w:val="left"/>
        <w:rPr>
          <w:rFonts w:hint="eastAsia" w:hAnsi="宋体" w:eastAsia="宋体" w:cs="宋体"/>
          <w:b/>
          <w:color w:val="auto"/>
          <w:sz w:val="21"/>
          <w:highlight w:val="none"/>
        </w:rPr>
      </w:pPr>
    </w:p>
    <w:p w14:paraId="78592591">
      <w:pPr>
        <w:shd w:val="clear" w:color="auto" w:fill="auto"/>
        <w:snapToGrid w:val="0"/>
        <w:jc w:val="left"/>
        <w:rPr>
          <w:rFonts w:hint="eastAsia" w:hAnsi="宋体" w:eastAsia="宋体" w:cs="宋体"/>
          <w:b/>
          <w:color w:val="auto"/>
          <w:sz w:val="21"/>
          <w:highlight w:val="none"/>
        </w:rPr>
      </w:pPr>
    </w:p>
    <w:p w14:paraId="3D326363">
      <w:pPr>
        <w:shd w:val="clear" w:color="auto" w:fill="auto"/>
        <w:snapToGrid w:val="0"/>
        <w:jc w:val="left"/>
        <w:rPr>
          <w:rFonts w:hint="eastAsia" w:hAnsi="宋体" w:eastAsia="宋体" w:cs="宋体"/>
          <w:b/>
          <w:bCs w:val="0"/>
          <w:color w:val="auto"/>
          <w:sz w:val="21"/>
          <w:highlight w:val="none"/>
        </w:rPr>
      </w:pPr>
      <w:r>
        <w:rPr>
          <w:rFonts w:hint="eastAsia" w:hAnsi="宋体" w:eastAsia="宋体" w:cs="宋体"/>
          <w:b/>
          <w:bCs w:val="0"/>
          <w:color w:val="auto"/>
          <w:sz w:val="21"/>
          <w:highlight w:val="none"/>
        </w:rPr>
        <w:t>2.投标文件封面格式</w:t>
      </w:r>
    </w:p>
    <w:p w14:paraId="6082D6DF">
      <w:pPr>
        <w:shd w:val="clear" w:color="auto" w:fill="auto"/>
        <w:snapToGrid w:val="0"/>
        <w:jc w:val="left"/>
        <w:rPr>
          <w:rFonts w:hint="default" w:hAnsi="宋体" w:eastAsia="宋体" w:cs="宋体"/>
          <w:b w:val="0"/>
          <w:bCs/>
          <w:color w:val="auto"/>
          <w:sz w:val="21"/>
          <w:highlight w:val="none"/>
          <w:lang w:val="en-US" w:eastAsia="zh-CN"/>
        </w:rPr>
      </w:pPr>
      <w:r>
        <w:rPr>
          <w:rFonts w:hint="eastAsia" w:hAnsi="宋体" w:eastAsia="宋体" w:cs="宋体"/>
          <w:b w:val="0"/>
          <w:bCs/>
          <w:color w:val="auto"/>
          <w:sz w:val="21"/>
          <w:highlight w:val="none"/>
        </w:rPr>
        <w:t xml:space="preserve">                                                                     </w:t>
      </w:r>
      <w:r>
        <w:rPr>
          <w:rFonts w:hint="eastAsia" w:hAnsi="宋体" w:eastAsia="宋体" w:cs="宋体"/>
          <w:b w:val="0"/>
          <w:bCs/>
          <w:color w:val="auto"/>
          <w:sz w:val="21"/>
          <w:highlight w:val="none"/>
          <w:lang w:val="en-US" w:eastAsia="zh-CN"/>
        </w:rPr>
        <w:t xml:space="preserve">  </w:t>
      </w:r>
      <w:r>
        <w:rPr>
          <w:rFonts w:hint="eastAsia" w:hAnsi="宋体" w:eastAsia="宋体" w:cs="宋体"/>
          <w:b w:val="0"/>
          <w:bCs/>
          <w:color w:val="auto"/>
          <w:sz w:val="21"/>
          <w:highlight w:val="none"/>
        </w:rPr>
        <w:t xml:space="preserve"> </w:t>
      </w:r>
    </w:p>
    <w:p w14:paraId="4CBC36AA">
      <w:pPr>
        <w:shd w:val="clear" w:color="auto" w:fill="auto"/>
        <w:snapToGrid w:val="0"/>
        <w:ind w:firstLine="3360" w:firstLineChars="160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rPr>
        <w:t>资格文件/商务技术文件/报价文件</w:t>
      </w:r>
    </w:p>
    <w:p w14:paraId="247CD4D5">
      <w:pPr>
        <w:shd w:val="clear" w:color="auto" w:fill="auto"/>
        <w:snapToGrid w:val="0"/>
        <w:jc w:val="left"/>
        <w:rPr>
          <w:rFonts w:hint="eastAsia" w:hAnsi="宋体" w:eastAsia="宋体" w:cs="宋体"/>
          <w:b w:val="0"/>
          <w:bCs/>
          <w:color w:val="auto"/>
          <w:sz w:val="21"/>
          <w:highlight w:val="none"/>
        </w:rPr>
      </w:pPr>
    </w:p>
    <w:p w14:paraId="3BF868BD">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rPr>
        <w:t>项目名称：</w:t>
      </w:r>
    </w:p>
    <w:p w14:paraId="64670C96">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rPr>
        <w:t>项目编号：</w:t>
      </w:r>
    </w:p>
    <w:p w14:paraId="3F1588F5">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lang w:val="en-US" w:eastAsia="zh-CN"/>
        </w:rPr>
        <w:t>供应商</w:t>
      </w:r>
      <w:r>
        <w:rPr>
          <w:rFonts w:hint="eastAsia" w:hAnsi="宋体" w:eastAsia="宋体" w:cs="宋体"/>
          <w:b w:val="0"/>
          <w:bCs/>
          <w:color w:val="auto"/>
          <w:sz w:val="21"/>
          <w:highlight w:val="none"/>
        </w:rPr>
        <w:t>名称（加盖公章）：</w:t>
      </w:r>
    </w:p>
    <w:p w14:paraId="3B465686">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lang w:val="en-US" w:eastAsia="zh-CN"/>
        </w:rPr>
        <w:t>供应商</w:t>
      </w:r>
      <w:r>
        <w:rPr>
          <w:rFonts w:hint="eastAsia" w:hAnsi="宋体" w:eastAsia="宋体" w:cs="宋体"/>
          <w:b w:val="0"/>
          <w:bCs/>
          <w:color w:val="auto"/>
          <w:sz w:val="21"/>
          <w:highlight w:val="none"/>
        </w:rPr>
        <w:t>地址：</w:t>
      </w:r>
    </w:p>
    <w:p w14:paraId="78700C3F">
      <w:pPr>
        <w:shd w:val="clear" w:color="auto" w:fill="auto"/>
        <w:snapToGrid w:val="0"/>
        <w:jc w:val="left"/>
        <w:rPr>
          <w:rFonts w:hint="eastAsia" w:hAnsi="宋体" w:eastAsia="宋体" w:cs="宋体"/>
          <w:b w:val="0"/>
          <w:bCs/>
          <w:color w:val="auto"/>
          <w:sz w:val="21"/>
          <w:highlight w:val="none"/>
        </w:rPr>
      </w:pPr>
    </w:p>
    <w:p w14:paraId="1F080C72">
      <w:pPr>
        <w:shd w:val="clear" w:color="auto" w:fill="auto"/>
        <w:snapToGrid w:val="0"/>
        <w:jc w:val="left"/>
        <w:rPr>
          <w:rFonts w:hint="eastAsia" w:hAnsi="宋体" w:eastAsia="宋体" w:cs="宋体"/>
          <w:b w:val="0"/>
          <w:bCs/>
          <w:color w:val="auto"/>
          <w:sz w:val="21"/>
          <w:highlight w:val="none"/>
        </w:rPr>
      </w:pPr>
    </w:p>
    <w:p w14:paraId="6EA8D506">
      <w:pPr>
        <w:shd w:val="clear" w:color="auto" w:fill="auto"/>
        <w:snapToGrid w:val="0"/>
        <w:jc w:val="left"/>
        <w:rPr>
          <w:rFonts w:hint="eastAsia" w:hAnsi="宋体" w:eastAsia="宋体" w:cs="宋体"/>
          <w:b w:val="0"/>
          <w:bCs/>
          <w:color w:val="auto"/>
          <w:sz w:val="21"/>
          <w:highlight w:val="none"/>
        </w:rPr>
      </w:pPr>
      <w:r>
        <w:rPr>
          <w:rFonts w:hint="eastAsia" w:hAnsi="宋体" w:eastAsia="宋体" w:cs="宋体"/>
          <w:b w:val="0"/>
          <w:bCs/>
          <w:color w:val="auto"/>
          <w:sz w:val="21"/>
          <w:highlight w:val="none"/>
        </w:rPr>
        <w:t xml:space="preserve">                                    </w:t>
      </w:r>
      <w:r>
        <w:rPr>
          <w:rFonts w:hint="eastAsia" w:hAnsi="宋体" w:eastAsia="宋体" w:cs="宋体"/>
          <w:b w:val="0"/>
          <w:bCs/>
          <w:color w:val="auto"/>
          <w:sz w:val="21"/>
          <w:highlight w:val="none"/>
          <w:lang w:val="en-US" w:eastAsia="zh-CN"/>
        </w:rPr>
        <w:t xml:space="preserve">                        </w:t>
      </w:r>
      <w:r>
        <w:rPr>
          <w:rFonts w:hint="eastAsia" w:hAnsi="宋体" w:eastAsia="宋体" w:cs="宋体"/>
          <w:b w:val="0"/>
          <w:bCs/>
          <w:color w:val="auto"/>
          <w:sz w:val="21"/>
          <w:highlight w:val="none"/>
        </w:rPr>
        <w:t xml:space="preserve">  年  月  日</w:t>
      </w:r>
    </w:p>
    <w:p w14:paraId="72A94B9E">
      <w:pPr>
        <w:shd w:val="clear" w:color="auto" w:fill="auto"/>
        <w:snapToGrid w:val="0"/>
        <w:jc w:val="left"/>
        <w:rPr>
          <w:rFonts w:hint="eastAsia" w:hAnsi="宋体" w:eastAsia="宋体" w:cs="宋体"/>
          <w:b/>
          <w:color w:val="auto"/>
          <w:sz w:val="21"/>
          <w:highlight w:val="none"/>
        </w:rPr>
      </w:pPr>
    </w:p>
    <w:p w14:paraId="02413BB4">
      <w:pPr>
        <w:shd w:val="clear" w:color="auto" w:fill="auto"/>
        <w:snapToGrid w:val="0"/>
        <w:jc w:val="left"/>
        <w:rPr>
          <w:rFonts w:hint="eastAsia" w:hAnsi="宋体" w:eastAsia="宋体" w:cs="宋体"/>
          <w:b/>
          <w:color w:val="auto"/>
          <w:sz w:val="21"/>
          <w:highlight w:val="none"/>
        </w:rPr>
      </w:pPr>
    </w:p>
    <w:p w14:paraId="61CB347E">
      <w:pPr>
        <w:shd w:val="clear" w:color="auto" w:fill="auto"/>
        <w:snapToGrid w:val="0"/>
        <w:jc w:val="left"/>
        <w:rPr>
          <w:rFonts w:hint="eastAsia" w:hAnsi="宋体" w:eastAsia="宋体" w:cs="宋体"/>
          <w:b/>
          <w:color w:val="auto"/>
          <w:sz w:val="21"/>
          <w:highlight w:val="none"/>
        </w:rPr>
      </w:pPr>
    </w:p>
    <w:p w14:paraId="6395B119">
      <w:pPr>
        <w:shd w:val="clear" w:color="auto" w:fill="auto"/>
        <w:snapToGrid w:val="0"/>
        <w:jc w:val="left"/>
        <w:rPr>
          <w:rFonts w:hint="eastAsia" w:hAnsi="宋体" w:eastAsia="宋体" w:cs="宋体"/>
          <w:b/>
          <w:color w:val="auto"/>
          <w:sz w:val="21"/>
          <w:highlight w:val="none"/>
        </w:rPr>
      </w:pPr>
    </w:p>
    <w:p w14:paraId="144AB7BC">
      <w:pPr>
        <w:shd w:val="clear" w:color="auto" w:fill="auto"/>
        <w:snapToGrid w:val="0"/>
        <w:jc w:val="left"/>
        <w:rPr>
          <w:rFonts w:hint="eastAsia" w:hAnsi="宋体" w:eastAsia="宋体" w:cs="宋体"/>
          <w:b/>
          <w:color w:val="auto"/>
          <w:sz w:val="21"/>
          <w:highlight w:val="none"/>
        </w:rPr>
      </w:pPr>
    </w:p>
    <w:p w14:paraId="1F57BA90">
      <w:pPr>
        <w:shd w:val="clear" w:color="auto" w:fill="auto"/>
        <w:snapToGrid w:val="0"/>
        <w:jc w:val="left"/>
        <w:rPr>
          <w:rFonts w:hint="eastAsia" w:hAnsi="宋体" w:eastAsia="宋体" w:cs="宋体"/>
          <w:b/>
          <w:color w:val="auto"/>
          <w:sz w:val="21"/>
          <w:highlight w:val="none"/>
        </w:rPr>
      </w:pPr>
    </w:p>
    <w:p w14:paraId="3D42EB74">
      <w:pPr>
        <w:shd w:val="clear" w:color="auto" w:fill="auto"/>
        <w:snapToGrid w:val="0"/>
        <w:jc w:val="left"/>
        <w:rPr>
          <w:rFonts w:hint="eastAsia" w:hAnsi="宋体" w:eastAsia="宋体" w:cs="宋体"/>
          <w:b/>
          <w:color w:val="auto"/>
          <w:sz w:val="21"/>
          <w:highlight w:val="none"/>
        </w:rPr>
      </w:pPr>
    </w:p>
    <w:p w14:paraId="2611E85A">
      <w:pPr>
        <w:shd w:val="clear" w:color="auto" w:fill="auto"/>
        <w:snapToGrid w:val="0"/>
        <w:jc w:val="left"/>
        <w:rPr>
          <w:rFonts w:hint="eastAsia" w:ascii="宋体" w:hAnsi="宋体" w:eastAsia="宋体" w:cs="宋体"/>
          <w:b/>
          <w:bCs w:val="0"/>
          <w:color w:val="auto"/>
          <w:sz w:val="21"/>
          <w:highlight w:val="none"/>
          <w:lang w:val="en-US" w:eastAsia="zh-CN"/>
        </w:rPr>
        <w:sectPr>
          <w:pgSz w:w="11906" w:h="16838"/>
          <w:pgMar w:top="1474" w:right="1474" w:bottom="1247" w:left="1474" w:header="851" w:footer="850" w:gutter="0"/>
          <w:cols w:space="720" w:num="1"/>
          <w:docGrid w:linePitch="312" w:charSpace="0"/>
        </w:sectPr>
      </w:pPr>
    </w:p>
    <w:p w14:paraId="7E2A0EB9">
      <w:pPr>
        <w:shd w:val="clear" w:color="auto" w:fill="auto"/>
        <w:snapToGrid w:val="0"/>
        <w:jc w:val="left"/>
        <w:rPr>
          <w:rFonts w:hint="eastAsia" w:ascii="宋体" w:hAnsi="宋体" w:eastAsia="宋体" w:cs="宋体"/>
          <w:b/>
          <w:bCs w:val="0"/>
          <w:color w:val="auto"/>
          <w:sz w:val="21"/>
          <w:highlight w:val="none"/>
        </w:rPr>
      </w:pPr>
      <w:r>
        <w:rPr>
          <w:rFonts w:hint="eastAsia" w:ascii="宋体" w:hAnsi="宋体" w:eastAsia="宋体" w:cs="宋体"/>
          <w:b/>
          <w:bCs w:val="0"/>
          <w:color w:val="auto"/>
          <w:sz w:val="21"/>
          <w:highlight w:val="none"/>
          <w:lang w:val="en-US" w:eastAsia="zh-CN"/>
        </w:rPr>
        <w:t>3.</w:t>
      </w:r>
      <w:r>
        <w:rPr>
          <w:rFonts w:hint="eastAsia" w:ascii="宋体" w:hAnsi="宋体" w:eastAsia="宋体" w:cs="宋体"/>
          <w:b/>
          <w:bCs w:val="0"/>
          <w:color w:val="auto"/>
          <w:sz w:val="21"/>
          <w:highlight w:val="none"/>
        </w:rPr>
        <w:t>资格文件内容包括：</w:t>
      </w:r>
    </w:p>
    <w:p w14:paraId="6DF3382F">
      <w:pPr>
        <w:pStyle w:val="6"/>
        <w:numPr>
          <w:ilvl w:val="0"/>
          <w:numId w:val="0"/>
        </w:numPr>
        <w:shd w:val="clear" w:color="auto" w:fill="auto"/>
        <w:tabs>
          <w:tab w:val="left" w:pos="720"/>
        </w:tabs>
        <w:snapToGrid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（1）供应商资格声明函（</w:t>
      </w:r>
      <w:r>
        <w:rPr>
          <w:rFonts w:hint="eastAsia" w:ascii="宋体" w:hAnsi="宋体" w:eastAsia="宋体" w:cs="宋体"/>
          <w:color w:val="auto"/>
          <w:sz w:val="21"/>
          <w:highlight w:val="none"/>
        </w:rPr>
        <w:t>格式详见第六章 响应文件格式</w:t>
      </w:r>
      <w:r>
        <w:rPr>
          <w:rFonts w:hint="eastAsia" w:ascii="宋体" w:hAnsi="宋体" w:eastAsia="宋体" w:cs="宋体"/>
          <w:bCs/>
          <w:color w:val="auto"/>
          <w:sz w:val="21"/>
          <w:highlight w:val="none"/>
        </w:rPr>
        <w:t>）；</w:t>
      </w:r>
    </w:p>
    <w:p w14:paraId="24D00474">
      <w:pPr>
        <w:pStyle w:val="6"/>
        <w:numPr>
          <w:ilvl w:val="0"/>
          <w:numId w:val="0"/>
        </w:numPr>
        <w:shd w:val="clear" w:color="auto" w:fill="auto"/>
        <w:tabs>
          <w:tab w:val="left" w:pos="720"/>
        </w:tabs>
        <w:snapToGrid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14:paraId="478A993D">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rPr>
          <w:rFonts w:hint="eastAsia" w:ascii="宋体" w:hAnsi="宋体" w:eastAsia="宋体" w:cs="宋体"/>
          <w:bCs/>
          <w:color w:val="auto"/>
          <w:sz w:val="21"/>
          <w:highlight w:val="none"/>
        </w:rPr>
      </w:pPr>
      <w:r>
        <w:rPr>
          <w:rFonts w:hint="eastAsia" w:ascii="宋体" w:hAnsi="宋体" w:eastAsia="宋体" w:cs="宋体"/>
          <w:bCs/>
          <w:color w:val="auto"/>
          <w:sz w:val="21"/>
          <w:szCs w:val="21"/>
          <w:highlight w:val="none"/>
        </w:rPr>
        <w:t>（</w:t>
      </w:r>
      <w:r>
        <w:rPr>
          <w:rFonts w:hint="eastAsia"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）供应商</w:t>
      </w:r>
      <w:r>
        <w:rPr>
          <w:rFonts w:hint="eastAsia" w:hAnsi="宋体" w:eastAsia="宋体" w:cs="宋体"/>
          <w:bCs/>
          <w:color w:val="auto"/>
          <w:sz w:val="21"/>
          <w:szCs w:val="21"/>
          <w:highlight w:val="none"/>
          <w:lang w:val="en-US" w:eastAsia="zh-CN"/>
        </w:rPr>
        <w:t>落实政府采购政策</w:t>
      </w:r>
      <w:r>
        <w:rPr>
          <w:rFonts w:hint="eastAsia" w:ascii="宋体" w:hAnsi="宋体" w:eastAsia="宋体" w:cs="宋体"/>
          <w:bCs/>
          <w:color w:val="auto"/>
          <w:sz w:val="21"/>
          <w:szCs w:val="21"/>
          <w:highlight w:val="none"/>
        </w:rPr>
        <w:t>的证明文件：详见“第一章  竞争性磋商公告 二、申请人的资格要求：</w:t>
      </w:r>
      <w:r>
        <w:rPr>
          <w:rFonts w:hint="eastAsia"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.落实政府采购政策需满足的资格要求”；</w:t>
      </w:r>
    </w:p>
    <w:p w14:paraId="27E44954">
      <w:pPr>
        <w:pStyle w:val="6"/>
        <w:numPr>
          <w:ilvl w:val="0"/>
          <w:numId w:val="0"/>
        </w:numPr>
        <w:shd w:val="clear" w:color="auto" w:fill="auto"/>
        <w:tabs>
          <w:tab w:val="left" w:pos="720"/>
        </w:tabs>
        <w:snapToGrid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r>
        <w:rPr>
          <w:rFonts w:hint="eastAsia" w:hAnsi="宋体" w:eastAsia="宋体" w:cs="宋体"/>
          <w:bCs/>
          <w:color w:val="auto"/>
          <w:sz w:val="21"/>
          <w:highlight w:val="none"/>
          <w:lang w:val="en-US" w:eastAsia="zh-CN"/>
        </w:rPr>
        <w:t>4</w:t>
      </w:r>
      <w:r>
        <w:rPr>
          <w:rFonts w:hint="eastAsia" w:ascii="宋体" w:hAnsi="宋体" w:eastAsia="宋体" w:cs="宋体"/>
          <w:bCs/>
          <w:color w:val="auto"/>
          <w:sz w:val="21"/>
          <w:highlight w:val="none"/>
        </w:rPr>
        <w:t>）供应商特定资格条件的证明文件：详见“第一章  竞争性磋商公告 二、申请人的资格要求：3.本项目的特定资格要求”</w:t>
      </w:r>
    </w:p>
    <w:p w14:paraId="1B946911">
      <w:pPr>
        <w:pStyle w:val="6"/>
        <w:numPr>
          <w:ilvl w:val="0"/>
          <w:numId w:val="0"/>
        </w:numPr>
        <w:shd w:val="clear" w:color="auto" w:fill="auto"/>
        <w:tabs>
          <w:tab w:val="left" w:pos="720"/>
        </w:tabs>
        <w:snapToGrid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r>
        <w:rPr>
          <w:rFonts w:hint="eastAsia" w:hAnsi="宋体" w:eastAsia="宋体" w:cs="宋体"/>
          <w:bCs/>
          <w:color w:val="auto"/>
          <w:sz w:val="21"/>
          <w:highlight w:val="none"/>
          <w:lang w:val="en-US" w:eastAsia="zh-CN"/>
        </w:rPr>
        <w:t>5</w:t>
      </w:r>
      <w:r>
        <w:rPr>
          <w:rFonts w:hint="eastAsia" w:ascii="宋体" w:hAnsi="宋体" w:eastAsia="宋体" w:cs="宋体"/>
          <w:bCs/>
          <w:color w:val="auto"/>
          <w:sz w:val="21"/>
          <w:highlight w:val="none"/>
        </w:rPr>
        <w:t>）磋商文件要求的其他资格条件证明材料（如有）；</w:t>
      </w:r>
    </w:p>
    <w:p w14:paraId="351ECEDF">
      <w:pPr>
        <w:pStyle w:val="6"/>
        <w:numPr>
          <w:ilvl w:val="0"/>
          <w:numId w:val="0"/>
        </w:numPr>
        <w:shd w:val="clear" w:color="auto" w:fill="auto"/>
        <w:tabs>
          <w:tab w:val="left" w:pos="720"/>
        </w:tabs>
        <w:snapToGrid w:val="0"/>
        <w:spacing w:before="120" w:beforeLines="50"/>
        <w:ind w:left="549" w:leftChars="196"/>
        <w:rPr>
          <w:rFonts w:hint="eastAsia" w:ascii="宋体" w:hAnsi="宋体" w:cs="宋体"/>
          <w:bCs/>
          <w:color w:val="auto"/>
          <w:sz w:val="21"/>
          <w:highlight w:val="none"/>
        </w:rPr>
      </w:pPr>
    </w:p>
    <w:p w14:paraId="3CBA6C16">
      <w:pPr>
        <w:pStyle w:val="6"/>
        <w:numPr>
          <w:ilvl w:val="0"/>
          <w:numId w:val="0"/>
        </w:numPr>
        <w:shd w:val="clear" w:color="auto" w:fill="auto"/>
        <w:tabs>
          <w:tab w:val="left" w:pos="720"/>
        </w:tabs>
        <w:snapToGrid w:val="0"/>
        <w:spacing w:before="120" w:beforeLines="50"/>
        <w:ind w:left="549" w:leftChars="196"/>
        <w:rPr>
          <w:rFonts w:hint="eastAsia" w:ascii="宋体" w:hAnsi="宋体" w:cs="宋体"/>
          <w:bCs/>
          <w:color w:val="auto"/>
          <w:sz w:val="21"/>
          <w:highlight w:val="none"/>
        </w:rPr>
      </w:pPr>
    </w:p>
    <w:p w14:paraId="5DF53224">
      <w:pPr>
        <w:shd w:val="clear" w:color="auto" w:fill="auto"/>
        <w:snapToGrid w:val="0"/>
        <w:jc w:val="left"/>
        <w:rPr>
          <w:rFonts w:hint="eastAsia" w:hAnsi="宋体" w:eastAsia="宋体" w:cs="宋体"/>
          <w:b/>
          <w:color w:val="auto"/>
          <w:sz w:val="21"/>
          <w:highlight w:val="none"/>
        </w:rPr>
        <w:sectPr>
          <w:pgSz w:w="11906" w:h="16838"/>
          <w:pgMar w:top="1474" w:right="1474" w:bottom="1247" w:left="1474" w:header="851" w:footer="850" w:gutter="0"/>
          <w:cols w:space="720" w:num="1"/>
          <w:docGrid w:linePitch="312" w:charSpace="0"/>
        </w:sectPr>
      </w:pPr>
    </w:p>
    <w:bookmarkEnd w:id="122"/>
    <w:bookmarkEnd w:id="123"/>
    <w:bookmarkEnd w:id="124"/>
    <w:p w14:paraId="03679175">
      <w:pPr>
        <w:pStyle w:val="33"/>
        <w:shd w:val="clear" w:color="auto" w:fill="auto"/>
        <w:ind w:left="0" w:firstLine="0"/>
        <w:rPr>
          <w:rFonts w:hint="eastAsia" w:hAnsi="宋体" w:cs="宋体"/>
          <w:b/>
          <w:color w:val="auto"/>
          <w:highlight w:val="none"/>
        </w:rPr>
      </w:pPr>
      <w:r>
        <w:rPr>
          <w:rFonts w:hint="eastAsia" w:hAnsi="宋体" w:cs="宋体"/>
          <w:b/>
          <w:color w:val="auto"/>
          <w:highlight w:val="none"/>
        </w:rPr>
        <w:t>（1）供应商资格声明函</w:t>
      </w:r>
    </w:p>
    <w:p w14:paraId="0F9F3620">
      <w:pPr>
        <w:pStyle w:val="33"/>
        <w:keepNext w:val="0"/>
        <w:keepLines w:val="0"/>
        <w:pageBreakBefore w:val="0"/>
        <w:widowControl w:val="0"/>
        <w:shd w:val="clear" w:color="auto" w:fill="auto"/>
        <w:kinsoku/>
        <w:wordWrap/>
        <w:overflowPunct/>
        <w:topLinePunct w:val="0"/>
        <w:autoSpaceDE/>
        <w:autoSpaceDN/>
        <w:bidi w:val="0"/>
        <w:spacing w:line="400" w:lineRule="exact"/>
        <w:jc w:val="center"/>
        <w:rPr>
          <w:rFonts w:hint="eastAsia" w:hAnsi="宋体" w:cs="宋体"/>
          <w:b/>
          <w:color w:val="auto"/>
          <w:highlight w:val="none"/>
        </w:rPr>
      </w:pPr>
      <w:r>
        <w:rPr>
          <w:rFonts w:hint="eastAsia" w:hAnsi="宋体" w:cs="宋体"/>
          <w:b/>
          <w:color w:val="auto"/>
          <w:highlight w:val="none"/>
        </w:rPr>
        <w:t>供应商资格声明函</w:t>
      </w:r>
    </w:p>
    <w:p w14:paraId="70692269">
      <w:pPr>
        <w:keepNext w:val="0"/>
        <w:keepLines w:val="0"/>
        <w:pageBreakBefore w:val="0"/>
        <w:widowControl w:val="0"/>
        <w:shd w:val="clear" w:color="auto" w:fill="auto"/>
        <w:kinsoku/>
        <w:wordWrap/>
        <w:overflowPunct/>
        <w:topLinePunct w:val="0"/>
        <w:autoSpaceDE/>
        <w:autoSpaceDN/>
        <w:bidi w:val="0"/>
        <w:spacing w:line="400" w:lineRule="exact"/>
        <w:rPr>
          <w:rFonts w:hint="eastAsia" w:hAnsi="宋体" w:eastAsia="宋体" w:cs="宋体"/>
          <w:b/>
          <w:color w:val="auto"/>
          <w:kern w:val="2"/>
          <w:sz w:val="21"/>
          <w:szCs w:val="24"/>
          <w:highlight w:val="none"/>
        </w:rPr>
      </w:pPr>
      <w:r>
        <w:rPr>
          <w:rFonts w:hint="eastAsia" w:hAnsi="宋体" w:eastAsia="宋体" w:cs="宋体"/>
          <w:b/>
          <w:color w:val="auto"/>
          <w:kern w:val="2"/>
          <w:sz w:val="21"/>
          <w:szCs w:val="24"/>
          <w:highlight w:val="none"/>
          <w:u w:val="single"/>
          <w:lang w:val="en-US" w:eastAsia="zh-CN"/>
        </w:rPr>
        <w:t>浙江中商工程咨询有限公司</w:t>
      </w:r>
      <w:r>
        <w:rPr>
          <w:rFonts w:hint="eastAsia" w:hAnsi="宋体" w:eastAsia="宋体" w:cs="宋体"/>
          <w:b/>
          <w:color w:val="auto"/>
          <w:kern w:val="2"/>
          <w:sz w:val="21"/>
          <w:szCs w:val="24"/>
          <w:highlight w:val="none"/>
        </w:rPr>
        <w:t>：</w:t>
      </w:r>
    </w:p>
    <w:p w14:paraId="68419D0C">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关于贵司</w:t>
      </w:r>
      <w:r>
        <w:rPr>
          <w:rFonts w:hint="eastAsia" w:hAnsi="宋体" w:eastAsia="宋体" w:cs="宋体"/>
          <w:color w:val="auto"/>
          <w:kern w:val="2"/>
          <w:sz w:val="21"/>
          <w:szCs w:val="24"/>
          <w:highlight w:val="none"/>
          <w:u w:val="single"/>
        </w:rPr>
        <w:t xml:space="preserve">      </w:t>
      </w:r>
      <w:r>
        <w:rPr>
          <w:rFonts w:hint="eastAsia" w:hAnsi="宋体" w:eastAsia="宋体" w:cs="宋体"/>
          <w:color w:val="auto"/>
          <w:kern w:val="2"/>
          <w:sz w:val="21"/>
          <w:szCs w:val="24"/>
          <w:highlight w:val="none"/>
        </w:rPr>
        <w:t>年</w:t>
      </w:r>
      <w:r>
        <w:rPr>
          <w:rFonts w:hint="eastAsia" w:hAnsi="宋体" w:eastAsia="宋体" w:cs="宋体"/>
          <w:color w:val="auto"/>
          <w:kern w:val="2"/>
          <w:sz w:val="21"/>
          <w:szCs w:val="24"/>
          <w:highlight w:val="none"/>
          <w:u w:val="single"/>
        </w:rPr>
        <w:t>　　</w:t>
      </w:r>
      <w:r>
        <w:rPr>
          <w:rFonts w:hint="eastAsia" w:hAnsi="宋体" w:eastAsia="宋体" w:cs="宋体"/>
          <w:color w:val="auto"/>
          <w:kern w:val="2"/>
          <w:sz w:val="21"/>
          <w:szCs w:val="24"/>
          <w:highlight w:val="none"/>
        </w:rPr>
        <w:t>月</w:t>
      </w:r>
      <w:r>
        <w:rPr>
          <w:rFonts w:hint="eastAsia" w:hAnsi="宋体" w:eastAsia="宋体" w:cs="宋体"/>
          <w:color w:val="auto"/>
          <w:kern w:val="2"/>
          <w:sz w:val="21"/>
          <w:szCs w:val="24"/>
          <w:highlight w:val="none"/>
          <w:u w:val="single"/>
        </w:rPr>
        <w:t>　　</w:t>
      </w:r>
      <w:r>
        <w:rPr>
          <w:rFonts w:hint="eastAsia" w:hAnsi="宋体" w:eastAsia="宋体" w:cs="宋体"/>
          <w:color w:val="auto"/>
          <w:kern w:val="2"/>
          <w:sz w:val="21"/>
          <w:szCs w:val="24"/>
          <w:highlight w:val="none"/>
        </w:rPr>
        <w:t>日发布</w:t>
      </w:r>
      <w:r>
        <w:rPr>
          <w:rFonts w:hint="eastAsia" w:hAnsi="宋体" w:eastAsia="宋体" w:cs="宋体"/>
          <w:color w:val="auto"/>
          <w:kern w:val="2"/>
          <w:sz w:val="21"/>
          <w:szCs w:val="24"/>
          <w:highlight w:val="none"/>
          <w:u w:val="single"/>
        </w:rPr>
        <w:t xml:space="preserve"> </w:t>
      </w:r>
      <w:r>
        <w:rPr>
          <w:rFonts w:hint="eastAsia" w:hAnsi="宋体" w:eastAsia="宋体" w:cs="宋体"/>
          <w:color w:val="auto"/>
          <w:kern w:val="2"/>
          <w:sz w:val="21"/>
          <w:szCs w:val="24"/>
          <w:highlight w:val="none"/>
          <w:u w:val="single"/>
          <w:lang w:eastAsia="zh-CN"/>
        </w:rPr>
        <w:t>（</w:t>
      </w:r>
      <w:r>
        <w:rPr>
          <w:rFonts w:hint="eastAsia" w:hAnsi="宋体" w:eastAsia="宋体" w:cs="宋体"/>
          <w:color w:val="auto"/>
          <w:kern w:val="2"/>
          <w:sz w:val="21"/>
          <w:szCs w:val="24"/>
          <w:highlight w:val="none"/>
          <w:u w:val="single"/>
          <w:lang w:val="en-US" w:eastAsia="zh-CN"/>
        </w:rPr>
        <w:t>项目名称</w:t>
      </w:r>
      <w:r>
        <w:rPr>
          <w:rFonts w:hint="eastAsia" w:hAnsi="宋体" w:eastAsia="宋体" w:cs="宋体"/>
          <w:color w:val="auto"/>
          <w:kern w:val="2"/>
          <w:sz w:val="21"/>
          <w:szCs w:val="24"/>
          <w:highlight w:val="none"/>
          <w:u w:val="single"/>
          <w:lang w:eastAsia="zh-CN"/>
        </w:rPr>
        <w:t>）</w:t>
      </w:r>
      <w:r>
        <w:rPr>
          <w:rFonts w:hint="eastAsia" w:hAnsi="宋体" w:eastAsia="宋体" w:cs="宋体"/>
          <w:color w:val="auto"/>
          <w:kern w:val="2"/>
          <w:sz w:val="21"/>
          <w:szCs w:val="24"/>
          <w:highlight w:val="none"/>
          <w:u w:val="single"/>
        </w:rPr>
        <w:t xml:space="preserve"> </w:t>
      </w:r>
      <w:r>
        <w:rPr>
          <w:rFonts w:hint="eastAsia" w:hAnsi="宋体" w:eastAsia="宋体" w:cs="宋体"/>
          <w:color w:val="auto"/>
          <w:kern w:val="2"/>
          <w:sz w:val="21"/>
          <w:szCs w:val="24"/>
          <w:highlight w:val="none"/>
        </w:rPr>
        <w:t>项目（项目编号：</w:t>
      </w:r>
      <w:r>
        <w:rPr>
          <w:rFonts w:hint="eastAsia" w:hAnsi="宋体" w:eastAsia="宋体" w:cs="宋体"/>
          <w:color w:val="auto"/>
          <w:kern w:val="2"/>
          <w:sz w:val="21"/>
          <w:szCs w:val="24"/>
          <w:highlight w:val="none"/>
          <w:u w:val="single"/>
        </w:rPr>
        <w:t>　　　</w:t>
      </w:r>
      <w:r>
        <w:rPr>
          <w:rFonts w:hint="eastAsia" w:hAnsi="宋体" w:eastAsia="宋体" w:cs="宋体"/>
          <w:color w:val="auto"/>
          <w:kern w:val="2"/>
          <w:sz w:val="21"/>
          <w:szCs w:val="24"/>
          <w:highlight w:val="none"/>
        </w:rPr>
        <w:t>）的 竞争性磋商公告，本公司（企业）愿意参加投标</w:t>
      </w:r>
      <w:r>
        <w:rPr>
          <w:rFonts w:hint="eastAsia" w:hAnsi="宋体" w:eastAsia="宋体" w:cs="宋体"/>
          <w:color w:val="auto"/>
          <w:kern w:val="2"/>
          <w:sz w:val="21"/>
          <w:szCs w:val="24"/>
          <w:highlight w:val="none"/>
          <w:lang w:val="en-US" w:eastAsia="zh-CN"/>
        </w:rPr>
        <w:t>响应</w:t>
      </w:r>
      <w:r>
        <w:rPr>
          <w:rFonts w:hint="eastAsia" w:hAnsi="宋体" w:eastAsia="宋体" w:cs="宋体"/>
          <w:color w:val="auto"/>
          <w:kern w:val="2"/>
          <w:sz w:val="21"/>
          <w:szCs w:val="24"/>
          <w:highlight w:val="none"/>
        </w:rPr>
        <w:t>，并声明：</w:t>
      </w:r>
    </w:p>
    <w:p w14:paraId="160DA216">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1</w:t>
      </w:r>
      <w:r>
        <w:rPr>
          <w:rFonts w:hint="eastAsia" w:hAnsi="宋体" w:eastAsia="宋体" w:cs="宋体"/>
          <w:color w:val="auto"/>
          <w:kern w:val="2"/>
          <w:sz w:val="21"/>
          <w:szCs w:val="24"/>
          <w:highlight w:val="none"/>
          <w:lang w:val="en-US" w:eastAsia="zh-CN"/>
        </w:rPr>
        <w:t>.</w:t>
      </w:r>
      <w:r>
        <w:rPr>
          <w:rFonts w:hint="eastAsia" w:hAnsi="宋体" w:eastAsia="宋体" w:cs="宋体"/>
          <w:color w:val="auto"/>
          <w:kern w:val="2"/>
          <w:sz w:val="21"/>
          <w:szCs w:val="24"/>
          <w:highlight w:val="none"/>
        </w:rPr>
        <w:t>本公司（企业）具备《中华人民共和国政府采购法》第二十二条资格条件，并已清楚磋商文件的要求及有关文件规定。</w:t>
      </w:r>
    </w:p>
    <w:p w14:paraId="2B8BA24C">
      <w:pPr>
        <w:keepNext w:val="0"/>
        <w:keepLines w:val="0"/>
        <w:pageBreakBefore w:val="0"/>
        <w:widowControl w:val="0"/>
        <w:numPr>
          <w:ilvl w:val="0"/>
          <w:numId w:val="17"/>
        </w:numPr>
        <w:shd w:val="clear" w:color="auto" w:fill="auto"/>
        <w:kinsoku/>
        <w:wordWrap/>
        <w:overflowPunct/>
        <w:topLinePunct w:val="0"/>
        <w:autoSpaceDE/>
        <w:autoSpaceDN/>
        <w:bidi w:val="0"/>
        <w:adjustRightInd/>
        <w:snapToGrid w:val="0"/>
        <w:spacing w:line="400" w:lineRule="exact"/>
        <w:ind w:left="425" w:leftChars="0" w:hanging="425" w:firstLineChars="0"/>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具有独立承担民事责任的能力；</w:t>
      </w:r>
    </w:p>
    <w:p w14:paraId="75139ACD">
      <w:pPr>
        <w:keepNext w:val="0"/>
        <w:keepLines w:val="0"/>
        <w:pageBreakBefore w:val="0"/>
        <w:widowControl w:val="0"/>
        <w:numPr>
          <w:ilvl w:val="0"/>
          <w:numId w:val="17"/>
        </w:numPr>
        <w:shd w:val="clear" w:color="auto" w:fill="auto"/>
        <w:kinsoku/>
        <w:wordWrap/>
        <w:overflowPunct/>
        <w:topLinePunct w:val="0"/>
        <w:autoSpaceDE/>
        <w:autoSpaceDN/>
        <w:bidi w:val="0"/>
        <w:adjustRightInd/>
        <w:snapToGrid w:val="0"/>
        <w:spacing w:line="400" w:lineRule="exact"/>
        <w:ind w:left="425" w:leftChars="0" w:hanging="425" w:firstLineChars="0"/>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具有良好的商业信誉和健全的财务会计制度；</w:t>
      </w:r>
    </w:p>
    <w:p w14:paraId="65468D1A">
      <w:pPr>
        <w:keepNext w:val="0"/>
        <w:keepLines w:val="0"/>
        <w:pageBreakBefore w:val="0"/>
        <w:widowControl w:val="0"/>
        <w:numPr>
          <w:ilvl w:val="0"/>
          <w:numId w:val="17"/>
        </w:numPr>
        <w:shd w:val="clear" w:color="auto" w:fill="auto"/>
        <w:kinsoku/>
        <w:wordWrap/>
        <w:overflowPunct/>
        <w:topLinePunct w:val="0"/>
        <w:autoSpaceDE/>
        <w:autoSpaceDN/>
        <w:bidi w:val="0"/>
        <w:adjustRightInd/>
        <w:snapToGrid w:val="0"/>
        <w:spacing w:line="400" w:lineRule="exact"/>
        <w:ind w:left="425" w:leftChars="0" w:hanging="425" w:firstLineChars="0"/>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具有履行合同所必需的设备和专业技术能力；</w:t>
      </w:r>
    </w:p>
    <w:p w14:paraId="07EFBE50">
      <w:pPr>
        <w:keepNext w:val="0"/>
        <w:keepLines w:val="0"/>
        <w:pageBreakBefore w:val="0"/>
        <w:widowControl w:val="0"/>
        <w:numPr>
          <w:ilvl w:val="0"/>
          <w:numId w:val="17"/>
        </w:numPr>
        <w:shd w:val="clear" w:color="auto" w:fill="auto"/>
        <w:kinsoku/>
        <w:wordWrap/>
        <w:overflowPunct/>
        <w:topLinePunct w:val="0"/>
        <w:autoSpaceDE/>
        <w:autoSpaceDN/>
        <w:bidi w:val="0"/>
        <w:adjustRightInd/>
        <w:snapToGrid w:val="0"/>
        <w:spacing w:line="400" w:lineRule="exact"/>
        <w:ind w:left="425" w:leftChars="0" w:hanging="425" w:firstLineChars="0"/>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有依法缴纳税收和社会保障资金的良好记录；</w:t>
      </w:r>
    </w:p>
    <w:p w14:paraId="3A6CE978">
      <w:pPr>
        <w:keepNext w:val="0"/>
        <w:keepLines w:val="0"/>
        <w:pageBreakBefore w:val="0"/>
        <w:widowControl w:val="0"/>
        <w:numPr>
          <w:ilvl w:val="0"/>
          <w:numId w:val="17"/>
        </w:numPr>
        <w:shd w:val="clear" w:color="auto" w:fill="auto"/>
        <w:kinsoku/>
        <w:wordWrap/>
        <w:overflowPunct/>
        <w:topLinePunct w:val="0"/>
        <w:autoSpaceDE/>
        <w:autoSpaceDN/>
        <w:bidi w:val="0"/>
        <w:adjustRightInd/>
        <w:snapToGrid w:val="0"/>
        <w:spacing w:line="400" w:lineRule="exact"/>
        <w:ind w:left="425" w:leftChars="0" w:hanging="425" w:firstLineChars="0"/>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参加政府采购活动前三年内，在经营活动中没有重大违法记录；</w:t>
      </w:r>
    </w:p>
    <w:p w14:paraId="64448FC1">
      <w:pPr>
        <w:keepNext w:val="0"/>
        <w:keepLines w:val="0"/>
        <w:pageBreakBefore w:val="0"/>
        <w:widowControl w:val="0"/>
        <w:numPr>
          <w:ilvl w:val="0"/>
          <w:numId w:val="17"/>
        </w:numPr>
        <w:shd w:val="clear" w:color="auto" w:fill="auto"/>
        <w:kinsoku/>
        <w:wordWrap/>
        <w:overflowPunct/>
        <w:topLinePunct w:val="0"/>
        <w:autoSpaceDE/>
        <w:autoSpaceDN/>
        <w:bidi w:val="0"/>
        <w:adjustRightInd/>
        <w:snapToGrid w:val="0"/>
        <w:spacing w:line="400" w:lineRule="exact"/>
        <w:ind w:left="425" w:leftChars="0" w:hanging="425" w:firstLineChars="0"/>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法律、行政法规规定的其他条件。</w:t>
      </w:r>
    </w:p>
    <w:p w14:paraId="49A85F15">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2</w:t>
      </w:r>
      <w:r>
        <w:rPr>
          <w:rFonts w:hint="eastAsia" w:hAnsi="宋体" w:eastAsia="宋体" w:cs="宋体"/>
          <w:color w:val="auto"/>
          <w:kern w:val="2"/>
          <w:sz w:val="21"/>
          <w:szCs w:val="24"/>
          <w:highlight w:val="none"/>
          <w:lang w:val="en-US" w:eastAsia="zh-CN"/>
        </w:rPr>
        <w:t>.</w:t>
      </w:r>
      <w:r>
        <w:rPr>
          <w:rFonts w:hint="eastAsia" w:hAnsi="宋体" w:eastAsia="宋体" w:cs="宋体"/>
          <w:color w:val="auto"/>
          <w:kern w:val="2"/>
          <w:sz w:val="21"/>
          <w:szCs w:val="24"/>
          <w:highlight w:val="none"/>
        </w:rPr>
        <w:t>本公司（企业）的法定代表人或单位负责人与所参投的本采购项目的其他供应商的法定代表人或单位负责人不为同一人且与其他供应商之间不存在直接控股、管理关系。</w:t>
      </w:r>
    </w:p>
    <w:p w14:paraId="66868DCA">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3</w:t>
      </w:r>
      <w:r>
        <w:rPr>
          <w:rFonts w:hint="eastAsia" w:hAnsi="宋体" w:eastAsia="宋体" w:cs="宋体"/>
          <w:color w:val="auto"/>
          <w:kern w:val="2"/>
          <w:sz w:val="21"/>
          <w:szCs w:val="24"/>
          <w:highlight w:val="none"/>
          <w:lang w:val="en-US" w:eastAsia="zh-CN"/>
        </w:rPr>
        <w:t>.</w:t>
      </w:r>
      <w:r>
        <w:rPr>
          <w:rFonts w:hint="eastAsia" w:hAnsi="宋体" w:eastAsia="宋体" w:cs="宋体"/>
          <w:color w:val="auto"/>
          <w:kern w:val="2"/>
          <w:sz w:val="21"/>
          <w:szCs w:val="24"/>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3708E9B4">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4</w:t>
      </w:r>
      <w:r>
        <w:rPr>
          <w:rFonts w:hint="eastAsia" w:hAnsi="宋体" w:eastAsia="宋体" w:cs="宋体"/>
          <w:color w:val="auto"/>
          <w:kern w:val="2"/>
          <w:sz w:val="21"/>
          <w:szCs w:val="24"/>
          <w:highlight w:val="none"/>
          <w:lang w:val="en-US" w:eastAsia="zh-CN"/>
        </w:rPr>
        <w:t>.</w:t>
      </w:r>
      <w:r>
        <w:rPr>
          <w:rFonts w:hint="eastAsia" w:hAnsi="宋体" w:eastAsia="宋体" w:cs="宋体"/>
          <w:color w:val="auto"/>
          <w:kern w:val="2"/>
          <w:sz w:val="21"/>
          <w:szCs w:val="24"/>
          <w:highlight w:val="none"/>
        </w:rPr>
        <w:t>本公司（企业）具有履行合同所必需的设备和专业技术能力，且本公司（企业）参加政府采购活动前3年内在经营活动中没有重大违法记录。否则，由此所造成的损失、不良后果及法律责任，一律由我公司（企业）承担。</w:t>
      </w:r>
    </w:p>
    <w:p w14:paraId="0A9B90A5">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5</w:t>
      </w:r>
      <w:r>
        <w:rPr>
          <w:rFonts w:hint="eastAsia" w:hAnsi="宋体" w:eastAsia="宋体" w:cs="宋体"/>
          <w:color w:val="auto"/>
          <w:kern w:val="2"/>
          <w:sz w:val="21"/>
          <w:szCs w:val="24"/>
          <w:highlight w:val="none"/>
          <w:lang w:val="en-US" w:eastAsia="zh-CN"/>
        </w:rPr>
        <w:t>.</w:t>
      </w:r>
      <w:r>
        <w:rPr>
          <w:rFonts w:hint="eastAsia" w:hAnsi="宋体" w:eastAsia="宋体" w:cs="宋体"/>
          <w:color w:val="auto"/>
          <w:kern w:val="2"/>
          <w:sz w:val="21"/>
          <w:szCs w:val="24"/>
          <w:highlight w:val="none"/>
        </w:rPr>
        <w:t>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3ACF87D7">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本次采购活动中，如有违法、违规、弄虚作假行为，所造成的损失、不良后果及法律责任，一律由我公司（企业）承担。</w:t>
      </w:r>
    </w:p>
    <w:p w14:paraId="5968991E">
      <w:pPr>
        <w:keepNext w:val="0"/>
        <w:keepLines w:val="0"/>
        <w:pageBreakBefore w:val="0"/>
        <w:widowControl w:val="0"/>
        <w:shd w:val="clear" w:color="auto" w:fill="auto"/>
        <w:kinsoku/>
        <w:wordWrap/>
        <w:overflowPunct/>
        <w:topLinePunct w:val="0"/>
        <w:autoSpaceDE/>
        <w:autoSpaceDN/>
        <w:bidi w:val="0"/>
        <w:adjustRightInd/>
        <w:snapToGrid w:val="0"/>
        <w:spacing w:before="156" w:beforeLines="50"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特此声明！</w:t>
      </w:r>
    </w:p>
    <w:p w14:paraId="7E5565FB">
      <w:pPr>
        <w:keepNext w:val="0"/>
        <w:keepLines w:val="0"/>
        <w:pageBreakBefore w:val="0"/>
        <w:widowControl w:val="0"/>
        <w:shd w:val="clear" w:color="auto" w:fill="auto"/>
        <w:kinsoku/>
        <w:wordWrap/>
        <w:overflowPunct/>
        <w:topLinePunct w:val="0"/>
        <w:autoSpaceDE/>
        <w:autoSpaceDN/>
        <w:bidi w:val="0"/>
        <w:adjustRightInd/>
        <w:snapToGrid w:val="0"/>
        <w:spacing w:before="156" w:beforeLines="50"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供应商名称（公章）：</w:t>
      </w:r>
    </w:p>
    <w:p w14:paraId="3D190BC3">
      <w:pPr>
        <w:keepNext w:val="0"/>
        <w:keepLines w:val="0"/>
        <w:pageBreakBefore w:val="0"/>
        <w:widowControl w:val="0"/>
        <w:shd w:val="clear" w:color="auto" w:fill="auto"/>
        <w:kinsoku/>
        <w:wordWrap/>
        <w:overflowPunct/>
        <w:topLinePunct w:val="0"/>
        <w:autoSpaceDE/>
        <w:autoSpaceDN/>
        <w:bidi w:val="0"/>
        <w:adjustRightInd/>
        <w:snapToGrid w:val="0"/>
        <w:spacing w:before="156" w:beforeLines="50" w:line="400" w:lineRule="exact"/>
        <w:ind w:firstLine="424" w:firstLineChars="202"/>
        <w:textAlignment w:val="auto"/>
        <w:rPr>
          <w:rFonts w:hint="eastAsia" w:hAnsi="宋体" w:eastAsia="宋体" w:cs="宋体"/>
          <w:color w:val="auto"/>
          <w:kern w:val="2"/>
          <w:sz w:val="21"/>
          <w:szCs w:val="24"/>
          <w:highlight w:val="none"/>
        </w:rPr>
      </w:pPr>
      <w:r>
        <w:rPr>
          <w:rFonts w:hint="eastAsia" w:hAnsi="宋体" w:eastAsia="宋体" w:cs="宋体"/>
          <w:color w:val="auto"/>
          <w:kern w:val="2"/>
          <w:sz w:val="21"/>
          <w:szCs w:val="24"/>
          <w:highlight w:val="none"/>
        </w:rPr>
        <w:t>年    月    日</w:t>
      </w:r>
    </w:p>
    <w:p w14:paraId="28426F14">
      <w:pPr>
        <w:shd w:val="clear" w:color="auto" w:fill="auto"/>
        <w:jc w:val="left"/>
        <w:rPr>
          <w:rFonts w:hint="eastAsia" w:hAnsi="宋体" w:eastAsia="宋体" w:cs="宋体"/>
          <w:b/>
          <w:bCs/>
          <w:color w:val="auto"/>
          <w:sz w:val="18"/>
          <w:szCs w:val="18"/>
          <w:highlight w:val="none"/>
          <w:lang w:bidi="ar"/>
        </w:rPr>
      </w:pPr>
      <w:r>
        <w:rPr>
          <w:rFonts w:hint="eastAsia" w:ascii="宋体" w:hAnsi="宋体" w:cs="宋体"/>
          <w:color w:val="auto"/>
          <w:highlight w:val="none"/>
        </w:rPr>
        <w:br w:type="page"/>
      </w:r>
    </w:p>
    <w:p w14:paraId="43DAD1A7">
      <w:pPr>
        <w:pStyle w:val="6"/>
        <w:numPr>
          <w:ilvl w:val="0"/>
          <w:numId w:val="0"/>
        </w:numPr>
        <w:shd w:val="clear" w:color="auto" w:fill="auto"/>
        <w:tabs>
          <w:tab w:val="left" w:pos="720"/>
        </w:tabs>
        <w:snapToGrid w:val="0"/>
        <w:spacing w:before="156" w:beforeLines="5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lang w:val="en-US" w:eastAsia="zh-CN"/>
        </w:rPr>
        <w:t>4.</w:t>
      </w:r>
      <w:r>
        <w:rPr>
          <w:rFonts w:hint="eastAsia" w:ascii="宋体" w:hAnsi="宋体" w:eastAsia="宋体" w:cs="宋体"/>
          <w:b/>
          <w:bCs/>
          <w:color w:val="auto"/>
          <w:sz w:val="21"/>
          <w:highlight w:val="none"/>
        </w:rPr>
        <w:t>商务技术文件内容包括：</w:t>
      </w:r>
    </w:p>
    <w:p w14:paraId="7BFEE9D8">
      <w:pPr>
        <w:pStyle w:val="6"/>
        <w:numPr>
          <w:ilvl w:val="0"/>
          <w:numId w:val="0"/>
        </w:numPr>
        <w:shd w:val="clear" w:color="auto" w:fill="auto"/>
        <w:tabs>
          <w:tab w:val="left" w:pos="720"/>
        </w:tabs>
        <w:adjustRightInd/>
        <w:spacing w:line="348"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（1）符合性自查表（格式详见第六章 响应文件格式）；</w:t>
      </w:r>
    </w:p>
    <w:p w14:paraId="086F3E4E">
      <w:pPr>
        <w:pStyle w:val="6"/>
        <w:numPr>
          <w:ilvl w:val="0"/>
          <w:numId w:val="0"/>
        </w:numPr>
        <w:shd w:val="clear" w:color="auto" w:fill="auto"/>
        <w:tabs>
          <w:tab w:val="left" w:pos="720"/>
        </w:tabs>
        <w:adjustRightInd/>
        <w:spacing w:line="348"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（2）投标函（格式详见第六章 响应文件格式）；</w:t>
      </w:r>
    </w:p>
    <w:p w14:paraId="64320884">
      <w:pPr>
        <w:pStyle w:val="6"/>
        <w:numPr>
          <w:ilvl w:val="0"/>
          <w:numId w:val="0"/>
        </w:numPr>
        <w:shd w:val="clear" w:color="auto" w:fill="auto"/>
        <w:tabs>
          <w:tab w:val="left" w:pos="720"/>
        </w:tabs>
        <w:adjustRightInd/>
        <w:spacing w:line="348"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（3）法定代表人身份证明及授权委托书（格式详见第六章 响应文件格式）；</w:t>
      </w:r>
    </w:p>
    <w:p w14:paraId="2D50623F">
      <w:pPr>
        <w:pStyle w:val="6"/>
        <w:numPr>
          <w:ilvl w:val="0"/>
          <w:numId w:val="0"/>
        </w:numPr>
        <w:shd w:val="clear" w:color="auto" w:fill="auto"/>
        <w:tabs>
          <w:tab w:val="left" w:pos="720"/>
        </w:tabs>
        <w:adjustRightInd/>
        <w:spacing w:line="348"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w:t>
      </w:r>
      <w:r>
        <w:rPr>
          <w:rFonts w:hint="eastAsia" w:hAnsi="宋体" w:eastAsia="宋体" w:cs="宋体"/>
          <w:bCs/>
          <w:color w:val="auto"/>
          <w:sz w:val="21"/>
          <w:highlight w:val="none"/>
          <w:lang w:eastAsia="zh-CN"/>
        </w:rPr>
        <w:t>需求条款响应</w:t>
      </w:r>
      <w:r>
        <w:rPr>
          <w:rFonts w:hint="eastAsia" w:ascii="宋体" w:hAnsi="宋体" w:eastAsia="宋体" w:cs="宋体"/>
          <w:bCs/>
          <w:color w:val="auto"/>
          <w:sz w:val="21"/>
          <w:highlight w:val="none"/>
        </w:rPr>
        <w:t>（偏离）表（格式详见第六章 响应文件格式）；</w:t>
      </w:r>
    </w:p>
    <w:p w14:paraId="56565FDF">
      <w:pPr>
        <w:pStyle w:val="6"/>
        <w:numPr>
          <w:ilvl w:val="0"/>
          <w:numId w:val="0"/>
        </w:numPr>
        <w:shd w:val="clear" w:color="auto" w:fill="auto"/>
        <w:tabs>
          <w:tab w:val="left" w:pos="720"/>
        </w:tabs>
        <w:adjustRightInd/>
        <w:spacing w:line="348"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（5）商务条款响应（偏离）表（格式详见第六章 响应文件格式）；</w:t>
      </w:r>
    </w:p>
    <w:p w14:paraId="187F9B74">
      <w:pPr>
        <w:pStyle w:val="6"/>
        <w:numPr>
          <w:ilvl w:val="0"/>
          <w:numId w:val="0"/>
        </w:numPr>
        <w:shd w:val="clear" w:color="auto" w:fill="auto"/>
        <w:tabs>
          <w:tab w:val="left" w:pos="720"/>
        </w:tabs>
        <w:adjustRightInd/>
        <w:spacing w:line="348"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（6）技术部分：针对本项目第</w:t>
      </w:r>
      <w:r>
        <w:rPr>
          <w:rFonts w:hint="eastAsia" w:hAnsi="宋体" w:eastAsia="宋体" w:cs="宋体"/>
          <w:bCs/>
          <w:color w:val="auto"/>
          <w:sz w:val="21"/>
          <w:highlight w:val="none"/>
          <w:lang w:val="en-US" w:eastAsia="zh-CN"/>
        </w:rPr>
        <w:t>三</w:t>
      </w:r>
      <w:r>
        <w:rPr>
          <w:rFonts w:hint="eastAsia" w:ascii="宋体" w:hAnsi="宋体" w:eastAsia="宋体" w:cs="宋体"/>
          <w:bCs/>
          <w:color w:val="auto"/>
          <w:sz w:val="21"/>
          <w:highlight w:val="none"/>
        </w:rPr>
        <w:t>章项目需求和</w:t>
      </w:r>
      <w:r>
        <w:rPr>
          <w:rFonts w:hint="eastAsia" w:hAnsi="宋体" w:eastAsia="宋体" w:cs="宋体"/>
          <w:bCs/>
          <w:color w:val="auto"/>
          <w:sz w:val="21"/>
          <w:highlight w:val="none"/>
          <w:lang w:eastAsia="zh-CN"/>
        </w:rPr>
        <w:t>第四章</w:t>
      </w:r>
      <w:r>
        <w:rPr>
          <w:rFonts w:hint="eastAsia" w:ascii="宋体" w:hAnsi="宋体" w:eastAsia="宋体" w:cs="宋体"/>
          <w:bCs/>
          <w:color w:val="auto"/>
          <w:sz w:val="21"/>
          <w:highlight w:val="none"/>
        </w:rPr>
        <w:t>评审标准中的条款拟定完整方案，格式自拟；</w:t>
      </w:r>
    </w:p>
    <w:p w14:paraId="0FF83196">
      <w:pPr>
        <w:pStyle w:val="6"/>
        <w:numPr>
          <w:ilvl w:val="0"/>
          <w:numId w:val="0"/>
        </w:numPr>
        <w:shd w:val="clear" w:color="auto" w:fill="auto"/>
        <w:tabs>
          <w:tab w:val="left" w:pos="720"/>
        </w:tabs>
        <w:adjustRightInd/>
        <w:spacing w:line="348"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（7）业绩一览表（格式详见第六章 响应文件格式）；</w:t>
      </w:r>
    </w:p>
    <w:p w14:paraId="5FF25A93">
      <w:pPr>
        <w:pStyle w:val="6"/>
        <w:numPr>
          <w:ilvl w:val="0"/>
          <w:numId w:val="0"/>
        </w:numPr>
        <w:shd w:val="clear" w:color="auto" w:fill="auto"/>
        <w:tabs>
          <w:tab w:val="left" w:pos="720"/>
        </w:tabs>
        <w:adjustRightInd/>
        <w:spacing w:line="348"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（8）供应商认为有需要提供的其它有关证明资料。</w:t>
      </w:r>
    </w:p>
    <w:p w14:paraId="246AFC32">
      <w:pPr>
        <w:shd w:val="clear" w:color="auto" w:fill="auto"/>
        <w:snapToGrid w:val="0"/>
        <w:rPr>
          <w:rFonts w:hint="eastAsia" w:hAnsi="宋体" w:cs="宋体"/>
          <w:b/>
          <w:color w:val="auto"/>
          <w:highlight w:val="none"/>
          <w:lang w:bidi="ar"/>
        </w:rPr>
      </w:pPr>
      <w:r>
        <w:rPr>
          <w:rFonts w:hint="eastAsia" w:hAnsi="宋体" w:eastAsia="宋体" w:cs="宋体"/>
          <w:color w:val="auto"/>
          <w:sz w:val="21"/>
          <w:highlight w:val="none"/>
        </w:rPr>
        <w:br w:type="page"/>
      </w:r>
      <w:r>
        <w:rPr>
          <w:rFonts w:hint="eastAsia" w:hAnsi="宋体" w:eastAsia="宋体" w:cs="宋体"/>
          <w:b/>
          <w:color w:val="auto"/>
          <w:kern w:val="2"/>
          <w:sz w:val="21"/>
          <w:highlight w:val="none"/>
          <w:lang w:bidi="ar"/>
        </w:rPr>
        <w:t>（1）符合性自查表</w:t>
      </w:r>
    </w:p>
    <w:p w14:paraId="2F0217A5">
      <w:pPr>
        <w:shd w:val="clear" w:color="auto" w:fill="auto"/>
        <w:adjustRightInd/>
        <w:spacing w:line="24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符合性自查表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7839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noWrap w:val="0"/>
            <w:vAlign w:val="center"/>
          </w:tcPr>
          <w:p w14:paraId="10CA5F16">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评审内容</w:t>
            </w:r>
          </w:p>
        </w:tc>
        <w:tc>
          <w:tcPr>
            <w:tcW w:w="4175" w:type="dxa"/>
            <w:noWrap w:val="0"/>
            <w:vAlign w:val="center"/>
          </w:tcPr>
          <w:p w14:paraId="1FF4E654">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磋商文件要求</w:t>
            </w:r>
          </w:p>
        </w:tc>
        <w:tc>
          <w:tcPr>
            <w:tcW w:w="1410" w:type="dxa"/>
            <w:noWrap w:val="0"/>
            <w:vAlign w:val="center"/>
          </w:tcPr>
          <w:p w14:paraId="532A38D6">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自查结论</w:t>
            </w:r>
          </w:p>
        </w:tc>
        <w:tc>
          <w:tcPr>
            <w:tcW w:w="2192" w:type="dxa"/>
            <w:noWrap w:val="0"/>
            <w:vAlign w:val="center"/>
          </w:tcPr>
          <w:p w14:paraId="6DC9D2E3">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证明资料</w:t>
            </w:r>
          </w:p>
        </w:tc>
      </w:tr>
      <w:tr w14:paraId="484C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noWrap w:val="0"/>
            <w:vAlign w:val="center"/>
          </w:tcPr>
          <w:p w14:paraId="1ABC28DD">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符合性审</w:t>
            </w:r>
          </w:p>
          <w:p w14:paraId="6B787CEA">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查（商务技术文件）</w:t>
            </w:r>
          </w:p>
        </w:tc>
        <w:tc>
          <w:tcPr>
            <w:tcW w:w="4175" w:type="dxa"/>
            <w:noWrap w:val="0"/>
            <w:vAlign w:val="center"/>
          </w:tcPr>
          <w:p w14:paraId="0C73CBB7">
            <w:pPr>
              <w:shd w:val="clear" w:color="auto" w:fill="auto"/>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（一）投标函已提交并符合磋商文件要求；</w:t>
            </w:r>
          </w:p>
        </w:tc>
        <w:tc>
          <w:tcPr>
            <w:tcW w:w="1410" w:type="dxa"/>
            <w:noWrap w:val="0"/>
            <w:vAlign w:val="center"/>
          </w:tcPr>
          <w:p w14:paraId="036B53D9">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9391DE0">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67E01976">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33DC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56C0AAC5">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55E80013">
            <w:pPr>
              <w:shd w:val="clear" w:color="auto" w:fill="auto"/>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（二）按照磋商文件规定要求签署或盖章；</w:t>
            </w:r>
          </w:p>
        </w:tc>
        <w:tc>
          <w:tcPr>
            <w:tcW w:w="1410" w:type="dxa"/>
            <w:noWrap w:val="0"/>
            <w:vAlign w:val="center"/>
          </w:tcPr>
          <w:p w14:paraId="6AC7CCAF">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2F6F1B26">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91FE0A7">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7282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10B91E07">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119A4622">
            <w:pPr>
              <w:shd w:val="clear" w:color="auto" w:fill="auto"/>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（三）响应文件规定部分有法定代表人签署本人姓名（或印盖本人姓名章），或签署人提供有效的法定代表人授权委托书且授权委托书填写项目齐全的；</w:t>
            </w:r>
          </w:p>
        </w:tc>
        <w:tc>
          <w:tcPr>
            <w:tcW w:w="1410" w:type="dxa"/>
            <w:noWrap w:val="0"/>
            <w:vAlign w:val="center"/>
          </w:tcPr>
          <w:p w14:paraId="58BEF611">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6E691B49">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2FB4D14E">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29F7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786276D">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1B66E343">
            <w:pPr>
              <w:shd w:val="clear" w:color="auto" w:fill="auto"/>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hAnsi="宋体" w:eastAsia="宋体" w:cs="宋体"/>
                <w:color w:val="auto"/>
                <w:kern w:val="2"/>
                <w:sz w:val="21"/>
                <w:szCs w:val="21"/>
                <w:highlight w:val="none"/>
                <w:lang w:val="en-US" w:eastAsia="zh-CN"/>
              </w:rPr>
              <w:t>四</w:t>
            </w:r>
            <w:r>
              <w:rPr>
                <w:rFonts w:hint="eastAsia" w:ascii="宋体" w:hAnsi="宋体" w:eastAsia="宋体" w:cs="宋体"/>
                <w:color w:val="auto"/>
                <w:kern w:val="2"/>
                <w:sz w:val="21"/>
                <w:szCs w:val="21"/>
                <w:highlight w:val="none"/>
              </w:rPr>
              <w:t>）响应文件标明的响应或偏离与事实相符且无虚假投标的；</w:t>
            </w:r>
          </w:p>
        </w:tc>
        <w:tc>
          <w:tcPr>
            <w:tcW w:w="1410" w:type="dxa"/>
            <w:noWrap w:val="0"/>
            <w:vAlign w:val="center"/>
          </w:tcPr>
          <w:p w14:paraId="0ECECE3D">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1E90A8F3">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37EFFEAF">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1526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29042CE">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6648BADA">
            <w:pPr>
              <w:shd w:val="clear" w:color="auto" w:fill="auto"/>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rPr>
              <w:t>）响应文件的实质性内容使用中文表述且意思表述明确，前后无矛盾且使用计量单位符合磋商文件要求的；</w:t>
            </w:r>
          </w:p>
        </w:tc>
        <w:tc>
          <w:tcPr>
            <w:tcW w:w="1410" w:type="dxa"/>
            <w:noWrap w:val="0"/>
            <w:vAlign w:val="center"/>
          </w:tcPr>
          <w:p w14:paraId="215C829E">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0B0CA6E">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3D2462F6">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28FC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noWrap w:val="0"/>
            <w:vAlign w:val="center"/>
          </w:tcPr>
          <w:p w14:paraId="01DCE38C">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0F6B7243">
            <w:pPr>
              <w:shd w:val="clear" w:color="auto" w:fill="auto"/>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hAnsi="宋体" w:eastAsia="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rPr>
              <w:t>）带“★”的条款满足磋商文件要求、已实质性响应磋商文件要求且响应文件无采购人不能接受的附加条件的；</w:t>
            </w:r>
          </w:p>
        </w:tc>
        <w:tc>
          <w:tcPr>
            <w:tcW w:w="1410" w:type="dxa"/>
            <w:noWrap w:val="0"/>
            <w:vAlign w:val="center"/>
          </w:tcPr>
          <w:p w14:paraId="50B36D18">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BF324CC">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6AFD654F">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5E29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0606D25E">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338960AA">
            <w:pPr>
              <w:shd w:val="clear" w:color="auto" w:fill="auto"/>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rPr>
              <w:t>）投标技术方案明确，不存在一个或一个以上备选（替代）投标方案的；</w:t>
            </w:r>
          </w:p>
        </w:tc>
        <w:tc>
          <w:tcPr>
            <w:tcW w:w="1410" w:type="dxa"/>
            <w:noWrap w:val="0"/>
            <w:vAlign w:val="center"/>
          </w:tcPr>
          <w:p w14:paraId="3EA15F09">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60C01F13">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31503F5D">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D7D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14895A1">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5A02200F">
            <w:pPr>
              <w:shd w:val="clear" w:color="auto" w:fill="auto"/>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hAnsi="宋体" w:eastAsia="宋体" w:cs="宋体"/>
                <w:color w:val="auto"/>
                <w:kern w:val="2"/>
                <w:sz w:val="21"/>
                <w:szCs w:val="21"/>
                <w:highlight w:val="none"/>
                <w:lang w:val="en-US" w:eastAsia="zh-CN"/>
              </w:rPr>
              <w:t>八</w:t>
            </w:r>
            <w:r>
              <w:rPr>
                <w:rFonts w:hint="eastAsia" w:ascii="宋体" w:hAnsi="宋体" w:eastAsia="宋体" w:cs="宋体"/>
                <w:color w:val="auto"/>
                <w:kern w:val="2"/>
                <w:sz w:val="21"/>
                <w:szCs w:val="21"/>
                <w:highlight w:val="none"/>
              </w:rPr>
              <w:t>）不存在法律、法规和磋商文件规定的其他无效情形；</w:t>
            </w:r>
          </w:p>
        </w:tc>
        <w:tc>
          <w:tcPr>
            <w:tcW w:w="1410" w:type="dxa"/>
            <w:noWrap w:val="0"/>
            <w:vAlign w:val="center"/>
          </w:tcPr>
          <w:p w14:paraId="663EDBF8">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5AD1E0F7">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1986F569">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7997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6E95BD6">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02E86DC6">
            <w:pPr>
              <w:shd w:val="clear" w:color="auto" w:fill="auto"/>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hAnsi="宋体" w:eastAsia="宋体" w:cs="宋体"/>
                <w:color w:val="auto"/>
                <w:kern w:val="2"/>
                <w:sz w:val="21"/>
                <w:szCs w:val="21"/>
                <w:highlight w:val="none"/>
                <w:lang w:val="en-US" w:eastAsia="zh-CN"/>
              </w:rPr>
              <w:t>九</w:t>
            </w:r>
            <w:r>
              <w:rPr>
                <w:rFonts w:hint="eastAsia" w:ascii="宋体" w:hAnsi="宋体" w:eastAsia="宋体" w:cs="宋体"/>
                <w:color w:val="auto"/>
                <w:kern w:val="2"/>
                <w:sz w:val="21"/>
                <w:szCs w:val="21"/>
                <w:highlight w:val="none"/>
              </w:rPr>
              <w:t>）不存在响应文件的有效期不满足磋商文件要求情形；</w:t>
            </w:r>
          </w:p>
        </w:tc>
        <w:tc>
          <w:tcPr>
            <w:tcW w:w="1410" w:type="dxa"/>
            <w:noWrap w:val="0"/>
            <w:vAlign w:val="center"/>
          </w:tcPr>
          <w:p w14:paraId="63007DF7">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69E58FE8">
            <w:pPr>
              <w:shd w:val="clear" w:color="auto" w:fill="auto"/>
              <w:adjustRightInd/>
              <w:spacing w:line="28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2F9B17E1">
            <w:pPr>
              <w:shd w:val="clear" w:color="auto" w:fill="auto"/>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bl>
    <w:p w14:paraId="5BD8D98F">
      <w:pPr>
        <w:shd w:val="clear" w:color="auto" w:fill="auto"/>
        <w:adjustRightInd/>
        <w:snapToGrid w:val="0"/>
        <w:spacing w:line="240" w:lineRule="auto"/>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备注：符合性自查表将作为供应商有效性审查的重要内容之一，供应商必须严格按照其内容及序列要求在响应文件中对应如实提供，对证明文件的任何缺漏和不符合项将会直接导致投标无效！ </w:t>
      </w:r>
    </w:p>
    <w:p w14:paraId="501C19ED">
      <w:pPr>
        <w:shd w:val="clear" w:color="auto" w:fill="auto"/>
        <w:snapToGrid w:val="0"/>
        <w:rPr>
          <w:rFonts w:hint="eastAsia" w:hAnsi="宋体" w:eastAsia="宋体" w:cs="宋体"/>
          <w:color w:val="auto"/>
          <w:highlight w:val="none"/>
        </w:rPr>
      </w:pPr>
      <w:r>
        <w:rPr>
          <w:rFonts w:hint="eastAsia" w:ascii="宋体" w:hAnsi="宋体" w:eastAsia="宋体" w:cs="宋体"/>
          <w:b/>
          <w:color w:val="auto"/>
          <w:sz w:val="21"/>
          <w:szCs w:val="21"/>
          <w:highlight w:val="none"/>
        </w:rPr>
        <w:br w:type="page"/>
      </w:r>
      <w:r>
        <w:rPr>
          <w:rFonts w:hint="eastAsia" w:hAnsi="宋体" w:eastAsia="宋体" w:cs="宋体"/>
          <w:b/>
          <w:bCs/>
          <w:color w:val="auto"/>
          <w:kern w:val="2"/>
          <w:sz w:val="21"/>
          <w:highlight w:val="none"/>
        </w:rPr>
        <w:t>（2）投标函</w:t>
      </w:r>
    </w:p>
    <w:p w14:paraId="6A99A0AE">
      <w:pPr>
        <w:keepNext w:val="0"/>
        <w:keepLines w:val="0"/>
        <w:pageBreakBefore w:val="0"/>
        <w:widowControl w:val="0"/>
        <w:shd w:val="clear" w:color="auto" w:fill="auto"/>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投 标 函</w:t>
      </w:r>
    </w:p>
    <w:p w14:paraId="3C566582">
      <w:pPr>
        <w:keepNext w:val="0"/>
        <w:keepLines w:val="0"/>
        <w:pageBreakBefore w:val="0"/>
        <w:widowControl w:val="0"/>
        <w:shd w:val="clear" w:color="auto" w:fill="auto"/>
        <w:kinsoku/>
        <w:wordWrap/>
        <w:overflowPunct/>
        <w:topLinePunct w:val="0"/>
        <w:autoSpaceDE/>
        <w:autoSpaceDN/>
        <w:bidi w:val="0"/>
        <w:snapToGrid w:val="0"/>
        <w:spacing w:before="156" w:beforeLines="50" w:after="50" w:line="400" w:lineRule="exact"/>
        <w:jc w:val="center"/>
        <w:rPr>
          <w:rFonts w:hint="eastAsia" w:ascii="宋体" w:hAnsi="宋体" w:eastAsia="宋体" w:cs="宋体"/>
          <w:b/>
          <w:color w:val="auto"/>
          <w:sz w:val="21"/>
          <w:szCs w:val="21"/>
          <w:highlight w:val="none"/>
        </w:rPr>
      </w:pPr>
    </w:p>
    <w:p w14:paraId="6C96C60F">
      <w:pPr>
        <w:keepNext w:val="0"/>
        <w:keepLines w:val="0"/>
        <w:pageBreakBefore w:val="0"/>
        <w:widowControl w:val="0"/>
        <w:shd w:val="clear" w:color="auto" w:fill="auto"/>
        <w:kinsoku/>
        <w:wordWrap/>
        <w:overflowPunct/>
        <w:topLinePunct w:val="0"/>
        <w:autoSpaceDE/>
        <w:autoSpaceDN/>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p>
    <w:p w14:paraId="197D01F7">
      <w:pPr>
        <w:keepNext w:val="0"/>
        <w:keepLines w:val="0"/>
        <w:pageBreakBefore w:val="0"/>
        <w:widowControl w:val="0"/>
        <w:shd w:val="clear" w:color="auto" w:fill="auto"/>
        <w:kinsoku/>
        <w:wordWrap/>
        <w:overflowPunct/>
        <w:topLinePunct w:val="0"/>
        <w:autoSpaceDE/>
        <w:autoSpaceDN/>
        <w:bidi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公告（项目编号：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（全名）</w:t>
      </w:r>
      <w:r>
        <w:rPr>
          <w:rFonts w:hint="eastAsia" w:ascii="宋体" w:hAnsi="宋体" w:eastAsia="宋体" w:cs="宋体"/>
          <w:color w:val="auto"/>
          <w:sz w:val="21"/>
          <w:szCs w:val="21"/>
          <w:highlight w:val="none"/>
        </w:rPr>
        <w:t>经正式授权并代表供应商</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提交响应文件。</w:t>
      </w:r>
    </w:p>
    <w:p w14:paraId="71F69377">
      <w:pPr>
        <w:keepNext w:val="0"/>
        <w:keepLines w:val="0"/>
        <w:pageBreakBefore w:val="0"/>
        <w:widowControl w:val="0"/>
        <w:shd w:val="clear" w:color="auto" w:fill="auto"/>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据此函，签字代表宣布同意如下：</w:t>
      </w:r>
    </w:p>
    <w:p w14:paraId="32E5D81A">
      <w:pPr>
        <w:keepNext w:val="0"/>
        <w:keepLines w:val="0"/>
        <w:pageBreakBefore w:val="0"/>
        <w:widowControl w:val="0"/>
        <w:shd w:val="clear" w:color="auto" w:fill="auto"/>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53CB97EB">
      <w:pPr>
        <w:keepNext w:val="0"/>
        <w:keepLines w:val="0"/>
        <w:pageBreakBefore w:val="0"/>
        <w:widowControl w:val="0"/>
        <w:shd w:val="clear" w:color="auto" w:fill="auto"/>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2.供应商在投标之前已经与贵方进行了充分的沟通，完全理解并接受磋商文件的各项规定和要求，对磋商文件的合理性、合法性不再有异议。</w:t>
      </w:r>
    </w:p>
    <w:p w14:paraId="7250128B">
      <w:pPr>
        <w:keepNext w:val="0"/>
        <w:keepLines w:val="0"/>
        <w:pageBreakBefore w:val="0"/>
        <w:widowControl w:val="0"/>
        <w:shd w:val="clear" w:color="auto" w:fill="auto"/>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3.本投标有效期自开标日起60天。</w:t>
      </w:r>
    </w:p>
    <w:p w14:paraId="4B283274">
      <w:pPr>
        <w:keepNext w:val="0"/>
        <w:keepLines w:val="0"/>
        <w:pageBreakBefore w:val="0"/>
        <w:widowControl w:val="0"/>
        <w:shd w:val="clear" w:color="auto" w:fill="auto"/>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w:t>
      </w:r>
      <w:r>
        <w:rPr>
          <w:rFonts w:hint="eastAsia"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，本响应文件至本项目合同履行完毕止均保持有效，本供应商将按“磋商文件”及政府采购法律、法规的规定履行合同责任和义务。</w:t>
      </w:r>
    </w:p>
    <w:p w14:paraId="3BEB14AC">
      <w:pPr>
        <w:keepNext w:val="0"/>
        <w:keepLines w:val="0"/>
        <w:pageBreakBefore w:val="0"/>
        <w:widowControl w:val="0"/>
        <w:shd w:val="clear" w:color="auto" w:fill="auto"/>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5.供应商同意按照贵方要求提供与投标有关的一切数据或资料。</w:t>
      </w:r>
    </w:p>
    <w:p w14:paraId="444AA9F3">
      <w:pPr>
        <w:keepNext w:val="0"/>
        <w:keepLines w:val="0"/>
        <w:pageBreakBefore w:val="0"/>
        <w:widowControl w:val="0"/>
        <w:shd w:val="clear" w:color="auto" w:fill="auto"/>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我们郑重声明：本响应文件提供的情况和文件完全是真实的。</w:t>
      </w:r>
    </w:p>
    <w:p w14:paraId="306E7369">
      <w:pPr>
        <w:keepNext w:val="0"/>
        <w:keepLines w:val="0"/>
        <w:pageBreakBefore w:val="0"/>
        <w:widowControl w:val="0"/>
        <w:shd w:val="clear" w:color="auto" w:fill="auto"/>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文件的规定，在</w:t>
      </w:r>
      <w:r>
        <w:rPr>
          <w:rFonts w:hint="eastAsia"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后向</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zh-CN"/>
        </w:rPr>
        <w:t>一次性支付招标代理</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zh-CN"/>
        </w:rPr>
        <w:t>费。</w:t>
      </w:r>
    </w:p>
    <w:p w14:paraId="518C9D49">
      <w:pPr>
        <w:keepNext w:val="0"/>
        <w:keepLines w:val="0"/>
        <w:pageBreakBefore w:val="0"/>
        <w:widowControl w:val="0"/>
        <w:shd w:val="clear" w:color="auto" w:fill="auto"/>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8.与本投标有关的一切正式往来信函请寄：</w:t>
      </w:r>
    </w:p>
    <w:p w14:paraId="551A472C">
      <w:pPr>
        <w:keepNext w:val="0"/>
        <w:keepLines w:val="0"/>
        <w:pageBreakBefore w:val="0"/>
        <w:widowControl w:val="0"/>
        <w:shd w:val="clear" w:color="auto" w:fill="auto"/>
        <w:kinsoku/>
        <w:wordWrap/>
        <w:overflowPunct/>
        <w:topLinePunct w:val="0"/>
        <w:autoSpaceDE/>
        <w:autoSpaceDN/>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邮编：__________   电话：______________</w:t>
      </w:r>
    </w:p>
    <w:p w14:paraId="7578CADF">
      <w:pPr>
        <w:keepNext w:val="0"/>
        <w:keepLines w:val="0"/>
        <w:pageBreakBefore w:val="0"/>
        <w:widowControl w:val="0"/>
        <w:shd w:val="clear" w:color="auto" w:fill="auto"/>
        <w:kinsoku/>
        <w:wordWrap/>
        <w:overflowPunct/>
        <w:topLinePunct w:val="0"/>
        <w:autoSpaceDE/>
        <w:autoSpaceDN/>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传真：______________供应商代表姓名 ___________  职务：_____________</w:t>
      </w:r>
    </w:p>
    <w:p w14:paraId="3B986152">
      <w:pPr>
        <w:keepNext w:val="0"/>
        <w:keepLines w:val="0"/>
        <w:pageBreakBefore w:val="0"/>
        <w:widowControl w:val="0"/>
        <w:shd w:val="clear" w:color="auto" w:fill="auto"/>
        <w:kinsoku/>
        <w:wordWrap/>
        <w:overflowPunct/>
        <w:topLinePunct w:val="0"/>
        <w:autoSpaceDE/>
        <w:autoSpaceDN/>
        <w:bidi w:val="0"/>
        <w:snapToGrid w:val="0"/>
        <w:spacing w:line="400" w:lineRule="exact"/>
        <w:rPr>
          <w:rFonts w:hint="eastAsia" w:ascii="宋体" w:hAnsi="宋体" w:eastAsia="宋体" w:cs="宋体"/>
          <w:color w:val="auto"/>
          <w:sz w:val="21"/>
          <w:szCs w:val="21"/>
          <w:highlight w:val="none"/>
        </w:rPr>
      </w:pPr>
    </w:p>
    <w:p w14:paraId="75A64F5E">
      <w:pPr>
        <w:keepNext w:val="0"/>
        <w:keepLines w:val="0"/>
        <w:pageBreakBefore w:val="0"/>
        <w:widowControl w:val="0"/>
        <w:shd w:val="clear" w:color="auto" w:fill="auto"/>
        <w:kinsoku/>
        <w:wordWrap/>
        <w:overflowPunct/>
        <w:topLinePunct w:val="0"/>
        <w:autoSpaceDE/>
        <w:autoSpaceDN/>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供应商名称(公章):___________________</w:t>
      </w:r>
    </w:p>
    <w:p w14:paraId="12EB84DC">
      <w:pPr>
        <w:rPr>
          <w:rFonts w:hint="eastAsia" w:hAnsi="宋体" w:eastAsia="宋体" w:cs="宋体"/>
          <w:b/>
          <w:bCs/>
          <w:color w:val="auto"/>
          <w:sz w:val="21"/>
          <w:highlight w:val="none"/>
        </w:rPr>
      </w:pPr>
      <w:r>
        <w:rPr>
          <w:rFonts w:hint="eastAsia" w:ascii="宋体" w:hAnsi="宋体" w:eastAsia="宋体" w:cs="宋体"/>
          <w:color w:val="auto"/>
          <w:sz w:val="21"/>
          <w:szCs w:val="21"/>
          <w:highlight w:val="none"/>
          <w:lang w:val="en-US" w:eastAsia="zh-CN"/>
        </w:rPr>
        <w:t>日期：</w:t>
      </w:r>
      <w:r>
        <w:rPr>
          <w:rFonts w:hint="eastAsia" w:hAnsi="宋体" w:eastAsia="宋体" w:cs="宋体"/>
          <w:b/>
          <w:bCs/>
          <w:color w:val="auto"/>
          <w:sz w:val="21"/>
          <w:highlight w:val="none"/>
        </w:rPr>
        <w:br w:type="page"/>
      </w:r>
    </w:p>
    <w:p w14:paraId="09B0090A">
      <w:pPr>
        <w:keepNext w:val="0"/>
        <w:keepLines w:val="0"/>
        <w:pageBreakBefore w:val="0"/>
        <w:widowControl w:val="0"/>
        <w:shd w:val="clear" w:color="auto" w:fill="auto"/>
        <w:kinsoku/>
        <w:wordWrap/>
        <w:overflowPunct/>
        <w:topLinePunct w:val="0"/>
        <w:autoSpaceDE/>
        <w:autoSpaceDN/>
        <w:bidi w:val="0"/>
        <w:spacing w:line="400" w:lineRule="exact"/>
        <w:rPr>
          <w:rFonts w:hint="eastAsia" w:hAnsi="宋体" w:eastAsia="宋体" w:cs="宋体"/>
          <w:b/>
          <w:bCs/>
          <w:color w:val="auto"/>
          <w:sz w:val="21"/>
          <w:highlight w:val="none"/>
        </w:rPr>
      </w:pPr>
      <w:r>
        <w:rPr>
          <w:rFonts w:hint="eastAsia" w:hAnsi="宋体" w:eastAsia="宋体" w:cs="宋体"/>
          <w:b/>
          <w:bCs/>
          <w:color w:val="auto"/>
          <w:sz w:val="21"/>
          <w:highlight w:val="none"/>
        </w:rPr>
        <w:t>（3）法定代表人身份证明及授权委托书</w:t>
      </w:r>
    </w:p>
    <w:p w14:paraId="54CCC2E2">
      <w:pPr>
        <w:pStyle w:val="12"/>
        <w:shd w:val="clear" w:color="auto" w:fill="auto"/>
        <w:ind w:left="560"/>
        <w:rPr>
          <w:rFonts w:hint="eastAsia" w:ascii="宋体" w:hAnsi="宋体" w:cs="宋体"/>
          <w:color w:val="auto"/>
          <w:sz w:val="21"/>
          <w:highlight w:val="none"/>
        </w:rPr>
      </w:pPr>
    </w:p>
    <w:p w14:paraId="79A0EBDB">
      <w:pPr>
        <w:shd w:val="clear" w:color="auto" w:fill="auto"/>
        <w:jc w:val="center"/>
        <w:rPr>
          <w:rFonts w:hint="eastAsia" w:hAnsi="宋体" w:eastAsia="宋体" w:cs="宋体"/>
          <w:bCs/>
          <w:color w:val="auto"/>
          <w:sz w:val="21"/>
          <w:szCs w:val="21"/>
          <w:highlight w:val="none"/>
        </w:rPr>
      </w:pPr>
      <w:r>
        <w:rPr>
          <w:rFonts w:hint="eastAsia" w:hAnsi="宋体" w:eastAsia="宋体" w:cs="宋体"/>
          <w:b/>
          <w:color w:val="auto"/>
          <w:sz w:val="21"/>
          <w:szCs w:val="21"/>
          <w:highlight w:val="none"/>
        </w:rPr>
        <w:t>法定代表人身份证明</w:t>
      </w:r>
    </w:p>
    <w:p w14:paraId="682C8594">
      <w:pPr>
        <w:shd w:val="clear" w:color="auto" w:fill="auto"/>
        <w:spacing w:line="480" w:lineRule="auto"/>
        <w:jc w:val="center"/>
        <w:rPr>
          <w:rFonts w:hint="eastAsia" w:hAnsi="宋体" w:eastAsia="宋体" w:cs="宋体"/>
          <w:b/>
          <w:color w:val="auto"/>
          <w:sz w:val="21"/>
          <w:szCs w:val="21"/>
          <w:highlight w:val="none"/>
        </w:rPr>
      </w:pPr>
      <w:r>
        <w:rPr>
          <w:rFonts w:hint="eastAsia" w:hAnsi="宋体" w:eastAsia="宋体" w:cs="宋体"/>
          <w:bCs/>
          <w:color w:val="auto"/>
          <w:sz w:val="21"/>
          <w:szCs w:val="21"/>
          <w:highlight w:val="none"/>
        </w:rPr>
        <w:t>（法定代表人参加投标的须提供）</w:t>
      </w:r>
    </w:p>
    <w:p w14:paraId="6F7FBCF8">
      <w:pPr>
        <w:shd w:val="clear" w:color="auto" w:fill="auto"/>
        <w:spacing w:line="48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供应商名称：</w:t>
      </w:r>
      <w:r>
        <w:rPr>
          <w:rFonts w:hint="eastAsia" w:hAnsi="宋体" w:eastAsia="宋体" w:cs="宋体"/>
          <w:color w:val="auto"/>
          <w:sz w:val="21"/>
          <w:szCs w:val="21"/>
          <w:highlight w:val="none"/>
          <w:u w:val="single"/>
        </w:rPr>
        <w:t xml:space="preserve">                                      </w:t>
      </w:r>
    </w:p>
    <w:p w14:paraId="021364E2">
      <w:pPr>
        <w:shd w:val="clear" w:color="auto" w:fill="auto"/>
        <w:spacing w:line="48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单位性质：</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 xml:space="preserve"> </w:t>
      </w:r>
    </w:p>
    <w:p w14:paraId="44E77265">
      <w:pPr>
        <w:shd w:val="clear" w:color="auto" w:fill="auto"/>
        <w:spacing w:line="48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地址：</w:t>
      </w:r>
      <w:r>
        <w:rPr>
          <w:rFonts w:hint="eastAsia" w:hAnsi="宋体" w:eastAsia="宋体" w:cs="宋体"/>
          <w:color w:val="auto"/>
          <w:sz w:val="21"/>
          <w:szCs w:val="21"/>
          <w:highlight w:val="none"/>
          <w:u w:val="single"/>
        </w:rPr>
        <w:t xml:space="preserve">                                              </w:t>
      </w:r>
    </w:p>
    <w:p w14:paraId="0E18D2BE">
      <w:pPr>
        <w:shd w:val="clear" w:color="auto" w:fill="auto"/>
        <w:spacing w:line="48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成立时间：</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年</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月</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日</w:t>
      </w:r>
    </w:p>
    <w:p w14:paraId="2828D255">
      <w:pPr>
        <w:shd w:val="clear" w:color="auto" w:fill="auto"/>
        <w:spacing w:line="48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经营期限：</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 xml:space="preserve"> </w:t>
      </w:r>
    </w:p>
    <w:p w14:paraId="0731F478">
      <w:pPr>
        <w:shd w:val="clear" w:color="auto" w:fill="auto"/>
        <w:spacing w:line="48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姓名：</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性别：</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年龄：</w:t>
      </w:r>
      <w:r>
        <w:rPr>
          <w:rFonts w:hint="eastAsia" w:hAnsi="宋体" w:eastAsia="宋体" w:cs="宋体"/>
          <w:color w:val="auto"/>
          <w:sz w:val="21"/>
          <w:szCs w:val="21"/>
          <w:highlight w:val="none"/>
          <w:u w:val="single"/>
        </w:rPr>
        <w:t xml:space="preserve">    周岁  </w:t>
      </w:r>
      <w:r>
        <w:rPr>
          <w:rFonts w:hint="eastAsia" w:hAnsi="宋体" w:eastAsia="宋体" w:cs="宋体"/>
          <w:color w:val="auto"/>
          <w:sz w:val="21"/>
          <w:szCs w:val="21"/>
          <w:highlight w:val="none"/>
        </w:rPr>
        <w:t>职务：</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 xml:space="preserve"> </w:t>
      </w:r>
      <w:r>
        <w:rPr>
          <w:rFonts w:hint="eastAsia" w:hAnsi="宋体" w:eastAsia="宋体" w:cs="宋体"/>
          <w:color w:val="auto"/>
          <w:sz w:val="21"/>
          <w:szCs w:val="21"/>
          <w:highlight w:val="none"/>
          <w:u w:val="single"/>
        </w:rPr>
        <w:t xml:space="preserve">  </w:t>
      </w:r>
    </w:p>
    <w:p w14:paraId="03D219EA">
      <w:pPr>
        <w:shd w:val="clear" w:color="auto" w:fill="auto"/>
        <w:spacing w:line="480" w:lineRule="auto"/>
        <w:ind w:firstLine="420" w:firstLineChars="200"/>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rPr>
        <w:t>身份证号码：</w:t>
      </w:r>
      <w:r>
        <w:rPr>
          <w:rFonts w:hint="eastAsia" w:hAnsi="宋体" w:eastAsia="宋体" w:cs="宋体"/>
          <w:color w:val="auto"/>
          <w:sz w:val="21"/>
          <w:szCs w:val="21"/>
          <w:highlight w:val="none"/>
          <w:u w:val="single"/>
        </w:rPr>
        <w:t xml:space="preserve">                   </w:t>
      </w:r>
    </w:p>
    <w:p w14:paraId="37EF8F94">
      <w:pPr>
        <w:shd w:val="clear" w:color="auto" w:fill="auto"/>
        <w:spacing w:line="48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系</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（供应商名称）的法定代表人。</w:t>
      </w:r>
    </w:p>
    <w:p w14:paraId="6F34301C">
      <w:pPr>
        <w:shd w:val="clear" w:color="auto" w:fill="auto"/>
        <w:ind w:firstLine="420" w:firstLineChars="200"/>
        <w:rPr>
          <w:rFonts w:hint="eastAsia" w:hAnsi="宋体" w:eastAsia="宋体" w:cs="宋体"/>
          <w:bCs/>
          <w:color w:val="auto"/>
          <w:sz w:val="21"/>
          <w:szCs w:val="21"/>
          <w:highlight w:val="none"/>
        </w:rPr>
      </w:pPr>
      <w:r>
        <w:rPr>
          <w:rFonts w:hint="eastAsia" w:hAnsi="宋体" w:eastAsia="宋体" w:cs="宋体"/>
          <w:color w:val="auto"/>
          <w:sz w:val="21"/>
          <w:szCs w:val="21"/>
          <w:highlight w:val="none"/>
        </w:rPr>
        <w:t>特此证明。</w:t>
      </w:r>
    </w:p>
    <w:p w14:paraId="34D82DE2">
      <w:pPr>
        <w:shd w:val="clear" w:color="auto" w:fill="auto"/>
        <w:rPr>
          <w:rFonts w:hint="eastAsia" w:hAnsi="宋体" w:eastAsia="宋体" w:cs="宋体"/>
          <w:bCs/>
          <w:color w:val="auto"/>
          <w:sz w:val="21"/>
          <w:szCs w:val="21"/>
          <w:highlight w:val="none"/>
        </w:rPr>
      </w:pPr>
    </w:p>
    <w:p w14:paraId="5AB0676E">
      <w:pPr>
        <w:shd w:val="clear" w:color="auto" w:fill="auto"/>
        <w:rPr>
          <w:rFonts w:hint="eastAsia" w:hAnsi="宋体" w:eastAsia="宋体" w:cs="宋体"/>
          <w:bCs/>
          <w:color w:val="auto"/>
          <w:sz w:val="21"/>
          <w:szCs w:val="21"/>
          <w:highlight w:val="none"/>
        </w:rPr>
      </w:pPr>
    </w:p>
    <w:p w14:paraId="4D786FE5">
      <w:pPr>
        <w:shd w:val="clear" w:color="auto" w:fill="auto"/>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供应商名称（公章）：</w:t>
      </w:r>
    </w:p>
    <w:p w14:paraId="46AA1DC7">
      <w:pPr>
        <w:shd w:val="clear" w:color="auto" w:fill="auto"/>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 xml:space="preserve">供应商法定代表人（签名或印章）：                       </w:t>
      </w:r>
    </w:p>
    <w:p w14:paraId="75DFE377">
      <w:pPr>
        <w:pStyle w:val="13"/>
        <w:shd w:val="clear" w:color="auto" w:fill="auto"/>
        <w:snapToGrid w:val="0"/>
        <w:rPr>
          <w:rFonts w:hint="eastAsia" w:ascii="宋体" w:hAnsi="宋体" w:cs="宋体"/>
          <w:color w:val="auto"/>
          <w:sz w:val="21"/>
          <w:szCs w:val="21"/>
          <w:highlight w:val="none"/>
        </w:rPr>
      </w:pPr>
      <w:r>
        <w:rPr>
          <w:rFonts w:hint="eastAsia" w:ascii="宋体" w:hAnsi="宋体" w:cs="宋体"/>
          <w:bCs/>
          <w:color w:val="auto"/>
          <w:sz w:val="21"/>
          <w:szCs w:val="21"/>
          <w:highlight w:val="none"/>
        </w:rPr>
        <w:t>日期：</w:t>
      </w:r>
      <w:r>
        <w:rPr>
          <w:rFonts w:hint="eastAsia" w:ascii="宋体" w:hAnsi="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年  月  日</w:t>
      </w:r>
    </w:p>
    <w:p w14:paraId="72B53190">
      <w:pPr>
        <w:pStyle w:val="13"/>
        <w:shd w:val="clear" w:color="auto" w:fill="auto"/>
        <w:snapToGrid w:val="0"/>
        <w:ind w:left="403"/>
        <w:rPr>
          <w:rFonts w:hint="eastAsia" w:ascii="宋体" w:hAnsi="宋体" w:cs="宋体"/>
          <w:color w:val="auto"/>
          <w:sz w:val="21"/>
          <w:szCs w:val="21"/>
          <w:highlight w:val="none"/>
        </w:rPr>
      </w:pPr>
    </w:p>
    <w:p w14:paraId="3969FBDD">
      <w:pPr>
        <w:shd w:val="clear" w:color="auto" w:fill="auto"/>
        <w:jc w:val="center"/>
        <w:rPr>
          <w:rFonts w:hint="eastAsia" w:hAnsi="宋体" w:eastAsia="宋体" w:cs="宋体"/>
          <w:b/>
          <w:bCs/>
          <w:color w:val="auto"/>
          <w:sz w:val="21"/>
          <w:szCs w:val="21"/>
          <w:highlight w:val="none"/>
        </w:rPr>
      </w:pPr>
    </w:p>
    <w:p w14:paraId="316E0287">
      <w:pPr>
        <w:shd w:val="clear" w:color="auto" w:fill="auto"/>
        <w:jc w:val="both"/>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附</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rPr>
        <w:t>法定代表人身份证复印件（正反面）：</w:t>
      </w:r>
    </w:p>
    <w:p w14:paraId="2460D7DD">
      <w:pPr>
        <w:shd w:val="clear" w:color="auto" w:fill="auto"/>
        <w:jc w:val="center"/>
        <w:rPr>
          <w:rFonts w:hint="eastAsia" w:hAnsi="宋体" w:eastAsia="宋体" w:cs="宋体"/>
          <w:b/>
          <w:bCs/>
          <w:color w:val="auto"/>
          <w:sz w:val="21"/>
          <w:szCs w:val="21"/>
          <w:highlight w:val="none"/>
        </w:rPr>
      </w:pPr>
    </w:p>
    <w:p w14:paraId="5C4AEDF7">
      <w:pPr>
        <w:shd w:val="clear" w:color="auto" w:fill="auto"/>
        <w:jc w:val="center"/>
        <w:rPr>
          <w:rFonts w:hint="eastAsia" w:ascii="宋体" w:hAnsi="宋体" w:eastAsia="宋体" w:cs="宋体"/>
          <w:b/>
          <w:color w:val="auto"/>
          <w:sz w:val="21"/>
          <w:szCs w:val="21"/>
          <w:highlight w:val="none"/>
        </w:rPr>
      </w:pPr>
      <w:r>
        <w:rPr>
          <w:rFonts w:hint="eastAsia" w:hAnsi="宋体" w:eastAsia="宋体" w:cs="宋体"/>
          <w:color w:val="auto"/>
          <w:sz w:val="21"/>
          <w:highlight w:val="none"/>
        </w:rPr>
        <w:br w:type="page"/>
      </w:r>
      <w:r>
        <w:rPr>
          <w:rFonts w:hint="eastAsia" w:ascii="宋体" w:hAnsi="宋体" w:eastAsia="宋体" w:cs="宋体"/>
          <w:b/>
          <w:color w:val="auto"/>
          <w:sz w:val="21"/>
          <w:szCs w:val="21"/>
          <w:highlight w:val="none"/>
        </w:rPr>
        <w:t>法定代表人授权委托书</w:t>
      </w:r>
    </w:p>
    <w:p w14:paraId="6DF2B029">
      <w:pPr>
        <w:shd w:val="clear" w:color="auto" w:fill="auto"/>
        <w:spacing w:line="480" w:lineRule="auto"/>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（授权代表参加投标的须提供）</w:t>
      </w:r>
    </w:p>
    <w:p w14:paraId="767663EF">
      <w:pPr>
        <w:shd w:val="clear" w:color="auto" w:fill="auto"/>
        <w:snapToGrid w:val="0"/>
        <w:rPr>
          <w:rFonts w:hint="eastAsia" w:ascii="宋体" w:hAnsi="宋体" w:eastAsia="宋体" w:cs="宋体"/>
          <w:bCs/>
          <w:color w:val="auto"/>
          <w:sz w:val="21"/>
          <w:szCs w:val="21"/>
          <w:highlight w:val="none"/>
        </w:rPr>
      </w:pPr>
    </w:p>
    <w:p w14:paraId="51930DF3">
      <w:pPr>
        <w:shd w:val="clear" w:color="auto" w:fill="auto"/>
        <w:snapToGrid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w:t>
      </w:r>
    </w:p>
    <w:p w14:paraId="2D9CA3ED">
      <w:pPr>
        <w:shd w:val="clear" w:color="auto" w:fill="auto"/>
        <w:snapToGrid w:val="0"/>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法人</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 xml:space="preserve">的法定代表人，现授权委托本单位在职职工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被委托人</w:t>
      </w:r>
      <w:r>
        <w:rPr>
          <w:rFonts w:hint="eastAsia" w:ascii="宋体" w:hAnsi="宋体" w:eastAsia="宋体" w:cs="宋体"/>
          <w:color w:val="auto"/>
          <w:sz w:val="21"/>
          <w:szCs w:val="21"/>
          <w:highlight w:val="none"/>
        </w:rPr>
        <w:t>姓名）以我方的名义参加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项目的投标活动，并代表我方全权办理针对上述项目的投标、开标、评标、签约等具体事务和签署相关文件。</w:t>
      </w:r>
    </w:p>
    <w:p w14:paraId="178B81E0">
      <w:pPr>
        <w:shd w:val="clear" w:color="auto" w:fill="auto"/>
        <w:snapToGrid w:val="0"/>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我方对授权代表的签名事项负全部责任。</w:t>
      </w:r>
    </w:p>
    <w:p w14:paraId="74347BEA">
      <w:pPr>
        <w:shd w:val="clear" w:color="auto" w:fill="auto"/>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在撤销授权的书面通知以前，本授权书一直有效。授权代表人在授权书有效期内签署的所有文件不因授权的撤销而失效。</w:t>
      </w:r>
    </w:p>
    <w:p w14:paraId="1789B140">
      <w:pPr>
        <w:shd w:val="clear" w:color="auto" w:fill="auto"/>
        <w:snapToGrid w:val="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授权代表无转委托权，特此委托。</w:t>
      </w:r>
    </w:p>
    <w:p w14:paraId="6BA8E5F0">
      <w:pPr>
        <w:shd w:val="clear" w:color="auto" w:fill="auto"/>
        <w:snapToGrid w:val="0"/>
        <w:rPr>
          <w:rFonts w:hint="eastAsia" w:ascii="宋体" w:hAnsi="宋体" w:eastAsia="宋体" w:cs="宋体"/>
          <w:color w:val="auto"/>
          <w:sz w:val="21"/>
          <w:szCs w:val="21"/>
          <w:highlight w:val="none"/>
        </w:rPr>
      </w:pPr>
    </w:p>
    <w:p w14:paraId="7AA77FE4">
      <w:pPr>
        <w:shd w:val="clear" w:color="auto" w:fill="auto"/>
        <w:snapToGrid w:val="0"/>
        <w:rPr>
          <w:rFonts w:hint="eastAsia" w:ascii="宋体" w:hAnsi="宋体" w:eastAsia="宋体" w:cs="宋体"/>
          <w:color w:val="auto"/>
          <w:sz w:val="21"/>
          <w:szCs w:val="21"/>
          <w:highlight w:val="none"/>
        </w:rPr>
      </w:pPr>
    </w:p>
    <w:p w14:paraId="2FADA991">
      <w:pPr>
        <w:shd w:val="clear" w:color="auto" w:fill="auto"/>
        <w:snapToGrid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授权代表（签名或印章）：                         法定代表人（签名或印章）：</w:t>
      </w:r>
    </w:p>
    <w:p w14:paraId="418F08C1">
      <w:pPr>
        <w:shd w:val="clear" w:color="auto" w:fill="auto"/>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职务：           </w:t>
      </w:r>
    </w:p>
    <w:p w14:paraId="6AEAC2F2">
      <w:pPr>
        <w:shd w:val="clear" w:color="auto" w:fill="auto"/>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授权代表身份证号码：</w:t>
      </w:r>
    </w:p>
    <w:p w14:paraId="25E0A89F">
      <w:pPr>
        <w:shd w:val="clear" w:color="auto" w:fill="auto"/>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3F20943">
      <w:pPr>
        <w:shd w:val="clear" w:color="auto" w:fill="auto"/>
        <w:snapToGrid w:val="0"/>
        <w:rPr>
          <w:rFonts w:hint="eastAsia" w:ascii="宋体" w:hAnsi="宋体" w:eastAsia="宋体" w:cs="宋体"/>
          <w:color w:val="auto"/>
          <w:sz w:val="21"/>
          <w:szCs w:val="21"/>
          <w:highlight w:val="none"/>
        </w:rPr>
      </w:pPr>
    </w:p>
    <w:p w14:paraId="73B7BFD5">
      <w:pPr>
        <w:shd w:val="clear" w:color="auto" w:fill="auto"/>
        <w:snapToGrid w:val="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p>
    <w:p w14:paraId="24EDE0B0">
      <w:pPr>
        <w:shd w:val="clear" w:color="auto" w:fill="auto"/>
        <w:snapToGrid w:val="0"/>
        <w:ind w:firstLine="4830" w:firstLineChars="2300"/>
        <w:rPr>
          <w:rFonts w:hint="eastAsia" w:ascii="宋体" w:hAnsi="宋体" w:eastAsia="宋体" w:cs="宋体"/>
          <w:color w:val="auto"/>
          <w:sz w:val="21"/>
          <w:szCs w:val="21"/>
          <w:highlight w:val="none"/>
        </w:rPr>
      </w:pPr>
    </w:p>
    <w:p w14:paraId="20A721A4">
      <w:pPr>
        <w:shd w:val="clear" w:color="auto" w:fill="auto"/>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693CD03C">
      <w:pPr>
        <w:shd w:val="clear" w:color="auto" w:fill="auto"/>
        <w:rPr>
          <w:rFonts w:hint="eastAsia" w:ascii="宋体" w:hAnsi="宋体" w:eastAsia="宋体" w:cs="宋体"/>
          <w:b/>
          <w:color w:val="auto"/>
          <w:sz w:val="21"/>
          <w:szCs w:val="21"/>
          <w:highlight w:val="none"/>
        </w:rPr>
      </w:pPr>
    </w:p>
    <w:p w14:paraId="61B3419D">
      <w:pPr>
        <w:shd w:val="clear" w:color="auto" w:fill="auto"/>
        <w:rPr>
          <w:rFonts w:hint="eastAsia" w:ascii="宋体" w:hAnsi="宋体" w:eastAsia="宋体" w:cs="宋体"/>
          <w:b/>
          <w:color w:val="auto"/>
          <w:sz w:val="21"/>
          <w:szCs w:val="21"/>
          <w:highlight w:val="none"/>
        </w:rPr>
      </w:pPr>
    </w:p>
    <w:p w14:paraId="58A114E9">
      <w:pPr>
        <w:shd w:val="clear" w:color="auto" w:fill="auto"/>
        <w:snapToGrid w:val="0"/>
        <w:spacing w:before="50" w:after="50" w:line="360" w:lineRule="atLeast"/>
        <w:rPr>
          <w:rFonts w:hint="eastAsia" w:ascii="宋体" w:hAnsi="宋体" w:eastAsia="宋体" w:cs="宋体"/>
          <w:b/>
          <w:color w:val="auto"/>
          <w:kern w:val="2"/>
          <w:sz w:val="21"/>
          <w:szCs w:val="21"/>
          <w:highlight w:val="none"/>
        </w:rPr>
      </w:pPr>
      <w:r>
        <w:rPr>
          <w:rFonts w:hint="eastAsia" w:ascii="宋体" w:hAnsi="宋体" w:eastAsia="宋体" w:cs="宋体"/>
          <w:b/>
          <w:color w:val="auto"/>
          <w:sz w:val="21"/>
          <w:szCs w:val="21"/>
          <w:highlight w:val="none"/>
        </w:rPr>
        <w:t>附：授权代表身份证复印件（正反面）及授权代表开标日前近100天（任意一个月）当地相关部门出具的社保证明。</w:t>
      </w:r>
    </w:p>
    <w:p w14:paraId="3BBE4E6E">
      <w:pPr>
        <w:shd w:val="clear" w:color="auto" w:fill="auto"/>
        <w:snapToGrid w:val="0"/>
        <w:spacing w:before="50"/>
        <w:rPr>
          <w:rFonts w:hint="eastAsia" w:hAnsi="宋体" w:eastAsia="宋体" w:cs="宋体"/>
          <w:color w:val="auto"/>
          <w:sz w:val="21"/>
          <w:highlight w:val="none"/>
        </w:rPr>
      </w:pPr>
      <w:r>
        <w:rPr>
          <w:rFonts w:hint="eastAsia" w:hAnsi="宋体" w:cs="宋体"/>
          <w:b/>
          <w:color w:val="auto"/>
          <w:highlight w:val="none"/>
        </w:rPr>
        <w:br w:type="page"/>
      </w:r>
      <w:r>
        <w:rPr>
          <w:rFonts w:hint="eastAsia" w:hAnsi="宋体" w:eastAsia="宋体" w:cs="宋体"/>
          <w:b/>
          <w:bCs/>
          <w:color w:val="auto"/>
          <w:sz w:val="21"/>
          <w:highlight w:val="none"/>
        </w:rPr>
        <w:t>（4）</w:t>
      </w:r>
      <w:r>
        <w:rPr>
          <w:rFonts w:hint="eastAsia" w:hAnsi="宋体" w:eastAsia="宋体" w:cs="宋体"/>
          <w:b/>
          <w:bCs/>
          <w:color w:val="auto"/>
          <w:sz w:val="21"/>
          <w:highlight w:val="none"/>
          <w:lang w:eastAsia="zh-CN"/>
        </w:rPr>
        <w:t>需求条款响应</w:t>
      </w:r>
      <w:r>
        <w:rPr>
          <w:rFonts w:hint="eastAsia" w:hAnsi="宋体" w:eastAsia="宋体" w:cs="宋体"/>
          <w:b/>
          <w:bCs/>
          <w:color w:val="auto"/>
          <w:sz w:val="21"/>
          <w:highlight w:val="none"/>
        </w:rPr>
        <w:t>（偏离）表；</w:t>
      </w:r>
    </w:p>
    <w:p w14:paraId="6798352F">
      <w:pPr>
        <w:shd w:val="clear" w:color="auto" w:fill="auto"/>
        <w:snapToGrid w:val="0"/>
        <w:spacing w:before="50" w:after="156" w:afterLines="50"/>
        <w:jc w:val="center"/>
        <w:rPr>
          <w:rFonts w:hint="eastAsia" w:hAnsi="宋体" w:eastAsia="宋体" w:cs="宋体"/>
          <w:b/>
          <w:bCs/>
          <w:color w:val="auto"/>
          <w:sz w:val="21"/>
          <w:highlight w:val="none"/>
        </w:rPr>
      </w:pPr>
      <w:r>
        <w:rPr>
          <w:rFonts w:hint="eastAsia" w:hAnsi="宋体" w:eastAsia="宋体" w:cs="宋体"/>
          <w:b/>
          <w:bCs/>
          <w:color w:val="auto"/>
          <w:sz w:val="21"/>
          <w:highlight w:val="none"/>
          <w:lang w:eastAsia="zh-CN"/>
        </w:rPr>
        <w:t>需求条款响应</w:t>
      </w:r>
      <w:r>
        <w:rPr>
          <w:rFonts w:hint="eastAsia" w:hAnsi="宋体" w:eastAsia="宋体" w:cs="宋体"/>
          <w:b/>
          <w:bCs/>
          <w:color w:val="auto"/>
          <w:sz w:val="21"/>
          <w:highlight w:val="none"/>
        </w:rPr>
        <w:t>（偏离）表</w:t>
      </w:r>
    </w:p>
    <w:p w14:paraId="0D5F1125">
      <w:pPr>
        <w:shd w:val="clear" w:color="auto" w:fill="auto"/>
        <w:snapToGrid w:val="0"/>
        <w:spacing w:before="50"/>
        <w:rPr>
          <w:rFonts w:hint="eastAsia" w:hAnsi="宋体" w:eastAsia="宋体" w:cs="宋体"/>
          <w:color w:val="auto"/>
          <w:sz w:val="21"/>
          <w:highlight w:val="none"/>
          <w:u w:val="single"/>
        </w:rPr>
      </w:pPr>
      <w:r>
        <w:rPr>
          <w:rFonts w:hint="eastAsia" w:hAnsi="宋体" w:eastAsia="宋体" w:cs="宋体"/>
          <w:color w:val="auto"/>
          <w:sz w:val="21"/>
          <w:highlight w:val="none"/>
        </w:rPr>
        <w:t xml:space="preserve">项目编号：                   </w:t>
      </w:r>
      <w:r>
        <w:rPr>
          <w:rFonts w:hint="eastAsia" w:hAnsi="宋体" w:eastAsia="宋体" w:cs="宋体"/>
          <w:color w:val="auto"/>
          <w:sz w:val="21"/>
          <w:highlight w:val="none"/>
          <w:lang w:val="en-US" w:eastAsia="zh-CN"/>
        </w:rPr>
        <w:t xml:space="preserve">           </w:t>
      </w:r>
      <w:r>
        <w:rPr>
          <w:rFonts w:hint="eastAsia" w:hAnsi="宋体" w:eastAsia="宋体" w:cs="宋体"/>
          <w:color w:val="auto"/>
          <w:sz w:val="21"/>
          <w:highlight w:val="none"/>
        </w:rPr>
        <w:t xml:space="preserve">项目名称：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2D0E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noWrap w:val="0"/>
            <w:vAlign w:val="center"/>
          </w:tcPr>
          <w:p w14:paraId="3D758935">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序号</w:t>
            </w:r>
          </w:p>
        </w:tc>
        <w:tc>
          <w:tcPr>
            <w:tcW w:w="4647" w:type="dxa"/>
            <w:noWrap w:val="0"/>
            <w:vAlign w:val="center"/>
          </w:tcPr>
          <w:p w14:paraId="14DE34E7">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磋商文件的</w:t>
            </w:r>
            <w:r>
              <w:rPr>
                <w:rFonts w:hint="eastAsia" w:hAnsi="宋体" w:eastAsia="宋体" w:cs="宋体"/>
                <w:color w:val="auto"/>
                <w:sz w:val="21"/>
                <w:highlight w:val="none"/>
                <w:lang w:val="en-US" w:eastAsia="zh-CN"/>
              </w:rPr>
              <w:t>需求</w:t>
            </w:r>
            <w:r>
              <w:rPr>
                <w:rFonts w:hint="eastAsia" w:hAnsi="宋体" w:eastAsia="宋体" w:cs="宋体"/>
                <w:color w:val="auto"/>
                <w:sz w:val="21"/>
                <w:highlight w:val="none"/>
              </w:rPr>
              <w:t>条款</w:t>
            </w:r>
          </w:p>
        </w:tc>
        <w:tc>
          <w:tcPr>
            <w:tcW w:w="1575" w:type="dxa"/>
            <w:noWrap w:val="0"/>
            <w:vAlign w:val="center"/>
          </w:tcPr>
          <w:p w14:paraId="3849BF3F">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响应文件的</w:t>
            </w:r>
          </w:p>
          <w:p w14:paraId="01A3188E">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响应情况</w:t>
            </w:r>
          </w:p>
        </w:tc>
        <w:tc>
          <w:tcPr>
            <w:tcW w:w="1185" w:type="dxa"/>
            <w:noWrap w:val="0"/>
            <w:vAlign w:val="center"/>
          </w:tcPr>
          <w:p w14:paraId="201B86C3">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说明（偏离/响应）</w:t>
            </w:r>
          </w:p>
        </w:tc>
      </w:tr>
      <w:tr w14:paraId="04EF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3DE10134">
            <w:pPr>
              <w:shd w:val="clear" w:color="auto" w:fill="auto"/>
              <w:jc w:val="center"/>
              <w:rPr>
                <w:rFonts w:hint="eastAsia" w:hAnsi="宋体" w:eastAsia="宋体" w:cs="宋体"/>
                <w:color w:val="auto"/>
                <w:sz w:val="21"/>
                <w:highlight w:val="none"/>
              </w:rPr>
            </w:pPr>
          </w:p>
        </w:tc>
        <w:tc>
          <w:tcPr>
            <w:tcW w:w="4647" w:type="dxa"/>
            <w:noWrap w:val="0"/>
            <w:vAlign w:val="center"/>
          </w:tcPr>
          <w:p w14:paraId="0ADD1CC4">
            <w:pPr>
              <w:shd w:val="clear" w:color="auto" w:fill="auto"/>
              <w:rPr>
                <w:rFonts w:hint="eastAsia" w:hAnsi="宋体" w:eastAsia="宋体" w:cs="宋体"/>
                <w:b/>
                <w:bCs/>
                <w:color w:val="auto"/>
                <w:sz w:val="21"/>
                <w:highlight w:val="none"/>
              </w:rPr>
            </w:pPr>
          </w:p>
        </w:tc>
        <w:tc>
          <w:tcPr>
            <w:tcW w:w="1575" w:type="dxa"/>
            <w:noWrap w:val="0"/>
            <w:vAlign w:val="center"/>
          </w:tcPr>
          <w:p w14:paraId="7FBBB7BD">
            <w:pPr>
              <w:shd w:val="clear" w:color="auto" w:fill="auto"/>
              <w:jc w:val="center"/>
              <w:rPr>
                <w:rFonts w:hint="eastAsia" w:hAnsi="宋体" w:eastAsia="宋体" w:cs="宋体"/>
                <w:color w:val="auto"/>
                <w:sz w:val="21"/>
                <w:highlight w:val="none"/>
              </w:rPr>
            </w:pPr>
          </w:p>
        </w:tc>
        <w:tc>
          <w:tcPr>
            <w:tcW w:w="1185" w:type="dxa"/>
            <w:noWrap w:val="0"/>
            <w:vAlign w:val="center"/>
          </w:tcPr>
          <w:p w14:paraId="60CEDB98">
            <w:pPr>
              <w:shd w:val="clear" w:color="auto" w:fill="auto"/>
              <w:jc w:val="center"/>
              <w:rPr>
                <w:rFonts w:hint="eastAsia" w:hAnsi="宋体" w:eastAsia="宋体" w:cs="宋体"/>
                <w:color w:val="auto"/>
                <w:sz w:val="21"/>
                <w:highlight w:val="none"/>
              </w:rPr>
            </w:pPr>
          </w:p>
        </w:tc>
      </w:tr>
      <w:tr w14:paraId="3FA7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111BB3D0">
            <w:pPr>
              <w:shd w:val="clear" w:color="auto" w:fill="auto"/>
              <w:jc w:val="center"/>
              <w:rPr>
                <w:rFonts w:hint="eastAsia" w:hAnsi="宋体" w:eastAsia="宋体" w:cs="宋体"/>
                <w:color w:val="auto"/>
                <w:sz w:val="21"/>
                <w:highlight w:val="none"/>
              </w:rPr>
            </w:pPr>
          </w:p>
        </w:tc>
        <w:tc>
          <w:tcPr>
            <w:tcW w:w="4647" w:type="dxa"/>
            <w:noWrap w:val="0"/>
            <w:vAlign w:val="center"/>
          </w:tcPr>
          <w:p w14:paraId="106DEAD6">
            <w:pPr>
              <w:shd w:val="clear" w:color="auto" w:fill="auto"/>
              <w:rPr>
                <w:rFonts w:hint="eastAsia" w:hAnsi="宋体" w:eastAsia="宋体" w:cs="宋体"/>
                <w:b/>
                <w:bCs/>
                <w:color w:val="auto"/>
                <w:sz w:val="21"/>
                <w:highlight w:val="none"/>
              </w:rPr>
            </w:pPr>
          </w:p>
        </w:tc>
        <w:tc>
          <w:tcPr>
            <w:tcW w:w="1575" w:type="dxa"/>
            <w:noWrap w:val="0"/>
            <w:vAlign w:val="center"/>
          </w:tcPr>
          <w:p w14:paraId="354FCD88">
            <w:pPr>
              <w:shd w:val="clear" w:color="auto" w:fill="auto"/>
              <w:jc w:val="center"/>
              <w:rPr>
                <w:rFonts w:hint="eastAsia" w:hAnsi="宋体" w:eastAsia="宋体" w:cs="宋体"/>
                <w:color w:val="auto"/>
                <w:sz w:val="21"/>
                <w:highlight w:val="none"/>
              </w:rPr>
            </w:pPr>
          </w:p>
        </w:tc>
        <w:tc>
          <w:tcPr>
            <w:tcW w:w="1185" w:type="dxa"/>
            <w:noWrap w:val="0"/>
            <w:vAlign w:val="center"/>
          </w:tcPr>
          <w:p w14:paraId="632C962D">
            <w:pPr>
              <w:shd w:val="clear" w:color="auto" w:fill="auto"/>
              <w:jc w:val="center"/>
              <w:rPr>
                <w:rFonts w:hint="eastAsia" w:hAnsi="宋体" w:eastAsia="宋体" w:cs="宋体"/>
                <w:color w:val="auto"/>
                <w:sz w:val="21"/>
                <w:highlight w:val="none"/>
              </w:rPr>
            </w:pPr>
          </w:p>
        </w:tc>
      </w:tr>
      <w:tr w14:paraId="1E0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4603CCAC">
            <w:pPr>
              <w:shd w:val="clear" w:color="auto" w:fill="auto"/>
              <w:jc w:val="center"/>
              <w:rPr>
                <w:rFonts w:hint="eastAsia" w:hAnsi="宋体" w:eastAsia="宋体" w:cs="宋体"/>
                <w:color w:val="auto"/>
                <w:sz w:val="21"/>
                <w:highlight w:val="none"/>
              </w:rPr>
            </w:pPr>
          </w:p>
        </w:tc>
        <w:tc>
          <w:tcPr>
            <w:tcW w:w="4647" w:type="dxa"/>
            <w:noWrap w:val="0"/>
            <w:vAlign w:val="center"/>
          </w:tcPr>
          <w:p w14:paraId="54AABD14">
            <w:pPr>
              <w:shd w:val="clear" w:color="auto" w:fill="auto"/>
              <w:rPr>
                <w:rFonts w:hint="eastAsia" w:hAnsi="宋体" w:eastAsia="宋体" w:cs="宋体"/>
                <w:b/>
                <w:bCs/>
                <w:color w:val="auto"/>
                <w:sz w:val="21"/>
                <w:highlight w:val="none"/>
              </w:rPr>
            </w:pPr>
          </w:p>
        </w:tc>
        <w:tc>
          <w:tcPr>
            <w:tcW w:w="1575" w:type="dxa"/>
            <w:noWrap w:val="0"/>
            <w:vAlign w:val="center"/>
          </w:tcPr>
          <w:p w14:paraId="362A1CA7">
            <w:pPr>
              <w:shd w:val="clear" w:color="auto" w:fill="auto"/>
              <w:jc w:val="center"/>
              <w:rPr>
                <w:rFonts w:hint="eastAsia" w:hAnsi="宋体" w:eastAsia="宋体" w:cs="宋体"/>
                <w:color w:val="auto"/>
                <w:sz w:val="21"/>
                <w:highlight w:val="none"/>
              </w:rPr>
            </w:pPr>
          </w:p>
        </w:tc>
        <w:tc>
          <w:tcPr>
            <w:tcW w:w="1185" w:type="dxa"/>
            <w:noWrap w:val="0"/>
            <w:vAlign w:val="center"/>
          </w:tcPr>
          <w:p w14:paraId="2DC462E7">
            <w:pPr>
              <w:shd w:val="clear" w:color="auto" w:fill="auto"/>
              <w:jc w:val="center"/>
              <w:rPr>
                <w:rFonts w:hint="eastAsia" w:hAnsi="宋体" w:eastAsia="宋体" w:cs="宋体"/>
                <w:color w:val="auto"/>
                <w:sz w:val="21"/>
                <w:highlight w:val="none"/>
              </w:rPr>
            </w:pPr>
          </w:p>
        </w:tc>
      </w:tr>
      <w:tr w14:paraId="591C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1C4BF071">
            <w:pPr>
              <w:shd w:val="clear" w:color="auto" w:fill="auto"/>
              <w:jc w:val="center"/>
              <w:rPr>
                <w:rFonts w:hint="eastAsia" w:hAnsi="宋体" w:eastAsia="宋体" w:cs="宋体"/>
                <w:color w:val="auto"/>
                <w:sz w:val="21"/>
                <w:highlight w:val="none"/>
              </w:rPr>
            </w:pPr>
          </w:p>
        </w:tc>
        <w:tc>
          <w:tcPr>
            <w:tcW w:w="4647" w:type="dxa"/>
            <w:noWrap w:val="0"/>
            <w:vAlign w:val="center"/>
          </w:tcPr>
          <w:p w14:paraId="7FCE1F3E">
            <w:pPr>
              <w:shd w:val="clear" w:color="auto" w:fill="auto"/>
              <w:rPr>
                <w:rFonts w:hint="eastAsia" w:hAnsi="宋体" w:eastAsia="宋体" w:cs="宋体"/>
                <w:b/>
                <w:bCs/>
                <w:color w:val="auto"/>
                <w:sz w:val="21"/>
                <w:highlight w:val="none"/>
              </w:rPr>
            </w:pPr>
          </w:p>
        </w:tc>
        <w:tc>
          <w:tcPr>
            <w:tcW w:w="1575" w:type="dxa"/>
            <w:noWrap w:val="0"/>
            <w:vAlign w:val="center"/>
          </w:tcPr>
          <w:p w14:paraId="7DA2354D">
            <w:pPr>
              <w:shd w:val="clear" w:color="auto" w:fill="auto"/>
              <w:jc w:val="center"/>
              <w:rPr>
                <w:rFonts w:hint="eastAsia" w:hAnsi="宋体" w:eastAsia="宋体" w:cs="宋体"/>
                <w:color w:val="auto"/>
                <w:sz w:val="21"/>
                <w:highlight w:val="none"/>
              </w:rPr>
            </w:pPr>
          </w:p>
        </w:tc>
        <w:tc>
          <w:tcPr>
            <w:tcW w:w="1185" w:type="dxa"/>
            <w:noWrap w:val="0"/>
            <w:vAlign w:val="center"/>
          </w:tcPr>
          <w:p w14:paraId="51E060C8">
            <w:pPr>
              <w:shd w:val="clear" w:color="auto" w:fill="auto"/>
              <w:jc w:val="center"/>
              <w:rPr>
                <w:rFonts w:hint="eastAsia" w:hAnsi="宋体" w:eastAsia="宋体" w:cs="宋体"/>
                <w:color w:val="auto"/>
                <w:sz w:val="21"/>
                <w:highlight w:val="none"/>
              </w:rPr>
            </w:pPr>
          </w:p>
        </w:tc>
      </w:tr>
      <w:tr w14:paraId="37CF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0BAF7649">
            <w:pPr>
              <w:shd w:val="clear" w:color="auto" w:fill="auto"/>
              <w:jc w:val="center"/>
              <w:rPr>
                <w:rFonts w:hint="eastAsia" w:hAnsi="宋体" w:eastAsia="宋体" w:cs="宋体"/>
                <w:color w:val="auto"/>
                <w:sz w:val="21"/>
                <w:highlight w:val="none"/>
              </w:rPr>
            </w:pPr>
          </w:p>
        </w:tc>
        <w:tc>
          <w:tcPr>
            <w:tcW w:w="4647" w:type="dxa"/>
            <w:noWrap w:val="0"/>
            <w:vAlign w:val="center"/>
          </w:tcPr>
          <w:p w14:paraId="11CDAE2D">
            <w:pPr>
              <w:shd w:val="clear" w:color="auto" w:fill="auto"/>
              <w:rPr>
                <w:rFonts w:hint="eastAsia" w:hAnsi="宋体" w:eastAsia="宋体" w:cs="宋体"/>
                <w:color w:val="auto"/>
                <w:sz w:val="21"/>
                <w:highlight w:val="none"/>
              </w:rPr>
            </w:pPr>
          </w:p>
        </w:tc>
        <w:tc>
          <w:tcPr>
            <w:tcW w:w="1575" w:type="dxa"/>
            <w:noWrap w:val="0"/>
            <w:vAlign w:val="center"/>
          </w:tcPr>
          <w:p w14:paraId="5A4CCC06">
            <w:pPr>
              <w:shd w:val="clear" w:color="auto" w:fill="auto"/>
              <w:jc w:val="center"/>
              <w:rPr>
                <w:rFonts w:hint="eastAsia" w:hAnsi="宋体" w:eastAsia="宋体" w:cs="宋体"/>
                <w:color w:val="auto"/>
                <w:sz w:val="21"/>
                <w:highlight w:val="none"/>
              </w:rPr>
            </w:pPr>
          </w:p>
        </w:tc>
        <w:tc>
          <w:tcPr>
            <w:tcW w:w="1185" w:type="dxa"/>
            <w:noWrap w:val="0"/>
            <w:vAlign w:val="center"/>
          </w:tcPr>
          <w:p w14:paraId="10AFCE38">
            <w:pPr>
              <w:shd w:val="clear" w:color="auto" w:fill="auto"/>
              <w:jc w:val="center"/>
              <w:rPr>
                <w:rFonts w:hint="eastAsia" w:hAnsi="宋体" w:eastAsia="宋体" w:cs="宋体"/>
                <w:color w:val="auto"/>
                <w:sz w:val="21"/>
                <w:highlight w:val="none"/>
              </w:rPr>
            </w:pPr>
          </w:p>
        </w:tc>
      </w:tr>
      <w:tr w14:paraId="0509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7791EB72">
            <w:pPr>
              <w:shd w:val="clear" w:color="auto" w:fill="auto"/>
              <w:jc w:val="center"/>
              <w:rPr>
                <w:rFonts w:hint="eastAsia" w:hAnsi="宋体" w:eastAsia="宋体" w:cs="宋体"/>
                <w:color w:val="auto"/>
                <w:sz w:val="21"/>
                <w:highlight w:val="none"/>
              </w:rPr>
            </w:pPr>
          </w:p>
        </w:tc>
        <w:tc>
          <w:tcPr>
            <w:tcW w:w="4647" w:type="dxa"/>
            <w:noWrap w:val="0"/>
            <w:vAlign w:val="center"/>
          </w:tcPr>
          <w:p w14:paraId="1EE5C3B0">
            <w:pPr>
              <w:shd w:val="clear" w:color="auto" w:fill="auto"/>
              <w:rPr>
                <w:rFonts w:hint="eastAsia" w:hAnsi="宋体" w:eastAsia="宋体" w:cs="宋体"/>
                <w:color w:val="auto"/>
                <w:sz w:val="21"/>
                <w:highlight w:val="none"/>
              </w:rPr>
            </w:pPr>
          </w:p>
        </w:tc>
        <w:tc>
          <w:tcPr>
            <w:tcW w:w="1575" w:type="dxa"/>
            <w:noWrap w:val="0"/>
            <w:vAlign w:val="center"/>
          </w:tcPr>
          <w:p w14:paraId="7C8BF671">
            <w:pPr>
              <w:shd w:val="clear" w:color="auto" w:fill="auto"/>
              <w:jc w:val="center"/>
              <w:rPr>
                <w:rFonts w:hint="eastAsia" w:hAnsi="宋体" w:eastAsia="宋体" w:cs="宋体"/>
                <w:color w:val="auto"/>
                <w:sz w:val="21"/>
                <w:highlight w:val="none"/>
              </w:rPr>
            </w:pPr>
          </w:p>
        </w:tc>
        <w:tc>
          <w:tcPr>
            <w:tcW w:w="1185" w:type="dxa"/>
            <w:noWrap w:val="0"/>
            <w:vAlign w:val="center"/>
          </w:tcPr>
          <w:p w14:paraId="0F30BF5B">
            <w:pPr>
              <w:shd w:val="clear" w:color="auto" w:fill="auto"/>
              <w:jc w:val="center"/>
              <w:rPr>
                <w:rFonts w:hint="eastAsia" w:hAnsi="宋体" w:eastAsia="宋体" w:cs="宋体"/>
                <w:color w:val="auto"/>
                <w:sz w:val="21"/>
                <w:highlight w:val="none"/>
              </w:rPr>
            </w:pPr>
          </w:p>
        </w:tc>
      </w:tr>
      <w:tr w14:paraId="458A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3911DC75">
            <w:pPr>
              <w:shd w:val="clear" w:color="auto" w:fill="auto"/>
              <w:jc w:val="center"/>
              <w:rPr>
                <w:rFonts w:hint="eastAsia" w:hAnsi="宋体" w:eastAsia="宋体" w:cs="宋体"/>
                <w:color w:val="auto"/>
                <w:sz w:val="21"/>
                <w:highlight w:val="none"/>
              </w:rPr>
            </w:pPr>
          </w:p>
        </w:tc>
        <w:tc>
          <w:tcPr>
            <w:tcW w:w="4647" w:type="dxa"/>
            <w:noWrap w:val="0"/>
            <w:vAlign w:val="center"/>
          </w:tcPr>
          <w:p w14:paraId="5E9D1224">
            <w:pPr>
              <w:shd w:val="clear" w:color="auto" w:fill="auto"/>
              <w:rPr>
                <w:rFonts w:hint="eastAsia" w:hAnsi="宋体" w:eastAsia="宋体" w:cs="宋体"/>
                <w:color w:val="auto"/>
                <w:sz w:val="21"/>
                <w:highlight w:val="none"/>
              </w:rPr>
            </w:pPr>
          </w:p>
        </w:tc>
        <w:tc>
          <w:tcPr>
            <w:tcW w:w="1575" w:type="dxa"/>
            <w:noWrap w:val="0"/>
            <w:vAlign w:val="center"/>
          </w:tcPr>
          <w:p w14:paraId="6A219712">
            <w:pPr>
              <w:shd w:val="clear" w:color="auto" w:fill="auto"/>
              <w:jc w:val="center"/>
              <w:rPr>
                <w:rFonts w:hint="eastAsia" w:hAnsi="宋体" w:eastAsia="宋体" w:cs="宋体"/>
                <w:color w:val="auto"/>
                <w:sz w:val="21"/>
                <w:highlight w:val="none"/>
              </w:rPr>
            </w:pPr>
          </w:p>
        </w:tc>
        <w:tc>
          <w:tcPr>
            <w:tcW w:w="1185" w:type="dxa"/>
            <w:noWrap w:val="0"/>
            <w:vAlign w:val="center"/>
          </w:tcPr>
          <w:p w14:paraId="65DAA126">
            <w:pPr>
              <w:shd w:val="clear" w:color="auto" w:fill="auto"/>
              <w:jc w:val="center"/>
              <w:rPr>
                <w:rFonts w:hint="eastAsia" w:hAnsi="宋体" w:eastAsia="宋体" w:cs="宋体"/>
                <w:color w:val="auto"/>
                <w:sz w:val="21"/>
                <w:highlight w:val="none"/>
              </w:rPr>
            </w:pPr>
          </w:p>
        </w:tc>
      </w:tr>
      <w:tr w14:paraId="56F7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28C3424E">
            <w:pPr>
              <w:shd w:val="clear" w:color="auto" w:fill="auto"/>
              <w:jc w:val="center"/>
              <w:rPr>
                <w:rFonts w:hint="eastAsia" w:hAnsi="宋体" w:eastAsia="宋体" w:cs="宋体"/>
                <w:color w:val="auto"/>
                <w:sz w:val="21"/>
                <w:highlight w:val="none"/>
              </w:rPr>
            </w:pPr>
          </w:p>
        </w:tc>
        <w:tc>
          <w:tcPr>
            <w:tcW w:w="4647" w:type="dxa"/>
            <w:noWrap w:val="0"/>
            <w:vAlign w:val="center"/>
          </w:tcPr>
          <w:p w14:paraId="181DAFDC">
            <w:pPr>
              <w:shd w:val="clear" w:color="auto" w:fill="auto"/>
              <w:rPr>
                <w:rFonts w:hint="eastAsia" w:hAnsi="宋体" w:eastAsia="宋体" w:cs="宋体"/>
                <w:color w:val="auto"/>
                <w:sz w:val="21"/>
                <w:highlight w:val="none"/>
              </w:rPr>
            </w:pPr>
          </w:p>
        </w:tc>
        <w:tc>
          <w:tcPr>
            <w:tcW w:w="1575" w:type="dxa"/>
            <w:noWrap w:val="0"/>
            <w:vAlign w:val="center"/>
          </w:tcPr>
          <w:p w14:paraId="5173891D">
            <w:pPr>
              <w:shd w:val="clear" w:color="auto" w:fill="auto"/>
              <w:jc w:val="center"/>
              <w:rPr>
                <w:rFonts w:hint="eastAsia" w:hAnsi="宋体" w:eastAsia="宋体" w:cs="宋体"/>
                <w:color w:val="auto"/>
                <w:sz w:val="21"/>
                <w:highlight w:val="none"/>
              </w:rPr>
            </w:pPr>
          </w:p>
        </w:tc>
        <w:tc>
          <w:tcPr>
            <w:tcW w:w="1185" w:type="dxa"/>
            <w:noWrap w:val="0"/>
            <w:vAlign w:val="center"/>
          </w:tcPr>
          <w:p w14:paraId="3F850E18">
            <w:pPr>
              <w:shd w:val="clear" w:color="auto" w:fill="auto"/>
              <w:jc w:val="center"/>
              <w:rPr>
                <w:rFonts w:hint="eastAsia" w:hAnsi="宋体" w:eastAsia="宋体" w:cs="宋体"/>
                <w:color w:val="auto"/>
                <w:sz w:val="21"/>
                <w:highlight w:val="none"/>
              </w:rPr>
            </w:pPr>
          </w:p>
        </w:tc>
      </w:tr>
      <w:tr w14:paraId="2525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61BBB537">
            <w:pPr>
              <w:shd w:val="clear" w:color="auto" w:fill="auto"/>
              <w:jc w:val="center"/>
              <w:rPr>
                <w:rFonts w:hint="eastAsia" w:hAnsi="宋体" w:eastAsia="宋体" w:cs="宋体"/>
                <w:color w:val="auto"/>
                <w:sz w:val="21"/>
                <w:highlight w:val="none"/>
              </w:rPr>
            </w:pPr>
          </w:p>
        </w:tc>
        <w:tc>
          <w:tcPr>
            <w:tcW w:w="4647" w:type="dxa"/>
            <w:noWrap w:val="0"/>
            <w:vAlign w:val="center"/>
          </w:tcPr>
          <w:p w14:paraId="1FF194A8">
            <w:pPr>
              <w:shd w:val="clear" w:color="auto" w:fill="auto"/>
              <w:rPr>
                <w:rFonts w:hint="eastAsia" w:hAnsi="宋体" w:eastAsia="宋体" w:cs="宋体"/>
                <w:color w:val="auto"/>
                <w:sz w:val="21"/>
                <w:highlight w:val="none"/>
              </w:rPr>
            </w:pPr>
          </w:p>
        </w:tc>
        <w:tc>
          <w:tcPr>
            <w:tcW w:w="1575" w:type="dxa"/>
            <w:noWrap w:val="0"/>
            <w:vAlign w:val="center"/>
          </w:tcPr>
          <w:p w14:paraId="3246FCF6">
            <w:pPr>
              <w:shd w:val="clear" w:color="auto" w:fill="auto"/>
              <w:jc w:val="center"/>
              <w:rPr>
                <w:rFonts w:hint="eastAsia" w:hAnsi="宋体" w:eastAsia="宋体" w:cs="宋体"/>
                <w:color w:val="auto"/>
                <w:sz w:val="21"/>
                <w:highlight w:val="none"/>
              </w:rPr>
            </w:pPr>
          </w:p>
        </w:tc>
        <w:tc>
          <w:tcPr>
            <w:tcW w:w="1185" w:type="dxa"/>
            <w:noWrap w:val="0"/>
            <w:vAlign w:val="center"/>
          </w:tcPr>
          <w:p w14:paraId="43164AEF">
            <w:pPr>
              <w:shd w:val="clear" w:color="auto" w:fill="auto"/>
              <w:jc w:val="center"/>
              <w:rPr>
                <w:rFonts w:hint="eastAsia" w:hAnsi="宋体" w:eastAsia="宋体" w:cs="宋体"/>
                <w:color w:val="auto"/>
                <w:sz w:val="21"/>
                <w:highlight w:val="none"/>
              </w:rPr>
            </w:pPr>
          </w:p>
        </w:tc>
      </w:tr>
      <w:tr w14:paraId="2D3B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5926A269">
            <w:pPr>
              <w:shd w:val="clear" w:color="auto" w:fill="auto"/>
              <w:jc w:val="center"/>
              <w:rPr>
                <w:rFonts w:hint="eastAsia" w:hAnsi="宋体" w:eastAsia="宋体" w:cs="宋体"/>
                <w:color w:val="auto"/>
                <w:sz w:val="21"/>
                <w:highlight w:val="none"/>
              </w:rPr>
            </w:pPr>
          </w:p>
        </w:tc>
        <w:tc>
          <w:tcPr>
            <w:tcW w:w="4647" w:type="dxa"/>
            <w:noWrap w:val="0"/>
            <w:vAlign w:val="center"/>
          </w:tcPr>
          <w:p w14:paraId="6BBF8CB6">
            <w:pPr>
              <w:shd w:val="clear" w:color="auto" w:fill="auto"/>
              <w:rPr>
                <w:rFonts w:hint="eastAsia" w:hAnsi="宋体" w:eastAsia="宋体" w:cs="宋体"/>
                <w:color w:val="auto"/>
                <w:sz w:val="21"/>
                <w:highlight w:val="none"/>
              </w:rPr>
            </w:pPr>
          </w:p>
        </w:tc>
        <w:tc>
          <w:tcPr>
            <w:tcW w:w="1575" w:type="dxa"/>
            <w:noWrap w:val="0"/>
            <w:vAlign w:val="center"/>
          </w:tcPr>
          <w:p w14:paraId="7ACA7255">
            <w:pPr>
              <w:shd w:val="clear" w:color="auto" w:fill="auto"/>
              <w:jc w:val="center"/>
              <w:rPr>
                <w:rFonts w:hint="eastAsia" w:hAnsi="宋体" w:eastAsia="宋体" w:cs="宋体"/>
                <w:color w:val="auto"/>
                <w:sz w:val="21"/>
                <w:highlight w:val="none"/>
              </w:rPr>
            </w:pPr>
          </w:p>
        </w:tc>
        <w:tc>
          <w:tcPr>
            <w:tcW w:w="1185" w:type="dxa"/>
            <w:noWrap w:val="0"/>
            <w:vAlign w:val="center"/>
          </w:tcPr>
          <w:p w14:paraId="0997B174">
            <w:pPr>
              <w:shd w:val="clear" w:color="auto" w:fill="auto"/>
              <w:jc w:val="center"/>
              <w:rPr>
                <w:rFonts w:hint="eastAsia" w:hAnsi="宋体" w:eastAsia="宋体" w:cs="宋体"/>
                <w:color w:val="auto"/>
                <w:sz w:val="21"/>
                <w:highlight w:val="none"/>
              </w:rPr>
            </w:pPr>
          </w:p>
        </w:tc>
      </w:tr>
      <w:tr w14:paraId="7720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542D7CB2">
            <w:pPr>
              <w:shd w:val="clear" w:color="auto" w:fill="auto"/>
              <w:jc w:val="center"/>
              <w:rPr>
                <w:rFonts w:hint="eastAsia" w:hAnsi="宋体" w:eastAsia="宋体" w:cs="宋体"/>
                <w:color w:val="auto"/>
                <w:sz w:val="21"/>
                <w:highlight w:val="none"/>
              </w:rPr>
            </w:pPr>
          </w:p>
        </w:tc>
        <w:tc>
          <w:tcPr>
            <w:tcW w:w="4647" w:type="dxa"/>
            <w:noWrap w:val="0"/>
            <w:vAlign w:val="center"/>
          </w:tcPr>
          <w:p w14:paraId="7E245441">
            <w:pPr>
              <w:shd w:val="clear" w:color="auto" w:fill="auto"/>
              <w:rPr>
                <w:rFonts w:hint="eastAsia" w:hAnsi="宋体" w:eastAsia="宋体" w:cs="宋体"/>
                <w:color w:val="auto"/>
                <w:sz w:val="21"/>
                <w:highlight w:val="none"/>
              </w:rPr>
            </w:pPr>
          </w:p>
        </w:tc>
        <w:tc>
          <w:tcPr>
            <w:tcW w:w="1575" w:type="dxa"/>
            <w:noWrap w:val="0"/>
            <w:vAlign w:val="center"/>
          </w:tcPr>
          <w:p w14:paraId="73204A38">
            <w:pPr>
              <w:shd w:val="clear" w:color="auto" w:fill="auto"/>
              <w:jc w:val="center"/>
              <w:rPr>
                <w:rFonts w:hint="eastAsia" w:hAnsi="宋体" w:eastAsia="宋体" w:cs="宋体"/>
                <w:color w:val="auto"/>
                <w:sz w:val="21"/>
                <w:highlight w:val="none"/>
              </w:rPr>
            </w:pPr>
          </w:p>
        </w:tc>
        <w:tc>
          <w:tcPr>
            <w:tcW w:w="1185" w:type="dxa"/>
            <w:noWrap w:val="0"/>
            <w:vAlign w:val="center"/>
          </w:tcPr>
          <w:p w14:paraId="212B5041">
            <w:pPr>
              <w:shd w:val="clear" w:color="auto" w:fill="auto"/>
              <w:jc w:val="center"/>
              <w:rPr>
                <w:rFonts w:hint="eastAsia" w:hAnsi="宋体" w:eastAsia="宋体" w:cs="宋体"/>
                <w:color w:val="auto"/>
                <w:sz w:val="21"/>
                <w:highlight w:val="none"/>
              </w:rPr>
            </w:pPr>
          </w:p>
        </w:tc>
      </w:tr>
      <w:tr w14:paraId="6A76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5792BFA9">
            <w:pPr>
              <w:shd w:val="clear" w:color="auto" w:fill="auto"/>
              <w:jc w:val="center"/>
              <w:rPr>
                <w:rFonts w:hint="eastAsia" w:hAnsi="宋体" w:eastAsia="宋体" w:cs="宋体"/>
                <w:color w:val="auto"/>
                <w:sz w:val="21"/>
                <w:highlight w:val="none"/>
              </w:rPr>
            </w:pPr>
          </w:p>
        </w:tc>
        <w:tc>
          <w:tcPr>
            <w:tcW w:w="4647" w:type="dxa"/>
            <w:noWrap w:val="0"/>
            <w:vAlign w:val="center"/>
          </w:tcPr>
          <w:p w14:paraId="4FE78D80">
            <w:pPr>
              <w:shd w:val="clear" w:color="auto" w:fill="auto"/>
              <w:rPr>
                <w:rFonts w:hint="eastAsia" w:hAnsi="宋体" w:eastAsia="宋体" w:cs="宋体"/>
                <w:color w:val="auto"/>
                <w:sz w:val="21"/>
                <w:highlight w:val="none"/>
              </w:rPr>
            </w:pPr>
          </w:p>
        </w:tc>
        <w:tc>
          <w:tcPr>
            <w:tcW w:w="1575" w:type="dxa"/>
            <w:noWrap w:val="0"/>
            <w:vAlign w:val="center"/>
          </w:tcPr>
          <w:p w14:paraId="7ACB3833">
            <w:pPr>
              <w:shd w:val="clear" w:color="auto" w:fill="auto"/>
              <w:jc w:val="center"/>
              <w:rPr>
                <w:rFonts w:hint="eastAsia" w:hAnsi="宋体" w:eastAsia="宋体" w:cs="宋体"/>
                <w:color w:val="auto"/>
                <w:sz w:val="21"/>
                <w:highlight w:val="none"/>
              </w:rPr>
            </w:pPr>
          </w:p>
        </w:tc>
        <w:tc>
          <w:tcPr>
            <w:tcW w:w="1185" w:type="dxa"/>
            <w:noWrap w:val="0"/>
            <w:vAlign w:val="center"/>
          </w:tcPr>
          <w:p w14:paraId="3B6340FE">
            <w:pPr>
              <w:shd w:val="clear" w:color="auto" w:fill="auto"/>
              <w:jc w:val="center"/>
              <w:rPr>
                <w:rFonts w:hint="eastAsia" w:hAnsi="宋体" w:eastAsia="宋体" w:cs="宋体"/>
                <w:color w:val="auto"/>
                <w:sz w:val="21"/>
                <w:highlight w:val="none"/>
              </w:rPr>
            </w:pPr>
          </w:p>
        </w:tc>
      </w:tr>
      <w:tr w14:paraId="5966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14CCB22C">
            <w:pPr>
              <w:shd w:val="clear" w:color="auto" w:fill="auto"/>
              <w:jc w:val="center"/>
              <w:rPr>
                <w:rFonts w:hint="eastAsia" w:hAnsi="宋体" w:eastAsia="宋体" w:cs="宋体"/>
                <w:color w:val="auto"/>
                <w:sz w:val="21"/>
                <w:highlight w:val="none"/>
              </w:rPr>
            </w:pPr>
          </w:p>
        </w:tc>
        <w:tc>
          <w:tcPr>
            <w:tcW w:w="4647" w:type="dxa"/>
            <w:noWrap w:val="0"/>
            <w:vAlign w:val="center"/>
          </w:tcPr>
          <w:p w14:paraId="327A3A67">
            <w:pPr>
              <w:shd w:val="clear" w:color="auto" w:fill="auto"/>
              <w:rPr>
                <w:rFonts w:hint="eastAsia" w:hAnsi="宋体" w:eastAsia="宋体" w:cs="宋体"/>
                <w:color w:val="auto"/>
                <w:sz w:val="21"/>
                <w:highlight w:val="none"/>
              </w:rPr>
            </w:pPr>
          </w:p>
        </w:tc>
        <w:tc>
          <w:tcPr>
            <w:tcW w:w="1575" w:type="dxa"/>
            <w:noWrap w:val="0"/>
            <w:vAlign w:val="center"/>
          </w:tcPr>
          <w:p w14:paraId="47461F34">
            <w:pPr>
              <w:shd w:val="clear" w:color="auto" w:fill="auto"/>
              <w:jc w:val="center"/>
              <w:rPr>
                <w:rFonts w:hint="eastAsia" w:hAnsi="宋体" w:eastAsia="宋体" w:cs="宋体"/>
                <w:color w:val="auto"/>
                <w:sz w:val="21"/>
                <w:highlight w:val="none"/>
              </w:rPr>
            </w:pPr>
          </w:p>
        </w:tc>
        <w:tc>
          <w:tcPr>
            <w:tcW w:w="1185" w:type="dxa"/>
            <w:noWrap w:val="0"/>
            <w:vAlign w:val="center"/>
          </w:tcPr>
          <w:p w14:paraId="5C88CC9A">
            <w:pPr>
              <w:shd w:val="clear" w:color="auto" w:fill="auto"/>
              <w:jc w:val="center"/>
              <w:rPr>
                <w:rFonts w:hint="eastAsia" w:hAnsi="宋体" w:eastAsia="宋体" w:cs="宋体"/>
                <w:color w:val="auto"/>
                <w:sz w:val="21"/>
                <w:highlight w:val="none"/>
              </w:rPr>
            </w:pPr>
          </w:p>
        </w:tc>
      </w:tr>
      <w:tr w14:paraId="1192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65196B22">
            <w:pPr>
              <w:shd w:val="clear" w:color="auto" w:fill="auto"/>
              <w:jc w:val="center"/>
              <w:rPr>
                <w:rFonts w:hint="eastAsia" w:hAnsi="宋体" w:eastAsia="宋体" w:cs="宋体"/>
                <w:color w:val="auto"/>
                <w:sz w:val="21"/>
                <w:highlight w:val="none"/>
              </w:rPr>
            </w:pPr>
          </w:p>
        </w:tc>
        <w:tc>
          <w:tcPr>
            <w:tcW w:w="4647" w:type="dxa"/>
            <w:noWrap w:val="0"/>
            <w:vAlign w:val="center"/>
          </w:tcPr>
          <w:p w14:paraId="6643ACC9">
            <w:pPr>
              <w:shd w:val="clear" w:color="auto" w:fill="auto"/>
              <w:rPr>
                <w:rFonts w:hint="eastAsia" w:hAnsi="宋体" w:eastAsia="宋体" w:cs="宋体"/>
                <w:color w:val="auto"/>
                <w:sz w:val="21"/>
                <w:highlight w:val="none"/>
              </w:rPr>
            </w:pPr>
          </w:p>
        </w:tc>
        <w:tc>
          <w:tcPr>
            <w:tcW w:w="1575" w:type="dxa"/>
            <w:noWrap w:val="0"/>
            <w:vAlign w:val="center"/>
          </w:tcPr>
          <w:p w14:paraId="39F744A5">
            <w:pPr>
              <w:shd w:val="clear" w:color="auto" w:fill="auto"/>
              <w:jc w:val="center"/>
              <w:rPr>
                <w:rFonts w:hint="eastAsia" w:hAnsi="宋体" w:eastAsia="宋体" w:cs="宋体"/>
                <w:color w:val="auto"/>
                <w:sz w:val="21"/>
                <w:highlight w:val="none"/>
              </w:rPr>
            </w:pPr>
          </w:p>
        </w:tc>
        <w:tc>
          <w:tcPr>
            <w:tcW w:w="1185" w:type="dxa"/>
            <w:noWrap w:val="0"/>
            <w:vAlign w:val="center"/>
          </w:tcPr>
          <w:p w14:paraId="32BC239A">
            <w:pPr>
              <w:shd w:val="clear" w:color="auto" w:fill="auto"/>
              <w:jc w:val="center"/>
              <w:rPr>
                <w:rFonts w:hint="eastAsia" w:hAnsi="宋体" w:eastAsia="宋体" w:cs="宋体"/>
                <w:color w:val="auto"/>
                <w:sz w:val="21"/>
                <w:highlight w:val="none"/>
              </w:rPr>
            </w:pPr>
          </w:p>
        </w:tc>
      </w:tr>
    </w:tbl>
    <w:p w14:paraId="067EF1FE">
      <w:pPr>
        <w:shd w:val="clear" w:color="auto" w:fill="auto"/>
        <w:snapToGrid w:val="0"/>
        <w:spacing w:before="50"/>
        <w:rPr>
          <w:rFonts w:hint="eastAsia" w:hAnsi="宋体" w:eastAsia="宋体" w:cs="宋体"/>
          <w:color w:val="auto"/>
          <w:sz w:val="21"/>
          <w:highlight w:val="none"/>
        </w:rPr>
      </w:pPr>
      <w:r>
        <w:rPr>
          <w:rFonts w:hint="eastAsia" w:hAnsi="宋体" w:eastAsia="宋体" w:cs="宋体"/>
          <w:color w:val="auto"/>
          <w:sz w:val="21"/>
          <w:highlight w:val="none"/>
        </w:rPr>
        <w:t>注：供应商须按“第</w:t>
      </w:r>
      <w:r>
        <w:rPr>
          <w:rFonts w:hint="eastAsia" w:hAnsi="宋体" w:eastAsia="宋体" w:cs="宋体"/>
          <w:color w:val="auto"/>
          <w:sz w:val="21"/>
          <w:highlight w:val="none"/>
          <w:lang w:val="en-US" w:eastAsia="zh-CN"/>
        </w:rPr>
        <w:t>三</w:t>
      </w:r>
      <w:r>
        <w:rPr>
          <w:rFonts w:hint="eastAsia" w:hAnsi="宋体" w:eastAsia="宋体" w:cs="宋体"/>
          <w:color w:val="auto"/>
          <w:sz w:val="21"/>
          <w:highlight w:val="none"/>
        </w:rPr>
        <w:t>章 项目需求要求逐项填写</w:t>
      </w:r>
      <w:r>
        <w:rPr>
          <w:rFonts w:hint="eastAsia" w:hAnsi="宋体" w:eastAsia="宋体" w:cs="宋体"/>
          <w:color w:val="auto"/>
          <w:sz w:val="21"/>
          <w:highlight w:val="none"/>
          <w:lang w:val="en-US" w:eastAsia="zh-CN"/>
        </w:rPr>
        <w:t>，</w:t>
      </w:r>
      <w:r>
        <w:rPr>
          <w:rFonts w:hint="eastAsia" w:hAnsi="宋体" w:eastAsia="宋体" w:cs="宋体"/>
          <w:color w:val="auto"/>
          <w:sz w:val="21"/>
          <w:highlight w:val="none"/>
        </w:rPr>
        <w:t>无偏离应在本表空白处醒目地注明“无偏离”的字样。</w:t>
      </w:r>
    </w:p>
    <w:p w14:paraId="33B41F0B">
      <w:pPr>
        <w:shd w:val="clear" w:color="auto" w:fill="auto"/>
        <w:snapToGrid w:val="0"/>
        <w:spacing w:before="50"/>
        <w:ind w:firstLine="4200" w:firstLineChars="2000"/>
        <w:rPr>
          <w:rFonts w:hint="eastAsia" w:hAnsi="宋体" w:eastAsia="宋体" w:cs="宋体"/>
          <w:color w:val="auto"/>
          <w:sz w:val="21"/>
          <w:highlight w:val="none"/>
        </w:rPr>
      </w:pPr>
      <w:r>
        <w:rPr>
          <w:rFonts w:hint="eastAsia" w:hAnsi="宋体" w:eastAsia="宋体" w:cs="宋体"/>
          <w:color w:val="auto"/>
          <w:sz w:val="21"/>
          <w:highlight w:val="none"/>
        </w:rPr>
        <w:t>供应商名称（公章）：</w:t>
      </w:r>
    </w:p>
    <w:p w14:paraId="323F1CF8">
      <w:pPr>
        <w:shd w:val="clear" w:color="auto" w:fill="auto"/>
        <w:snapToGrid w:val="0"/>
        <w:spacing w:before="50"/>
        <w:ind w:firstLine="4410" w:firstLineChars="2100"/>
        <w:rPr>
          <w:rFonts w:hint="eastAsia" w:hAnsi="宋体" w:eastAsia="宋体" w:cs="宋体"/>
          <w:color w:val="auto"/>
          <w:sz w:val="21"/>
          <w:highlight w:val="none"/>
        </w:rPr>
      </w:pPr>
      <w:r>
        <w:rPr>
          <w:rFonts w:hint="eastAsia" w:hAnsi="宋体" w:eastAsia="宋体" w:cs="宋体"/>
          <w:color w:val="auto"/>
          <w:sz w:val="21"/>
          <w:highlight w:val="none"/>
        </w:rPr>
        <w:t xml:space="preserve">年    月    日  </w:t>
      </w:r>
    </w:p>
    <w:p w14:paraId="2D802D07">
      <w:pPr>
        <w:shd w:val="clear" w:color="auto" w:fill="auto"/>
        <w:snapToGrid w:val="0"/>
        <w:spacing w:before="50"/>
        <w:rPr>
          <w:rFonts w:hint="eastAsia" w:hAnsi="宋体" w:eastAsia="宋体" w:cs="宋体"/>
          <w:b/>
          <w:bCs/>
          <w:color w:val="auto"/>
          <w:sz w:val="21"/>
          <w:highlight w:val="none"/>
        </w:rPr>
      </w:pPr>
      <w:r>
        <w:rPr>
          <w:rFonts w:hint="eastAsia" w:hAnsi="宋体" w:eastAsia="宋体" w:cs="宋体"/>
          <w:b/>
          <w:bCs/>
          <w:color w:val="auto"/>
          <w:sz w:val="21"/>
          <w:highlight w:val="none"/>
        </w:rPr>
        <w:br w:type="page"/>
      </w:r>
      <w:r>
        <w:rPr>
          <w:rFonts w:hint="eastAsia" w:hAnsi="宋体" w:eastAsia="宋体" w:cs="宋体"/>
          <w:b/>
          <w:bCs/>
          <w:color w:val="auto"/>
          <w:sz w:val="21"/>
          <w:highlight w:val="none"/>
        </w:rPr>
        <w:t>（5）商务条款响应（偏离）表；</w:t>
      </w:r>
    </w:p>
    <w:p w14:paraId="3B26870A">
      <w:pPr>
        <w:shd w:val="clear" w:color="auto" w:fill="auto"/>
        <w:snapToGrid w:val="0"/>
        <w:spacing w:before="50" w:after="156" w:afterLines="50"/>
        <w:jc w:val="center"/>
        <w:rPr>
          <w:rFonts w:hint="eastAsia" w:hAnsi="宋体" w:eastAsia="宋体" w:cs="宋体"/>
          <w:b/>
          <w:bCs/>
          <w:color w:val="auto"/>
          <w:sz w:val="21"/>
          <w:highlight w:val="none"/>
        </w:rPr>
      </w:pPr>
      <w:r>
        <w:rPr>
          <w:rFonts w:hint="eastAsia" w:hAnsi="宋体" w:eastAsia="宋体" w:cs="宋体"/>
          <w:b/>
          <w:bCs/>
          <w:color w:val="auto"/>
          <w:sz w:val="21"/>
          <w:highlight w:val="none"/>
        </w:rPr>
        <w:t>商务条款响应（偏离）表</w:t>
      </w:r>
    </w:p>
    <w:p w14:paraId="3C5F4AA5">
      <w:pPr>
        <w:shd w:val="clear" w:color="auto" w:fill="auto"/>
        <w:snapToGrid w:val="0"/>
        <w:spacing w:before="50"/>
        <w:rPr>
          <w:rFonts w:hint="eastAsia" w:hAnsi="宋体" w:eastAsia="宋体" w:cs="宋体"/>
          <w:color w:val="auto"/>
          <w:sz w:val="21"/>
          <w:highlight w:val="none"/>
          <w:u w:val="single"/>
        </w:rPr>
      </w:pPr>
      <w:r>
        <w:rPr>
          <w:rFonts w:hint="eastAsia" w:hAnsi="宋体" w:eastAsia="宋体" w:cs="宋体"/>
          <w:color w:val="auto"/>
          <w:sz w:val="21"/>
          <w:highlight w:val="none"/>
        </w:rPr>
        <w:t xml:space="preserve">项目编号：                  </w:t>
      </w:r>
      <w:r>
        <w:rPr>
          <w:rFonts w:hint="eastAsia" w:hAnsi="宋体" w:eastAsia="宋体" w:cs="宋体"/>
          <w:color w:val="auto"/>
          <w:sz w:val="21"/>
          <w:highlight w:val="none"/>
          <w:lang w:val="en-US" w:eastAsia="zh-CN"/>
        </w:rPr>
        <w:t xml:space="preserve">           </w:t>
      </w:r>
      <w:r>
        <w:rPr>
          <w:rFonts w:hint="eastAsia" w:hAnsi="宋体" w:eastAsia="宋体" w:cs="宋体"/>
          <w:color w:val="auto"/>
          <w:sz w:val="21"/>
          <w:highlight w:val="none"/>
        </w:rPr>
        <w:t xml:space="preserve"> 项目名称：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5DA4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noWrap w:val="0"/>
            <w:vAlign w:val="center"/>
          </w:tcPr>
          <w:p w14:paraId="554B9A32">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序号</w:t>
            </w:r>
          </w:p>
        </w:tc>
        <w:tc>
          <w:tcPr>
            <w:tcW w:w="4647" w:type="dxa"/>
            <w:noWrap w:val="0"/>
            <w:vAlign w:val="center"/>
          </w:tcPr>
          <w:p w14:paraId="7D2B1519">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磋商文件的商务条款</w:t>
            </w:r>
          </w:p>
        </w:tc>
        <w:tc>
          <w:tcPr>
            <w:tcW w:w="1575" w:type="dxa"/>
            <w:noWrap w:val="0"/>
            <w:vAlign w:val="center"/>
          </w:tcPr>
          <w:p w14:paraId="6765291B">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响应文件的</w:t>
            </w:r>
          </w:p>
          <w:p w14:paraId="7A85523C">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响应情况</w:t>
            </w:r>
          </w:p>
        </w:tc>
        <w:tc>
          <w:tcPr>
            <w:tcW w:w="1185" w:type="dxa"/>
            <w:noWrap w:val="0"/>
            <w:vAlign w:val="center"/>
          </w:tcPr>
          <w:p w14:paraId="5C9C05C7">
            <w:pPr>
              <w:shd w:val="clear" w:color="auto" w:fill="auto"/>
              <w:jc w:val="center"/>
              <w:rPr>
                <w:rFonts w:hint="eastAsia" w:hAnsi="宋体" w:eastAsia="宋体" w:cs="宋体"/>
                <w:color w:val="auto"/>
                <w:sz w:val="21"/>
                <w:highlight w:val="none"/>
              </w:rPr>
            </w:pPr>
            <w:r>
              <w:rPr>
                <w:rFonts w:hint="eastAsia" w:hAnsi="宋体" w:eastAsia="宋体" w:cs="宋体"/>
                <w:color w:val="auto"/>
                <w:sz w:val="21"/>
                <w:highlight w:val="none"/>
              </w:rPr>
              <w:t>说明（偏离/响应）</w:t>
            </w:r>
          </w:p>
        </w:tc>
      </w:tr>
      <w:tr w14:paraId="60E3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5DCB70AC">
            <w:pPr>
              <w:shd w:val="clear" w:color="auto" w:fill="auto"/>
              <w:jc w:val="center"/>
              <w:rPr>
                <w:rFonts w:hint="eastAsia" w:hAnsi="宋体" w:eastAsia="宋体" w:cs="宋体"/>
                <w:color w:val="auto"/>
                <w:sz w:val="21"/>
                <w:highlight w:val="none"/>
              </w:rPr>
            </w:pPr>
          </w:p>
        </w:tc>
        <w:tc>
          <w:tcPr>
            <w:tcW w:w="4647" w:type="dxa"/>
            <w:noWrap w:val="0"/>
            <w:vAlign w:val="center"/>
          </w:tcPr>
          <w:p w14:paraId="7078BF2A">
            <w:pPr>
              <w:shd w:val="clear" w:color="auto" w:fill="auto"/>
              <w:rPr>
                <w:rFonts w:hint="eastAsia" w:hAnsi="宋体" w:eastAsia="宋体" w:cs="宋体"/>
                <w:b/>
                <w:bCs/>
                <w:color w:val="auto"/>
                <w:sz w:val="21"/>
                <w:highlight w:val="none"/>
              </w:rPr>
            </w:pPr>
          </w:p>
        </w:tc>
        <w:tc>
          <w:tcPr>
            <w:tcW w:w="1575" w:type="dxa"/>
            <w:noWrap w:val="0"/>
            <w:vAlign w:val="center"/>
          </w:tcPr>
          <w:p w14:paraId="71C91751">
            <w:pPr>
              <w:shd w:val="clear" w:color="auto" w:fill="auto"/>
              <w:jc w:val="center"/>
              <w:rPr>
                <w:rFonts w:hint="eastAsia" w:hAnsi="宋体" w:eastAsia="宋体" w:cs="宋体"/>
                <w:color w:val="auto"/>
                <w:sz w:val="21"/>
                <w:highlight w:val="none"/>
              </w:rPr>
            </w:pPr>
          </w:p>
        </w:tc>
        <w:tc>
          <w:tcPr>
            <w:tcW w:w="1185" w:type="dxa"/>
            <w:noWrap w:val="0"/>
            <w:vAlign w:val="center"/>
          </w:tcPr>
          <w:p w14:paraId="41FADE1D">
            <w:pPr>
              <w:shd w:val="clear" w:color="auto" w:fill="auto"/>
              <w:jc w:val="center"/>
              <w:rPr>
                <w:rFonts w:hint="eastAsia" w:hAnsi="宋体" w:eastAsia="宋体" w:cs="宋体"/>
                <w:color w:val="auto"/>
                <w:sz w:val="21"/>
                <w:highlight w:val="none"/>
              </w:rPr>
            </w:pPr>
          </w:p>
        </w:tc>
      </w:tr>
      <w:tr w14:paraId="4F39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1D6F79BB">
            <w:pPr>
              <w:shd w:val="clear" w:color="auto" w:fill="auto"/>
              <w:jc w:val="center"/>
              <w:rPr>
                <w:rFonts w:hint="eastAsia" w:hAnsi="宋体" w:eastAsia="宋体" w:cs="宋体"/>
                <w:color w:val="auto"/>
                <w:sz w:val="21"/>
                <w:highlight w:val="none"/>
              </w:rPr>
            </w:pPr>
          </w:p>
        </w:tc>
        <w:tc>
          <w:tcPr>
            <w:tcW w:w="4647" w:type="dxa"/>
            <w:noWrap w:val="0"/>
            <w:vAlign w:val="center"/>
          </w:tcPr>
          <w:p w14:paraId="75B0E05F">
            <w:pPr>
              <w:shd w:val="clear" w:color="auto" w:fill="auto"/>
              <w:rPr>
                <w:rFonts w:hint="eastAsia" w:hAnsi="宋体" w:eastAsia="宋体" w:cs="宋体"/>
                <w:b/>
                <w:bCs/>
                <w:color w:val="auto"/>
                <w:sz w:val="21"/>
                <w:highlight w:val="none"/>
              </w:rPr>
            </w:pPr>
          </w:p>
        </w:tc>
        <w:tc>
          <w:tcPr>
            <w:tcW w:w="1575" w:type="dxa"/>
            <w:noWrap w:val="0"/>
            <w:vAlign w:val="center"/>
          </w:tcPr>
          <w:p w14:paraId="13BF0BB8">
            <w:pPr>
              <w:shd w:val="clear" w:color="auto" w:fill="auto"/>
              <w:jc w:val="center"/>
              <w:rPr>
                <w:rFonts w:hint="eastAsia" w:hAnsi="宋体" w:eastAsia="宋体" w:cs="宋体"/>
                <w:color w:val="auto"/>
                <w:sz w:val="21"/>
                <w:highlight w:val="none"/>
              </w:rPr>
            </w:pPr>
          </w:p>
        </w:tc>
        <w:tc>
          <w:tcPr>
            <w:tcW w:w="1185" w:type="dxa"/>
            <w:noWrap w:val="0"/>
            <w:vAlign w:val="center"/>
          </w:tcPr>
          <w:p w14:paraId="2BD37B02">
            <w:pPr>
              <w:shd w:val="clear" w:color="auto" w:fill="auto"/>
              <w:jc w:val="center"/>
              <w:rPr>
                <w:rFonts w:hint="eastAsia" w:hAnsi="宋体" w:eastAsia="宋体" w:cs="宋体"/>
                <w:color w:val="auto"/>
                <w:sz w:val="21"/>
                <w:highlight w:val="none"/>
              </w:rPr>
            </w:pPr>
          </w:p>
        </w:tc>
      </w:tr>
      <w:tr w14:paraId="19A6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5B004167">
            <w:pPr>
              <w:shd w:val="clear" w:color="auto" w:fill="auto"/>
              <w:jc w:val="center"/>
              <w:rPr>
                <w:rFonts w:hint="eastAsia" w:hAnsi="宋体" w:eastAsia="宋体" w:cs="宋体"/>
                <w:color w:val="auto"/>
                <w:sz w:val="21"/>
                <w:highlight w:val="none"/>
              </w:rPr>
            </w:pPr>
          </w:p>
        </w:tc>
        <w:tc>
          <w:tcPr>
            <w:tcW w:w="4647" w:type="dxa"/>
            <w:noWrap w:val="0"/>
            <w:vAlign w:val="center"/>
          </w:tcPr>
          <w:p w14:paraId="77A72C92">
            <w:pPr>
              <w:shd w:val="clear" w:color="auto" w:fill="auto"/>
              <w:rPr>
                <w:rFonts w:hint="eastAsia" w:hAnsi="宋体" w:eastAsia="宋体" w:cs="宋体"/>
                <w:b/>
                <w:bCs/>
                <w:color w:val="auto"/>
                <w:sz w:val="21"/>
                <w:highlight w:val="none"/>
              </w:rPr>
            </w:pPr>
          </w:p>
        </w:tc>
        <w:tc>
          <w:tcPr>
            <w:tcW w:w="1575" w:type="dxa"/>
            <w:noWrap w:val="0"/>
            <w:vAlign w:val="center"/>
          </w:tcPr>
          <w:p w14:paraId="227FDD6D">
            <w:pPr>
              <w:shd w:val="clear" w:color="auto" w:fill="auto"/>
              <w:jc w:val="center"/>
              <w:rPr>
                <w:rFonts w:hint="eastAsia" w:hAnsi="宋体" w:eastAsia="宋体" w:cs="宋体"/>
                <w:color w:val="auto"/>
                <w:sz w:val="21"/>
                <w:highlight w:val="none"/>
              </w:rPr>
            </w:pPr>
          </w:p>
        </w:tc>
        <w:tc>
          <w:tcPr>
            <w:tcW w:w="1185" w:type="dxa"/>
            <w:noWrap w:val="0"/>
            <w:vAlign w:val="center"/>
          </w:tcPr>
          <w:p w14:paraId="23E1325C">
            <w:pPr>
              <w:shd w:val="clear" w:color="auto" w:fill="auto"/>
              <w:jc w:val="center"/>
              <w:rPr>
                <w:rFonts w:hint="eastAsia" w:hAnsi="宋体" w:eastAsia="宋体" w:cs="宋体"/>
                <w:color w:val="auto"/>
                <w:sz w:val="21"/>
                <w:highlight w:val="none"/>
              </w:rPr>
            </w:pPr>
          </w:p>
        </w:tc>
      </w:tr>
      <w:tr w14:paraId="6097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2EE9E32F">
            <w:pPr>
              <w:shd w:val="clear" w:color="auto" w:fill="auto"/>
              <w:jc w:val="center"/>
              <w:rPr>
                <w:rFonts w:hint="eastAsia" w:hAnsi="宋体" w:eastAsia="宋体" w:cs="宋体"/>
                <w:color w:val="auto"/>
                <w:sz w:val="21"/>
                <w:highlight w:val="none"/>
              </w:rPr>
            </w:pPr>
          </w:p>
        </w:tc>
        <w:tc>
          <w:tcPr>
            <w:tcW w:w="4647" w:type="dxa"/>
            <w:noWrap w:val="0"/>
            <w:vAlign w:val="center"/>
          </w:tcPr>
          <w:p w14:paraId="3437148B">
            <w:pPr>
              <w:shd w:val="clear" w:color="auto" w:fill="auto"/>
              <w:rPr>
                <w:rFonts w:hint="eastAsia" w:hAnsi="宋体" w:eastAsia="宋体" w:cs="宋体"/>
                <w:b/>
                <w:bCs/>
                <w:color w:val="auto"/>
                <w:sz w:val="21"/>
                <w:highlight w:val="none"/>
              </w:rPr>
            </w:pPr>
          </w:p>
        </w:tc>
        <w:tc>
          <w:tcPr>
            <w:tcW w:w="1575" w:type="dxa"/>
            <w:noWrap w:val="0"/>
            <w:vAlign w:val="center"/>
          </w:tcPr>
          <w:p w14:paraId="6919B9C1">
            <w:pPr>
              <w:shd w:val="clear" w:color="auto" w:fill="auto"/>
              <w:jc w:val="center"/>
              <w:rPr>
                <w:rFonts w:hint="eastAsia" w:hAnsi="宋体" w:eastAsia="宋体" w:cs="宋体"/>
                <w:color w:val="auto"/>
                <w:sz w:val="21"/>
                <w:highlight w:val="none"/>
              </w:rPr>
            </w:pPr>
          </w:p>
        </w:tc>
        <w:tc>
          <w:tcPr>
            <w:tcW w:w="1185" w:type="dxa"/>
            <w:noWrap w:val="0"/>
            <w:vAlign w:val="center"/>
          </w:tcPr>
          <w:p w14:paraId="6DB26E35">
            <w:pPr>
              <w:shd w:val="clear" w:color="auto" w:fill="auto"/>
              <w:jc w:val="center"/>
              <w:rPr>
                <w:rFonts w:hint="eastAsia" w:hAnsi="宋体" w:eastAsia="宋体" w:cs="宋体"/>
                <w:color w:val="auto"/>
                <w:sz w:val="21"/>
                <w:highlight w:val="none"/>
              </w:rPr>
            </w:pPr>
          </w:p>
        </w:tc>
      </w:tr>
      <w:tr w14:paraId="2773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4F1CC92E">
            <w:pPr>
              <w:shd w:val="clear" w:color="auto" w:fill="auto"/>
              <w:jc w:val="center"/>
              <w:rPr>
                <w:rFonts w:hint="eastAsia" w:hAnsi="宋体" w:eastAsia="宋体" w:cs="宋体"/>
                <w:color w:val="auto"/>
                <w:sz w:val="21"/>
                <w:highlight w:val="none"/>
              </w:rPr>
            </w:pPr>
          </w:p>
        </w:tc>
        <w:tc>
          <w:tcPr>
            <w:tcW w:w="4647" w:type="dxa"/>
            <w:noWrap w:val="0"/>
            <w:vAlign w:val="center"/>
          </w:tcPr>
          <w:p w14:paraId="7FDECB92">
            <w:pPr>
              <w:shd w:val="clear" w:color="auto" w:fill="auto"/>
              <w:rPr>
                <w:rFonts w:hint="eastAsia" w:hAnsi="宋体" w:eastAsia="宋体" w:cs="宋体"/>
                <w:color w:val="auto"/>
                <w:sz w:val="21"/>
                <w:highlight w:val="none"/>
              </w:rPr>
            </w:pPr>
          </w:p>
        </w:tc>
        <w:tc>
          <w:tcPr>
            <w:tcW w:w="1575" w:type="dxa"/>
            <w:noWrap w:val="0"/>
            <w:vAlign w:val="center"/>
          </w:tcPr>
          <w:p w14:paraId="07EFEAF9">
            <w:pPr>
              <w:shd w:val="clear" w:color="auto" w:fill="auto"/>
              <w:jc w:val="center"/>
              <w:rPr>
                <w:rFonts w:hint="eastAsia" w:hAnsi="宋体" w:eastAsia="宋体" w:cs="宋体"/>
                <w:color w:val="auto"/>
                <w:sz w:val="21"/>
                <w:highlight w:val="none"/>
              </w:rPr>
            </w:pPr>
          </w:p>
        </w:tc>
        <w:tc>
          <w:tcPr>
            <w:tcW w:w="1185" w:type="dxa"/>
            <w:noWrap w:val="0"/>
            <w:vAlign w:val="center"/>
          </w:tcPr>
          <w:p w14:paraId="1667EBF1">
            <w:pPr>
              <w:shd w:val="clear" w:color="auto" w:fill="auto"/>
              <w:jc w:val="center"/>
              <w:rPr>
                <w:rFonts w:hint="eastAsia" w:hAnsi="宋体" w:eastAsia="宋体" w:cs="宋体"/>
                <w:color w:val="auto"/>
                <w:sz w:val="21"/>
                <w:highlight w:val="none"/>
              </w:rPr>
            </w:pPr>
          </w:p>
        </w:tc>
      </w:tr>
      <w:tr w14:paraId="3DBE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70BC8C67">
            <w:pPr>
              <w:shd w:val="clear" w:color="auto" w:fill="auto"/>
              <w:jc w:val="center"/>
              <w:rPr>
                <w:rFonts w:hint="eastAsia" w:hAnsi="宋体" w:eastAsia="宋体" w:cs="宋体"/>
                <w:color w:val="auto"/>
                <w:sz w:val="21"/>
                <w:highlight w:val="none"/>
              </w:rPr>
            </w:pPr>
          </w:p>
        </w:tc>
        <w:tc>
          <w:tcPr>
            <w:tcW w:w="4647" w:type="dxa"/>
            <w:noWrap w:val="0"/>
            <w:vAlign w:val="center"/>
          </w:tcPr>
          <w:p w14:paraId="138A252B">
            <w:pPr>
              <w:shd w:val="clear" w:color="auto" w:fill="auto"/>
              <w:rPr>
                <w:rFonts w:hint="eastAsia" w:hAnsi="宋体" w:eastAsia="宋体" w:cs="宋体"/>
                <w:color w:val="auto"/>
                <w:sz w:val="21"/>
                <w:highlight w:val="none"/>
              </w:rPr>
            </w:pPr>
          </w:p>
        </w:tc>
        <w:tc>
          <w:tcPr>
            <w:tcW w:w="1575" w:type="dxa"/>
            <w:noWrap w:val="0"/>
            <w:vAlign w:val="center"/>
          </w:tcPr>
          <w:p w14:paraId="346F805A">
            <w:pPr>
              <w:shd w:val="clear" w:color="auto" w:fill="auto"/>
              <w:jc w:val="center"/>
              <w:rPr>
                <w:rFonts w:hint="eastAsia" w:hAnsi="宋体" w:eastAsia="宋体" w:cs="宋体"/>
                <w:color w:val="auto"/>
                <w:sz w:val="21"/>
                <w:highlight w:val="none"/>
              </w:rPr>
            </w:pPr>
          </w:p>
        </w:tc>
        <w:tc>
          <w:tcPr>
            <w:tcW w:w="1185" w:type="dxa"/>
            <w:noWrap w:val="0"/>
            <w:vAlign w:val="center"/>
          </w:tcPr>
          <w:p w14:paraId="66AC6695">
            <w:pPr>
              <w:shd w:val="clear" w:color="auto" w:fill="auto"/>
              <w:jc w:val="center"/>
              <w:rPr>
                <w:rFonts w:hint="eastAsia" w:hAnsi="宋体" w:eastAsia="宋体" w:cs="宋体"/>
                <w:color w:val="auto"/>
                <w:sz w:val="21"/>
                <w:highlight w:val="none"/>
              </w:rPr>
            </w:pPr>
          </w:p>
        </w:tc>
      </w:tr>
      <w:tr w14:paraId="4B9F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31700753">
            <w:pPr>
              <w:shd w:val="clear" w:color="auto" w:fill="auto"/>
              <w:jc w:val="center"/>
              <w:rPr>
                <w:rFonts w:hint="eastAsia" w:hAnsi="宋体" w:eastAsia="宋体" w:cs="宋体"/>
                <w:color w:val="auto"/>
                <w:sz w:val="21"/>
                <w:highlight w:val="none"/>
              </w:rPr>
            </w:pPr>
          </w:p>
        </w:tc>
        <w:tc>
          <w:tcPr>
            <w:tcW w:w="4647" w:type="dxa"/>
            <w:noWrap w:val="0"/>
            <w:vAlign w:val="center"/>
          </w:tcPr>
          <w:p w14:paraId="2ECA254C">
            <w:pPr>
              <w:shd w:val="clear" w:color="auto" w:fill="auto"/>
              <w:rPr>
                <w:rFonts w:hint="eastAsia" w:hAnsi="宋体" w:eastAsia="宋体" w:cs="宋体"/>
                <w:color w:val="auto"/>
                <w:sz w:val="21"/>
                <w:highlight w:val="none"/>
              </w:rPr>
            </w:pPr>
          </w:p>
        </w:tc>
        <w:tc>
          <w:tcPr>
            <w:tcW w:w="1575" w:type="dxa"/>
            <w:noWrap w:val="0"/>
            <w:vAlign w:val="center"/>
          </w:tcPr>
          <w:p w14:paraId="4447DF3A">
            <w:pPr>
              <w:shd w:val="clear" w:color="auto" w:fill="auto"/>
              <w:jc w:val="center"/>
              <w:rPr>
                <w:rFonts w:hint="eastAsia" w:hAnsi="宋体" w:eastAsia="宋体" w:cs="宋体"/>
                <w:color w:val="auto"/>
                <w:sz w:val="21"/>
                <w:highlight w:val="none"/>
              </w:rPr>
            </w:pPr>
          </w:p>
        </w:tc>
        <w:tc>
          <w:tcPr>
            <w:tcW w:w="1185" w:type="dxa"/>
            <w:noWrap w:val="0"/>
            <w:vAlign w:val="center"/>
          </w:tcPr>
          <w:p w14:paraId="46BC5DF9">
            <w:pPr>
              <w:shd w:val="clear" w:color="auto" w:fill="auto"/>
              <w:jc w:val="center"/>
              <w:rPr>
                <w:rFonts w:hint="eastAsia" w:hAnsi="宋体" w:eastAsia="宋体" w:cs="宋体"/>
                <w:color w:val="auto"/>
                <w:sz w:val="21"/>
                <w:highlight w:val="none"/>
              </w:rPr>
            </w:pPr>
          </w:p>
        </w:tc>
      </w:tr>
      <w:tr w14:paraId="141D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586527D5">
            <w:pPr>
              <w:shd w:val="clear" w:color="auto" w:fill="auto"/>
              <w:jc w:val="center"/>
              <w:rPr>
                <w:rFonts w:hint="eastAsia" w:hAnsi="宋体" w:eastAsia="宋体" w:cs="宋体"/>
                <w:color w:val="auto"/>
                <w:sz w:val="21"/>
                <w:highlight w:val="none"/>
              </w:rPr>
            </w:pPr>
          </w:p>
        </w:tc>
        <w:tc>
          <w:tcPr>
            <w:tcW w:w="4647" w:type="dxa"/>
            <w:noWrap w:val="0"/>
            <w:vAlign w:val="center"/>
          </w:tcPr>
          <w:p w14:paraId="3CB6735D">
            <w:pPr>
              <w:shd w:val="clear" w:color="auto" w:fill="auto"/>
              <w:rPr>
                <w:rFonts w:hint="eastAsia" w:hAnsi="宋体" w:eastAsia="宋体" w:cs="宋体"/>
                <w:color w:val="auto"/>
                <w:sz w:val="21"/>
                <w:highlight w:val="none"/>
              </w:rPr>
            </w:pPr>
          </w:p>
        </w:tc>
        <w:tc>
          <w:tcPr>
            <w:tcW w:w="1575" w:type="dxa"/>
            <w:noWrap w:val="0"/>
            <w:vAlign w:val="center"/>
          </w:tcPr>
          <w:p w14:paraId="32E7549B">
            <w:pPr>
              <w:shd w:val="clear" w:color="auto" w:fill="auto"/>
              <w:jc w:val="center"/>
              <w:rPr>
                <w:rFonts w:hint="eastAsia" w:hAnsi="宋体" w:eastAsia="宋体" w:cs="宋体"/>
                <w:color w:val="auto"/>
                <w:sz w:val="21"/>
                <w:highlight w:val="none"/>
              </w:rPr>
            </w:pPr>
          </w:p>
        </w:tc>
        <w:tc>
          <w:tcPr>
            <w:tcW w:w="1185" w:type="dxa"/>
            <w:noWrap w:val="0"/>
            <w:vAlign w:val="center"/>
          </w:tcPr>
          <w:p w14:paraId="736B68A8">
            <w:pPr>
              <w:shd w:val="clear" w:color="auto" w:fill="auto"/>
              <w:jc w:val="center"/>
              <w:rPr>
                <w:rFonts w:hint="eastAsia" w:hAnsi="宋体" w:eastAsia="宋体" w:cs="宋体"/>
                <w:color w:val="auto"/>
                <w:sz w:val="21"/>
                <w:highlight w:val="none"/>
              </w:rPr>
            </w:pPr>
          </w:p>
        </w:tc>
      </w:tr>
      <w:tr w14:paraId="396F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12267229">
            <w:pPr>
              <w:shd w:val="clear" w:color="auto" w:fill="auto"/>
              <w:jc w:val="center"/>
              <w:rPr>
                <w:rFonts w:hint="eastAsia" w:hAnsi="宋体" w:eastAsia="宋体" w:cs="宋体"/>
                <w:color w:val="auto"/>
                <w:sz w:val="21"/>
                <w:highlight w:val="none"/>
              </w:rPr>
            </w:pPr>
          </w:p>
        </w:tc>
        <w:tc>
          <w:tcPr>
            <w:tcW w:w="4647" w:type="dxa"/>
            <w:noWrap w:val="0"/>
            <w:vAlign w:val="center"/>
          </w:tcPr>
          <w:p w14:paraId="350EFAE6">
            <w:pPr>
              <w:shd w:val="clear" w:color="auto" w:fill="auto"/>
              <w:rPr>
                <w:rFonts w:hint="eastAsia" w:hAnsi="宋体" w:eastAsia="宋体" w:cs="宋体"/>
                <w:color w:val="auto"/>
                <w:sz w:val="21"/>
                <w:highlight w:val="none"/>
              </w:rPr>
            </w:pPr>
          </w:p>
        </w:tc>
        <w:tc>
          <w:tcPr>
            <w:tcW w:w="1575" w:type="dxa"/>
            <w:noWrap w:val="0"/>
            <w:vAlign w:val="center"/>
          </w:tcPr>
          <w:p w14:paraId="3C0E40DB">
            <w:pPr>
              <w:shd w:val="clear" w:color="auto" w:fill="auto"/>
              <w:jc w:val="center"/>
              <w:rPr>
                <w:rFonts w:hint="eastAsia" w:hAnsi="宋体" w:eastAsia="宋体" w:cs="宋体"/>
                <w:color w:val="auto"/>
                <w:sz w:val="21"/>
                <w:highlight w:val="none"/>
              </w:rPr>
            </w:pPr>
          </w:p>
        </w:tc>
        <w:tc>
          <w:tcPr>
            <w:tcW w:w="1185" w:type="dxa"/>
            <w:noWrap w:val="0"/>
            <w:vAlign w:val="center"/>
          </w:tcPr>
          <w:p w14:paraId="44F94FA0">
            <w:pPr>
              <w:shd w:val="clear" w:color="auto" w:fill="auto"/>
              <w:jc w:val="center"/>
              <w:rPr>
                <w:rFonts w:hint="eastAsia" w:hAnsi="宋体" w:eastAsia="宋体" w:cs="宋体"/>
                <w:color w:val="auto"/>
                <w:sz w:val="21"/>
                <w:highlight w:val="none"/>
              </w:rPr>
            </w:pPr>
          </w:p>
        </w:tc>
      </w:tr>
      <w:tr w14:paraId="528C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6C40F35A">
            <w:pPr>
              <w:shd w:val="clear" w:color="auto" w:fill="auto"/>
              <w:jc w:val="center"/>
              <w:rPr>
                <w:rFonts w:hint="eastAsia" w:hAnsi="宋体" w:eastAsia="宋体" w:cs="宋体"/>
                <w:color w:val="auto"/>
                <w:sz w:val="21"/>
                <w:highlight w:val="none"/>
              </w:rPr>
            </w:pPr>
          </w:p>
        </w:tc>
        <w:tc>
          <w:tcPr>
            <w:tcW w:w="4647" w:type="dxa"/>
            <w:noWrap w:val="0"/>
            <w:vAlign w:val="center"/>
          </w:tcPr>
          <w:p w14:paraId="7D69199E">
            <w:pPr>
              <w:shd w:val="clear" w:color="auto" w:fill="auto"/>
              <w:rPr>
                <w:rFonts w:hint="eastAsia" w:hAnsi="宋体" w:eastAsia="宋体" w:cs="宋体"/>
                <w:color w:val="auto"/>
                <w:sz w:val="21"/>
                <w:highlight w:val="none"/>
              </w:rPr>
            </w:pPr>
          </w:p>
        </w:tc>
        <w:tc>
          <w:tcPr>
            <w:tcW w:w="1575" w:type="dxa"/>
            <w:noWrap w:val="0"/>
            <w:vAlign w:val="center"/>
          </w:tcPr>
          <w:p w14:paraId="74A388E2">
            <w:pPr>
              <w:shd w:val="clear" w:color="auto" w:fill="auto"/>
              <w:jc w:val="center"/>
              <w:rPr>
                <w:rFonts w:hint="eastAsia" w:hAnsi="宋体" w:eastAsia="宋体" w:cs="宋体"/>
                <w:color w:val="auto"/>
                <w:sz w:val="21"/>
                <w:highlight w:val="none"/>
              </w:rPr>
            </w:pPr>
          </w:p>
        </w:tc>
        <w:tc>
          <w:tcPr>
            <w:tcW w:w="1185" w:type="dxa"/>
            <w:noWrap w:val="0"/>
            <w:vAlign w:val="center"/>
          </w:tcPr>
          <w:p w14:paraId="5D59F87C">
            <w:pPr>
              <w:shd w:val="clear" w:color="auto" w:fill="auto"/>
              <w:jc w:val="center"/>
              <w:rPr>
                <w:rFonts w:hint="eastAsia" w:hAnsi="宋体" w:eastAsia="宋体" w:cs="宋体"/>
                <w:color w:val="auto"/>
                <w:sz w:val="21"/>
                <w:highlight w:val="none"/>
              </w:rPr>
            </w:pPr>
          </w:p>
        </w:tc>
      </w:tr>
      <w:tr w14:paraId="0EEA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4E8D1A0F">
            <w:pPr>
              <w:shd w:val="clear" w:color="auto" w:fill="auto"/>
              <w:jc w:val="center"/>
              <w:rPr>
                <w:rFonts w:hint="eastAsia" w:hAnsi="宋体" w:eastAsia="宋体" w:cs="宋体"/>
                <w:color w:val="auto"/>
                <w:sz w:val="21"/>
                <w:highlight w:val="none"/>
              </w:rPr>
            </w:pPr>
          </w:p>
        </w:tc>
        <w:tc>
          <w:tcPr>
            <w:tcW w:w="4647" w:type="dxa"/>
            <w:noWrap w:val="0"/>
            <w:vAlign w:val="center"/>
          </w:tcPr>
          <w:p w14:paraId="2073CE0A">
            <w:pPr>
              <w:shd w:val="clear" w:color="auto" w:fill="auto"/>
              <w:rPr>
                <w:rFonts w:hint="eastAsia" w:hAnsi="宋体" w:eastAsia="宋体" w:cs="宋体"/>
                <w:color w:val="auto"/>
                <w:sz w:val="21"/>
                <w:highlight w:val="none"/>
              </w:rPr>
            </w:pPr>
          </w:p>
        </w:tc>
        <w:tc>
          <w:tcPr>
            <w:tcW w:w="1575" w:type="dxa"/>
            <w:noWrap w:val="0"/>
            <w:vAlign w:val="center"/>
          </w:tcPr>
          <w:p w14:paraId="1ECEA497">
            <w:pPr>
              <w:shd w:val="clear" w:color="auto" w:fill="auto"/>
              <w:jc w:val="center"/>
              <w:rPr>
                <w:rFonts w:hint="eastAsia" w:hAnsi="宋体" w:eastAsia="宋体" w:cs="宋体"/>
                <w:color w:val="auto"/>
                <w:sz w:val="21"/>
                <w:highlight w:val="none"/>
              </w:rPr>
            </w:pPr>
          </w:p>
        </w:tc>
        <w:tc>
          <w:tcPr>
            <w:tcW w:w="1185" w:type="dxa"/>
            <w:noWrap w:val="0"/>
            <w:vAlign w:val="center"/>
          </w:tcPr>
          <w:p w14:paraId="3BC79A7A">
            <w:pPr>
              <w:shd w:val="clear" w:color="auto" w:fill="auto"/>
              <w:jc w:val="center"/>
              <w:rPr>
                <w:rFonts w:hint="eastAsia" w:hAnsi="宋体" w:eastAsia="宋体" w:cs="宋体"/>
                <w:color w:val="auto"/>
                <w:sz w:val="21"/>
                <w:highlight w:val="none"/>
              </w:rPr>
            </w:pPr>
          </w:p>
        </w:tc>
      </w:tr>
      <w:tr w14:paraId="494A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14:paraId="7A5A18DD">
            <w:pPr>
              <w:shd w:val="clear" w:color="auto" w:fill="auto"/>
              <w:jc w:val="center"/>
              <w:rPr>
                <w:rFonts w:hint="eastAsia" w:hAnsi="宋体" w:eastAsia="宋体" w:cs="宋体"/>
                <w:color w:val="auto"/>
                <w:sz w:val="21"/>
                <w:highlight w:val="none"/>
              </w:rPr>
            </w:pPr>
          </w:p>
        </w:tc>
        <w:tc>
          <w:tcPr>
            <w:tcW w:w="4647" w:type="dxa"/>
            <w:noWrap w:val="0"/>
            <w:vAlign w:val="center"/>
          </w:tcPr>
          <w:p w14:paraId="5C7F80E8">
            <w:pPr>
              <w:shd w:val="clear" w:color="auto" w:fill="auto"/>
              <w:rPr>
                <w:rFonts w:hint="eastAsia" w:hAnsi="宋体" w:eastAsia="宋体" w:cs="宋体"/>
                <w:color w:val="auto"/>
                <w:sz w:val="21"/>
                <w:highlight w:val="none"/>
              </w:rPr>
            </w:pPr>
          </w:p>
        </w:tc>
        <w:tc>
          <w:tcPr>
            <w:tcW w:w="1575" w:type="dxa"/>
            <w:noWrap w:val="0"/>
            <w:vAlign w:val="center"/>
          </w:tcPr>
          <w:p w14:paraId="4B5D699E">
            <w:pPr>
              <w:shd w:val="clear" w:color="auto" w:fill="auto"/>
              <w:jc w:val="center"/>
              <w:rPr>
                <w:rFonts w:hint="eastAsia" w:hAnsi="宋体" w:eastAsia="宋体" w:cs="宋体"/>
                <w:color w:val="auto"/>
                <w:sz w:val="21"/>
                <w:highlight w:val="none"/>
              </w:rPr>
            </w:pPr>
          </w:p>
        </w:tc>
        <w:tc>
          <w:tcPr>
            <w:tcW w:w="1185" w:type="dxa"/>
            <w:noWrap w:val="0"/>
            <w:vAlign w:val="center"/>
          </w:tcPr>
          <w:p w14:paraId="4BA8A1A1">
            <w:pPr>
              <w:shd w:val="clear" w:color="auto" w:fill="auto"/>
              <w:jc w:val="center"/>
              <w:rPr>
                <w:rFonts w:hint="eastAsia" w:hAnsi="宋体" w:eastAsia="宋体" w:cs="宋体"/>
                <w:color w:val="auto"/>
                <w:sz w:val="21"/>
                <w:highlight w:val="none"/>
              </w:rPr>
            </w:pPr>
          </w:p>
        </w:tc>
      </w:tr>
    </w:tbl>
    <w:p w14:paraId="51DFCDCC">
      <w:pPr>
        <w:shd w:val="clear" w:color="auto" w:fill="auto"/>
        <w:snapToGrid w:val="0"/>
        <w:spacing w:before="50"/>
        <w:rPr>
          <w:rFonts w:hAnsi="宋体" w:eastAsia="宋体" w:cs="宋体"/>
          <w:color w:val="auto"/>
          <w:sz w:val="21"/>
          <w:highlight w:val="none"/>
        </w:rPr>
      </w:pPr>
      <w:r>
        <w:rPr>
          <w:rFonts w:hint="eastAsia" w:hAnsi="宋体" w:eastAsia="宋体" w:cs="宋体"/>
          <w:color w:val="auto"/>
          <w:sz w:val="21"/>
          <w:highlight w:val="none"/>
        </w:rPr>
        <w:t>注：供应商须按“第</w:t>
      </w:r>
      <w:r>
        <w:rPr>
          <w:rFonts w:hint="eastAsia" w:hAnsi="宋体" w:eastAsia="宋体" w:cs="宋体"/>
          <w:color w:val="auto"/>
          <w:sz w:val="21"/>
          <w:highlight w:val="none"/>
          <w:lang w:val="en-US" w:eastAsia="zh-CN"/>
        </w:rPr>
        <w:t>三</w:t>
      </w:r>
      <w:r>
        <w:rPr>
          <w:rFonts w:hint="eastAsia" w:hAnsi="宋体" w:eastAsia="宋体" w:cs="宋体"/>
          <w:color w:val="auto"/>
          <w:sz w:val="21"/>
          <w:highlight w:val="none"/>
        </w:rPr>
        <w:t>章 项目需求商务要求逐项填写，并根据“第</w:t>
      </w:r>
      <w:r>
        <w:rPr>
          <w:rFonts w:hint="eastAsia" w:hAnsi="宋体" w:eastAsia="宋体" w:cs="宋体"/>
          <w:color w:val="auto"/>
          <w:sz w:val="21"/>
          <w:highlight w:val="none"/>
          <w:lang w:val="en-US" w:eastAsia="zh-CN"/>
        </w:rPr>
        <w:t>五</w:t>
      </w:r>
      <w:r>
        <w:rPr>
          <w:rFonts w:hint="eastAsia" w:hAnsi="宋体" w:eastAsia="宋体" w:cs="宋体"/>
          <w:color w:val="auto"/>
          <w:sz w:val="21"/>
          <w:highlight w:val="none"/>
        </w:rPr>
        <w:t>章 合同条款及格式”内容自行补充。无偏离应在本表空白处醒目地注明“无偏离”的字样。</w:t>
      </w:r>
    </w:p>
    <w:p w14:paraId="32F5A432">
      <w:pPr>
        <w:shd w:val="clear" w:color="auto" w:fill="auto"/>
        <w:snapToGrid w:val="0"/>
        <w:spacing w:before="50"/>
        <w:rPr>
          <w:rFonts w:hint="eastAsia" w:hAnsi="宋体" w:eastAsia="宋体" w:cs="宋体"/>
          <w:color w:val="auto"/>
          <w:sz w:val="21"/>
          <w:highlight w:val="none"/>
        </w:rPr>
      </w:pPr>
    </w:p>
    <w:p w14:paraId="02DB9D12">
      <w:pPr>
        <w:shd w:val="clear" w:color="auto" w:fill="auto"/>
        <w:snapToGrid w:val="0"/>
        <w:spacing w:before="50"/>
        <w:ind w:firstLine="4200" w:firstLineChars="2000"/>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供应商名称（公章）：</w:t>
      </w:r>
    </w:p>
    <w:p w14:paraId="1DB211E7">
      <w:pPr>
        <w:shd w:val="clear" w:color="auto" w:fill="auto"/>
        <w:snapToGrid w:val="0"/>
        <w:spacing w:before="50"/>
        <w:ind w:firstLine="4200" w:firstLineChars="20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年    月    日</w:t>
      </w:r>
    </w:p>
    <w:p w14:paraId="135C1A00">
      <w:pPr>
        <w:shd w:val="clear" w:color="auto" w:fill="auto"/>
        <w:adjustRightInd/>
        <w:jc w:val="left"/>
        <w:textAlignment w:val="auto"/>
        <w:rPr>
          <w:rFonts w:hint="eastAsia" w:hAnsi="宋体" w:eastAsia="宋体" w:cs="宋体"/>
          <w:b/>
          <w:color w:val="auto"/>
          <w:sz w:val="21"/>
          <w:highlight w:val="none"/>
          <w:lang w:bidi="ar"/>
        </w:rPr>
      </w:pPr>
    </w:p>
    <w:p w14:paraId="5E069F73">
      <w:pPr>
        <w:shd w:val="clear" w:color="auto" w:fill="auto"/>
        <w:adjustRightInd/>
        <w:jc w:val="left"/>
        <w:textAlignment w:val="auto"/>
        <w:rPr>
          <w:rFonts w:hint="eastAsia" w:hAnsi="宋体" w:eastAsia="宋体" w:cs="宋体"/>
          <w:b/>
          <w:color w:val="auto"/>
          <w:sz w:val="21"/>
          <w:highlight w:val="none"/>
          <w:lang w:bidi="ar"/>
        </w:rPr>
      </w:pPr>
    </w:p>
    <w:p w14:paraId="32BCD9C8">
      <w:pPr>
        <w:shd w:val="clear" w:color="auto" w:fill="auto"/>
        <w:adjustRightInd/>
        <w:jc w:val="left"/>
        <w:textAlignment w:val="auto"/>
        <w:rPr>
          <w:rFonts w:hint="eastAsia" w:hAnsi="宋体" w:eastAsia="宋体" w:cs="宋体"/>
          <w:b/>
          <w:color w:val="auto"/>
          <w:sz w:val="21"/>
          <w:highlight w:val="none"/>
          <w:lang w:bidi="ar"/>
        </w:rPr>
      </w:pPr>
    </w:p>
    <w:p w14:paraId="4019687E">
      <w:pPr>
        <w:shd w:val="clear" w:color="auto" w:fill="auto"/>
        <w:adjustRightInd/>
        <w:jc w:val="left"/>
        <w:textAlignment w:val="auto"/>
        <w:rPr>
          <w:rFonts w:hint="eastAsia" w:hAnsi="宋体" w:eastAsia="宋体" w:cs="宋体"/>
          <w:b/>
          <w:color w:val="auto"/>
          <w:sz w:val="21"/>
          <w:highlight w:val="none"/>
          <w:lang w:bidi="ar"/>
        </w:rPr>
      </w:pPr>
    </w:p>
    <w:p w14:paraId="6281A04D">
      <w:pPr>
        <w:shd w:val="clear" w:color="auto" w:fill="auto"/>
        <w:adjustRightInd/>
        <w:jc w:val="left"/>
        <w:textAlignment w:val="auto"/>
        <w:rPr>
          <w:rFonts w:hint="eastAsia" w:hAnsi="宋体" w:eastAsia="宋体" w:cs="宋体"/>
          <w:b/>
          <w:color w:val="auto"/>
          <w:sz w:val="21"/>
          <w:highlight w:val="none"/>
          <w:lang w:bidi="ar"/>
        </w:rPr>
      </w:pPr>
      <w:r>
        <w:rPr>
          <w:rFonts w:hint="eastAsia" w:hAnsi="宋体" w:eastAsia="宋体" w:cs="宋体"/>
          <w:b/>
          <w:color w:val="auto"/>
          <w:sz w:val="21"/>
          <w:highlight w:val="none"/>
          <w:lang w:bidi="ar"/>
        </w:rPr>
        <w:t>（6）技术部分：针对本项目第</w:t>
      </w:r>
      <w:r>
        <w:rPr>
          <w:rFonts w:hint="eastAsia" w:hAnsi="宋体" w:eastAsia="宋体" w:cs="宋体"/>
          <w:b/>
          <w:color w:val="auto"/>
          <w:sz w:val="21"/>
          <w:highlight w:val="none"/>
          <w:lang w:val="en-US" w:eastAsia="zh-CN" w:bidi="ar"/>
        </w:rPr>
        <w:t>三</w:t>
      </w:r>
      <w:r>
        <w:rPr>
          <w:rFonts w:hint="eastAsia" w:hAnsi="宋体" w:eastAsia="宋体" w:cs="宋体"/>
          <w:b/>
          <w:color w:val="auto"/>
          <w:sz w:val="21"/>
          <w:highlight w:val="none"/>
          <w:lang w:bidi="ar"/>
        </w:rPr>
        <w:t>章项目需求和</w:t>
      </w:r>
      <w:r>
        <w:rPr>
          <w:rFonts w:hint="eastAsia" w:hAnsi="宋体" w:eastAsia="宋体" w:cs="宋体"/>
          <w:b/>
          <w:color w:val="auto"/>
          <w:sz w:val="21"/>
          <w:highlight w:val="none"/>
          <w:lang w:eastAsia="zh-CN" w:bidi="ar"/>
        </w:rPr>
        <w:t>第四章</w:t>
      </w:r>
      <w:r>
        <w:rPr>
          <w:rFonts w:hint="eastAsia" w:hAnsi="宋体" w:eastAsia="宋体" w:cs="宋体"/>
          <w:b/>
          <w:color w:val="auto"/>
          <w:sz w:val="21"/>
          <w:highlight w:val="none"/>
          <w:lang w:bidi="ar"/>
        </w:rPr>
        <w:t>评审标准中的条款拟定完整方案，格式自拟；</w:t>
      </w:r>
    </w:p>
    <w:p w14:paraId="4D31DC6A">
      <w:pPr>
        <w:shd w:val="clear" w:color="auto" w:fill="auto"/>
        <w:adjustRightInd/>
        <w:jc w:val="left"/>
        <w:textAlignment w:val="auto"/>
        <w:rPr>
          <w:rFonts w:hint="eastAsia" w:hAnsi="宋体" w:eastAsia="宋体" w:cs="宋体"/>
          <w:b/>
          <w:color w:val="auto"/>
          <w:sz w:val="21"/>
          <w:highlight w:val="none"/>
          <w:lang w:bidi="ar"/>
        </w:rPr>
      </w:pPr>
    </w:p>
    <w:p w14:paraId="169DB7E8">
      <w:pPr>
        <w:shd w:val="clear" w:color="auto" w:fill="auto"/>
        <w:adjustRightInd/>
        <w:jc w:val="left"/>
        <w:textAlignment w:val="auto"/>
        <w:rPr>
          <w:rFonts w:hint="eastAsia" w:hAnsi="宋体" w:eastAsia="宋体" w:cs="宋体"/>
          <w:b/>
          <w:bCs/>
          <w:color w:val="auto"/>
          <w:sz w:val="21"/>
          <w:highlight w:val="none"/>
          <w:lang w:bidi="ar"/>
        </w:rPr>
      </w:pPr>
      <w:r>
        <w:rPr>
          <w:rFonts w:hint="eastAsia" w:hAnsi="宋体" w:eastAsia="宋体" w:cs="宋体"/>
          <w:b/>
          <w:color w:val="auto"/>
          <w:sz w:val="21"/>
          <w:highlight w:val="none"/>
          <w:lang w:bidi="ar"/>
        </w:rPr>
        <w:t>（7）业绩一览表</w:t>
      </w:r>
    </w:p>
    <w:p w14:paraId="40B4DA91">
      <w:pPr>
        <w:pStyle w:val="13"/>
        <w:shd w:val="clear" w:color="auto" w:fill="auto"/>
        <w:snapToGrid w:val="0"/>
        <w:ind w:left="420"/>
        <w:jc w:val="center"/>
        <w:rPr>
          <w:rFonts w:hint="eastAsia" w:ascii="宋体" w:hAnsi="宋体" w:cs="宋体"/>
          <w:b/>
          <w:bCs/>
          <w:color w:val="auto"/>
          <w:highlight w:val="none"/>
          <w:lang w:bidi="ar"/>
        </w:rPr>
      </w:pPr>
      <w:r>
        <w:rPr>
          <w:rFonts w:hint="eastAsia" w:ascii="宋体" w:hAnsi="宋体" w:cs="宋体"/>
          <w:b/>
          <w:bCs/>
          <w:color w:val="auto"/>
          <w:highlight w:val="none"/>
          <w:lang w:bidi="ar"/>
        </w:rPr>
        <w:t>业绩一览表</w:t>
      </w:r>
    </w:p>
    <w:p w14:paraId="0D624977">
      <w:pPr>
        <w:shd w:val="clear" w:color="auto" w:fill="auto"/>
        <w:tabs>
          <w:tab w:val="left" w:pos="3165"/>
        </w:tabs>
        <w:rPr>
          <w:rFonts w:hint="eastAsia" w:hAnsi="宋体" w:eastAsia="宋体" w:cs="宋体"/>
          <w:color w:val="auto"/>
          <w:sz w:val="21"/>
          <w:highlight w:val="none"/>
        </w:rPr>
      </w:pPr>
      <w:r>
        <w:rPr>
          <w:rFonts w:hint="eastAsia" w:hAnsi="宋体" w:eastAsia="宋体" w:cs="宋体"/>
          <w:color w:val="auto"/>
          <w:sz w:val="21"/>
          <w:highlight w:val="none"/>
        </w:rPr>
        <w:t>项目编号</w:t>
      </w:r>
      <w:r>
        <w:rPr>
          <w:rFonts w:hint="eastAsia" w:hAnsi="宋体" w:eastAsia="宋体" w:cs="宋体"/>
          <w:color w:val="auto"/>
          <w:sz w:val="21"/>
          <w:highlight w:val="none"/>
          <w:u w:val="none"/>
        </w:rPr>
        <w:t xml:space="preserve">：                         </w:t>
      </w:r>
      <w:r>
        <w:rPr>
          <w:rFonts w:hint="eastAsia" w:hAnsi="宋体" w:eastAsia="宋体" w:cs="宋体"/>
          <w:color w:val="auto"/>
          <w:sz w:val="21"/>
          <w:highlight w:val="none"/>
        </w:rPr>
        <w:t xml:space="preserve">项目名称：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6B3B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3865CB42">
            <w:pPr>
              <w:shd w:val="clear" w:color="auto" w:fill="auto"/>
              <w:tabs>
                <w:tab w:val="left" w:pos="3165"/>
              </w:tabs>
              <w:rPr>
                <w:rFonts w:hint="eastAsia" w:hAnsi="宋体" w:eastAsia="宋体" w:cs="宋体"/>
                <w:color w:val="auto"/>
                <w:sz w:val="21"/>
                <w:highlight w:val="none"/>
              </w:rPr>
            </w:pPr>
            <w:r>
              <w:rPr>
                <w:rFonts w:hint="eastAsia" w:hAnsi="宋体" w:eastAsia="宋体" w:cs="宋体"/>
                <w:color w:val="auto"/>
                <w:sz w:val="21"/>
                <w:highlight w:val="none"/>
              </w:rPr>
              <w:t>序号</w:t>
            </w:r>
          </w:p>
        </w:tc>
        <w:tc>
          <w:tcPr>
            <w:tcW w:w="1895" w:type="dxa"/>
            <w:noWrap w:val="0"/>
            <w:vAlign w:val="center"/>
          </w:tcPr>
          <w:p w14:paraId="40499ED4">
            <w:pPr>
              <w:shd w:val="clear" w:color="auto" w:fill="auto"/>
              <w:tabs>
                <w:tab w:val="left" w:pos="3165"/>
              </w:tabs>
              <w:jc w:val="center"/>
              <w:rPr>
                <w:rFonts w:hint="eastAsia" w:hAnsi="宋体" w:eastAsia="宋体" w:cs="宋体"/>
                <w:color w:val="auto"/>
                <w:sz w:val="21"/>
                <w:highlight w:val="none"/>
              </w:rPr>
            </w:pPr>
            <w:r>
              <w:rPr>
                <w:rFonts w:hint="eastAsia" w:hAnsi="宋体" w:eastAsia="宋体" w:cs="宋体"/>
                <w:color w:val="auto"/>
                <w:sz w:val="21"/>
                <w:highlight w:val="none"/>
              </w:rPr>
              <w:t>项目名称</w:t>
            </w:r>
          </w:p>
        </w:tc>
        <w:tc>
          <w:tcPr>
            <w:tcW w:w="1267" w:type="dxa"/>
            <w:noWrap w:val="0"/>
            <w:vAlign w:val="center"/>
          </w:tcPr>
          <w:p w14:paraId="7FD4F412">
            <w:pPr>
              <w:shd w:val="clear" w:color="auto" w:fill="auto"/>
              <w:tabs>
                <w:tab w:val="left" w:pos="3165"/>
              </w:tabs>
              <w:rPr>
                <w:rFonts w:hint="eastAsia" w:hAnsi="宋体" w:eastAsia="宋体" w:cs="宋体"/>
                <w:color w:val="auto"/>
                <w:sz w:val="21"/>
                <w:highlight w:val="none"/>
              </w:rPr>
            </w:pPr>
            <w:r>
              <w:rPr>
                <w:rFonts w:hint="eastAsia" w:hAnsi="宋体" w:eastAsia="宋体" w:cs="宋体"/>
                <w:color w:val="auto"/>
                <w:sz w:val="21"/>
                <w:highlight w:val="none"/>
              </w:rPr>
              <w:t>业主单位</w:t>
            </w:r>
          </w:p>
        </w:tc>
        <w:tc>
          <w:tcPr>
            <w:tcW w:w="1267" w:type="dxa"/>
            <w:noWrap w:val="0"/>
            <w:vAlign w:val="center"/>
          </w:tcPr>
          <w:p w14:paraId="4541A00F">
            <w:pPr>
              <w:shd w:val="clear" w:color="auto" w:fill="auto"/>
              <w:tabs>
                <w:tab w:val="left" w:pos="3165"/>
              </w:tabs>
              <w:rPr>
                <w:rFonts w:hint="eastAsia" w:hAnsi="宋体" w:eastAsia="宋体" w:cs="宋体"/>
                <w:color w:val="auto"/>
                <w:sz w:val="21"/>
                <w:highlight w:val="none"/>
              </w:rPr>
            </w:pPr>
            <w:r>
              <w:rPr>
                <w:rFonts w:hint="eastAsia" w:hAnsi="宋体" w:eastAsia="宋体" w:cs="宋体"/>
                <w:color w:val="auto"/>
                <w:sz w:val="21"/>
                <w:highlight w:val="none"/>
              </w:rPr>
              <w:t>合同金额</w:t>
            </w:r>
          </w:p>
        </w:tc>
        <w:tc>
          <w:tcPr>
            <w:tcW w:w="1741" w:type="dxa"/>
            <w:noWrap w:val="0"/>
            <w:vAlign w:val="center"/>
          </w:tcPr>
          <w:p w14:paraId="3426495B">
            <w:pPr>
              <w:shd w:val="clear" w:color="auto" w:fill="auto"/>
              <w:tabs>
                <w:tab w:val="left" w:pos="3165"/>
              </w:tabs>
              <w:rPr>
                <w:rFonts w:hint="eastAsia" w:hAnsi="宋体" w:eastAsia="宋体" w:cs="宋体"/>
                <w:color w:val="auto"/>
                <w:sz w:val="21"/>
                <w:highlight w:val="none"/>
              </w:rPr>
            </w:pPr>
            <w:r>
              <w:rPr>
                <w:rFonts w:hint="eastAsia" w:hAnsi="宋体" w:eastAsia="宋体" w:cs="宋体"/>
                <w:color w:val="auto"/>
                <w:sz w:val="21"/>
                <w:highlight w:val="none"/>
              </w:rPr>
              <w:t>合同签订日期</w:t>
            </w:r>
          </w:p>
        </w:tc>
        <w:tc>
          <w:tcPr>
            <w:tcW w:w="1986" w:type="dxa"/>
            <w:noWrap w:val="0"/>
            <w:vAlign w:val="center"/>
          </w:tcPr>
          <w:p w14:paraId="43B2052F">
            <w:pPr>
              <w:shd w:val="clear" w:color="auto" w:fill="auto"/>
              <w:tabs>
                <w:tab w:val="left" w:pos="3165"/>
              </w:tabs>
              <w:jc w:val="center"/>
              <w:rPr>
                <w:rFonts w:hint="eastAsia" w:hAnsi="宋体" w:eastAsia="宋体" w:cs="宋体"/>
                <w:color w:val="auto"/>
                <w:sz w:val="21"/>
                <w:highlight w:val="none"/>
              </w:rPr>
            </w:pPr>
            <w:r>
              <w:rPr>
                <w:rFonts w:hint="eastAsia" w:hAnsi="宋体" w:eastAsia="宋体" w:cs="宋体"/>
                <w:color w:val="auto"/>
                <w:sz w:val="21"/>
                <w:highlight w:val="none"/>
              </w:rPr>
              <w:t>联系人/电话</w:t>
            </w:r>
          </w:p>
        </w:tc>
      </w:tr>
      <w:tr w14:paraId="273E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11BF41BB">
            <w:pPr>
              <w:shd w:val="clear" w:color="auto" w:fill="auto"/>
              <w:tabs>
                <w:tab w:val="left" w:pos="3165"/>
              </w:tabs>
              <w:ind w:firstLine="420"/>
              <w:rPr>
                <w:rFonts w:hint="eastAsia" w:hAnsi="宋体" w:eastAsia="宋体" w:cs="宋体"/>
                <w:color w:val="auto"/>
                <w:sz w:val="21"/>
                <w:highlight w:val="none"/>
              </w:rPr>
            </w:pPr>
          </w:p>
        </w:tc>
        <w:tc>
          <w:tcPr>
            <w:tcW w:w="1895" w:type="dxa"/>
            <w:noWrap w:val="0"/>
            <w:vAlign w:val="top"/>
          </w:tcPr>
          <w:p w14:paraId="1C889713">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262F50A6">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1220ECD0">
            <w:pPr>
              <w:shd w:val="clear" w:color="auto" w:fill="auto"/>
              <w:tabs>
                <w:tab w:val="left" w:pos="3165"/>
              </w:tabs>
              <w:ind w:firstLine="420"/>
              <w:rPr>
                <w:rFonts w:hint="eastAsia" w:hAnsi="宋体" w:eastAsia="宋体" w:cs="宋体"/>
                <w:color w:val="auto"/>
                <w:sz w:val="21"/>
                <w:highlight w:val="none"/>
              </w:rPr>
            </w:pPr>
          </w:p>
        </w:tc>
        <w:tc>
          <w:tcPr>
            <w:tcW w:w="1741" w:type="dxa"/>
            <w:noWrap w:val="0"/>
            <w:vAlign w:val="top"/>
          </w:tcPr>
          <w:p w14:paraId="64CE3118">
            <w:pPr>
              <w:shd w:val="clear" w:color="auto" w:fill="auto"/>
              <w:tabs>
                <w:tab w:val="left" w:pos="3165"/>
              </w:tabs>
              <w:ind w:firstLine="420"/>
              <w:rPr>
                <w:rFonts w:hint="eastAsia" w:hAnsi="宋体" w:eastAsia="宋体" w:cs="宋体"/>
                <w:color w:val="auto"/>
                <w:sz w:val="21"/>
                <w:highlight w:val="none"/>
              </w:rPr>
            </w:pPr>
          </w:p>
        </w:tc>
        <w:tc>
          <w:tcPr>
            <w:tcW w:w="1986" w:type="dxa"/>
            <w:noWrap w:val="0"/>
            <w:vAlign w:val="top"/>
          </w:tcPr>
          <w:p w14:paraId="3B236382">
            <w:pPr>
              <w:shd w:val="clear" w:color="auto" w:fill="auto"/>
              <w:tabs>
                <w:tab w:val="left" w:pos="3165"/>
              </w:tabs>
              <w:ind w:firstLine="420"/>
              <w:rPr>
                <w:rFonts w:hint="eastAsia" w:hAnsi="宋体" w:eastAsia="宋体" w:cs="宋体"/>
                <w:color w:val="auto"/>
                <w:sz w:val="21"/>
                <w:highlight w:val="none"/>
              </w:rPr>
            </w:pPr>
          </w:p>
        </w:tc>
      </w:tr>
      <w:tr w14:paraId="63DF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73FC6797">
            <w:pPr>
              <w:shd w:val="clear" w:color="auto" w:fill="auto"/>
              <w:tabs>
                <w:tab w:val="left" w:pos="3165"/>
              </w:tabs>
              <w:ind w:firstLine="420"/>
              <w:rPr>
                <w:rFonts w:hint="eastAsia" w:hAnsi="宋体" w:eastAsia="宋体" w:cs="宋体"/>
                <w:color w:val="auto"/>
                <w:sz w:val="21"/>
                <w:highlight w:val="none"/>
              </w:rPr>
            </w:pPr>
          </w:p>
        </w:tc>
        <w:tc>
          <w:tcPr>
            <w:tcW w:w="1895" w:type="dxa"/>
            <w:noWrap w:val="0"/>
            <w:vAlign w:val="top"/>
          </w:tcPr>
          <w:p w14:paraId="7601442A">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602CBD94">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50C6B706">
            <w:pPr>
              <w:shd w:val="clear" w:color="auto" w:fill="auto"/>
              <w:tabs>
                <w:tab w:val="left" w:pos="3165"/>
              </w:tabs>
              <w:ind w:firstLine="420"/>
              <w:rPr>
                <w:rFonts w:hint="eastAsia" w:hAnsi="宋体" w:eastAsia="宋体" w:cs="宋体"/>
                <w:color w:val="auto"/>
                <w:sz w:val="21"/>
                <w:highlight w:val="none"/>
              </w:rPr>
            </w:pPr>
          </w:p>
        </w:tc>
        <w:tc>
          <w:tcPr>
            <w:tcW w:w="1741" w:type="dxa"/>
            <w:noWrap w:val="0"/>
            <w:vAlign w:val="top"/>
          </w:tcPr>
          <w:p w14:paraId="1FFE9639">
            <w:pPr>
              <w:shd w:val="clear" w:color="auto" w:fill="auto"/>
              <w:tabs>
                <w:tab w:val="left" w:pos="3165"/>
              </w:tabs>
              <w:ind w:firstLine="420"/>
              <w:rPr>
                <w:rFonts w:hint="eastAsia" w:hAnsi="宋体" w:eastAsia="宋体" w:cs="宋体"/>
                <w:color w:val="auto"/>
                <w:sz w:val="21"/>
                <w:highlight w:val="none"/>
              </w:rPr>
            </w:pPr>
          </w:p>
        </w:tc>
        <w:tc>
          <w:tcPr>
            <w:tcW w:w="1986" w:type="dxa"/>
            <w:noWrap w:val="0"/>
            <w:vAlign w:val="top"/>
          </w:tcPr>
          <w:p w14:paraId="672121AE">
            <w:pPr>
              <w:shd w:val="clear" w:color="auto" w:fill="auto"/>
              <w:tabs>
                <w:tab w:val="left" w:pos="3165"/>
              </w:tabs>
              <w:ind w:firstLine="420"/>
              <w:rPr>
                <w:rFonts w:hint="eastAsia" w:hAnsi="宋体" w:eastAsia="宋体" w:cs="宋体"/>
                <w:color w:val="auto"/>
                <w:sz w:val="21"/>
                <w:highlight w:val="none"/>
              </w:rPr>
            </w:pPr>
          </w:p>
        </w:tc>
      </w:tr>
      <w:tr w14:paraId="009D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4DAF5793">
            <w:pPr>
              <w:shd w:val="clear" w:color="auto" w:fill="auto"/>
              <w:tabs>
                <w:tab w:val="left" w:pos="3165"/>
              </w:tabs>
              <w:ind w:firstLine="420"/>
              <w:rPr>
                <w:rFonts w:hint="eastAsia" w:hAnsi="宋体" w:eastAsia="宋体" w:cs="宋体"/>
                <w:color w:val="auto"/>
                <w:sz w:val="21"/>
                <w:highlight w:val="none"/>
              </w:rPr>
            </w:pPr>
          </w:p>
        </w:tc>
        <w:tc>
          <w:tcPr>
            <w:tcW w:w="1895" w:type="dxa"/>
            <w:noWrap w:val="0"/>
            <w:vAlign w:val="top"/>
          </w:tcPr>
          <w:p w14:paraId="4C14974B">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01E733D8">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2CB0FB63">
            <w:pPr>
              <w:shd w:val="clear" w:color="auto" w:fill="auto"/>
              <w:tabs>
                <w:tab w:val="left" w:pos="3165"/>
              </w:tabs>
              <w:ind w:firstLine="420"/>
              <w:rPr>
                <w:rFonts w:hint="eastAsia" w:hAnsi="宋体" w:eastAsia="宋体" w:cs="宋体"/>
                <w:color w:val="auto"/>
                <w:sz w:val="21"/>
                <w:highlight w:val="none"/>
              </w:rPr>
            </w:pPr>
          </w:p>
        </w:tc>
        <w:tc>
          <w:tcPr>
            <w:tcW w:w="1741" w:type="dxa"/>
            <w:noWrap w:val="0"/>
            <w:vAlign w:val="top"/>
          </w:tcPr>
          <w:p w14:paraId="7D274C94">
            <w:pPr>
              <w:shd w:val="clear" w:color="auto" w:fill="auto"/>
              <w:tabs>
                <w:tab w:val="left" w:pos="3165"/>
              </w:tabs>
              <w:ind w:firstLine="420"/>
              <w:rPr>
                <w:rFonts w:hint="eastAsia" w:hAnsi="宋体" w:eastAsia="宋体" w:cs="宋体"/>
                <w:color w:val="auto"/>
                <w:sz w:val="21"/>
                <w:highlight w:val="none"/>
              </w:rPr>
            </w:pPr>
          </w:p>
        </w:tc>
        <w:tc>
          <w:tcPr>
            <w:tcW w:w="1986" w:type="dxa"/>
            <w:noWrap w:val="0"/>
            <w:vAlign w:val="top"/>
          </w:tcPr>
          <w:p w14:paraId="65C0B2AB">
            <w:pPr>
              <w:shd w:val="clear" w:color="auto" w:fill="auto"/>
              <w:tabs>
                <w:tab w:val="left" w:pos="3165"/>
              </w:tabs>
              <w:ind w:firstLine="420"/>
              <w:rPr>
                <w:rFonts w:hint="eastAsia" w:hAnsi="宋体" w:eastAsia="宋体" w:cs="宋体"/>
                <w:color w:val="auto"/>
                <w:sz w:val="21"/>
                <w:highlight w:val="none"/>
              </w:rPr>
            </w:pPr>
          </w:p>
        </w:tc>
      </w:tr>
      <w:tr w14:paraId="0F3B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34235EB8">
            <w:pPr>
              <w:shd w:val="clear" w:color="auto" w:fill="auto"/>
              <w:tabs>
                <w:tab w:val="left" w:pos="3165"/>
              </w:tabs>
              <w:ind w:firstLine="420"/>
              <w:rPr>
                <w:rFonts w:hint="eastAsia" w:hAnsi="宋体" w:eastAsia="宋体" w:cs="宋体"/>
                <w:color w:val="auto"/>
                <w:sz w:val="21"/>
                <w:highlight w:val="none"/>
              </w:rPr>
            </w:pPr>
          </w:p>
        </w:tc>
        <w:tc>
          <w:tcPr>
            <w:tcW w:w="1895" w:type="dxa"/>
            <w:noWrap w:val="0"/>
            <w:vAlign w:val="top"/>
          </w:tcPr>
          <w:p w14:paraId="190C3AE0">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2DEA36F9">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06EAC736">
            <w:pPr>
              <w:shd w:val="clear" w:color="auto" w:fill="auto"/>
              <w:tabs>
                <w:tab w:val="left" w:pos="3165"/>
              </w:tabs>
              <w:ind w:firstLine="420"/>
              <w:rPr>
                <w:rFonts w:hint="eastAsia" w:hAnsi="宋体" w:eastAsia="宋体" w:cs="宋体"/>
                <w:color w:val="auto"/>
                <w:sz w:val="21"/>
                <w:highlight w:val="none"/>
              </w:rPr>
            </w:pPr>
          </w:p>
        </w:tc>
        <w:tc>
          <w:tcPr>
            <w:tcW w:w="1741" w:type="dxa"/>
            <w:noWrap w:val="0"/>
            <w:vAlign w:val="top"/>
          </w:tcPr>
          <w:p w14:paraId="55F22C86">
            <w:pPr>
              <w:shd w:val="clear" w:color="auto" w:fill="auto"/>
              <w:tabs>
                <w:tab w:val="left" w:pos="3165"/>
              </w:tabs>
              <w:ind w:firstLine="420"/>
              <w:rPr>
                <w:rFonts w:hint="eastAsia" w:hAnsi="宋体" w:eastAsia="宋体" w:cs="宋体"/>
                <w:color w:val="auto"/>
                <w:sz w:val="21"/>
                <w:highlight w:val="none"/>
              </w:rPr>
            </w:pPr>
          </w:p>
        </w:tc>
        <w:tc>
          <w:tcPr>
            <w:tcW w:w="1986" w:type="dxa"/>
            <w:noWrap w:val="0"/>
            <w:vAlign w:val="top"/>
          </w:tcPr>
          <w:p w14:paraId="75870C1C">
            <w:pPr>
              <w:shd w:val="clear" w:color="auto" w:fill="auto"/>
              <w:tabs>
                <w:tab w:val="left" w:pos="3165"/>
              </w:tabs>
              <w:ind w:firstLine="420"/>
              <w:rPr>
                <w:rFonts w:hint="eastAsia" w:hAnsi="宋体" w:eastAsia="宋体" w:cs="宋体"/>
                <w:color w:val="auto"/>
                <w:sz w:val="21"/>
                <w:highlight w:val="none"/>
              </w:rPr>
            </w:pPr>
          </w:p>
        </w:tc>
      </w:tr>
      <w:tr w14:paraId="1280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7257DA7D">
            <w:pPr>
              <w:shd w:val="clear" w:color="auto" w:fill="auto"/>
              <w:tabs>
                <w:tab w:val="left" w:pos="3165"/>
              </w:tabs>
              <w:ind w:firstLine="420"/>
              <w:rPr>
                <w:rFonts w:hint="eastAsia" w:hAnsi="宋体" w:eastAsia="宋体" w:cs="宋体"/>
                <w:color w:val="auto"/>
                <w:sz w:val="21"/>
                <w:highlight w:val="none"/>
              </w:rPr>
            </w:pPr>
          </w:p>
        </w:tc>
        <w:tc>
          <w:tcPr>
            <w:tcW w:w="1895" w:type="dxa"/>
            <w:noWrap w:val="0"/>
            <w:vAlign w:val="top"/>
          </w:tcPr>
          <w:p w14:paraId="7603ADC5">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7A4E08EC">
            <w:pPr>
              <w:shd w:val="clear" w:color="auto" w:fill="auto"/>
              <w:tabs>
                <w:tab w:val="left" w:pos="3165"/>
              </w:tabs>
              <w:ind w:firstLine="420"/>
              <w:rPr>
                <w:rFonts w:hint="eastAsia" w:hAnsi="宋体" w:eastAsia="宋体" w:cs="宋体"/>
                <w:color w:val="auto"/>
                <w:sz w:val="21"/>
                <w:highlight w:val="none"/>
              </w:rPr>
            </w:pPr>
          </w:p>
        </w:tc>
        <w:tc>
          <w:tcPr>
            <w:tcW w:w="1267" w:type="dxa"/>
            <w:noWrap w:val="0"/>
            <w:vAlign w:val="top"/>
          </w:tcPr>
          <w:p w14:paraId="42DF09F1">
            <w:pPr>
              <w:shd w:val="clear" w:color="auto" w:fill="auto"/>
              <w:tabs>
                <w:tab w:val="left" w:pos="3165"/>
              </w:tabs>
              <w:ind w:firstLine="420"/>
              <w:rPr>
                <w:rFonts w:hint="eastAsia" w:hAnsi="宋体" w:eastAsia="宋体" w:cs="宋体"/>
                <w:color w:val="auto"/>
                <w:sz w:val="21"/>
                <w:highlight w:val="none"/>
              </w:rPr>
            </w:pPr>
          </w:p>
        </w:tc>
        <w:tc>
          <w:tcPr>
            <w:tcW w:w="1741" w:type="dxa"/>
            <w:noWrap w:val="0"/>
            <w:vAlign w:val="top"/>
          </w:tcPr>
          <w:p w14:paraId="0435D0C1">
            <w:pPr>
              <w:shd w:val="clear" w:color="auto" w:fill="auto"/>
              <w:tabs>
                <w:tab w:val="left" w:pos="3165"/>
              </w:tabs>
              <w:ind w:firstLine="420"/>
              <w:rPr>
                <w:rFonts w:hint="eastAsia" w:hAnsi="宋体" w:eastAsia="宋体" w:cs="宋体"/>
                <w:color w:val="auto"/>
                <w:sz w:val="21"/>
                <w:highlight w:val="none"/>
              </w:rPr>
            </w:pPr>
          </w:p>
        </w:tc>
        <w:tc>
          <w:tcPr>
            <w:tcW w:w="1986" w:type="dxa"/>
            <w:noWrap w:val="0"/>
            <w:vAlign w:val="top"/>
          </w:tcPr>
          <w:p w14:paraId="64107EBB">
            <w:pPr>
              <w:shd w:val="clear" w:color="auto" w:fill="auto"/>
              <w:tabs>
                <w:tab w:val="left" w:pos="3165"/>
              </w:tabs>
              <w:ind w:firstLine="420"/>
              <w:rPr>
                <w:rFonts w:hint="eastAsia" w:hAnsi="宋体" w:eastAsia="宋体" w:cs="宋体"/>
                <w:color w:val="auto"/>
                <w:sz w:val="21"/>
                <w:highlight w:val="none"/>
              </w:rPr>
            </w:pPr>
          </w:p>
        </w:tc>
      </w:tr>
    </w:tbl>
    <w:p w14:paraId="4D7FC47E">
      <w:pPr>
        <w:pStyle w:val="10"/>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注：响应文件中须提供符合“</w:t>
      </w:r>
      <w:r>
        <w:rPr>
          <w:rFonts w:hint="eastAsia" w:ascii="宋体" w:hAnsi="宋体" w:eastAsia="宋体" w:cs="宋体"/>
          <w:color w:val="auto"/>
          <w:sz w:val="21"/>
          <w:szCs w:val="21"/>
          <w:highlight w:val="none"/>
          <w:lang w:eastAsia="zh-CN"/>
        </w:rPr>
        <w:t>第四章</w:t>
      </w:r>
      <w:r>
        <w:rPr>
          <w:rFonts w:hint="eastAsia" w:ascii="宋体" w:hAnsi="宋体" w:eastAsia="宋体" w:cs="宋体"/>
          <w:color w:val="auto"/>
          <w:sz w:val="21"/>
          <w:szCs w:val="21"/>
          <w:highlight w:val="none"/>
        </w:rPr>
        <w:t xml:space="preserve"> 评审标准  四．评分标准”要求的证明材料复印件并加盖公章。</w:t>
      </w:r>
    </w:p>
    <w:p w14:paraId="3A505AE0">
      <w:pPr>
        <w:shd w:val="clear" w:color="auto" w:fill="auto"/>
        <w:snapToGrid w:val="0"/>
        <w:spacing w:before="50"/>
        <w:ind w:firstLine="4200" w:firstLineChars="2000"/>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供应商名称（公章）：</w:t>
      </w:r>
    </w:p>
    <w:p w14:paraId="6250847C">
      <w:pPr>
        <w:shd w:val="clear" w:color="auto" w:fill="auto"/>
        <w:snapToGrid w:val="0"/>
        <w:spacing w:before="50"/>
        <w:ind w:firstLine="4200" w:firstLineChars="20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年    月    日</w:t>
      </w:r>
    </w:p>
    <w:p w14:paraId="48D2CB6F">
      <w:pPr>
        <w:shd w:val="clear" w:color="auto" w:fill="auto"/>
        <w:snapToGrid w:val="0"/>
        <w:spacing w:before="156" w:beforeLines="50" w:after="50"/>
        <w:rPr>
          <w:rFonts w:hint="eastAsia" w:hAnsi="宋体" w:eastAsia="宋体" w:cs="宋体"/>
          <w:color w:val="auto"/>
          <w:highlight w:val="none"/>
        </w:rPr>
      </w:pPr>
      <w:r>
        <w:rPr>
          <w:rFonts w:hint="eastAsia" w:hAnsi="宋体" w:eastAsia="宋体" w:cs="宋体"/>
          <w:b/>
          <w:bCs/>
          <w:color w:val="auto"/>
          <w:sz w:val="21"/>
          <w:highlight w:val="none"/>
        </w:rPr>
        <w:t>（</w:t>
      </w:r>
      <w:r>
        <w:rPr>
          <w:rFonts w:hint="eastAsia" w:hAnsi="宋体" w:eastAsia="宋体" w:cs="宋体"/>
          <w:b/>
          <w:bCs/>
          <w:color w:val="auto"/>
          <w:sz w:val="21"/>
          <w:highlight w:val="none"/>
          <w:lang w:val="en-US" w:eastAsia="zh-CN"/>
        </w:rPr>
        <w:t>8</w:t>
      </w:r>
      <w:r>
        <w:rPr>
          <w:rFonts w:hint="eastAsia" w:hAnsi="宋体" w:eastAsia="宋体" w:cs="宋体"/>
          <w:b/>
          <w:bCs/>
          <w:color w:val="auto"/>
          <w:sz w:val="21"/>
          <w:highlight w:val="none"/>
        </w:rPr>
        <w:t>）供应商认为有需要提供的其它有关证明资料。</w:t>
      </w:r>
    </w:p>
    <w:p w14:paraId="1B802B2A">
      <w:pPr>
        <w:pStyle w:val="6"/>
        <w:numPr>
          <w:ilvl w:val="0"/>
          <w:numId w:val="0"/>
        </w:numPr>
        <w:shd w:val="clear" w:color="auto" w:fill="auto"/>
        <w:tabs>
          <w:tab w:val="left" w:pos="720"/>
        </w:tabs>
        <w:snapToGrid w:val="0"/>
        <w:spacing w:before="156" w:beforeLines="50"/>
        <w:rPr>
          <w:rFonts w:hint="eastAsia" w:ascii="宋体" w:hAnsi="宋体" w:eastAsia="宋体" w:cs="宋体"/>
          <w:color w:val="auto"/>
          <w:sz w:val="21"/>
          <w:highlight w:val="none"/>
        </w:rPr>
      </w:pPr>
      <w:r>
        <w:rPr>
          <w:rFonts w:hint="eastAsia" w:ascii="宋体" w:hAnsi="宋体" w:cs="宋体"/>
          <w:color w:val="auto"/>
          <w:highlight w:val="none"/>
        </w:rPr>
        <w:br w:type="page"/>
      </w:r>
      <w:r>
        <w:rPr>
          <w:rFonts w:hint="eastAsia" w:ascii="宋体" w:hAnsi="宋体" w:eastAsia="宋体" w:cs="宋体"/>
          <w:b/>
          <w:bCs/>
          <w:color w:val="auto"/>
          <w:sz w:val="21"/>
          <w:highlight w:val="none"/>
          <w:lang w:val="en-US" w:eastAsia="zh-CN"/>
        </w:rPr>
        <w:t>5.</w:t>
      </w:r>
      <w:r>
        <w:rPr>
          <w:rFonts w:hint="eastAsia" w:ascii="宋体" w:hAnsi="宋体" w:eastAsia="宋体" w:cs="宋体"/>
          <w:b/>
          <w:bCs/>
          <w:color w:val="auto"/>
          <w:sz w:val="21"/>
          <w:highlight w:val="none"/>
        </w:rPr>
        <w:t>报价文件格式</w:t>
      </w:r>
    </w:p>
    <w:p w14:paraId="59826D6C">
      <w:pPr>
        <w:pStyle w:val="6"/>
        <w:numPr>
          <w:ilvl w:val="0"/>
          <w:numId w:val="0"/>
        </w:numPr>
        <w:shd w:val="clear" w:color="auto" w:fill="auto"/>
        <w:tabs>
          <w:tab w:val="left" w:pos="720"/>
        </w:tabs>
        <w:snapToGrid w:val="0"/>
        <w:spacing w:before="156" w:beforeLines="5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（1）报价一览表（格式见附件）；</w:t>
      </w:r>
    </w:p>
    <w:p w14:paraId="636CE28B">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rPr>
          <w:rFonts w:hint="eastAsia"/>
          <w:b w:val="0"/>
          <w:bCs w:val="0"/>
        </w:rPr>
      </w:pPr>
      <w:r>
        <w:rPr>
          <w:rFonts w:hint="eastAsia" w:ascii="宋体" w:hAnsi="宋体" w:eastAsia="宋体" w:cs="宋体"/>
          <w:b w:val="0"/>
          <w:bCs w:val="0"/>
          <w:color w:val="auto"/>
          <w:sz w:val="21"/>
          <w:szCs w:val="21"/>
          <w:highlight w:val="none"/>
          <w:lang w:eastAsia="zh-CN"/>
        </w:rPr>
        <w:t>（</w:t>
      </w:r>
      <w:r>
        <w:rPr>
          <w:rFonts w:hint="eastAsia"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中小企业声明函</w:t>
      </w:r>
    </w:p>
    <w:p w14:paraId="03B0CBEA">
      <w:pPr>
        <w:pStyle w:val="6"/>
        <w:numPr>
          <w:ilvl w:val="0"/>
          <w:numId w:val="0"/>
        </w:numPr>
        <w:shd w:val="clear" w:color="auto" w:fill="auto"/>
        <w:tabs>
          <w:tab w:val="left" w:pos="720"/>
        </w:tabs>
        <w:snapToGrid w:val="0"/>
        <w:spacing w:before="156" w:beforeLines="5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r>
        <w:rPr>
          <w:rFonts w:hint="eastAsia" w:hAnsi="宋体" w:eastAsia="宋体" w:cs="宋体"/>
          <w:bCs/>
          <w:color w:val="auto"/>
          <w:sz w:val="21"/>
          <w:highlight w:val="none"/>
          <w:lang w:val="en-US" w:eastAsia="zh-CN"/>
        </w:rPr>
        <w:t>3</w:t>
      </w:r>
      <w:r>
        <w:rPr>
          <w:rFonts w:hint="eastAsia" w:ascii="宋体" w:hAnsi="宋体" w:eastAsia="宋体" w:cs="宋体"/>
          <w:bCs/>
          <w:color w:val="auto"/>
          <w:sz w:val="21"/>
          <w:highlight w:val="none"/>
        </w:rPr>
        <w:t>）供应商针对报价需要说明的其他文件和说明（格式自拟）；</w:t>
      </w:r>
    </w:p>
    <w:p w14:paraId="34644DD0">
      <w:pPr>
        <w:pStyle w:val="13"/>
        <w:shd w:val="clear" w:color="auto" w:fill="auto"/>
        <w:snapToGrid w:val="0"/>
        <w:jc w:val="left"/>
        <w:rPr>
          <w:rFonts w:hint="eastAsia" w:ascii="宋体" w:hAnsi="宋体" w:cs="宋体"/>
          <w:color w:val="auto"/>
          <w:highlight w:val="none"/>
        </w:rPr>
      </w:pPr>
    </w:p>
    <w:p w14:paraId="7D7607A4">
      <w:pPr>
        <w:shd w:val="clear" w:color="auto" w:fill="auto"/>
        <w:rPr>
          <w:rFonts w:hint="eastAsia" w:hAnsi="宋体" w:eastAsia="宋体" w:cs="宋体"/>
          <w:b/>
          <w:color w:val="auto"/>
          <w:sz w:val="21"/>
          <w:highlight w:val="none"/>
        </w:rPr>
      </w:pPr>
    </w:p>
    <w:p w14:paraId="14CFF07D">
      <w:pPr>
        <w:shd w:val="clear" w:color="auto" w:fill="auto"/>
        <w:rPr>
          <w:rFonts w:hint="eastAsia" w:hAnsi="宋体" w:eastAsia="宋体" w:cs="宋体"/>
          <w:b/>
          <w:color w:val="auto"/>
          <w:sz w:val="21"/>
          <w:highlight w:val="none"/>
        </w:rPr>
      </w:pPr>
    </w:p>
    <w:p w14:paraId="7E354DF8">
      <w:pPr>
        <w:shd w:val="clear" w:color="auto" w:fill="auto"/>
        <w:rPr>
          <w:rFonts w:hint="eastAsia" w:hAnsi="宋体" w:eastAsia="宋体" w:cs="宋体"/>
          <w:b/>
          <w:color w:val="auto"/>
          <w:sz w:val="21"/>
          <w:highlight w:val="none"/>
        </w:rPr>
      </w:pPr>
    </w:p>
    <w:p w14:paraId="1CA67EF6">
      <w:pPr>
        <w:shd w:val="clear" w:color="auto" w:fill="auto"/>
        <w:rPr>
          <w:rFonts w:hint="eastAsia" w:hAnsi="宋体" w:eastAsia="宋体" w:cs="宋体"/>
          <w:b/>
          <w:color w:val="auto"/>
          <w:sz w:val="21"/>
          <w:highlight w:val="none"/>
        </w:rPr>
      </w:pPr>
    </w:p>
    <w:p w14:paraId="63DC57E3">
      <w:pPr>
        <w:shd w:val="clear" w:color="auto" w:fill="auto"/>
        <w:rPr>
          <w:rFonts w:hint="eastAsia" w:hAnsi="宋体" w:eastAsia="宋体" w:cs="宋体"/>
          <w:b/>
          <w:color w:val="auto"/>
          <w:sz w:val="21"/>
          <w:highlight w:val="none"/>
        </w:rPr>
      </w:pPr>
    </w:p>
    <w:p w14:paraId="399DAA26">
      <w:pPr>
        <w:shd w:val="clear" w:color="auto" w:fill="auto"/>
        <w:rPr>
          <w:rFonts w:hint="eastAsia" w:hAnsi="宋体" w:eastAsia="宋体" w:cs="宋体"/>
          <w:b/>
          <w:color w:val="auto"/>
          <w:sz w:val="21"/>
          <w:highlight w:val="none"/>
        </w:rPr>
      </w:pPr>
    </w:p>
    <w:p w14:paraId="12EA2A86">
      <w:pPr>
        <w:shd w:val="clear" w:color="auto" w:fill="auto"/>
        <w:rPr>
          <w:rFonts w:hint="eastAsia" w:hAnsi="宋体" w:eastAsia="宋体" w:cs="宋体"/>
          <w:b/>
          <w:color w:val="auto"/>
          <w:sz w:val="21"/>
          <w:highlight w:val="none"/>
        </w:rPr>
      </w:pPr>
    </w:p>
    <w:p w14:paraId="25D0D8BC">
      <w:pPr>
        <w:shd w:val="clear" w:color="auto" w:fill="auto"/>
        <w:rPr>
          <w:rFonts w:hint="eastAsia" w:hAnsi="宋体" w:eastAsia="宋体" w:cs="宋体"/>
          <w:b/>
          <w:color w:val="auto"/>
          <w:sz w:val="21"/>
          <w:highlight w:val="none"/>
        </w:rPr>
      </w:pPr>
    </w:p>
    <w:p w14:paraId="0F4B3F88">
      <w:pPr>
        <w:shd w:val="clear" w:color="auto" w:fill="auto"/>
        <w:rPr>
          <w:rFonts w:hint="eastAsia" w:hAnsi="宋体" w:eastAsia="宋体" w:cs="宋体"/>
          <w:b/>
          <w:color w:val="auto"/>
          <w:sz w:val="21"/>
          <w:highlight w:val="none"/>
        </w:rPr>
      </w:pPr>
    </w:p>
    <w:p w14:paraId="0EE4F326">
      <w:pPr>
        <w:shd w:val="clear" w:color="auto" w:fill="auto"/>
        <w:rPr>
          <w:rFonts w:hint="eastAsia" w:hAnsi="宋体" w:eastAsia="宋体" w:cs="宋体"/>
          <w:b/>
          <w:color w:val="auto"/>
          <w:sz w:val="21"/>
          <w:highlight w:val="none"/>
        </w:rPr>
      </w:pPr>
    </w:p>
    <w:p w14:paraId="0EB26A1E">
      <w:pPr>
        <w:shd w:val="clear" w:color="auto" w:fill="auto"/>
        <w:rPr>
          <w:rFonts w:hint="eastAsia" w:hAnsi="宋体" w:eastAsia="宋体" w:cs="宋体"/>
          <w:b/>
          <w:color w:val="auto"/>
          <w:sz w:val="21"/>
          <w:highlight w:val="none"/>
        </w:rPr>
      </w:pPr>
    </w:p>
    <w:p w14:paraId="53632E51">
      <w:pPr>
        <w:shd w:val="clear" w:color="auto" w:fill="auto"/>
        <w:rPr>
          <w:rFonts w:hint="eastAsia" w:hAnsi="宋体" w:eastAsia="宋体" w:cs="宋体"/>
          <w:b/>
          <w:color w:val="auto"/>
          <w:sz w:val="21"/>
          <w:highlight w:val="none"/>
        </w:rPr>
      </w:pPr>
    </w:p>
    <w:p w14:paraId="25248985">
      <w:pPr>
        <w:shd w:val="clear" w:color="auto" w:fill="auto"/>
        <w:rPr>
          <w:rFonts w:hint="eastAsia" w:hAnsi="宋体" w:eastAsia="宋体" w:cs="宋体"/>
          <w:b/>
          <w:color w:val="auto"/>
          <w:sz w:val="21"/>
          <w:highlight w:val="none"/>
        </w:rPr>
      </w:pPr>
    </w:p>
    <w:p w14:paraId="5E060239">
      <w:pPr>
        <w:shd w:val="clear" w:color="auto" w:fill="auto"/>
        <w:rPr>
          <w:rFonts w:hint="eastAsia" w:hAnsi="宋体" w:eastAsia="宋体" w:cs="宋体"/>
          <w:b/>
          <w:color w:val="auto"/>
          <w:sz w:val="21"/>
          <w:highlight w:val="none"/>
        </w:rPr>
      </w:pPr>
    </w:p>
    <w:p w14:paraId="52DC06F0">
      <w:pPr>
        <w:shd w:val="clear" w:color="auto" w:fill="auto"/>
        <w:rPr>
          <w:rFonts w:hint="eastAsia" w:hAnsi="宋体" w:eastAsia="宋体" w:cs="宋体"/>
          <w:b/>
          <w:color w:val="auto"/>
          <w:sz w:val="21"/>
          <w:highlight w:val="none"/>
        </w:rPr>
      </w:pPr>
    </w:p>
    <w:p w14:paraId="78781A3E">
      <w:pPr>
        <w:shd w:val="clear" w:color="auto" w:fill="auto"/>
        <w:rPr>
          <w:rFonts w:hint="eastAsia" w:hAnsi="宋体" w:eastAsia="宋体" w:cs="宋体"/>
          <w:b/>
          <w:color w:val="auto"/>
          <w:sz w:val="21"/>
          <w:highlight w:val="none"/>
        </w:rPr>
      </w:pPr>
    </w:p>
    <w:p w14:paraId="2132E5F9">
      <w:pPr>
        <w:shd w:val="clear" w:color="auto" w:fill="auto"/>
        <w:rPr>
          <w:rFonts w:hint="eastAsia" w:hAnsi="宋体" w:eastAsia="宋体" w:cs="宋体"/>
          <w:b/>
          <w:color w:val="auto"/>
          <w:sz w:val="21"/>
          <w:highlight w:val="none"/>
        </w:rPr>
      </w:pPr>
    </w:p>
    <w:p w14:paraId="39F9AD9F">
      <w:pPr>
        <w:shd w:val="clear" w:color="auto" w:fill="auto"/>
        <w:rPr>
          <w:rFonts w:hint="eastAsia" w:hAnsi="宋体" w:eastAsia="宋体" w:cs="宋体"/>
          <w:b/>
          <w:color w:val="auto"/>
          <w:sz w:val="21"/>
          <w:highlight w:val="none"/>
        </w:rPr>
      </w:pPr>
    </w:p>
    <w:p w14:paraId="11DF501A">
      <w:pPr>
        <w:shd w:val="clear" w:color="auto" w:fill="auto"/>
        <w:rPr>
          <w:rFonts w:hint="eastAsia" w:hAnsi="宋体" w:eastAsia="宋体" w:cs="宋体"/>
          <w:b/>
          <w:color w:val="auto"/>
          <w:sz w:val="21"/>
          <w:highlight w:val="none"/>
        </w:rPr>
      </w:pPr>
    </w:p>
    <w:p w14:paraId="68357B14">
      <w:pPr>
        <w:shd w:val="clear" w:color="auto" w:fill="auto"/>
        <w:rPr>
          <w:rFonts w:hint="eastAsia" w:hAnsi="宋体" w:eastAsia="宋体" w:cs="宋体"/>
          <w:color w:val="auto"/>
          <w:sz w:val="21"/>
          <w:highlight w:val="none"/>
        </w:rPr>
      </w:pPr>
      <w:r>
        <w:rPr>
          <w:rFonts w:hint="eastAsia" w:hAnsi="宋体" w:eastAsia="宋体" w:cs="宋体"/>
          <w:b/>
          <w:color w:val="auto"/>
          <w:sz w:val="21"/>
          <w:highlight w:val="none"/>
        </w:rPr>
        <w:br w:type="page"/>
      </w:r>
      <w:r>
        <w:rPr>
          <w:rFonts w:hint="eastAsia" w:hAnsi="宋体" w:eastAsia="宋体" w:cs="宋体"/>
          <w:b/>
          <w:color w:val="auto"/>
          <w:sz w:val="21"/>
          <w:highlight w:val="none"/>
        </w:rPr>
        <w:t>（1）报价一览表格式</w:t>
      </w:r>
    </w:p>
    <w:p w14:paraId="497DE70A">
      <w:pPr>
        <w:pStyle w:val="13"/>
        <w:shd w:val="clear" w:color="auto" w:fill="auto"/>
        <w:snapToGrid w:val="0"/>
        <w:ind w:left="420"/>
        <w:jc w:val="center"/>
        <w:rPr>
          <w:rFonts w:hint="eastAsia" w:ascii="宋体" w:hAnsi="宋体" w:cs="宋体"/>
          <w:b/>
          <w:color w:val="auto"/>
          <w:highlight w:val="none"/>
        </w:rPr>
      </w:pPr>
      <w:r>
        <w:rPr>
          <w:rFonts w:hint="eastAsia" w:ascii="宋体" w:hAnsi="宋体" w:cs="宋体"/>
          <w:b/>
          <w:color w:val="auto"/>
          <w:highlight w:val="none"/>
        </w:rPr>
        <w:t>报价一览表</w:t>
      </w:r>
    </w:p>
    <w:p w14:paraId="0CB3E2DF">
      <w:pPr>
        <w:pStyle w:val="2"/>
        <w:rPr>
          <w:color w:val="auto"/>
          <w:highlight w:val="none"/>
        </w:rPr>
      </w:pPr>
    </w:p>
    <w:p w14:paraId="3D21731C">
      <w:pPr>
        <w:pStyle w:val="12"/>
        <w:spacing w:line="360" w:lineRule="auto"/>
        <w:ind w:left="-238" w:leftChars="-85" w:firstLine="525" w:firstLineChars="250"/>
        <w:rPr>
          <w:rFonts w:ascii="Times New Roman"/>
          <w:color w:val="auto"/>
          <w:spacing w:val="0"/>
          <w:sz w:val="21"/>
          <w:szCs w:val="21"/>
          <w:highlight w:val="none"/>
        </w:rPr>
      </w:pPr>
      <w:r>
        <w:rPr>
          <w:rFonts w:ascii="Times New Roman"/>
          <w:color w:val="auto"/>
          <w:spacing w:val="0"/>
          <w:sz w:val="21"/>
          <w:szCs w:val="21"/>
          <w:highlight w:val="none"/>
        </w:rPr>
        <w:t>项目</w:t>
      </w:r>
      <w:r>
        <w:rPr>
          <w:rFonts w:hint="eastAsia" w:ascii="Times New Roman"/>
          <w:color w:val="auto"/>
          <w:spacing w:val="0"/>
          <w:sz w:val="21"/>
          <w:szCs w:val="21"/>
          <w:highlight w:val="none"/>
        </w:rPr>
        <w:t>名称</w:t>
      </w:r>
      <w:r>
        <w:rPr>
          <w:rFonts w:ascii="Times New Roman"/>
          <w:color w:val="auto"/>
          <w:spacing w:val="0"/>
          <w:sz w:val="21"/>
          <w:szCs w:val="21"/>
          <w:highlight w:val="none"/>
        </w:rPr>
        <w:t>：                  项目</w:t>
      </w:r>
      <w:r>
        <w:rPr>
          <w:rFonts w:hint="eastAsia" w:ascii="Times New Roman"/>
          <w:color w:val="auto"/>
          <w:spacing w:val="0"/>
          <w:sz w:val="21"/>
          <w:szCs w:val="21"/>
          <w:highlight w:val="none"/>
        </w:rPr>
        <w:t>编号</w:t>
      </w:r>
      <w:r>
        <w:rPr>
          <w:rFonts w:ascii="Times New Roman"/>
          <w:color w:val="auto"/>
          <w:spacing w:val="0"/>
          <w:sz w:val="21"/>
          <w:szCs w:val="21"/>
          <w:highlight w:val="none"/>
        </w:rPr>
        <w:t>：                       单位：元</w:t>
      </w:r>
    </w:p>
    <w:tbl>
      <w:tblPr>
        <w:tblStyle w:val="26"/>
        <w:tblW w:w="9099"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56"/>
        <w:gridCol w:w="3418"/>
        <w:gridCol w:w="2560"/>
        <w:gridCol w:w="2565"/>
      </w:tblGrid>
      <w:tr w14:paraId="275E5F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7" w:hRule="atLeast"/>
        </w:trPr>
        <w:tc>
          <w:tcPr>
            <w:tcW w:w="556" w:type="dxa"/>
            <w:tcBorders>
              <w:top w:val="single" w:color="auto" w:sz="4" w:space="0"/>
              <w:bottom w:val="single" w:color="auto" w:sz="4" w:space="0"/>
            </w:tcBorders>
            <w:noWrap w:val="0"/>
            <w:tcMar>
              <w:left w:w="28" w:type="dxa"/>
              <w:right w:w="28" w:type="dxa"/>
            </w:tcMar>
            <w:vAlign w:val="center"/>
          </w:tcPr>
          <w:p w14:paraId="40C24A79">
            <w:pPr>
              <w:snapToGrid w:val="0"/>
              <w:spacing w:line="0" w:lineRule="atLeast"/>
              <w:ind w:left="-28" w:right="-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418" w:type="dxa"/>
            <w:tcBorders>
              <w:top w:val="single" w:color="auto" w:sz="4" w:space="0"/>
              <w:bottom w:val="single" w:color="auto" w:sz="4" w:space="0"/>
            </w:tcBorders>
            <w:noWrap w:val="0"/>
            <w:tcMar>
              <w:left w:w="28" w:type="dxa"/>
              <w:right w:w="28" w:type="dxa"/>
            </w:tcMar>
            <w:vAlign w:val="center"/>
          </w:tcPr>
          <w:p w14:paraId="4A3BE177">
            <w:pPr>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560" w:type="dxa"/>
            <w:tcBorders>
              <w:top w:val="single" w:color="auto" w:sz="4" w:space="0"/>
              <w:left w:val="single" w:color="auto" w:sz="4" w:space="0"/>
              <w:bottom w:val="single" w:color="auto" w:sz="4" w:space="0"/>
            </w:tcBorders>
            <w:noWrap w:val="0"/>
            <w:tcMar>
              <w:left w:w="28" w:type="dxa"/>
              <w:right w:w="28" w:type="dxa"/>
            </w:tcMar>
            <w:vAlign w:val="center"/>
          </w:tcPr>
          <w:p w14:paraId="2793A865">
            <w:pPr>
              <w:snapToGrid w:val="0"/>
              <w:spacing w:line="0" w:lineRule="atLeast"/>
              <w:ind w:left="-28" w:right="-20"/>
              <w:jc w:val="center"/>
              <w:rPr>
                <w:rFonts w:hint="default" w:ascii="宋体"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首次</w:t>
            </w:r>
            <w:r>
              <w:rPr>
                <w:rFonts w:hint="eastAsia" w:ascii="宋体" w:hAnsi="宋体" w:eastAsia="宋体" w:cs="宋体"/>
                <w:b/>
                <w:color w:val="auto"/>
                <w:sz w:val="21"/>
                <w:szCs w:val="21"/>
                <w:highlight w:val="none"/>
                <w:lang w:val="en-US" w:eastAsia="zh-CN"/>
              </w:rPr>
              <w:t>磋商报价</w:t>
            </w:r>
            <w:r>
              <w:rPr>
                <w:rFonts w:hint="eastAsia" w:hAnsi="宋体" w:eastAsia="宋体" w:cs="宋体"/>
                <w:b/>
                <w:color w:val="auto"/>
                <w:sz w:val="21"/>
                <w:szCs w:val="21"/>
                <w:highlight w:val="none"/>
                <w:lang w:val="en-US" w:eastAsia="zh-CN"/>
              </w:rPr>
              <w:t>（元）</w:t>
            </w:r>
          </w:p>
        </w:tc>
        <w:tc>
          <w:tcPr>
            <w:tcW w:w="2565" w:type="dxa"/>
            <w:tcBorders>
              <w:top w:val="single" w:color="auto" w:sz="4" w:space="0"/>
              <w:bottom w:val="single" w:color="auto" w:sz="4" w:space="0"/>
            </w:tcBorders>
            <w:noWrap w:val="0"/>
            <w:tcMar>
              <w:left w:w="28" w:type="dxa"/>
              <w:right w:w="28" w:type="dxa"/>
            </w:tcMar>
            <w:vAlign w:val="center"/>
          </w:tcPr>
          <w:p w14:paraId="354AAE68">
            <w:pPr>
              <w:snapToGrid w:val="0"/>
              <w:spacing w:line="0" w:lineRule="atLeast"/>
              <w:ind w:left="-28" w:right="-20"/>
              <w:jc w:val="center"/>
              <w:rPr>
                <w:rFonts w:hint="default" w:ascii="宋体"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备注</w:t>
            </w:r>
          </w:p>
        </w:tc>
      </w:tr>
      <w:tr w14:paraId="45C89B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22" w:hRule="atLeast"/>
        </w:trPr>
        <w:tc>
          <w:tcPr>
            <w:tcW w:w="556" w:type="dxa"/>
            <w:tcBorders>
              <w:top w:val="single" w:color="auto" w:sz="4" w:space="0"/>
              <w:right w:val="single" w:color="auto" w:sz="4" w:space="0"/>
            </w:tcBorders>
            <w:noWrap w:val="0"/>
            <w:tcMar>
              <w:left w:w="28" w:type="dxa"/>
              <w:right w:w="28" w:type="dxa"/>
            </w:tcMar>
            <w:vAlign w:val="center"/>
          </w:tcPr>
          <w:p w14:paraId="5F072B62">
            <w:pPr>
              <w:snapToGrid w:val="0"/>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18" w:type="dxa"/>
            <w:tcBorders>
              <w:top w:val="single" w:color="auto" w:sz="4" w:space="0"/>
              <w:left w:val="single" w:color="auto" w:sz="4" w:space="0"/>
              <w:right w:val="single" w:color="auto" w:sz="4" w:space="0"/>
            </w:tcBorders>
            <w:noWrap w:val="0"/>
            <w:tcMar>
              <w:left w:w="28" w:type="dxa"/>
              <w:right w:w="28" w:type="dxa"/>
            </w:tcMar>
            <w:vAlign w:val="center"/>
          </w:tcPr>
          <w:p w14:paraId="7BE1878B">
            <w:pPr>
              <w:shd w:val="clear" w:color="auto" w:fill="auto"/>
              <w:adjustRightInd/>
              <w:jc w:val="center"/>
              <w:textAlignment w:val="auto"/>
              <w:rPr>
                <w:rFonts w:hint="eastAsia" w:ascii="宋体" w:hAnsi="宋体" w:eastAsia="宋体" w:cs="宋体"/>
                <w:bCs/>
                <w:color w:val="auto"/>
                <w:sz w:val="21"/>
                <w:szCs w:val="21"/>
                <w:highlight w:val="none"/>
                <w:lang w:eastAsia="zh-CN"/>
              </w:rPr>
            </w:pPr>
            <w:r>
              <w:rPr>
                <w:rFonts w:hint="eastAsia" w:hAnsi="宋体" w:eastAsia="宋体" w:cs="宋体"/>
                <w:color w:val="auto"/>
                <w:sz w:val="21"/>
                <w:highlight w:val="none"/>
                <w:lang w:eastAsia="zh-CN"/>
              </w:rPr>
              <w:t>海外重点市场定制化资信报告（重发）</w:t>
            </w:r>
          </w:p>
        </w:tc>
        <w:tc>
          <w:tcPr>
            <w:tcW w:w="256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3A5D39A">
            <w:pPr>
              <w:shd w:val="clear" w:color="auto" w:fill="auto"/>
              <w:adjustRightInd/>
              <w:jc w:val="center"/>
              <w:textAlignment w:val="auto"/>
              <w:rPr>
                <w:rFonts w:hint="default"/>
                <w:color w:val="auto"/>
                <w:highlight w:val="none"/>
                <w:lang w:val="en-US" w:eastAsia="zh-CN"/>
              </w:rPr>
            </w:pPr>
          </w:p>
        </w:tc>
        <w:tc>
          <w:tcPr>
            <w:tcW w:w="2565" w:type="dxa"/>
            <w:tcBorders>
              <w:top w:val="single" w:color="auto" w:sz="4" w:space="0"/>
              <w:left w:val="single" w:color="auto" w:sz="4" w:space="0"/>
            </w:tcBorders>
            <w:noWrap w:val="0"/>
            <w:tcMar>
              <w:left w:w="28" w:type="dxa"/>
              <w:right w:w="28" w:type="dxa"/>
            </w:tcMar>
            <w:vAlign w:val="center"/>
          </w:tcPr>
          <w:p w14:paraId="7C83D7D6">
            <w:pPr>
              <w:snapToGrid w:val="0"/>
              <w:spacing w:line="0" w:lineRule="atLeast"/>
              <w:jc w:val="center"/>
              <w:rPr>
                <w:rFonts w:hint="eastAsia" w:ascii="宋体" w:hAnsi="宋体" w:eastAsia="宋体" w:cs="宋体"/>
                <w:color w:val="auto"/>
                <w:sz w:val="21"/>
                <w:szCs w:val="21"/>
                <w:highlight w:val="none"/>
              </w:rPr>
            </w:pPr>
          </w:p>
        </w:tc>
      </w:tr>
    </w:tbl>
    <w:p w14:paraId="4C794567">
      <w:pPr>
        <w:snapToGrid w:val="0"/>
        <w:spacing w:before="50" w:after="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1、报价一经涂改，应在涂改处加盖单位公章或者由法定代表人或授权委托人签字或盖章，否则其投标作无效标处理。</w:t>
      </w:r>
    </w:p>
    <w:p w14:paraId="4C2BA25E">
      <w:pPr>
        <w:bidi w:val="0"/>
        <w:rPr>
          <w:color w:val="auto"/>
          <w:highlight w:val="none"/>
        </w:rPr>
      </w:pPr>
    </w:p>
    <w:p w14:paraId="7256BD4F">
      <w:pPr>
        <w:spacing w:line="360" w:lineRule="auto"/>
        <w:ind w:firstLine="4830" w:firstLineChars="2300"/>
        <w:rPr>
          <w:rFonts w:hint="eastAsia" w:ascii="宋体" w:hAnsi="宋体" w:eastAsia="宋体" w:cs="宋体"/>
          <w:color w:val="auto"/>
          <w:sz w:val="21"/>
          <w:szCs w:val="21"/>
          <w:highlight w:val="none"/>
        </w:rPr>
      </w:pPr>
    </w:p>
    <w:p w14:paraId="20C22B3B">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14:paraId="30014FC6">
      <w:pPr>
        <w:spacing w:line="360" w:lineRule="auto"/>
        <w:ind w:firstLine="3990" w:firstLineChars="1900"/>
        <w:rPr>
          <w:b/>
          <w:color w:val="auto"/>
          <w:szCs w:val="21"/>
          <w:highlight w:val="none"/>
        </w:rPr>
      </w:pPr>
      <w:r>
        <w:rPr>
          <w:rFonts w:hint="eastAsia" w:ascii="宋体" w:hAnsi="宋体" w:eastAsia="宋体" w:cs="宋体"/>
          <w:color w:val="auto"/>
          <w:sz w:val="21"/>
          <w:szCs w:val="21"/>
          <w:highlight w:val="none"/>
        </w:rPr>
        <w:t>日    期：</w:t>
      </w:r>
    </w:p>
    <w:p w14:paraId="2C2A121D">
      <w:pPr>
        <w:pStyle w:val="13"/>
        <w:shd w:val="clear" w:color="auto" w:fill="auto"/>
        <w:snapToGrid w:val="0"/>
        <w:ind w:left="420"/>
        <w:rPr>
          <w:rFonts w:hint="eastAsia" w:ascii="宋体" w:hAnsi="宋体" w:cs="宋体"/>
          <w:color w:val="auto"/>
          <w:highlight w:val="none"/>
        </w:rPr>
      </w:pPr>
    </w:p>
    <w:p w14:paraId="765A8DA9">
      <w:pPr>
        <w:pStyle w:val="6"/>
        <w:numPr>
          <w:ilvl w:val="0"/>
          <w:numId w:val="0"/>
        </w:numPr>
        <w:shd w:val="clear" w:color="auto" w:fill="auto"/>
        <w:tabs>
          <w:tab w:val="left" w:pos="720"/>
        </w:tabs>
        <w:snapToGrid w:val="0"/>
        <w:spacing w:before="156" w:beforeLines="50"/>
        <w:rPr>
          <w:rFonts w:hint="eastAsia" w:ascii="宋体" w:hAnsi="宋体" w:eastAsia="宋体" w:cs="宋体"/>
          <w:b w:val="0"/>
          <w:bCs w:val="0"/>
          <w:color w:val="auto"/>
          <w:sz w:val="21"/>
          <w:szCs w:val="21"/>
          <w:highlight w:val="none"/>
        </w:rPr>
        <w:sectPr>
          <w:headerReference r:id="rId10" w:type="default"/>
          <w:footerReference r:id="rId11" w:type="default"/>
          <w:footnotePr>
            <w:numFmt w:val="decimalEnclosedCircleChinese"/>
          </w:footnotePr>
          <w:pgSz w:w="11906" w:h="16838"/>
          <w:pgMar w:top="1440" w:right="1080" w:bottom="1440" w:left="1080" w:header="964" w:footer="567" w:gutter="567"/>
          <w:cols w:space="720" w:num="1"/>
          <w:docGrid w:type="lines" w:linePitch="312" w:charSpace="0"/>
        </w:sectPr>
      </w:pPr>
    </w:p>
    <w:p w14:paraId="2A5308AB">
      <w:pPr>
        <w:pStyle w:val="6"/>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中小企业声明函</w:t>
      </w:r>
    </w:p>
    <w:p w14:paraId="321D2B23">
      <w:pPr>
        <w:pStyle w:val="6"/>
        <w:numPr>
          <w:ilvl w:val="0"/>
          <w:numId w:val="0"/>
        </w:numPr>
        <w:shd w:val="clear" w:color="auto" w:fill="auto"/>
        <w:tabs>
          <w:tab w:val="left" w:pos="720"/>
        </w:tabs>
        <w:snapToGrid w:val="0"/>
        <w:spacing w:before="156" w:beforeLines="50"/>
        <w:rPr>
          <w:rFonts w:hint="eastAsia" w:ascii="宋体" w:hAnsi="宋体" w:cs="宋体"/>
          <w:color w:val="auto"/>
          <w:sz w:val="21"/>
          <w:highlight w:val="none"/>
        </w:rPr>
      </w:pPr>
    </w:p>
    <w:p w14:paraId="1FB8D8AB">
      <w:pPr>
        <w:pageBreakBefore w:val="0"/>
        <w:widowControl w:val="0"/>
        <w:shd w:val="clear" w:color="auto" w:fill="auto"/>
        <w:kinsoku/>
        <w:wordWrap/>
        <w:overflowPunct/>
        <w:topLinePunct w:val="0"/>
        <w:autoSpaceDE/>
        <w:autoSpaceDN/>
        <w:bidi w:val="0"/>
        <w:adjustRightInd w:val="0"/>
        <w:snapToGrid w:val="0"/>
        <w:spacing w:before="50" w:after="50" w:line="360" w:lineRule="auto"/>
        <w:jc w:val="center"/>
        <w:textAlignment w:val="baseline"/>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w:t>
      </w:r>
    </w:p>
    <w:p w14:paraId="77B93E21">
      <w:pPr>
        <w:widowControl w:val="0"/>
        <w:shd w:val="clear" w:color="auto" w:fill="auto"/>
        <w:adjustRightInd/>
        <w:spacing w:line="500" w:lineRule="exact"/>
        <w:ind w:firstLine="420" w:firstLineChars="200"/>
        <w:jc w:val="both"/>
        <w:textAlignment w:val="auto"/>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kern w:val="2"/>
          <w:sz w:val="21"/>
          <w:szCs w:val="21"/>
          <w:highlight w:val="none"/>
          <w:u w:val="single"/>
        </w:rPr>
        <w:t>（单位名称）</w:t>
      </w:r>
      <w:r>
        <w:rPr>
          <w:rFonts w:hint="eastAsia" w:ascii="宋体" w:hAnsi="宋体" w:eastAsia="宋体" w:cs="宋体"/>
          <w:i w:val="0"/>
          <w:iCs w:val="0"/>
          <w:color w:val="auto"/>
          <w:kern w:val="2"/>
          <w:sz w:val="21"/>
          <w:szCs w:val="21"/>
          <w:highlight w:val="none"/>
        </w:rPr>
        <w:t>的</w:t>
      </w:r>
      <w:r>
        <w:rPr>
          <w:rFonts w:hint="eastAsia" w:ascii="宋体" w:hAnsi="宋体" w:eastAsia="宋体" w:cs="宋体"/>
          <w:i w:val="0"/>
          <w:iCs w:val="0"/>
          <w:color w:val="auto"/>
          <w:kern w:val="2"/>
          <w:sz w:val="21"/>
          <w:szCs w:val="21"/>
          <w:highlight w:val="none"/>
          <w:u w:val="single"/>
        </w:rPr>
        <w:t>（项目名称）</w:t>
      </w:r>
      <w:r>
        <w:rPr>
          <w:rFonts w:hint="eastAsia" w:ascii="宋体" w:hAnsi="宋体" w:eastAsia="宋体" w:cs="宋体"/>
          <w:i w:val="0"/>
          <w:iCs w:val="0"/>
          <w:color w:val="auto"/>
          <w:kern w:val="2"/>
          <w:sz w:val="21"/>
          <w:szCs w:val="21"/>
          <w:highlight w:val="none"/>
        </w:rPr>
        <w:t>采购活动，</w:t>
      </w:r>
      <w:r>
        <w:rPr>
          <w:rFonts w:hint="eastAsia" w:ascii="宋体" w:hAnsi="宋体" w:eastAsia="宋体" w:cs="宋体"/>
          <w:i w:val="0"/>
          <w:iCs w:val="0"/>
          <w:color w:val="auto"/>
          <w:kern w:val="2"/>
          <w:sz w:val="21"/>
          <w:szCs w:val="21"/>
          <w:highlight w:val="none"/>
          <w:lang w:val="en-US" w:eastAsia="zh-CN"/>
        </w:rPr>
        <w:t>服务</w:t>
      </w:r>
      <w:r>
        <w:rPr>
          <w:rFonts w:hint="eastAsia" w:ascii="宋体" w:hAnsi="宋体" w:eastAsia="宋体" w:cs="宋体"/>
          <w:i w:val="0"/>
          <w:iCs w:val="0"/>
          <w:color w:val="auto"/>
          <w:kern w:val="2"/>
          <w:sz w:val="21"/>
          <w:szCs w:val="21"/>
          <w:highlight w:val="none"/>
        </w:rPr>
        <w:t>全部由符合政策要求的中小企业</w:t>
      </w:r>
      <w:r>
        <w:rPr>
          <w:rFonts w:hint="eastAsia" w:ascii="宋体" w:hAnsi="宋体" w:eastAsia="宋体" w:cs="宋体"/>
          <w:i w:val="0"/>
          <w:iCs w:val="0"/>
          <w:color w:val="auto"/>
          <w:kern w:val="2"/>
          <w:sz w:val="21"/>
          <w:szCs w:val="21"/>
          <w:highlight w:val="none"/>
          <w:lang w:val="en-US" w:eastAsia="zh-CN"/>
        </w:rPr>
        <w:t>承接</w:t>
      </w:r>
      <w:r>
        <w:rPr>
          <w:rFonts w:hint="eastAsia" w:ascii="宋体" w:hAnsi="宋体" w:eastAsia="宋体" w:cs="宋体"/>
          <w:i w:val="0"/>
          <w:iCs w:val="0"/>
          <w:color w:val="auto"/>
          <w:kern w:val="2"/>
          <w:sz w:val="21"/>
          <w:szCs w:val="21"/>
          <w:highlight w:val="none"/>
        </w:rPr>
        <w:t>。相关企业（含联合体中的中小企业、签订分包意向协议的中小企业）的具体情况如下：</w:t>
      </w:r>
    </w:p>
    <w:p w14:paraId="63E357FE">
      <w:pPr>
        <w:widowControl w:val="0"/>
        <w:shd w:val="clear" w:color="auto" w:fill="auto"/>
        <w:adjustRightInd/>
        <w:spacing w:line="500" w:lineRule="exact"/>
        <w:ind w:firstLine="420" w:firstLineChars="200"/>
        <w:jc w:val="both"/>
        <w:textAlignment w:val="auto"/>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1.</w:t>
      </w:r>
      <w:r>
        <w:rPr>
          <w:rFonts w:hint="eastAsia" w:ascii="宋体" w:hAnsi="宋体" w:eastAsia="宋体" w:cs="宋体"/>
          <w:i w:val="0"/>
          <w:iCs w:val="0"/>
          <w:color w:val="auto"/>
          <w:kern w:val="2"/>
          <w:sz w:val="21"/>
          <w:szCs w:val="21"/>
          <w:highlight w:val="none"/>
          <w:u w:val="single"/>
        </w:rPr>
        <w:t xml:space="preserve"> （</w:t>
      </w:r>
      <w:r>
        <w:rPr>
          <w:rFonts w:hint="eastAsia" w:hAnsi="宋体" w:eastAsia="宋体" w:cs="宋体"/>
          <w:i w:val="0"/>
          <w:iCs w:val="0"/>
          <w:color w:val="auto"/>
          <w:kern w:val="2"/>
          <w:sz w:val="21"/>
          <w:szCs w:val="21"/>
          <w:highlight w:val="none"/>
          <w:u w:val="single"/>
          <w:lang w:eastAsia="zh-CN"/>
        </w:rPr>
        <w:t>海外重点市场定制化资信报告（重发）</w:t>
      </w:r>
      <w:r>
        <w:rPr>
          <w:rFonts w:hint="eastAsia" w:ascii="宋体" w:hAnsi="宋体" w:eastAsia="宋体" w:cs="宋体"/>
          <w:i w:val="0"/>
          <w:iCs w:val="0"/>
          <w:color w:val="auto"/>
          <w:kern w:val="2"/>
          <w:sz w:val="21"/>
          <w:szCs w:val="21"/>
          <w:highlight w:val="none"/>
          <w:u w:val="single"/>
        </w:rPr>
        <w:t xml:space="preserve">） </w:t>
      </w:r>
      <w:r>
        <w:rPr>
          <w:rFonts w:hint="eastAsia" w:ascii="宋体" w:hAnsi="宋体" w:eastAsia="宋体" w:cs="宋体"/>
          <w:i w:val="0"/>
          <w:iCs w:val="0"/>
          <w:color w:val="auto"/>
          <w:kern w:val="2"/>
          <w:sz w:val="21"/>
          <w:szCs w:val="21"/>
          <w:highlight w:val="none"/>
        </w:rPr>
        <w:t>，属于</w:t>
      </w:r>
      <w:r>
        <w:rPr>
          <w:rFonts w:hint="eastAsia" w:ascii="宋体" w:hAnsi="宋体" w:eastAsia="宋体" w:cs="宋体"/>
          <w:i w:val="0"/>
          <w:iCs w:val="0"/>
          <w:color w:val="auto"/>
          <w:kern w:val="2"/>
          <w:sz w:val="21"/>
          <w:szCs w:val="21"/>
          <w:highlight w:val="none"/>
          <w:u w:val="single"/>
        </w:rPr>
        <w:t>（</w:t>
      </w:r>
      <w:r>
        <w:rPr>
          <w:rFonts w:hint="eastAsia" w:hAnsi="宋体" w:eastAsia="宋体" w:cs="宋体"/>
          <w:i w:val="0"/>
          <w:iCs w:val="0"/>
          <w:color w:val="auto"/>
          <w:kern w:val="2"/>
          <w:sz w:val="21"/>
          <w:szCs w:val="21"/>
          <w:highlight w:val="none"/>
          <w:u w:val="single"/>
          <w:lang w:val="en-US" w:eastAsia="zh-CN"/>
        </w:rPr>
        <w:t>其他未列明行业</w:t>
      </w:r>
      <w:r>
        <w:rPr>
          <w:rFonts w:hint="eastAsia" w:ascii="宋体" w:hAnsi="宋体" w:eastAsia="宋体" w:cs="宋体"/>
          <w:i w:val="0"/>
          <w:iCs w:val="0"/>
          <w:color w:val="auto"/>
          <w:kern w:val="2"/>
          <w:sz w:val="21"/>
          <w:szCs w:val="21"/>
          <w:highlight w:val="none"/>
          <w:u w:val="single"/>
        </w:rPr>
        <w:t>）</w:t>
      </w:r>
      <w:r>
        <w:rPr>
          <w:rFonts w:hint="eastAsia" w:ascii="宋体" w:hAnsi="宋体" w:eastAsia="宋体" w:cs="宋体"/>
          <w:i w:val="0"/>
          <w:iCs w:val="0"/>
          <w:color w:val="auto"/>
          <w:kern w:val="2"/>
          <w:sz w:val="21"/>
          <w:szCs w:val="21"/>
          <w:highlight w:val="none"/>
        </w:rPr>
        <w:t>；</w:t>
      </w:r>
      <w:r>
        <w:rPr>
          <w:rFonts w:hint="eastAsia" w:ascii="宋体" w:hAnsi="宋体" w:eastAsia="宋体" w:cs="宋体"/>
          <w:i w:val="0"/>
          <w:iCs w:val="0"/>
          <w:color w:val="auto"/>
          <w:kern w:val="2"/>
          <w:sz w:val="21"/>
          <w:szCs w:val="21"/>
          <w:highlight w:val="none"/>
          <w:lang w:val="en-US" w:eastAsia="zh-CN"/>
        </w:rPr>
        <w:t>承接企业</w:t>
      </w:r>
      <w:r>
        <w:rPr>
          <w:rFonts w:hint="eastAsia" w:ascii="宋体" w:hAnsi="宋体" w:eastAsia="宋体" w:cs="宋体"/>
          <w:i w:val="0"/>
          <w:iCs w:val="0"/>
          <w:color w:val="auto"/>
          <w:kern w:val="2"/>
          <w:sz w:val="21"/>
          <w:szCs w:val="21"/>
          <w:highlight w:val="none"/>
        </w:rPr>
        <w:t>为</w:t>
      </w:r>
      <w:r>
        <w:rPr>
          <w:rFonts w:hint="eastAsia" w:ascii="宋体" w:hAnsi="宋体" w:eastAsia="宋体" w:cs="宋体"/>
          <w:i w:val="0"/>
          <w:iCs w:val="0"/>
          <w:color w:val="auto"/>
          <w:kern w:val="2"/>
          <w:sz w:val="21"/>
          <w:szCs w:val="21"/>
          <w:highlight w:val="none"/>
          <w:u w:val="single"/>
        </w:rPr>
        <w:t>（企业名称）</w:t>
      </w:r>
      <w:r>
        <w:rPr>
          <w:rFonts w:hint="eastAsia" w:ascii="宋体" w:hAnsi="宋体" w:eastAsia="宋体" w:cs="宋体"/>
          <w:i w:val="0"/>
          <w:iCs w:val="0"/>
          <w:color w:val="auto"/>
          <w:kern w:val="2"/>
          <w:sz w:val="21"/>
          <w:szCs w:val="21"/>
          <w:highlight w:val="none"/>
        </w:rPr>
        <w:t>，从业人员</w:t>
      </w:r>
      <w:r>
        <w:rPr>
          <w:rFonts w:hint="eastAsia" w:ascii="宋体" w:hAnsi="宋体" w:eastAsia="宋体" w:cs="宋体"/>
          <w:i w:val="0"/>
          <w:iCs w:val="0"/>
          <w:color w:val="auto"/>
          <w:kern w:val="2"/>
          <w:sz w:val="21"/>
          <w:szCs w:val="21"/>
          <w:highlight w:val="none"/>
          <w:u w:val="single"/>
        </w:rPr>
        <w:t xml:space="preserve">      </w:t>
      </w:r>
      <w:r>
        <w:rPr>
          <w:rFonts w:hint="eastAsia" w:ascii="宋体" w:hAnsi="宋体" w:eastAsia="宋体" w:cs="宋体"/>
          <w:i w:val="0"/>
          <w:iCs w:val="0"/>
          <w:color w:val="auto"/>
          <w:kern w:val="2"/>
          <w:sz w:val="21"/>
          <w:szCs w:val="21"/>
          <w:highlight w:val="none"/>
        </w:rPr>
        <w:t>人，营业收入为</w:t>
      </w:r>
      <w:r>
        <w:rPr>
          <w:rFonts w:hint="eastAsia" w:ascii="宋体" w:hAnsi="宋体" w:eastAsia="宋体" w:cs="宋体"/>
          <w:i w:val="0"/>
          <w:iCs w:val="0"/>
          <w:color w:val="auto"/>
          <w:kern w:val="2"/>
          <w:sz w:val="21"/>
          <w:szCs w:val="21"/>
          <w:highlight w:val="none"/>
          <w:u w:val="single"/>
        </w:rPr>
        <w:t xml:space="preserve">      </w:t>
      </w:r>
      <w:r>
        <w:rPr>
          <w:rFonts w:hint="eastAsia" w:ascii="宋体" w:hAnsi="宋体" w:eastAsia="宋体" w:cs="宋体"/>
          <w:i w:val="0"/>
          <w:iCs w:val="0"/>
          <w:color w:val="auto"/>
          <w:kern w:val="2"/>
          <w:sz w:val="21"/>
          <w:szCs w:val="21"/>
          <w:highlight w:val="none"/>
        </w:rPr>
        <w:t>万元，资产总额为</w:t>
      </w:r>
      <w:r>
        <w:rPr>
          <w:rFonts w:hint="eastAsia" w:ascii="宋体" w:hAnsi="宋体" w:eastAsia="宋体" w:cs="宋体"/>
          <w:i w:val="0"/>
          <w:iCs w:val="0"/>
          <w:color w:val="auto"/>
          <w:kern w:val="2"/>
          <w:sz w:val="21"/>
          <w:szCs w:val="21"/>
          <w:highlight w:val="none"/>
          <w:u w:val="single"/>
          <w:lang w:val="en-US" w:eastAsia="zh-CN"/>
        </w:rPr>
        <w:t xml:space="preserve">    </w:t>
      </w:r>
      <w:r>
        <w:rPr>
          <w:rFonts w:hint="eastAsia" w:ascii="宋体" w:hAnsi="宋体" w:eastAsia="宋体" w:cs="宋体"/>
          <w:i w:val="0"/>
          <w:iCs w:val="0"/>
          <w:color w:val="auto"/>
          <w:kern w:val="2"/>
          <w:sz w:val="21"/>
          <w:szCs w:val="21"/>
          <w:highlight w:val="none"/>
        </w:rPr>
        <w:t>万元，属于</w:t>
      </w:r>
      <w:r>
        <w:rPr>
          <w:rFonts w:hint="eastAsia" w:ascii="宋体" w:hAnsi="宋体" w:eastAsia="宋体" w:cs="宋体"/>
          <w:i w:val="0"/>
          <w:iCs w:val="0"/>
          <w:color w:val="auto"/>
          <w:kern w:val="2"/>
          <w:sz w:val="21"/>
          <w:szCs w:val="21"/>
          <w:highlight w:val="none"/>
          <w:u w:val="single"/>
        </w:rPr>
        <w:t>（中型企业、小型企业、微型企业）</w:t>
      </w:r>
      <w:r>
        <w:rPr>
          <w:rFonts w:hint="eastAsia" w:ascii="宋体" w:hAnsi="宋体" w:eastAsia="宋体" w:cs="宋体"/>
          <w:i w:val="0"/>
          <w:iCs w:val="0"/>
          <w:color w:val="auto"/>
          <w:kern w:val="2"/>
          <w:sz w:val="21"/>
          <w:szCs w:val="21"/>
          <w:highlight w:val="none"/>
        </w:rPr>
        <w:t>；</w:t>
      </w:r>
    </w:p>
    <w:p w14:paraId="0BAC447C">
      <w:pPr>
        <w:widowControl w:val="0"/>
        <w:shd w:val="clear" w:color="auto" w:fill="auto"/>
        <w:adjustRightInd/>
        <w:spacing w:line="500" w:lineRule="exact"/>
        <w:ind w:firstLine="420" w:firstLineChars="200"/>
        <w:jc w:val="both"/>
        <w:textAlignment w:val="auto"/>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w:t>
      </w:r>
    </w:p>
    <w:p w14:paraId="5490BA8C">
      <w:pPr>
        <w:widowControl w:val="0"/>
        <w:shd w:val="clear" w:color="auto" w:fill="auto"/>
        <w:adjustRightInd/>
        <w:spacing w:line="500" w:lineRule="exact"/>
        <w:ind w:firstLine="420" w:firstLineChars="200"/>
        <w:jc w:val="both"/>
        <w:textAlignment w:val="auto"/>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以上企业，不属于大企业的分支机构，不存在控股股东为大企业的情形，也不存在与大企业的负责人为同一人的情形。</w:t>
      </w:r>
    </w:p>
    <w:p w14:paraId="2394F3BF">
      <w:pPr>
        <w:widowControl w:val="0"/>
        <w:shd w:val="clear" w:color="auto" w:fill="auto"/>
        <w:adjustRightInd/>
        <w:spacing w:line="500" w:lineRule="exact"/>
        <w:ind w:firstLine="420" w:firstLineChars="200"/>
        <w:jc w:val="both"/>
        <w:textAlignment w:val="auto"/>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本企业对上述声明内容的真实性负责。如有虚假，将依法承担相应责任。</w:t>
      </w:r>
    </w:p>
    <w:p w14:paraId="17380EFD">
      <w:pPr>
        <w:widowControl w:val="0"/>
        <w:shd w:val="clear" w:color="auto" w:fill="auto"/>
        <w:adjustRightInd/>
        <w:spacing w:line="500" w:lineRule="exact"/>
        <w:jc w:val="both"/>
        <w:textAlignment w:val="auto"/>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 xml:space="preserve">                        企业名称（盖章）：</w:t>
      </w:r>
    </w:p>
    <w:p w14:paraId="7815CA07">
      <w:pPr>
        <w:widowControl w:val="0"/>
        <w:shd w:val="clear" w:color="auto" w:fill="auto"/>
        <w:adjustRightInd/>
        <w:spacing w:line="500" w:lineRule="exact"/>
        <w:jc w:val="both"/>
        <w:textAlignment w:val="auto"/>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 xml:space="preserve">                        日期：</w:t>
      </w:r>
    </w:p>
    <w:p w14:paraId="21F5EC47">
      <w:pPr>
        <w:widowControl w:val="0"/>
        <w:shd w:val="clear" w:color="auto" w:fill="auto"/>
        <w:adjustRightInd/>
        <w:spacing w:line="500" w:lineRule="exact"/>
        <w:jc w:val="both"/>
        <w:textAlignment w:val="auto"/>
        <w:rPr>
          <w:rFonts w:hint="eastAsia" w:ascii="宋体" w:hAnsi="宋体" w:eastAsia="宋体" w:cs="宋体"/>
          <w:color w:val="auto"/>
          <w:kern w:val="2"/>
          <w:sz w:val="21"/>
          <w:szCs w:val="21"/>
          <w:highlight w:val="none"/>
        </w:rPr>
      </w:pPr>
    </w:p>
    <w:p w14:paraId="765CF5C7">
      <w:pPr>
        <w:widowControl w:val="0"/>
        <w:shd w:val="clear" w:color="auto" w:fill="auto"/>
        <w:adjustRightInd w:val="0"/>
        <w:spacing w:line="360" w:lineRule="auto"/>
        <w:ind w:firstLine="0"/>
        <w:jc w:val="both"/>
        <w:textAlignment w:val="baseline"/>
        <w:rPr>
          <w:rFonts w:hint="eastAsia" w:ascii="宋体" w:hAnsi="宋体" w:eastAsia="宋体" w:cs="宋体"/>
          <w:color w:val="auto"/>
          <w:spacing w:val="-4"/>
          <w:kern w:val="2"/>
          <w:sz w:val="18"/>
          <w:szCs w:val="21"/>
          <w:highlight w:val="none"/>
          <w:lang w:val="en-US" w:eastAsia="zh-CN" w:bidi="ar-SA"/>
        </w:rPr>
      </w:pPr>
      <w:r>
        <w:rPr>
          <w:rFonts w:hint="eastAsia" w:ascii="宋体" w:hAnsi="宋体" w:eastAsia="宋体" w:cs="宋体"/>
          <w:color w:val="auto"/>
          <w:spacing w:val="-4"/>
          <w:kern w:val="2"/>
          <w:sz w:val="18"/>
          <w:szCs w:val="21"/>
          <w:highlight w:val="none"/>
          <w:lang w:val="en-US" w:eastAsia="zh-CN" w:bidi="ar-SA"/>
        </w:rPr>
        <w:t>说明：</w:t>
      </w:r>
    </w:p>
    <w:p w14:paraId="6DC422F3">
      <w:pPr>
        <w:widowControl w:val="0"/>
        <w:shd w:val="clear" w:color="auto" w:fill="auto"/>
        <w:adjustRightInd w:val="0"/>
        <w:spacing w:line="360" w:lineRule="auto"/>
        <w:ind w:firstLine="0"/>
        <w:jc w:val="both"/>
        <w:textAlignment w:val="baseline"/>
        <w:rPr>
          <w:rFonts w:hint="eastAsia" w:ascii="宋体" w:hAnsi="宋体" w:eastAsia="宋体" w:cs="宋体"/>
          <w:color w:val="auto"/>
          <w:spacing w:val="-4"/>
          <w:kern w:val="2"/>
          <w:sz w:val="18"/>
          <w:szCs w:val="21"/>
          <w:highlight w:val="none"/>
          <w:lang w:val="en-US" w:eastAsia="zh-CN" w:bidi="ar-SA"/>
        </w:rPr>
      </w:pPr>
      <w:r>
        <w:rPr>
          <w:rFonts w:hint="eastAsia" w:ascii="宋体" w:hAnsi="宋体" w:eastAsia="宋体" w:cs="宋体"/>
          <w:color w:val="auto"/>
          <w:spacing w:val="-4"/>
          <w:kern w:val="2"/>
          <w:sz w:val="18"/>
          <w:szCs w:val="21"/>
          <w:highlight w:val="none"/>
          <w:lang w:val="en-US" w:eastAsia="zh-CN" w:bidi="ar-SA"/>
        </w:rPr>
        <w:t>1、从业人员、营业收入、资产总额填报上一年度数据，无上一年度数据的新成立企业可不填报。</w:t>
      </w:r>
    </w:p>
    <w:p w14:paraId="09F5A77D">
      <w:pPr>
        <w:widowControl w:val="0"/>
        <w:shd w:val="clear" w:color="auto" w:fill="auto"/>
        <w:adjustRightInd w:val="0"/>
        <w:spacing w:line="360" w:lineRule="auto"/>
        <w:ind w:firstLine="0"/>
        <w:jc w:val="both"/>
        <w:textAlignment w:val="baseline"/>
        <w:rPr>
          <w:rFonts w:hint="eastAsia" w:ascii="宋体" w:hAnsi="宋体" w:eastAsia="宋体" w:cs="宋体"/>
          <w:color w:val="auto"/>
          <w:spacing w:val="-4"/>
          <w:kern w:val="2"/>
          <w:sz w:val="18"/>
          <w:szCs w:val="21"/>
          <w:highlight w:val="none"/>
          <w:lang w:val="en-US" w:eastAsia="zh-CN" w:bidi="ar-SA"/>
        </w:rPr>
      </w:pPr>
      <w:r>
        <w:rPr>
          <w:rFonts w:hint="eastAsia" w:ascii="宋体" w:hAnsi="宋体" w:eastAsia="宋体" w:cs="宋体"/>
          <w:color w:val="auto"/>
          <w:spacing w:val="-4"/>
          <w:kern w:val="2"/>
          <w:sz w:val="18"/>
          <w:szCs w:val="21"/>
          <w:highlight w:val="none"/>
          <w:lang w:val="en-US" w:eastAsia="zh-CN" w:bidi="ar-SA"/>
        </w:rPr>
        <w:t>2、根据工信部联企业[2011]300号规定。其他未列明行业：从业人员300人以下的为中小微型企业。其中，从业人员100人及以上的为中型企业；从业人员10人及以上的为小型企业；从业人员10人以下的为微型企业。</w:t>
      </w:r>
    </w:p>
    <w:p w14:paraId="3D69C7C8">
      <w:pPr>
        <w:widowControl w:val="0"/>
        <w:shd w:val="clear" w:color="auto" w:fill="auto"/>
        <w:adjustRightInd w:val="0"/>
        <w:spacing w:line="360" w:lineRule="auto"/>
        <w:ind w:firstLine="0"/>
        <w:jc w:val="both"/>
        <w:textAlignment w:val="baseline"/>
        <w:rPr>
          <w:rFonts w:hint="eastAsia" w:ascii="宋体" w:hAnsi="宋体" w:eastAsia="宋体" w:cs="宋体"/>
          <w:color w:val="auto"/>
          <w:spacing w:val="-4"/>
          <w:kern w:val="2"/>
          <w:sz w:val="18"/>
          <w:szCs w:val="21"/>
          <w:highlight w:val="none"/>
          <w:lang w:val="en-US" w:eastAsia="zh-CN" w:bidi="ar-SA"/>
        </w:rPr>
      </w:pPr>
      <w:r>
        <w:rPr>
          <w:rFonts w:hint="eastAsia" w:ascii="宋体" w:hAnsi="宋体" w:eastAsia="宋体" w:cs="宋体"/>
          <w:color w:val="auto"/>
          <w:spacing w:val="-4"/>
          <w:kern w:val="2"/>
          <w:sz w:val="18"/>
          <w:szCs w:val="21"/>
          <w:highlight w:val="none"/>
          <w:lang w:val="en-US" w:eastAsia="zh-CN" w:bidi="ar-SA"/>
        </w:rPr>
        <w:t>风险提示：</w:t>
      </w:r>
    </w:p>
    <w:p w14:paraId="7057B36B">
      <w:pPr>
        <w:widowControl w:val="0"/>
        <w:numPr>
          <w:ilvl w:val="0"/>
          <w:numId w:val="18"/>
        </w:numPr>
        <w:shd w:val="clear" w:color="auto" w:fill="auto"/>
        <w:adjustRightInd w:val="0"/>
        <w:snapToGrid w:val="0"/>
        <w:spacing w:line="360" w:lineRule="auto"/>
        <w:jc w:val="both"/>
        <w:textAlignment w:val="baseline"/>
        <w:rPr>
          <w:rFonts w:hint="eastAsia" w:ascii="宋体" w:hAnsi="宋体" w:eastAsia="宋体" w:cs="宋体"/>
          <w:color w:val="auto"/>
          <w:spacing w:val="-4"/>
          <w:kern w:val="2"/>
          <w:sz w:val="18"/>
          <w:szCs w:val="21"/>
          <w:highlight w:val="none"/>
          <w:lang w:val="en-US" w:eastAsia="zh-CN" w:bidi="ar-SA"/>
        </w:rPr>
      </w:pPr>
      <w:r>
        <w:rPr>
          <w:rFonts w:hint="eastAsia" w:ascii="宋体" w:hAnsi="宋体" w:eastAsia="宋体" w:cs="宋体"/>
          <w:color w:val="auto"/>
          <w:spacing w:val="-4"/>
          <w:kern w:val="2"/>
          <w:sz w:val="18"/>
          <w:szCs w:val="21"/>
          <w:highlight w:val="none"/>
          <w:lang w:val="en-US" w:eastAsia="zh-CN" w:bidi="ar-SA"/>
        </w:rPr>
        <w:t>供应商应当对其出具的《中小企业声明函》真实性负责，供应商出具的《中小企业声明函》内容不实的，属于提供虚假材料谋取中标</w:t>
      </w:r>
      <w:r>
        <w:rPr>
          <w:rFonts w:hint="eastAsia" w:hAnsi="宋体" w:eastAsia="宋体" w:cs="宋体"/>
          <w:color w:val="auto"/>
          <w:spacing w:val="-4"/>
          <w:kern w:val="2"/>
          <w:sz w:val="18"/>
          <w:szCs w:val="21"/>
          <w:highlight w:val="none"/>
          <w:lang w:val="en-US" w:eastAsia="zh-CN" w:bidi="ar-SA"/>
        </w:rPr>
        <w:t>（成交）</w:t>
      </w:r>
      <w:r>
        <w:rPr>
          <w:rFonts w:hint="eastAsia" w:ascii="宋体" w:hAnsi="宋体" w:eastAsia="宋体" w:cs="宋体"/>
          <w:color w:val="auto"/>
          <w:spacing w:val="-4"/>
          <w:kern w:val="2"/>
          <w:sz w:val="18"/>
          <w:szCs w:val="21"/>
          <w:highlight w:val="none"/>
          <w:lang w:val="en-US" w:eastAsia="zh-CN" w:bidi="ar-SA"/>
        </w:rPr>
        <w:t>。在实际操作中，供应商希望获得政策支持的，应从制造商处获得充分、准确的信息。对相关制造商信息了解不充分，或者不能确定相关信息真实、准确的，不建议出具《中小企业声明函》。</w:t>
      </w:r>
    </w:p>
    <w:p w14:paraId="45E3F858">
      <w:pPr>
        <w:shd w:val="clear" w:color="auto" w:fill="auto"/>
        <w:jc w:val="center"/>
        <w:rPr>
          <w:rFonts w:hint="eastAsia" w:hAnsi="宋体" w:eastAsia="宋体" w:cs="宋体"/>
          <w:b/>
          <w:color w:val="auto"/>
          <w:sz w:val="21"/>
          <w:highlight w:val="none"/>
        </w:rPr>
      </w:pPr>
      <w:r>
        <w:rPr>
          <w:rFonts w:hint="eastAsia" w:ascii="宋体" w:hAnsi="宋体" w:eastAsia="宋体" w:cs="宋体"/>
          <w:b/>
          <w:bCs/>
          <w:color w:val="auto"/>
          <w:sz w:val="28"/>
          <w:szCs w:val="21"/>
          <w:highlight w:val="none"/>
          <w:lang w:val="en-US" w:eastAsia="zh-CN"/>
        </w:rPr>
        <w:br w:type="page"/>
      </w:r>
      <w:r>
        <w:rPr>
          <w:rFonts w:hint="eastAsia" w:hAnsi="宋体" w:eastAsia="宋体" w:cs="宋体"/>
          <w:b/>
          <w:color w:val="auto"/>
          <w:sz w:val="21"/>
          <w:highlight w:val="none"/>
        </w:rPr>
        <w:t>残疾人福利性单位声明函</w:t>
      </w:r>
    </w:p>
    <w:p w14:paraId="0A6ADAA0">
      <w:pPr>
        <w:shd w:val="clear" w:color="auto" w:fill="auto"/>
        <w:spacing w:line="588" w:lineRule="exact"/>
        <w:rPr>
          <w:rFonts w:hint="eastAsia" w:hAnsi="宋体" w:eastAsia="宋体" w:cs="宋体"/>
          <w:b/>
          <w:color w:val="auto"/>
          <w:spacing w:val="6"/>
          <w:sz w:val="21"/>
          <w:highlight w:val="none"/>
        </w:rPr>
      </w:pPr>
    </w:p>
    <w:p w14:paraId="4A278C33">
      <w:pPr>
        <w:shd w:val="clear" w:color="auto" w:fill="auto"/>
        <w:spacing w:line="588" w:lineRule="exact"/>
        <w:ind w:firstLine="444" w:firstLineChars="200"/>
        <w:rPr>
          <w:rFonts w:hint="eastAsia" w:hAnsi="宋体" w:eastAsia="宋体" w:cs="宋体"/>
          <w:color w:val="auto"/>
          <w:spacing w:val="6"/>
          <w:sz w:val="21"/>
          <w:highlight w:val="none"/>
        </w:rPr>
      </w:pPr>
      <w:r>
        <w:rPr>
          <w:rFonts w:hint="eastAsia" w:hAnsi="宋体" w:eastAsia="宋体" w:cs="宋体"/>
          <w:color w:val="auto"/>
          <w:spacing w:val="6"/>
          <w:sz w:val="21"/>
          <w:highlight w:val="none"/>
        </w:rPr>
        <w:t>本单位郑重声明，根据《财政部 民政部 中国残疾人联合会关于促进残疾人就业政府采购政策的通知》（财库</w:t>
      </w:r>
      <w:r>
        <w:rPr>
          <w:rFonts w:hint="eastAsia" w:hAnsi="宋体" w:eastAsia="宋体" w:cs="宋体"/>
          <w:color w:val="auto"/>
          <w:sz w:val="21"/>
          <w:highlight w:val="none"/>
        </w:rPr>
        <w:t>〔2017〕 141</w:t>
      </w:r>
      <w:r>
        <w:rPr>
          <w:rFonts w:hint="eastAsia" w:hAnsi="宋体" w:eastAsia="宋体" w:cs="宋体"/>
          <w:color w:val="auto"/>
          <w:spacing w:val="6"/>
          <w:sz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19611E">
      <w:pPr>
        <w:shd w:val="clear" w:color="auto" w:fill="auto"/>
        <w:spacing w:line="588" w:lineRule="exact"/>
        <w:ind w:firstLine="444" w:firstLineChars="200"/>
        <w:rPr>
          <w:rFonts w:hint="eastAsia" w:hAnsi="宋体" w:eastAsia="宋体" w:cs="宋体"/>
          <w:color w:val="auto"/>
          <w:spacing w:val="6"/>
          <w:sz w:val="21"/>
          <w:highlight w:val="none"/>
        </w:rPr>
      </w:pPr>
      <w:r>
        <w:rPr>
          <w:rFonts w:hint="eastAsia" w:hAnsi="宋体" w:eastAsia="宋体" w:cs="宋体"/>
          <w:color w:val="auto"/>
          <w:spacing w:val="6"/>
          <w:sz w:val="21"/>
          <w:highlight w:val="none"/>
        </w:rPr>
        <w:t>本单位对上述声明的真实性负责。如有虚假，将依法承担相应责任。</w:t>
      </w:r>
    </w:p>
    <w:p w14:paraId="19FE4A9A">
      <w:pPr>
        <w:shd w:val="clear" w:color="auto" w:fill="auto"/>
        <w:tabs>
          <w:tab w:val="left" w:pos="4860"/>
        </w:tabs>
        <w:spacing w:line="588" w:lineRule="exact"/>
        <w:ind w:right="1560" w:firstLine="444" w:firstLineChars="200"/>
        <w:jc w:val="center"/>
        <w:rPr>
          <w:rFonts w:hint="eastAsia" w:hAnsi="宋体" w:eastAsia="宋体" w:cs="宋体"/>
          <w:color w:val="auto"/>
          <w:spacing w:val="6"/>
          <w:sz w:val="21"/>
          <w:highlight w:val="none"/>
        </w:rPr>
      </w:pPr>
      <w:r>
        <w:rPr>
          <w:rFonts w:hint="eastAsia" w:hAnsi="宋体" w:eastAsia="宋体" w:cs="宋体"/>
          <w:color w:val="auto"/>
          <w:spacing w:val="6"/>
          <w:sz w:val="21"/>
          <w:highlight w:val="none"/>
        </w:rPr>
        <w:t xml:space="preserve">             </w:t>
      </w:r>
    </w:p>
    <w:p w14:paraId="11E59102">
      <w:pPr>
        <w:shd w:val="clear" w:color="auto" w:fill="auto"/>
        <w:tabs>
          <w:tab w:val="left" w:pos="4860"/>
        </w:tabs>
        <w:spacing w:line="588" w:lineRule="exact"/>
        <w:ind w:right="1560" w:firstLine="444" w:firstLineChars="200"/>
        <w:jc w:val="center"/>
        <w:rPr>
          <w:rFonts w:hint="eastAsia" w:hAnsi="宋体" w:eastAsia="宋体" w:cs="宋体"/>
          <w:color w:val="auto"/>
          <w:spacing w:val="6"/>
          <w:sz w:val="21"/>
          <w:highlight w:val="none"/>
        </w:rPr>
      </w:pPr>
      <w:r>
        <w:rPr>
          <w:rFonts w:hint="eastAsia" w:hAnsi="宋体" w:eastAsia="宋体" w:cs="宋体"/>
          <w:color w:val="auto"/>
          <w:spacing w:val="6"/>
          <w:sz w:val="21"/>
          <w:highlight w:val="none"/>
        </w:rPr>
        <w:t xml:space="preserve">  单位名称（盖章）：</w:t>
      </w:r>
    </w:p>
    <w:p w14:paraId="2BD0D9D4">
      <w:pPr>
        <w:shd w:val="clear" w:color="auto" w:fill="auto"/>
        <w:tabs>
          <w:tab w:val="left" w:pos="4860"/>
        </w:tabs>
        <w:spacing w:line="588" w:lineRule="exact"/>
        <w:ind w:right="1560" w:firstLine="444" w:firstLineChars="200"/>
        <w:jc w:val="center"/>
        <w:rPr>
          <w:rFonts w:hint="eastAsia"/>
          <w:color w:val="auto"/>
          <w:highlight w:val="none"/>
        </w:rPr>
      </w:pPr>
      <w:r>
        <w:rPr>
          <w:rFonts w:hint="eastAsia" w:hAnsi="宋体" w:eastAsia="宋体" w:cs="宋体"/>
          <w:color w:val="auto"/>
          <w:spacing w:val="6"/>
          <w:sz w:val="21"/>
          <w:highlight w:val="none"/>
        </w:rPr>
        <w:t xml:space="preserve">       日  期：</w:t>
      </w:r>
    </w:p>
    <w:p w14:paraId="3AD24BF5">
      <w:pPr>
        <w:shd w:val="clear" w:color="auto" w:fill="auto"/>
        <w:jc w:val="left"/>
        <w:rPr>
          <w:rFonts w:hint="eastAsia" w:hAnsi="宋体" w:eastAsia="宋体" w:cs="宋体"/>
          <w:color w:val="auto"/>
          <w:sz w:val="18"/>
          <w:szCs w:val="18"/>
          <w:highlight w:val="none"/>
          <w:lang w:bidi="ar"/>
        </w:rPr>
      </w:pPr>
      <w:r>
        <w:rPr>
          <w:rFonts w:hint="eastAsia" w:hAnsi="宋体" w:eastAsia="宋体" w:cs="宋体"/>
          <w:color w:val="auto"/>
          <w:sz w:val="18"/>
          <w:szCs w:val="18"/>
          <w:highlight w:val="none"/>
          <w:lang w:bidi="ar"/>
        </w:rPr>
        <w:t>注：1、如供应商为非残疾人福利性单位的可不提供本声明函。</w:t>
      </w:r>
    </w:p>
    <w:p w14:paraId="68F6B32A">
      <w:pPr>
        <w:shd w:val="clear" w:color="auto" w:fill="auto"/>
        <w:jc w:val="left"/>
        <w:rPr>
          <w:rFonts w:hint="eastAsia" w:hAnsi="宋体" w:eastAsia="宋体" w:cs="宋体"/>
          <w:color w:val="auto"/>
          <w:sz w:val="18"/>
          <w:szCs w:val="18"/>
          <w:highlight w:val="none"/>
          <w:lang w:bidi="ar"/>
        </w:rPr>
      </w:pPr>
      <w:r>
        <w:rPr>
          <w:rFonts w:hint="eastAsia" w:hAnsi="宋体" w:eastAsia="宋体" w:cs="宋体"/>
          <w:color w:val="auto"/>
          <w:sz w:val="18"/>
          <w:szCs w:val="18"/>
          <w:highlight w:val="none"/>
          <w:lang w:bidi="ar"/>
        </w:rPr>
        <w:t>2、享受政府采购支持政策的残疾人福利性单位应当同时满足以下条件：</w:t>
      </w:r>
    </w:p>
    <w:p w14:paraId="66F09FD9">
      <w:pPr>
        <w:shd w:val="clear" w:color="auto" w:fill="auto"/>
        <w:jc w:val="left"/>
        <w:rPr>
          <w:rFonts w:hint="eastAsia" w:hAnsi="宋体" w:eastAsia="宋体" w:cs="宋体"/>
          <w:color w:val="auto"/>
          <w:sz w:val="18"/>
          <w:szCs w:val="18"/>
          <w:highlight w:val="none"/>
          <w:lang w:bidi="ar"/>
        </w:rPr>
      </w:pPr>
      <w:r>
        <w:rPr>
          <w:rFonts w:hint="eastAsia" w:hAnsi="宋体" w:eastAsia="宋体" w:cs="宋体"/>
          <w:color w:val="auto"/>
          <w:sz w:val="18"/>
          <w:szCs w:val="18"/>
          <w:highlight w:val="none"/>
          <w:lang w:bidi="ar"/>
        </w:rPr>
        <w:t>（一）安置的残疾人占本单位在职职工人数的比例不低于25%（含25%），并且安置的残疾人人数不少于10人（含10人）；</w:t>
      </w:r>
    </w:p>
    <w:p w14:paraId="6390432B">
      <w:pPr>
        <w:shd w:val="clear" w:color="auto" w:fill="auto"/>
        <w:jc w:val="left"/>
        <w:rPr>
          <w:rFonts w:hint="eastAsia" w:hAnsi="宋体" w:eastAsia="宋体" w:cs="宋体"/>
          <w:color w:val="auto"/>
          <w:sz w:val="18"/>
          <w:szCs w:val="18"/>
          <w:highlight w:val="none"/>
          <w:lang w:bidi="ar"/>
        </w:rPr>
      </w:pPr>
      <w:r>
        <w:rPr>
          <w:rFonts w:hint="eastAsia" w:hAnsi="宋体" w:eastAsia="宋体" w:cs="宋体"/>
          <w:color w:val="auto"/>
          <w:sz w:val="18"/>
          <w:szCs w:val="18"/>
          <w:highlight w:val="none"/>
          <w:lang w:bidi="ar"/>
        </w:rPr>
        <w:t>（二）依法与安置的每位残疾人签订了一年以上（含一年）的劳动合同或服务协议；</w:t>
      </w:r>
    </w:p>
    <w:p w14:paraId="52EE6214">
      <w:pPr>
        <w:shd w:val="clear" w:color="auto" w:fill="auto"/>
        <w:jc w:val="left"/>
        <w:rPr>
          <w:rFonts w:hint="eastAsia" w:hAnsi="宋体" w:eastAsia="宋体" w:cs="宋体"/>
          <w:color w:val="auto"/>
          <w:sz w:val="18"/>
          <w:szCs w:val="18"/>
          <w:highlight w:val="none"/>
          <w:lang w:bidi="ar"/>
        </w:rPr>
      </w:pPr>
      <w:r>
        <w:rPr>
          <w:rFonts w:hint="eastAsia" w:hAnsi="宋体" w:eastAsia="宋体" w:cs="宋体"/>
          <w:color w:val="auto"/>
          <w:sz w:val="18"/>
          <w:szCs w:val="18"/>
          <w:highlight w:val="none"/>
          <w:lang w:bidi="ar"/>
        </w:rPr>
        <w:t>（三）为安置的每位残疾人按月足额缴纳了基本养老保险、基本医疗保险、失业保险、工伤保险和生育保险等社会保险费；</w:t>
      </w:r>
    </w:p>
    <w:p w14:paraId="6FBED16F">
      <w:pPr>
        <w:shd w:val="clear" w:color="auto" w:fill="auto"/>
        <w:jc w:val="left"/>
        <w:rPr>
          <w:rFonts w:hint="eastAsia" w:hAnsi="宋体" w:eastAsia="宋体" w:cs="宋体"/>
          <w:color w:val="auto"/>
          <w:sz w:val="18"/>
          <w:szCs w:val="18"/>
          <w:highlight w:val="none"/>
          <w:lang w:bidi="ar"/>
        </w:rPr>
      </w:pPr>
      <w:r>
        <w:rPr>
          <w:rFonts w:hint="eastAsia" w:hAnsi="宋体" w:eastAsia="宋体" w:cs="宋体"/>
          <w:color w:val="auto"/>
          <w:sz w:val="18"/>
          <w:szCs w:val="18"/>
          <w:highlight w:val="none"/>
          <w:lang w:bidi="ar"/>
        </w:rPr>
        <w:t>（四）通过银行等金融机构向安置的每位残疾人，按月支付了不低于单位所在区县适用的经省级人民政府批准的月最低工资标准的工资；</w:t>
      </w:r>
    </w:p>
    <w:p w14:paraId="6D22DE0C">
      <w:pPr>
        <w:shd w:val="clear" w:color="auto" w:fill="auto"/>
        <w:jc w:val="left"/>
        <w:rPr>
          <w:rFonts w:hint="eastAsia" w:hAnsi="宋体" w:eastAsia="宋体" w:cs="宋体"/>
          <w:color w:val="auto"/>
          <w:sz w:val="18"/>
          <w:szCs w:val="18"/>
          <w:highlight w:val="none"/>
          <w:lang w:bidi="ar"/>
        </w:rPr>
      </w:pPr>
      <w:r>
        <w:rPr>
          <w:rFonts w:hint="eastAsia" w:hAnsi="宋体" w:eastAsia="宋体" w:cs="宋体"/>
          <w:color w:val="auto"/>
          <w:sz w:val="18"/>
          <w:szCs w:val="18"/>
          <w:highlight w:val="none"/>
          <w:lang w:bidi="ar"/>
        </w:rPr>
        <w:t>（五）提供本单位制造的货物、承担的工程或者服务（以下简称产品），或者提供其他残疾人福利性单位制造的货物（不包括使用非残疾人福利性单位注册商标的货物）。</w:t>
      </w:r>
    </w:p>
    <w:p w14:paraId="77937400">
      <w:pPr>
        <w:shd w:val="clear" w:color="auto" w:fill="auto"/>
        <w:jc w:val="left"/>
        <w:rPr>
          <w:rFonts w:hint="eastAsia" w:hAnsi="宋体" w:eastAsia="宋体" w:cs="宋体"/>
          <w:b/>
          <w:bCs/>
          <w:color w:val="auto"/>
          <w:sz w:val="18"/>
          <w:szCs w:val="18"/>
          <w:highlight w:val="none"/>
          <w:lang w:bidi="ar"/>
        </w:rPr>
      </w:pPr>
      <w:r>
        <w:rPr>
          <w:rFonts w:hint="eastAsia" w:hAnsi="宋体" w:eastAsia="宋体" w:cs="宋体"/>
          <w:color w:val="auto"/>
          <w:sz w:val="18"/>
          <w:szCs w:val="18"/>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677BC49">
      <w:pPr>
        <w:pStyle w:val="6"/>
        <w:numPr>
          <w:ilvl w:val="0"/>
          <w:numId w:val="0"/>
        </w:numPr>
        <w:shd w:val="clear" w:color="auto" w:fill="auto"/>
        <w:tabs>
          <w:tab w:val="left" w:pos="720"/>
        </w:tabs>
        <w:snapToGrid w:val="0"/>
        <w:spacing w:before="156" w:beforeLines="50"/>
        <w:rPr>
          <w:rFonts w:hint="eastAsia" w:ascii="宋体" w:hAnsi="宋体" w:eastAsia="宋体" w:cs="宋体"/>
          <w:b w:val="0"/>
          <w:bCs w:val="0"/>
          <w:color w:val="auto"/>
          <w:sz w:val="21"/>
          <w:szCs w:val="21"/>
          <w:highlight w:val="none"/>
        </w:rPr>
        <w:sectPr>
          <w:footnotePr>
            <w:numFmt w:val="decimalEnclosedCircleChinese"/>
          </w:footnotePr>
          <w:pgSz w:w="11906" w:h="16838"/>
          <w:pgMar w:top="1440" w:right="1080" w:bottom="1440" w:left="1080" w:header="964" w:footer="567" w:gutter="567"/>
          <w:cols w:space="720" w:num="1"/>
          <w:docGrid w:type="lines" w:linePitch="312" w:charSpace="0"/>
        </w:sectPr>
      </w:pPr>
    </w:p>
    <w:p w14:paraId="21AC1508">
      <w:pPr>
        <w:pStyle w:val="6"/>
        <w:numPr>
          <w:ilvl w:val="0"/>
          <w:numId w:val="0"/>
        </w:numPr>
        <w:shd w:val="clear" w:color="auto" w:fill="auto"/>
        <w:tabs>
          <w:tab w:val="left" w:pos="720"/>
        </w:tabs>
        <w:snapToGrid w:val="0"/>
        <w:spacing w:before="156" w:beforeLines="5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r>
        <w:rPr>
          <w:rFonts w:hint="eastAsia" w:hAnsi="宋体" w:eastAsia="宋体" w:cs="宋体"/>
          <w:bCs/>
          <w:color w:val="auto"/>
          <w:sz w:val="21"/>
          <w:highlight w:val="none"/>
          <w:lang w:val="en-US" w:eastAsia="zh-CN"/>
        </w:rPr>
        <w:t>3</w:t>
      </w:r>
      <w:r>
        <w:rPr>
          <w:rFonts w:hint="eastAsia" w:ascii="宋体" w:hAnsi="宋体" w:eastAsia="宋体" w:cs="宋体"/>
          <w:bCs/>
          <w:color w:val="auto"/>
          <w:sz w:val="21"/>
          <w:highlight w:val="none"/>
        </w:rPr>
        <w:t>）供应商针对报价需要说明的其他文件和说明（格式自拟）</w:t>
      </w:r>
    </w:p>
    <w:sectPr>
      <w:footnotePr>
        <w:numFmt w:val="decimalEnclosedCircleChinese"/>
      </w:footnotePr>
      <w:pgSz w:w="11906" w:h="16838"/>
      <w:pgMar w:top="1440" w:right="1080" w:bottom="1440" w:left="1080" w:header="964" w:footer="567" w:gutter="56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隶变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DFCC">
    <w:pPr>
      <w:pStyle w:val="1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F50A">
    <w:pPr>
      <w:pStyle w:val="16"/>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C1A59">
                          <w:pPr>
                            <w:pStyle w:val="16"/>
                            <w:rPr>
                              <w:rFonts w:hint="eastAsia" w:eastAsia="仿宋"/>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22C1A59">
                    <w:pPr>
                      <w:pStyle w:val="16"/>
                      <w:rPr>
                        <w:rFonts w:hint="eastAsia" w:eastAsia="仿宋"/>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p w14:paraId="05EFFA1F">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AB86">
    <w:pPr>
      <w:pStyle w:val="16"/>
      <w:tabs>
        <w:tab w:val="center" w:pos="442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58CB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4A58CB6">
                    <w:pPr>
                      <w:pStyle w:val="1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14935" cy="284480"/>
              <wp:effectExtent l="0" t="0" r="0" b="0"/>
              <wp:wrapNone/>
              <wp:docPr id="23"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wps:spPr>
                    <wps:txbx>
                      <w:txbxContent>
                        <w:p w14:paraId="63B60E50">
                          <w:pPr>
                            <w:pStyle w:val="16"/>
                          </w:pPr>
                        </w:p>
                        <w:p w14:paraId="1443760F"/>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22.4pt;width:9.05pt;mso-position-horizontal:left;mso-position-horizontal-relative:margin;mso-wrap-style:none;z-index:25166131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p0xstAAAAADAQAADwAAAAAAAAABACAAAAAiAAAAZHJz&#10;L2Rvd25yZXYueG1sUEsBAhQAFAAAAAgAh07iQHFflFIMAgAABAQAAA4AAAAAAAAAAQAgAAAAHwEA&#10;AGRycy9lMm9Eb2MueG1sUEsFBgAAAAAGAAYAWQEAAJ0FAAAAAA==&#10;">
              <v:fill on="f" focussize="0,0"/>
              <v:stroke on="f"/>
              <v:imagedata o:title=""/>
              <o:lock v:ext="edit" aspectratio="f"/>
              <v:textbox inset="0mm,0mm,0mm,0mm" style="mso-fit-shape-to-text:t;">
                <w:txbxContent>
                  <w:p w14:paraId="63B60E50">
                    <w:pPr>
                      <w:pStyle w:val="16"/>
                    </w:pPr>
                  </w:p>
                  <w:p w14:paraId="1443760F"/>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9B6E">
    <w:pPr>
      <w:pStyle w:val="16"/>
      <w:ind w:right="360"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0D5449">
                          <w:pPr>
                            <w:pStyle w:val="16"/>
                            <w:rPr>
                              <w:rFonts w:hint="eastAsia" w:eastAsia="仿宋"/>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00D5449">
                    <w:pPr>
                      <w:pStyle w:val="16"/>
                      <w:rPr>
                        <w:rFonts w:hint="eastAsia" w:eastAsia="仿宋"/>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p w14:paraId="37102EF4">
    <w:pPr>
      <w:pStyle w:val="1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F0DB">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6076">
    <w:pPr>
      <w:pStyle w:val="18"/>
      <w:pBdr>
        <w:bottom w:val="none" w:color="auto" w:sz="0" w:space="1"/>
      </w:pBdr>
      <w:tabs>
        <w:tab w:val="right" w:pos="9180"/>
        <w:tab w:val="clear" w:pos="4153"/>
        <w:tab w:val="clear" w:pos="8306"/>
      </w:tabs>
      <w:spacing w:line="0" w:lineRule="atLeast"/>
      <w:ind w:left="-360" w:right="-336"/>
      <w:jc w:val="left"/>
      <w:rPr>
        <w:rFonts w:hint="eastAsia"/>
      </w:rPr>
    </w:pPr>
    <w:r>
      <w:rPr>
        <w:rFonts w:hint="eastAsia" w:ascii="方正隶变简体" w:hAnsi="宋体" w:eastAsia="方正隶变简体" w:cs="宋体"/>
        <w:w w:val="80"/>
        <w:sz w:val="15"/>
        <w:szCs w:val="1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EBD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D2062"/>
    <w:multiLevelType w:val="singleLevel"/>
    <w:tmpl w:val="8B3D2062"/>
    <w:lvl w:ilvl="0" w:tentative="0">
      <w:start w:val="1"/>
      <w:numFmt w:val="decimal"/>
      <w:lvlText w:val="%1."/>
      <w:lvlJc w:val="left"/>
      <w:pPr>
        <w:tabs>
          <w:tab w:val="left" w:pos="312"/>
        </w:tabs>
      </w:pPr>
    </w:lvl>
  </w:abstractNum>
  <w:abstractNum w:abstractNumId="1">
    <w:nsid w:val="8E62A4EF"/>
    <w:multiLevelType w:val="singleLevel"/>
    <w:tmpl w:val="8E62A4EF"/>
    <w:lvl w:ilvl="0" w:tentative="0">
      <w:start w:val="1"/>
      <w:numFmt w:val="decimal"/>
      <w:lvlText w:val="(%1)"/>
      <w:lvlJc w:val="left"/>
      <w:pPr>
        <w:ind w:left="425" w:hanging="425"/>
      </w:pPr>
      <w:rPr>
        <w:rFonts w:hint="default"/>
      </w:rPr>
    </w:lvl>
  </w:abstractNum>
  <w:abstractNum w:abstractNumId="2">
    <w:nsid w:val="98C98358"/>
    <w:multiLevelType w:val="singleLevel"/>
    <w:tmpl w:val="98C98358"/>
    <w:lvl w:ilvl="0" w:tentative="0">
      <w:start w:val="2"/>
      <w:numFmt w:val="chineseCounting"/>
      <w:suff w:val="nothing"/>
      <w:lvlText w:val="%1、"/>
      <w:lvlJc w:val="left"/>
      <w:rPr>
        <w:rFonts w:hint="eastAsia"/>
      </w:rPr>
    </w:lvl>
  </w:abstractNum>
  <w:abstractNum w:abstractNumId="3">
    <w:nsid w:val="98F34B6D"/>
    <w:multiLevelType w:val="singleLevel"/>
    <w:tmpl w:val="98F34B6D"/>
    <w:lvl w:ilvl="0" w:tentative="0">
      <w:start w:val="1"/>
      <w:numFmt w:val="decimal"/>
      <w:lvlText w:val="(%1)"/>
      <w:lvlJc w:val="left"/>
      <w:pPr>
        <w:ind w:left="425" w:hanging="425"/>
      </w:pPr>
      <w:rPr>
        <w:rFonts w:hint="default"/>
      </w:rPr>
    </w:lvl>
  </w:abstractNum>
  <w:abstractNum w:abstractNumId="4">
    <w:nsid w:val="99DC72EB"/>
    <w:multiLevelType w:val="singleLevel"/>
    <w:tmpl w:val="99DC72EB"/>
    <w:lvl w:ilvl="0" w:tentative="0">
      <w:start w:val="2"/>
      <w:numFmt w:val="chineseCounting"/>
      <w:suff w:val="space"/>
      <w:lvlText w:val="第%1章"/>
      <w:lvlJc w:val="left"/>
      <w:rPr>
        <w:rFonts w:hint="eastAsia"/>
      </w:rPr>
    </w:lvl>
  </w:abstractNum>
  <w:abstractNum w:abstractNumId="5">
    <w:nsid w:val="9A7B5E9D"/>
    <w:multiLevelType w:val="singleLevel"/>
    <w:tmpl w:val="9A7B5E9D"/>
    <w:lvl w:ilvl="0" w:tentative="0">
      <w:start w:val="1"/>
      <w:numFmt w:val="chineseCounting"/>
      <w:suff w:val="nothing"/>
      <w:lvlText w:val="（%1）"/>
      <w:lvlJc w:val="left"/>
      <w:rPr>
        <w:rFonts w:hint="eastAsia"/>
      </w:rPr>
    </w:lvl>
  </w:abstractNum>
  <w:abstractNum w:abstractNumId="6">
    <w:nsid w:val="9CBC6050"/>
    <w:multiLevelType w:val="singleLevel"/>
    <w:tmpl w:val="9CBC6050"/>
    <w:lvl w:ilvl="0" w:tentative="0">
      <w:start w:val="1"/>
      <w:numFmt w:val="decimal"/>
      <w:lvlText w:val="%1."/>
      <w:lvlJc w:val="left"/>
      <w:pPr>
        <w:tabs>
          <w:tab w:val="left" w:pos="312"/>
        </w:tabs>
      </w:pPr>
    </w:lvl>
  </w:abstractNum>
  <w:abstractNum w:abstractNumId="7">
    <w:nsid w:val="A2038214"/>
    <w:multiLevelType w:val="singleLevel"/>
    <w:tmpl w:val="A2038214"/>
    <w:lvl w:ilvl="0" w:tentative="0">
      <w:start w:val="2"/>
      <w:numFmt w:val="decimal"/>
      <w:suff w:val="nothing"/>
      <w:lvlText w:val="（%1）"/>
      <w:lvlJc w:val="left"/>
    </w:lvl>
  </w:abstractNum>
  <w:abstractNum w:abstractNumId="8">
    <w:nsid w:val="C55B6119"/>
    <w:multiLevelType w:val="singleLevel"/>
    <w:tmpl w:val="C55B6119"/>
    <w:lvl w:ilvl="0" w:tentative="0">
      <w:start w:val="1"/>
      <w:numFmt w:val="decimal"/>
      <w:lvlText w:val="%1)"/>
      <w:lvlJc w:val="left"/>
      <w:pPr>
        <w:ind w:left="425" w:hanging="425"/>
      </w:pPr>
      <w:rPr>
        <w:rFonts w:hint="default"/>
      </w:rPr>
    </w:lvl>
  </w:abstractNum>
  <w:abstractNum w:abstractNumId="9">
    <w:nsid w:val="D75221DA"/>
    <w:multiLevelType w:val="singleLevel"/>
    <w:tmpl w:val="D75221DA"/>
    <w:lvl w:ilvl="0" w:tentative="0">
      <w:start w:val="1"/>
      <w:numFmt w:val="decimal"/>
      <w:lvlText w:val="%1)"/>
      <w:lvlJc w:val="left"/>
      <w:pPr>
        <w:ind w:left="425" w:hanging="425"/>
      </w:pPr>
      <w:rPr>
        <w:rFonts w:hint="default"/>
      </w:rPr>
    </w:lvl>
  </w:abstractNum>
  <w:abstractNum w:abstractNumId="10">
    <w:nsid w:val="F0375BC1"/>
    <w:multiLevelType w:val="singleLevel"/>
    <w:tmpl w:val="F0375BC1"/>
    <w:lvl w:ilvl="0" w:tentative="0">
      <w:start w:val="1"/>
      <w:numFmt w:val="decimal"/>
      <w:lvlText w:val="(%1)"/>
      <w:lvlJc w:val="left"/>
      <w:pPr>
        <w:ind w:left="425" w:hanging="425"/>
      </w:pPr>
      <w:rPr>
        <w:rFonts w:hint="default"/>
      </w:rPr>
    </w:lvl>
  </w:abstractNum>
  <w:abstractNum w:abstractNumId="11">
    <w:nsid w:val="11FCE11F"/>
    <w:multiLevelType w:val="singleLevel"/>
    <w:tmpl w:val="11FCE11F"/>
    <w:lvl w:ilvl="0" w:tentative="0">
      <w:start w:val="3"/>
      <w:numFmt w:val="decimal"/>
      <w:suff w:val="nothing"/>
      <w:lvlText w:val="%1、"/>
      <w:lvlJc w:val="left"/>
    </w:lvl>
  </w:abstractNum>
  <w:abstractNum w:abstractNumId="12">
    <w:nsid w:val="29477719"/>
    <w:multiLevelType w:val="singleLevel"/>
    <w:tmpl w:val="29477719"/>
    <w:lvl w:ilvl="0" w:tentative="0">
      <w:start w:val="1"/>
      <w:numFmt w:val="decimal"/>
      <w:suff w:val="nothing"/>
      <w:lvlText w:val="%1）"/>
      <w:lvlJc w:val="left"/>
    </w:lvl>
  </w:abstractNum>
  <w:abstractNum w:abstractNumId="13">
    <w:nsid w:val="42C4834D"/>
    <w:multiLevelType w:val="singleLevel"/>
    <w:tmpl w:val="42C4834D"/>
    <w:lvl w:ilvl="0" w:tentative="0">
      <w:start w:val="4"/>
      <w:numFmt w:val="chineseCounting"/>
      <w:suff w:val="nothing"/>
      <w:lvlText w:val="%1．"/>
      <w:lvlJc w:val="left"/>
      <w:rPr>
        <w:rFonts w:hint="eastAsia"/>
      </w:rPr>
    </w:lvl>
  </w:abstractNum>
  <w:abstractNum w:abstractNumId="14">
    <w:nsid w:val="4B3ABF6F"/>
    <w:multiLevelType w:val="singleLevel"/>
    <w:tmpl w:val="4B3ABF6F"/>
    <w:lvl w:ilvl="0" w:tentative="0">
      <w:start w:val="1"/>
      <w:numFmt w:val="decimal"/>
      <w:lvlText w:val="(%1)"/>
      <w:lvlJc w:val="left"/>
      <w:pPr>
        <w:ind w:left="425" w:hanging="425"/>
      </w:pPr>
      <w:rPr>
        <w:rFonts w:hint="default"/>
      </w:rPr>
    </w:lvl>
  </w:abstractNum>
  <w:abstractNum w:abstractNumId="15">
    <w:nsid w:val="4E010C2E"/>
    <w:multiLevelType w:val="singleLevel"/>
    <w:tmpl w:val="4E010C2E"/>
    <w:lvl w:ilvl="0" w:tentative="0">
      <w:start w:val="1"/>
      <w:numFmt w:val="decimal"/>
      <w:lvlText w:val="(%1)"/>
      <w:lvlJc w:val="left"/>
      <w:pPr>
        <w:ind w:left="425" w:hanging="425"/>
      </w:pPr>
      <w:rPr>
        <w:rFonts w:hint="default"/>
      </w:rPr>
    </w:lvl>
  </w:abstractNum>
  <w:abstractNum w:abstractNumId="16">
    <w:nsid w:val="5BAEEE46"/>
    <w:multiLevelType w:val="singleLevel"/>
    <w:tmpl w:val="5BAEEE46"/>
    <w:lvl w:ilvl="0" w:tentative="0">
      <w:start w:val="1"/>
      <w:numFmt w:val="decimal"/>
      <w:lvlText w:val="%1."/>
      <w:lvlJc w:val="left"/>
      <w:pPr>
        <w:ind w:left="425" w:hanging="425"/>
      </w:pPr>
      <w:rPr>
        <w:rFonts w:hint="default"/>
      </w:rPr>
    </w:lvl>
  </w:abstractNum>
  <w:abstractNum w:abstractNumId="17">
    <w:nsid w:val="65C2BEA0"/>
    <w:multiLevelType w:val="singleLevel"/>
    <w:tmpl w:val="65C2BEA0"/>
    <w:lvl w:ilvl="0" w:tentative="0">
      <w:start w:val="1"/>
      <w:numFmt w:val="decimal"/>
      <w:pStyle w:val="6"/>
      <w:lvlText w:val="%1."/>
      <w:lvlJc w:val="left"/>
      <w:pPr>
        <w:tabs>
          <w:tab w:val="left" w:pos="360"/>
        </w:tabs>
        <w:ind w:left="360" w:hanging="360"/>
      </w:pPr>
    </w:lvl>
  </w:abstractNum>
  <w:num w:numId="1">
    <w:abstractNumId w:val="17"/>
  </w:num>
  <w:num w:numId="2">
    <w:abstractNumId w:val="3"/>
  </w:num>
  <w:num w:numId="3">
    <w:abstractNumId w:val="8"/>
  </w:num>
  <w:num w:numId="4">
    <w:abstractNumId w:val="14"/>
  </w:num>
  <w:num w:numId="5">
    <w:abstractNumId w:val="4"/>
  </w:num>
  <w:num w:numId="6">
    <w:abstractNumId w:val="12"/>
  </w:num>
  <w:num w:numId="7">
    <w:abstractNumId w:val="5"/>
  </w:num>
  <w:num w:numId="8">
    <w:abstractNumId w:val="16"/>
  </w:num>
  <w:num w:numId="9">
    <w:abstractNumId w:val="9"/>
  </w:num>
  <w:num w:numId="10">
    <w:abstractNumId w:val="2"/>
  </w:num>
  <w:num w:numId="11">
    <w:abstractNumId w:val="0"/>
  </w:num>
  <w:num w:numId="12">
    <w:abstractNumId w:val="1"/>
  </w:num>
  <w:num w:numId="13">
    <w:abstractNumId w:val="11"/>
  </w:num>
  <w:num w:numId="14">
    <w:abstractNumId w:val="10"/>
  </w:num>
  <w:num w:numId="15">
    <w:abstractNumId w:val="13"/>
  </w:num>
  <w:num w:numId="16">
    <w:abstractNumId w:val="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NjY1ZDhkZjgyMjA5MGJhZWQxNWNmYWM0YzI3NzMifQ=="/>
    <w:docVar w:name="KSO_WPS_MARK_KEY" w:val="5442b779-280b-4c53-a031-0483c1201b9a"/>
  </w:docVars>
  <w:rsids>
    <w:rsidRoot w:val="00000000"/>
    <w:rsid w:val="001835D9"/>
    <w:rsid w:val="0073350B"/>
    <w:rsid w:val="0154451D"/>
    <w:rsid w:val="01AF70E0"/>
    <w:rsid w:val="01C012ED"/>
    <w:rsid w:val="01DF5E22"/>
    <w:rsid w:val="02624FE3"/>
    <w:rsid w:val="03226379"/>
    <w:rsid w:val="0331105F"/>
    <w:rsid w:val="03627032"/>
    <w:rsid w:val="03CF0A05"/>
    <w:rsid w:val="04241E52"/>
    <w:rsid w:val="04463D2B"/>
    <w:rsid w:val="04A071A7"/>
    <w:rsid w:val="04AE44B2"/>
    <w:rsid w:val="04C165A7"/>
    <w:rsid w:val="04D07DE3"/>
    <w:rsid w:val="05330FAA"/>
    <w:rsid w:val="05E25F5C"/>
    <w:rsid w:val="05F50E0B"/>
    <w:rsid w:val="06030107"/>
    <w:rsid w:val="060A3E44"/>
    <w:rsid w:val="07700C9D"/>
    <w:rsid w:val="07C57E33"/>
    <w:rsid w:val="07DD1C6C"/>
    <w:rsid w:val="07DF6953"/>
    <w:rsid w:val="0863715D"/>
    <w:rsid w:val="086F57EF"/>
    <w:rsid w:val="087E1C51"/>
    <w:rsid w:val="08E84D4F"/>
    <w:rsid w:val="09523172"/>
    <w:rsid w:val="095C7D12"/>
    <w:rsid w:val="0A226AC8"/>
    <w:rsid w:val="0ABA59FC"/>
    <w:rsid w:val="0AFA3DBD"/>
    <w:rsid w:val="0AFF2EF4"/>
    <w:rsid w:val="0B2E2C5C"/>
    <w:rsid w:val="0B2E5519"/>
    <w:rsid w:val="0B5624E7"/>
    <w:rsid w:val="0BC4547A"/>
    <w:rsid w:val="0BFE0F08"/>
    <w:rsid w:val="0C060244"/>
    <w:rsid w:val="0C3E7172"/>
    <w:rsid w:val="0C5B0590"/>
    <w:rsid w:val="0C935725"/>
    <w:rsid w:val="0CFE070C"/>
    <w:rsid w:val="0D1B564F"/>
    <w:rsid w:val="0D214B90"/>
    <w:rsid w:val="0D444E00"/>
    <w:rsid w:val="0D946268"/>
    <w:rsid w:val="0DA53698"/>
    <w:rsid w:val="0DF02F5A"/>
    <w:rsid w:val="0E5E1627"/>
    <w:rsid w:val="0E76520D"/>
    <w:rsid w:val="0EB851B9"/>
    <w:rsid w:val="0ED8117B"/>
    <w:rsid w:val="0F130CAE"/>
    <w:rsid w:val="0F50600E"/>
    <w:rsid w:val="0F596A44"/>
    <w:rsid w:val="0F661726"/>
    <w:rsid w:val="0F7554C5"/>
    <w:rsid w:val="0F8605CD"/>
    <w:rsid w:val="0FA57735"/>
    <w:rsid w:val="0FDD306A"/>
    <w:rsid w:val="10642CB1"/>
    <w:rsid w:val="106C04B5"/>
    <w:rsid w:val="112E25B6"/>
    <w:rsid w:val="116469D3"/>
    <w:rsid w:val="11C22850"/>
    <w:rsid w:val="1272218F"/>
    <w:rsid w:val="129A0DC8"/>
    <w:rsid w:val="12C45E61"/>
    <w:rsid w:val="132C233E"/>
    <w:rsid w:val="13573133"/>
    <w:rsid w:val="138403CC"/>
    <w:rsid w:val="13BC5DB8"/>
    <w:rsid w:val="140263D0"/>
    <w:rsid w:val="14520113"/>
    <w:rsid w:val="148E1FF8"/>
    <w:rsid w:val="14BF5298"/>
    <w:rsid w:val="14E611CB"/>
    <w:rsid w:val="14E75B68"/>
    <w:rsid w:val="152D21D4"/>
    <w:rsid w:val="15F155E8"/>
    <w:rsid w:val="162F06A7"/>
    <w:rsid w:val="16381930"/>
    <w:rsid w:val="16851D5F"/>
    <w:rsid w:val="17123241"/>
    <w:rsid w:val="171F66D2"/>
    <w:rsid w:val="17400AAE"/>
    <w:rsid w:val="17535ED4"/>
    <w:rsid w:val="17895268"/>
    <w:rsid w:val="18094F0A"/>
    <w:rsid w:val="185E1E9B"/>
    <w:rsid w:val="193403F5"/>
    <w:rsid w:val="196E444C"/>
    <w:rsid w:val="19864D35"/>
    <w:rsid w:val="19C8578D"/>
    <w:rsid w:val="19E219A9"/>
    <w:rsid w:val="1A45123C"/>
    <w:rsid w:val="1A7A42D7"/>
    <w:rsid w:val="1A89771E"/>
    <w:rsid w:val="1AFE504E"/>
    <w:rsid w:val="1B124A1A"/>
    <w:rsid w:val="1BC47469"/>
    <w:rsid w:val="1BD17F27"/>
    <w:rsid w:val="1BE92F28"/>
    <w:rsid w:val="1BFA13F5"/>
    <w:rsid w:val="1C225822"/>
    <w:rsid w:val="1CBF2475"/>
    <w:rsid w:val="1D3B0044"/>
    <w:rsid w:val="1D8164D4"/>
    <w:rsid w:val="1D8A6A42"/>
    <w:rsid w:val="1DCA1CC3"/>
    <w:rsid w:val="1E104084"/>
    <w:rsid w:val="1E996955"/>
    <w:rsid w:val="1EAC6CA6"/>
    <w:rsid w:val="1F354C71"/>
    <w:rsid w:val="1F7E2A30"/>
    <w:rsid w:val="1FBC3495"/>
    <w:rsid w:val="1FC3227C"/>
    <w:rsid w:val="1FE03D81"/>
    <w:rsid w:val="206C021E"/>
    <w:rsid w:val="2087598D"/>
    <w:rsid w:val="20C32203"/>
    <w:rsid w:val="20E64F6E"/>
    <w:rsid w:val="21061C42"/>
    <w:rsid w:val="21711BF9"/>
    <w:rsid w:val="2193477D"/>
    <w:rsid w:val="21AA0945"/>
    <w:rsid w:val="21EA2072"/>
    <w:rsid w:val="22176847"/>
    <w:rsid w:val="22407298"/>
    <w:rsid w:val="22F83FEB"/>
    <w:rsid w:val="230120C7"/>
    <w:rsid w:val="239255F7"/>
    <w:rsid w:val="23AB1BB8"/>
    <w:rsid w:val="23BF2D5B"/>
    <w:rsid w:val="23CC55D5"/>
    <w:rsid w:val="23E40A13"/>
    <w:rsid w:val="23E80503"/>
    <w:rsid w:val="24080473"/>
    <w:rsid w:val="246F4DAF"/>
    <w:rsid w:val="24A75DD1"/>
    <w:rsid w:val="24C525F3"/>
    <w:rsid w:val="2514232F"/>
    <w:rsid w:val="252764F1"/>
    <w:rsid w:val="25457290"/>
    <w:rsid w:val="25D27B05"/>
    <w:rsid w:val="25E732C1"/>
    <w:rsid w:val="25F628FE"/>
    <w:rsid w:val="26237E66"/>
    <w:rsid w:val="26661BB3"/>
    <w:rsid w:val="2712387C"/>
    <w:rsid w:val="271561A5"/>
    <w:rsid w:val="27454D0B"/>
    <w:rsid w:val="277A1B2F"/>
    <w:rsid w:val="27865E5F"/>
    <w:rsid w:val="27A61653"/>
    <w:rsid w:val="27A64E65"/>
    <w:rsid w:val="27CA2931"/>
    <w:rsid w:val="27F31225"/>
    <w:rsid w:val="28213FE4"/>
    <w:rsid w:val="2842381A"/>
    <w:rsid w:val="28754693"/>
    <w:rsid w:val="28C74960"/>
    <w:rsid w:val="294D65DA"/>
    <w:rsid w:val="29840421"/>
    <w:rsid w:val="29930F11"/>
    <w:rsid w:val="29C1243A"/>
    <w:rsid w:val="29E4351B"/>
    <w:rsid w:val="2A7B6D80"/>
    <w:rsid w:val="2A8F34F5"/>
    <w:rsid w:val="2ACD7074"/>
    <w:rsid w:val="2AF754D0"/>
    <w:rsid w:val="2B436B3D"/>
    <w:rsid w:val="2B5C570D"/>
    <w:rsid w:val="2B6242E5"/>
    <w:rsid w:val="2C0B3811"/>
    <w:rsid w:val="2C972B91"/>
    <w:rsid w:val="2CF10601"/>
    <w:rsid w:val="2D393B7E"/>
    <w:rsid w:val="2D404EF1"/>
    <w:rsid w:val="2D421E52"/>
    <w:rsid w:val="2D766B80"/>
    <w:rsid w:val="2E38777B"/>
    <w:rsid w:val="2E797F46"/>
    <w:rsid w:val="2F285C58"/>
    <w:rsid w:val="2F2D4CEE"/>
    <w:rsid w:val="2F486042"/>
    <w:rsid w:val="2F594063"/>
    <w:rsid w:val="2F6A2D1C"/>
    <w:rsid w:val="2F800C5D"/>
    <w:rsid w:val="2FB50B65"/>
    <w:rsid w:val="2FBE036A"/>
    <w:rsid w:val="2FD04D90"/>
    <w:rsid w:val="30566C7C"/>
    <w:rsid w:val="30DB6CFA"/>
    <w:rsid w:val="31256139"/>
    <w:rsid w:val="315973DA"/>
    <w:rsid w:val="318D157A"/>
    <w:rsid w:val="31D57218"/>
    <w:rsid w:val="31FA4A4B"/>
    <w:rsid w:val="323B5CA2"/>
    <w:rsid w:val="328A2F93"/>
    <w:rsid w:val="328E2276"/>
    <w:rsid w:val="32D52DCC"/>
    <w:rsid w:val="33706788"/>
    <w:rsid w:val="33BC3853"/>
    <w:rsid w:val="33D717D0"/>
    <w:rsid w:val="340108E6"/>
    <w:rsid w:val="346D643D"/>
    <w:rsid w:val="350727B3"/>
    <w:rsid w:val="357E259C"/>
    <w:rsid w:val="35AE2716"/>
    <w:rsid w:val="36695095"/>
    <w:rsid w:val="36E31C1E"/>
    <w:rsid w:val="373F3FC9"/>
    <w:rsid w:val="374D6BA3"/>
    <w:rsid w:val="37667C65"/>
    <w:rsid w:val="37670629"/>
    <w:rsid w:val="37875D16"/>
    <w:rsid w:val="379B7D23"/>
    <w:rsid w:val="38184D3B"/>
    <w:rsid w:val="38BE2643"/>
    <w:rsid w:val="38D459D1"/>
    <w:rsid w:val="38E83D3E"/>
    <w:rsid w:val="39045C73"/>
    <w:rsid w:val="39243934"/>
    <w:rsid w:val="394468F7"/>
    <w:rsid w:val="395D0804"/>
    <w:rsid w:val="39E017F6"/>
    <w:rsid w:val="3A045513"/>
    <w:rsid w:val="3A3E1424"/>
    <w:rsid w:val="3A795E27"/>
    <w:rsid w:val="3A7A470E"/>
    <w:rsid w:val="3B0D4C73"/>
    <w:rsid w:val="3B62337E"/>
    <w:rsid w:val="3B88174D"/>
    <w:rsid w:val="3BA743A8"/>
    <w:rsid w:val="3BAA5C47"/>
    <w:rsid w:val="3BFF2436"/>
    <w:rsid w:val="3C315CBE"/>
    <w:rsid w:val="3C5D28E5"/>
    <w:rsid w:val="3C6A7E17"/>
    <w:rsid w:val="3C6C6760"/>
    <w:rsid w:val="3D0A4BEF"/>
    <w:rsid w:val="3D421ADA"/>
    <w:rsid w:val="3D4621AD"/>
    <w:rsid w:val="3D5567B2"/>
    <w:rsid w:val="3DF53AF1"/>
    <w:rsid w:val="3DF81AC5"/>
    <w:rsid w:val="3E4D503E"/>
    <w:rsid w:val="3E78202C"/>
    <w:rsid w:val="3E8558DF"/>
    <w:rsid w:val="3E895FE7"/>
    <w:rsid w:val="3E90381A"/>
    <w:rsid w:val="3EA07E8A"/>
    <w:rsid w:val="3EA8251B"/>
    <w:rsid w:val="3F6211A5"/>
    <w:rsid w:val="3FA806EF"/>
    <w:rsid w:val="3FBD419A"/>
    <w:rsid w:val="3FDA2D21"/>
    <w:rsid w:val="3FDB2873"/>
    <w:rsid w:val="407D185C"/>
    <w:rsid w:val="40E4161B"/>
    <w:rsid w:val="40EE684D"/>
    <w:rsid w:val="410858E9"/>
    <w:rsid w:val="411617A1"/>
    <w:rsid w:val="411973B8"/>
    <w:rsid w:val="41681EC2"/>
    <w:rsid w:val="423B4165"/>
    <w:rsid w:val="423E6961"/>
    <w:rsid w:val="42470693"/>
    <w:rsid w:val="42533766"/>
    <w:rsid w:val="425D35F1"/>
    <w:rsid w:val="4267663F"/>
    <w:rsid w:val="42A7238E"/>
    <w:rsid w:val="43796551"/>
    <w:rsid w:val="437B6F4A"/>
    <w:rsid w:val="43A2111F"/>
    <w:rsid w:val="44CB5AB1"/>
    <w:rsid w:val="44DB2CE4"/>
    <w:rsid w:val="4561381A"/>
    <w:rsid w:val="45E60753"/>
    <w:rsid w:val="462C6FAF"/>
    <w:rsid w:val="4637418B"/>
    <w:rsid w:val="463D3C64"/>
    <w:rsid w:val="46403E78"/>
    <w:rsid w:val="46BA67DF"/>
    <w:rsid w:val="46D74849"/>
    <w:rsid w:val="46F35770"/>
    <w:rsid w:val="47086637"/>
    <w:rsid w:val="470A5B38"/>
    <w:rsid w:val="4798231F"/>
    <w:rsid w:val="47CB32E2"/>
    <w:rsid w:val="482079BC"/>
    <w:rsid w:val="48254FD3"/>
    <w:rsid w:val="482A25E9"/>
    <w:rsid w:val="484B78FD"/>
    <w:rsid w:val="48B261FB"/>
    <w:rsid w:val="48E607A0"/>
    <w:rsid w:val="492A25C8"/>
    <w:rsid w:val="495668FA"/>
    <w:rsid w:val="49723E41"/>
    <w:rsid w:val="4A2D3660"/>
    <w:rsid w:val="4ADA474E"/>
    <w:rsid w:val="4B1F1002"/>
    <w:rsid w:val="4B282D9F"/>
    <w:rsid w:val="4B826B7C"/>
    <w:rsid w:val="4B887D52"/>
    <w:rsid w:val="4BE07E68"/>
    <w:rsid w:val="4C3439FF"/>
    <w:rsid w:val="4CCC0444"/>
    <w:rsid w:val="4D1D096E"/>
    <w:rsid w:val="4D2770F7"/>
    <w:rsid w:val="4D2E0522"/>
    <w:rsid w:val="4D3161AB"/>
    <w:rsid w:val="4D6C111E"/>
    <w:rsid w:val="4DB02CC3"/>
    <w:rsid w:val="4E015B9A"/>
    <w:rsid w:val="4E4D5FC8"/>
    <w:rsid w:val="4F026BFE"/>
    <w:rsid w:val="4FC122E5"/>
    <w:rsid w:val="4FCB6BB1"/>
    <w:rsid w:val="502703E7"/>
    <w:rsid w:val="50AE7B0C"/>
    <w:rsid w:val="51443266"/>
    <w:rsid w:val="51622F82"/>
    <w:rsid w:val="517A1C84"/>
    <w:rsid w:val="51C0710F"/>
    <w:rsid w:val="52151C14"/>
    <w:rsid w:val="523656C7"/>
    <w:rsid w:val="528A54F8"/>
    <w:rsid w:val="529F107F"/>
    <w:rsid w:val="532540D9"/>
    <w:rsid w:val="5345428B"/>
    <w:rsid w:val="537312E8"/>
    <w:rsid w:val="539641A2"/>
    <w:rsid w:val="539A5C67"/>
    <w:rsid w:val="53E23CC7"/>
    <w:rsid w:val="53FE2C5D"/>
    <w:rsid w:val="541F2B3F"/>
    <w:rsid w:val="54493C55"/>
    <w:rsid w:val="551E34D6"/>
    <w:rsid w:val="55945D08"/>
    <w:rsid w:val="55DD0C9B"/>
    <w:rsid w:val="564C0350"/>
    <w:rsid w:val="56A3365D"/>
    <w:rsid w:val="57D21880"/>
    <w:rsid w:val="58450B79"/>
    <w:rsid w:val="58C93758"/>
    <w:rsid w:val="59344095"/>
    <w:rsid w:val="593B4656"/>
    <w:rsid w:val="5954056B"/>
    <w:rsid w:val="599313F5"/>
    <w:rsid w:val="59CA34CB"/>
    <w:rsid w:val="5A1137EC"/>
    <w:rsid w:val="5A170DB1"/>
    <w:rsid w:val="5A292701"/>
    <w:rsid w:val="5A7A0667"/>
    <w:rsid w:val="5B353327"/>
    <w:rsid w:val="5B486700"/>
    <w:rsid w:val="5B5F03A4"/>
    <w:rsid w:val="5B905E0D"/>
    <w:rsid w:val="5BC86A08"/>
    <w:rsid w:val="5BCF1086"/>
    <w:rsid w:val="5C1A56F9"/>
    <w:rsid w:val="5C673D60"/>
    <w:rsid w:val="5CB26CC0"/>
    <w:rsid w:val="5CD728E8"/>
    <w:rsid w:val="5D0E745D"/>
    <w:rsid w:val="5D120035"/>
    <w:rsid w:val="5DC2265C"/>
    <w:rsid w:val="5DF9648A"/>
    <w:rsid w:val="5E0526A1"/>
    <w:rsid w:val="5EA02011"/>
    <w:rsid w:val="5FBF34D8"/>
    <w:rsid w:val="5FCB3272"/>
    <w:rsid w:val="5FD378E7"/>
    <w:rsid w:val="60003F04"/>
    <w:rsid w:val="60771CEC"/>
    <w:rsid w:val="610616F7"/>
    <w:rsid w:val="61A62F05"/>
    <w:rsid w:val="61AA3C45"/>
    <w:rsid w:val="61B950B2"/>
    <w:rsid w:val="61EE2D49"/>
    <w:rsid w:val="62C756EB"/>
    <w:rsid w:val="63600598"/>
    <w:rsid w:val="63726167"/>
    <w:rsid w:val="63AF31D1"/>
    <w:rsid w:val="63C20EEC"/>
    <w:rsid w:val="63CA3324"/>
    <w:rsid w:val="63E61096"/>
    <w:rsid w:val="63EF57A6"/>
    <w:rsid w:val="64492D3C"/>
    <w:rsid w:val="644A0760"/>
    <w:rsid w:val="64E35529"/>
    <w:rsid w:val="661F2C7F"/>
    <w:rsid w:val="66827388"/>
    <w:rsid w:val="668E5790"/>
    <w:rsid w:val="66BC351E"/>
    <w:rsid w:val="66C94643"/>
    <w:rsid w:val="66F57DCC"/>
    <w:rsid w:val="67B1542E"/>
    <w:rsid w:val="67B95B75"/>
    <w:rsid w:val="68B50594"/>
    <w:rsid w:val="68D67EF7"/>
    <w:rsid w:val="68F71C1C"/>
    <w:rsid w:val="68FB1AE6"/>
    <w:rsid w:val="68FE744E"/>
    <w:rsid w:val="690A6016"/>
    <w:rsid w:val="69B701B8"/>
    <w:rsid w:val="6A5139B6"/>
    <w:rsid w:val="6A8F6B5B"/>
    <w:rsid w:val="6A900F12"/>
    <w:rsid w:val="6A9F07BD"/>
    <w:rsid w:val="6AAA7D24"/>
    <w:rsid w:val="6B2566C4"/>
    <w:rsid w:val="6BEF618C"/>
    <w:rsid w:val="6C68355C"/>
    <w:rsid w:val="6CB15338"/>
    <w:rsid w:val="6CCB7647"/>
    <w:rsid w:val="6CD46F27"/>
    <w:rsid w:val="6CEE58BD"/>
    <w:rsid w:val="6D125276"/>
    <w:rsid w:val="6D282F0D"/>
    <w:rsid w:val="6D6A5D1E"/>
    <w:rsid w:val="6D734FF2"/>
    <w:rsid w:val="6D7535FD"/>
    <w:rsid w:val="6D7B1D62"/>
    <w:rsid w:val="6DC75C60"/>
    <w:rsid w:val="6E027D25"/>
    <w:rsid w:val="6E272FA3"/>
    <w:rsid w:val="6E4E6782"/>
    <w:rsid w:val="6E4F0007"/>
    <w:rsid w:val="6E720EBC"/>
    <w:rsid w:val="6E731D44"/>
    <w:rsid w:val="6EEF50B6"/>
    <w:rsid w:val="6EFF7A7C"/>
    <w:rsid w:val="6F2A2001"/>
    <w:rsid w:val="6FDE5875"/>
    <w:rsid w:val="70142B8D"/>
    <w:rsid w:val="70345878"/>
    <w:rsid w:val="705F6A24"/>
    <w:rsid w:val="7071336D"/>
    <w:rsid w:val="70A02B99"/>
    <w:rsid w:val="70A03EBF"/>
    <w:rsid w:val="70FC4273"/>
    <w:rsid w:val="712467B8"/>
    <w:rsid w:val="7149093A"/>
    <w:rsid w:val="71506009"/>
    <w:rsid w:val="71826095"/>
    <w:rsid w:val="720F0614"/>
    <w:rsid w:val="721455EC"/>
    <w:rsid w:val="72426F0E"/>
    <w:rsid w:val="724D4A25"/>
    <w:rsid w:val="7278653E"/>
    <w:rsid w:val="72BB04EE"/>
    <w:rsid w:val="72E06611"/>
    <w:rsid w:val="72E8000E"/>
    <w:rsid w:val="73313BD5"/>
    <w:rsid w:val="74027121"/>
    <w:rsid w:val="74BF2D7B"/>
    <w:rsid w:val="74E5568D"/>
    <w:rsid w:val="750162FC"/>
    <w:rsid w:val="750F61BB"/>
    <w:rsid w:val="75784357"/>
    <w:rsid w:val="76876745"/>
    <w:rsid w:val="76E0475F"/>
    <w:rsid w:val="77275DC2"/>
    <w:rsid w:val="77B11365"/>
    <w:rsid w:val="77D86C09"/>
    <w:rsid w:val="78511537"/>
    <w:rsid w:val="79FA156C"/>
    <w:rsid w:val="7A7B6F27"/>
    <w:rsid w:val="7A831494"/>
    <w:rsid w:val="7A8E16FA"/>
    <w:rsid w:val="7AD63B2C"/>
    <w:rsid w:val="7B086FEB"/>
    <w:rsid w:val="7B190E38"/>
    <w:rsid w:val="7B3776BF"/>
    <w:rsid w:val="7B450F0D"/>
    <w:rsid w:val="7B4C7763"/>
    <w:rsid w:val="7B7535A0"/>
    <w:rsid w:val="7BD44F78"/>
    <w:rsid w:val="7C70732D"/>
    <w:rsid w:val="7C7C48F4"/>
    <w:rsid w:val="7C92491A"/>
    <w:rsid w:val="7CD6399C"/>
    <w:rsid w:val="7CD95616"/>
    <w:rsid w:val="7D6A4C5A"/>
    <w:rsid w:val="7DC7626D"/>
    <w:rsid w:val="7DE927FB"/>
    <w:rsid w:val="7E0B0D0E"/>
    <w:rsid w:val="7ECF0354"/>
    <w:rsid w:val="7ED014F7"/>
    <w:rsid w:val="7F0F170B"/>
    <w:rsid w:val="7F170D81"/>
    <w:rsid w:val="7F1F0EA3"/>
    <w:rsid w:val="7F866888"/>
    <w:rsid w:val="7FC27C35"/>
    <w:rsid w:val="7FD7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3">
    <w:name w:val="heading 1"/>
    <w:basedOn w:val="1"/>
    <w:next w:val="1"/>
    <w:autoRedefine/>
    <w:qFormat/>
    <w:uiPriority w:val="0"/>
    <w:pPr>
      <w:keepNext/>
      <w:keepLines/>
      <w:spacing w:before="340" w:beforeLines="0" w:after="330" w:afterLines="0" w:line="576" w:lineRule="auto"/>
      <w:jc w:val="center"/>
      <w:outlineLvl w:val="0"/>
    </w:pPr>
    <w:rPr>
      <w:b/>
      <w:bCs/>
      <w:kern w:val="44"/>
      <w:sz w:val="30"/>
      <w:szCs w:val="44"/>
    </w:rPr>
  </w:style>
  <w:style w:type="paragraph" w:styleId="4">
    <w:name w:val="heading 2"/>
    <w:basedOn w:val="1"/>
    <w:next w:val="1"/>
    <w:autoRedefine/>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link w:val="39"/>
    <w:autoRedefine/>
    <w:unhideWhenUsed/>
    <w:qFormat/>
    <w:uiPriority w:val="0"/>
    <w:pPr>
      <w:keepNext/>
      <w:keepLines/>
      <w:spacing w:before="260" w:beforeLines="0" w:beforeAutospacing="0" w:after="260" w:afterLines="0" w:afterAutospacing="0" w:line="413" w:lineRule="auto"/>
      <w:outlineLvl w:val="2"/>
    </w:pPr>
    <w:rPr>
      <w:rFonts w:ascii="宋体" w:hAnsi="宋体" w:eastAsia="宋体"/>
      <w:b/>
      <w:sz w:val="32"/>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sz w:val="24"/>
    </w:rPr>
  </w:style>
  <w:style w:type="paragraph" w:styleId="6">
    <w:name w:val="List Number"/>
    <w:basedOn w:val="1"/>
    <w:next w:val="7"/>
    <w:autoRedefine/>
    <w:qFormat/>
    <w:uiPriority w:val="0"/>
    <w:pPr>
      <w:numPr>
        <w:ilvl w:val="0"/>
        <w:numId w:val="1"/>
      </w:numPr>
    </w:pPr>
  </w:style>
  <w:style w:type="paragraph" w:styleId="7">
    <w:name w:val="Balloon Text"/>
    <w:basedOn w:val="1"/>
    <w:next w:val="8"/>
    <w:autoRedefine/>
    <w:qFormat/>
    <w:uiPriority w:val="0"/>
    <w:rPr>
      <w:sz w:val="18"/>
      <w:szCs w:val="18"/>
    </w:rPr>
  </w:style>
  <w:style w:type="paragraph" w:styleId="8">
    <w:name w:val="toc 8"/>
    <w:basedOn w:val="1"/>
    <w:next w:val="1"/>
    <w:autoRedefine/>
    <w:qFormat/>
    <w:uiPriority w:val="0"/>
    <w:pPr>
      <w:ind w:left="1680"/>
      <w:jc w:val="left"/>
    </w:pPr>
    <w:rPr>
      <w:rFonts w:ascii="Calibri"/>
      <w:sz w:val="18"/>
      <w:szCs w:val="18"/>
    </w:rPr>
  </w:style>
  <w:style w:type="paragraph" w:styleId="9">
    <w:name w:val="Normal Indent"/>
    <w:basedOn w:val="1"/>
    <w:next w:val="1"/>
    <w:autoRedefine/>
    <w:qFormat/>
    <w:uiPriority w:val="0"/>
    <w:pPr>
      <w:ind w:firstLine="420" w:firstLineChars="200"/>
    </w:pPr>
    <w:rPr>
      <w:rFonts w:ascii="Times New Roman" w:hAnsi="Times New Roman" w:eastAsia="宋体" w:cs="Times New Roman"/>
      <w:sz w:val="24"/>
    </w:rPr>
  </w:style>
  <w:style w:type="paragraph" w:styleId="10">
    <w:name w:val="caption"/>
    <w:basedOn w:val="1"/>
    <w:next w:val="1"/>
    <w:autoRedefine/>
    <w:qFormat/>
    <w:uiPriority w:val="0"/>
    <w:pPr>
      <w:spacing w:before="152" w:after="160" w:line="360" w:lineRule="atLeast"/>
    </w:pPr>
    <w:rPr>
      <w:rFonts w:ascii="Arial" w:hAnsi="Arial" w:eastAsia="黑体" w:cs="Arial"/>
      <w:kern w:val="2"/>
      <w:sz w:val="20"/>
      <w:szCs w:val="20"/>
    </w:rPr>
  </w:style>
  <w:style w:type="paragraph" w:styleId="11">
    <w:name w:val="annotation text"/>
    <w:basedOn w:val="1"/>
    <w:autoRedefine/>
    <w:qFormat/>
    <w:uiPriority w:val="0"/>
  </w:style>
  <w:style w:type="paragraph" w:styleId="12">
    <w:name w:val="Body Text Indent"/>
    <w:basedOn w:val="1"/>
    <w:next w:val="6"/>
    <w:autoRedefine/>
    <w:qFormat/>
    <w:uiPriority w:val="0"/>
    <w:pPr>
      <w:spacing w:after="120"/>
      <w:ind w:left="420" w:leftChars="200"/>
    </w:pPr>
    <w:rPr>
      <w:rFonts w:ascii="Times New Roman" w:hAnsi="Times New Roman" w:eastAsia="宋体" w:cs="Times New Roman"/>
      <w:sz w:val="24"/>
    </w:rPr>
  </w:style>
  <w:style w:type="paragraph" w:styleId="13">
    <w:name w:val="Plain Text"/>
    <w:basedOn w:val="1"/>
    <w:autoRedefine/>
    <w:qFormat/>
    <w:uiPriority w:val="0"/>
    <w:rPr>
      <w:rFonts w:ascii="Times New Roman" w:hAnsi="Courier New" w:eastAsia="宋体" w:cs="Times New Roman"/>
      <w:sz w:val="21"/>
    </w:rPr>
  </w:style>
  <w:style w:type="paragraph" w:styleId="14">
    <w:name w:val="Date"/>
    <w:basedOn w:val="1"/>
    <w:next w:val="1"/>
    <w:autoRedefine/>
    <w:qFormat/>
    <w:uiPriority w:val="0"/>
    <w:pPr>
      <w:ind w:left="100" w:leftChars="2500"/>
    </w:pPr>
    <w:rPr>
      <w:sz w:val="24"/>
    </w:rPr>
  </w:style>
  <w:style w:type="paragraph" w:styleId="15">
    <w:name w:val="Body Text Indent 2"/>
    <w:basedOn w:val="1"/>
    <w:autoRedefine/>
    <w:qFormat/>
    <w:uiPriority w:val="0"/>
    <w:pPr>
      <w:spacing w:after="120" w:line="480" w:lineRule="auto"/>
      <w:ind w:left="420" w:leftChars="200"/>
    </w:pPr>
    <w:rPr>
      <w:rFonts w:ascii="Times New Roman" w:hAnsi="Times New Roman" w:eastAsia="宋体" w:cs="Times New Roman"/>
      <w:sz w:val="24"/>
    </w:rPr>
  </w:style>
  <w:style w:type="paragraph" w:styleId="16">
    <w:name w:val="footer"/>
    <w:basedOn w:val="1"/>
    <w:autoRedefine/>
    <w:qFormat/>
    <w:uiPriority w:val="0"/>
    <w:pPr>
      <w:tabs>
        <w:tab w:val="center" w:pos="4153"/>
        <w:tab w:val="right" w:pos="8306"/>
      </w:tabs>
      <w:snapToGrid w:val="0"/>
      <w:spacing w:line="240" w:lineRule="atLeast"/>
      <w:jc w:val="left"/>
    </w:pPr>
    <w:rPr>
      <w:rFonts w:ascii="Times New Roman" w:hAnsi="Times New Roman" w:eastAsia="宋体" w:cs="Times New Roman"/>
      <w:sz w:val="18"/>
      <w:szCs w:val="18"/>
    </w:rPr>
  </w:style>
  <w:style w:type="paragraph" w:styleId="17">
    <w:name w:val="envelope return"/>
    <w:basedOn w:val="1"/>
    <w:autoRedefine/>
    <w:unhideWhenUsed/>
    <w:qFormat/>
    <w:uiPriority w:val="99"/>
    <w:pPr>
      <w:snapToGrid w:val="0"/>
      <w:spacing w:line="280" w:lineRule="exact"/>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9">
    <w:name w:val="toc 1"/>
    <w:basedOn w:val="1"/>
    <w:next w:val="1"/>
    <w:autoRedefine/>
    <w:qFormat/>
    <w:uiPriority w:val="0"/>
    <w:pPr>
      <w:spacing w:before="120" w:after="120"/>
      <w:jc w:val="left"/>
    </w:pPr>
    <w:rPr>
      <w:rFonts w:ascii="Calibri" w:hAnsi="Calibri" w:eastAsia="宋体" w:cs="Times New Roman"/>
      <w:b/>
      <w:bCs/>
      <w:caps/>
      <w:szCs w:val="20"/>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toc 2"/>
    <w:basedOn w:val="1"/>
    <w:next w:val="1"/>
    <w:autoRedefine/>
    <w:qFormat/>
    <w:uiPriority w:val="39"/>
    <w:pPr>
      <w:ind w:left="420" w:leftChars="200"/>
    </w:pPr>
  </w:style>
  <w:style w:type="paragraph" w:styleId="22">
    <w:name w:val="Normal (Web)"/>
    <w:basedOn w:val="1"/>
    <w:autoRedefine/>
    <w:qFormat/>
    <w:uiPriority w:val="0"/>
    <w:pPr>
      <w:widowControl/>
      <w:spacing w:before="100" w:beforeAutospacing="1" w:after="100" w:afterAutospacing="1"/>
      <w:jc w:val="left"/>
    </w:pPr>
    <w:rPr>
      <w:kern w:val="0"/>
      <w:sz w:val="24"/>
    </w:rPr>
  </w:style>
  <w:style w:type="paragraph" w:styleId="23">
    <w:name w:val="Title"/>
    <w:basedOn w:val="1"/>
    <w:next w:val="1"/>
    <w:autoRedefine/>
    <w:qFormat/>
    <w:uiPriority w:val="0"/>
    <w:pPr>
      <w:spacing w:before="240" w:after="60"/>
      <w:jc w:val="center"/>
      <w:outlineLvl w:val="0"/>
    </w:pPr>
    <w:rPr>
      <w:rFonts w:ascii="Cambria" w:hAnsi="Cambria"/>
      <w:b/>
      <w:sz w:val="32"/>
    </w:rPr>
  </w:style>
  <w:style w:type="paragraph" w:styleId="24">
    <w:name w:val="Body Text First Indent"/>
    <w:basedOn w:val="2"/>
    <w:next w:val="20"/>
    <w:autoRedefine/>
    <w:qFormat/>
    <w:uiPriority w:val="0"/>
    <w:pPr>
      <w:ind w:firstLine="420" w:firstLineChars="100"/>
    </w:pPr>
  </w:style>
  <w:style w:type="paragraph" w:styleId="25">
    <w:name w:val="Body Text First Indent 2"/>
    <w:basedOn w:val="12"/>
    <w:next w:val="1"/>
    <w:autoRedefine/>
    <w:unhideWhenUsed/>
    <w:qFormat/>
    <w:uiPriority w:val="99"/>
    <w:pPr>
      <w:spacing w:after="120" w:line="240" w:lineRule="auto"/>
      <w:ind w:left="420" w:leftChars="200" w:firstLine="420"/>
    </w:pPr>
    <w:rPr>
      <w:rFonts w:cs="宋体"/>
      <w:sz w:val="21"/>
      <w:szCs w:val="21"/>
    </w:rPr>
  </w:style>
  <w:style w:type="table" w:styleId="27">
    <w:name w:val="Table Grid"/>
    <w:basedOn w:val="26"/>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rFonts w:eastAsia="华文楷体" w:cs="Times New Roman"/>
      <w:b/>
      <w:bCs/>
      <w:sz w:val="28"/>
    </w:rPr>
  </w:style>
  <w:style w:type="character" w:styleId="30">
    <w:name w:val="page number"/>
    <w:basedOn w:val="28"/>
    <w:autoRedefine/>
    <w:qFormat/>
    <w:uiPriority w:val="0"/>
  </w:style>
  <w:style w:type="paragraph" w:customStyle="1" w:styleId="31">
    <w:name w:val="普通正文"/>
    <w:basedOn w:val="1"/>
    <w:autoRedefine/>
    <w:qFormat/>
    <w:uiPriority w:val="0"/>
    <w:pPr>
      <w:spacing w:before="120" w:after="120"/>
      <w:ind w:firstLine="480"/>
      <w:jc w:val="left"/>
    </w:pPr>
    <w:rPr>
      <w:rFonts w:ascii="Arial" w:hAnsi="Arial" w:eastAsia="宋体" w:cs="Times New Roman"/>
      <w:szCs w:val="24"/>
    </w:rPr>
  </w:style>
  <w:style w:type="paragraph" w:customStyle="1" w:styleId="32">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 "/>
    <w:basedOn w:val="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34">
    <w:name w:val="正文段"/>
    <w:basedOn w:val="1"/>
    <w:autoRedefine/>
    <w:qFormat/>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35">
    <w:name w:val="正文空2格  1."/>
    <w:basedOn w:val="1"/>
    <w:autoRedefine/>
    <w:qFormat/>
    <w:uiPriority w:val="0"/>
    <w:pPr>
      <w:ind w:firstLine="480" w:firstLineChars="200"/>
    </w:pPr>
    <w:rPr>
      <w:rFonts w:ascii="Times New Roman" w:hAnsi="Times New Roman" w:eastAsia="宋体" w:cs="宋体"/>
      <w:sz w:val="28"/>
      <w:szCs w:val="20"/>
    </w:rPr>
  </w:style>
  <w:style w:type="paragraph" w:customStyle="1" w:styleId="36">
    <w:name w:val="List Paragraph"/>
    <w:basedOn w:val="1"/>
    <w:autoRedefine/>
    <w:qFormat/>
    <w:uiPriority w:val="0"/>
    <w:pPr>
      <w:ind w:firstLine="420" w:firstLineChars="200"/>
    </w:pPr>
    <w:rPr>
      <w:rFonts w:ascii="Times New Roman" w:hAnsi="Times New Roman" w:eastAsia="宋体" w:cs="Times New Roman"/>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9">
    <w:name w:val="标题 3 Char"/>
    <w:link w:val="5"/>
    <w:autoRedefine/>
    <w:qFormat/>
    <w:uiPriority w:val="0"/>
    <w:rPr>
      <w:rFonts w:ascii="宋体" w:hAnsi="宋体" w:eastAsia="宋体"/>
      <w:b/>
      <w:sz w:val="32"/>
    </w:rPr>
  </w:style>
  <w:style w:type="paragraph" w:customStyle="1" w:styleId="4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1">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Plain Text"/>
    <w:basedOn w:val="1"/>
    <w:autoRedefine/>
    <w:qFormat/>
    <w:uiPriority w:val="0"/>
    <w:rPr>
      <w:rFonts w:ascii="宋体" w:hAnsi="Courier New"/>
    </w:rPr>
  </w:style>
  <w:style w:type="paragraph" w:customStyle="1" w:styleId="43">
    <w:name w:val="Normal (Web)"/>
    <w:basedOn w:val="1"/>
    <w:autoRedefine/>
    <w:qFormat/>
    <w:uiPriority w:val="0"/>
    <w:pPr>
      <w:adjustRightInd w:val="0"/>
      <w:spacing w:line="360" w:lineRule="auto"/>
      <w:textAlignment w:val="baseline"/>
    </w:pPr>
    <w:rPr>
      <w:rFonts w:hAnsi="Calibri" w:eastAsia="仿宋"/>
      <w:kern w:val="0"/>
      <w:sz w:val="28"/>
      <w:szCs w:val="24"/>
    </w:rPr>
  </w:style>
  <w:style w:type="paragraph" w:customStyle="1" w:styleId="44">
    <w:name w:val="Plain Text1"/>
    <w:basedOn w:val="1"/>
    <w:autoRedefine/>
    <w:qFormat/>
    <w:uiPriority w:val="0"/>
    <w:pPr>
      <w:textAlignment w:val="baseline"/>
    </w:pPr>
    <w:rPr>
      <w:rFonts w:ascii="宋体" w:hAnsi="Courier New" w:eastAsia="仿宋_GB2312"/>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27331</Words>
  <Characters>28349</Characters>
  <Lines>0</Lines>
  <Paragraphs>0</Paragraphs>
  <TotalTime>40</TotalTime>
  <ScaleCrop>false</ScaleCrop>
  <LinksUpToDate>false</LinksUpToDate>
  <CharactersWithSpaces>29895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2022-09-17T04:24:00Z</dcterms:created>
  <dc:creator>YY</dc:creator>
  <cp:lastModifiedBy>眸</cp:lastModifiedBy>
  <cp:lastPrinted>2024-02-02T08:02:00Z</cp:lastPrinted>
  <dcterms:modified xsi:type="dcterms:W3CDTF">2024-08-12T06:42:34Z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E241677C5385403C994E5F137D3F739B_13</vt:lpwstr>
  </property>
</Properties>
</file>