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DAFE">
      <w:pPr>
        <w:spacing w:line="360" w:lineRule="auto"/>
        <w:jc w:val="center"/>
        <w:rPr>
          <w:rFonts w:hint="eastAsia" w:cs="仿宋_GB2312" w:asciiTheme="minorEastAsia" w:hAnsiTheme="minorEastAsia" w:eastAsiaTheme="minorEastAsia"/>
          <w:b/>
          <w:color w:val="auto"/>
          <w:sz w:val="24"/>
          <w:highlight w:val="none"/>
          <w:lang w:eastAsia="zh-CN"/>
        </w:rPr>
      </w:pPr>
      <w:bookmarkStart w:id="69" w:name="_GoBack"/>
      <w:r>
        <w:rPr>
          <w:rFonts w:hint="eastAsia" w:cs="仿宋_GB2312" w:asciiTheme="minorEastAsia" w:hAnsiTheme="minorEastAsia" w:eastAsiaTheme="minorEastAsia"/>
          <w:b/>
          <w:color w:val="auto"/>
          <w:sz w:val="24"/>
          <w:highlight w:val="none"/>
          <w:lang w:eastAsia="zh-CN"/>
        </w:rPr>
        <w:drawing>
          <wp:inline distT="0" distB="0" distL="114300" distR="114300">
            <wp:extent cx="6168390" cy="8725535"/>
            <wp:effectExtent l="0" t="0" r="3810" b="18415"/>
            <wp:docPr id="20" name="图片 20" descr="尹江安未来社区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尹江安未来社区招标文件封面_00"/>
                    <pic:cNvPicPr>
                      <a:picLocks noChangeAspect="1"/>
                    </pic:cNvPicPr>
                  </pic:nvPicPr>
                  <pic:blipFill>
                    <a:blip r:embed="rId14"/>
                    <a:stretch>
                      <a:fillRect/>
                    </a:stretch>
                  </pic:blipFill>
                  <pic:spPr>
                    <a:xfrm>
                      <a:off x="0" y="0"/>
                      <a:ext cx="6168390" cy="8725535"/>
                    </a:xfrm>
                    <a:prstGeom prst="rect">
                      <a:avLst/>
                    </a:prstGeom>
                  </pic:spPr>
                </pic:pic>
              </a:graphicData>
            </a:graphic>
          </wp:inline>
        </w:drawing>
      </w:r>
      <w:bookmarkEnd w:id="69"/>
    </w:p>
    <w:p w14:paraId="2D16A79C">
      <w:pPr>
        <w:spacing w:line="360" w:lineRule="auto"/>
        <w:jc w:val="center"/>
        <w:rPr>
          <w:rFonts w:hint="eastAsia" w:cs="仿宋_GB2312" w:asciiTheme="minorEastAsia" w:hAnsiTheme="minorEastAsia" w:eastAsiaTheme="minorEastAsia"/>
          <w:b/>
          <w:color w:val="auto"/>
          <w:sz w:val="24"/>
          <w:highlight w:val="none"/>
          <w:lang w:eastAsia="zh-CN"/>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1F264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rPr>
          <w:rFonts w:cs="仿宋_GB2312" w:asciiTheme="minorEastAsia" w:hAnsiTheme="minorEastAsia" w:eastAsiaTheme="minorEastAsia"/>
          <w:color w:val="auto"/>
          <w:sz w:val="32"/>
          <w:szCs w:val="32"/>
          <w:highlight w:val="none"/>
        </w:rPr>
      </w:pPr>
      <w:bookmarkStart w:id="0" w:name="_Hlt91233176"/>
      <w:bookmarkEnd w:id="0"/>
      <w:bookmarkStart w:id="1"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B5C30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海曙区南门街道尹江岸未来社区项目（实施方案编制，创建及验收咨询服务）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35393629"/>
      <w:bookmarkStart w:id="11" w:name="_Toc28359089"/>
      <w:bookmarkStart w:id="12" w:name="_Toc28359012"/>
      <w:bookmarkStart w:id="13" w:name="_Toc35393798"/>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B26476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val="en-US" w:eastAsia="zh-CN"/>
        </w:rPr>
        <w:t>2024NBHSWCS412</w:t>
      </w:r>
    </w:p>
    <w:p w14:paraId="37D5D9C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海曙区南门街道尹江岸未来社区项目（实施方案编制，创建及验收咨询服务）</w:t>
      </w: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spacing w:line="360" w:lineRule="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600,000.00</w:t>
      </w:r>
    </w:p>
    <w:p w14:paraId="7DFAC310">
      <w:pPr>
        <w:spacing w:line="360" w:lineRule="auto"/>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600,000.00</w:t>
      </w:r>
    </w:p>
    <w:p w14:paraId="44E1507A">
      <w:pPr>
        <w:tabs>
          <w:tab w:val="left" w:pos="41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660CE781">
      <w:pPr>
        <w:spacing w:line="360" w:lineRule="auto"/>
        <w:rPr>
          <w:rFonts w:asciiTheme="minorEastAsia" w:hAnsiTheme="minorEastAsia" w:eastAsiaTheme="minorEastAsia"/>
          <w:b/>
          <w:color w:val="auto"/>
          <w:sz w:val="24"/>
          <w:highlight w:val="none"/>
        </w:rPr>
      </w:pPr>
    </w:p>
    <w:p w14:paraId="5846EC19">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海曙区南门街道尹江岸未来社区项目（实施方案编制，创建及验收咨询服务）</w:t>
      </w: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600,000.00</w:t>
      </w:r>
    </w:p>
    <w:p w14:paraId="016580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color w:val="auto"/>
          <w:sz w:val="24"/>
          <w:highlight w:val="none"/>
          <w:lang w:val="en-US" w:eastAsia="zh-CN"/>
        </w:rPr>
        <w:t>南门尹江岸</w:t>
      </w:r>
      <w:r>
        <w:rPr>
          <w:rFonts w:hint="eastAsia" w:asciiTheme="minorEastAsia" w:hAnsiTheme="minorEastAsia" w:eastAsiaTheme="minorEastAsia"/>
          <w:color w:val="auto"/>
          <w:sz w:val="24"/>
          <w:highlight w:val="none"/>
        </w:rPr>
        <w:t>未来社区项目实施方案编制并提供完成创建与验收通过等过程咨询和台账服务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Cs/>
          <w:color w:val="auto"/>
          <w:sz w:val="24"/>
          <w:highlight w:val="none"/>
        </w:rPr>
        <w:t>具体详见磋商文件。</w:t>
      </w:r>
    </w:p>
    <w:p w14:paraId="7C674C85">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 w:val="0"/>
          <w:bCs/>
          <w:color w:val="auto"/>
          <w:sz w:val="24"/>
          <w:highlight w:val="none"/>
          <w:lang w:val="en-US" w:eastAsia="zh-CN"/>
        </w:rPr>
        <w:t>无。</w:t>
      </w:r>
    </w:p>
    <w:p w14:paraId="220BCDF0">
      <w:pPr>
        <w:spacing w:line="360" w:lineRule="auto"/>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71E464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47C0D934">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4" w:name="_Toc28359013"/>
      <w:bookmarkStart w:id="15" w:name="_Toc35393630"/>
      <w:bookmarkStart w:id="16" w:name="_Toc35393799"/>
      <w:bookmarkStart w:id="17" w:name="_Toc28359090"/>
      <w:r>
        <w:rPr>
          <w:rFonts w:hint="eastAsia" w:cs="宋体" w:asciiTheme="minorEastAsia" w:hAnsiTheme="minorEastAsia" w:eastAsiaTheme="minorEastAsia"/>
          <w:color w:val="auto"/>
          <w:sz w:val="24"/>
          <w:szCs w:val="24"/>
          <w:highlight w:val="none"/>
        </w:rPr>
        <w:t>二、申请人的资格要求：</w:t>
      </w:r>
      <w:bookmarkEnd w:id="14"/>
      <w:bookmarkEnd w:id="15"/>
      <w:bookmarkEnd w:id="16"/>
      <w:bookmarkEnd w:id="17"/>
    </w:p>
    <w:p w14:paraId="18D77E0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D2F60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2.落实政府采购政策需满足的资格要求：专门面向中小企业</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即</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5F6949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0099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8" w:name="_Toc28359014"/>
      <w:bookmarkStart w:id="19" w:name="_Toc28359091"/>
      <w:bookmarkStart w:id="20" w:name="_Toc35393631"/>
      <w:bookmarkStart w:id="21" w:name="_Toc35393800"/>
      <w:r>
        <w:rPr>
          <w:rFonts w:hint="eastAsia" w:cs="宋体" w:asciiTheme="minorEastAsia" w:hAnsiTheme="minorEastAsia" w:eastAsiaTheme="minorEastAsia"/>
          <w:color w:val="auto"/>
          <w:sz w:val="24"/>
          <w:szCs w:val="24"/>
          <w:highlight w:val="none"/>
        </w:rPr>
        <w:t>三、获取（下载）采购文件</w:t>
      </w:r>
      <w:bookmarkEnd w:id="18"/>
      <w:bookmarkEnd w:id="19"/>
      <w:bookmarkEnd w:id="20"/>
      <w:bookmarkEnd w:id="21"/>
    </w:p>
    <w:p w14:paraId="454DB42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09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22" w:name="_Toc28359015"/>
      <w:bookmarkStart w:id="23" w:name="_Toc28359092"/>
      <w:bookmarkStart w:id="24" w:name="_Toc35393801"/>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67409A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940901B">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16"/>
      <w:bookmarkStart w:id="28" w:name="_Toc35393633"/>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6CB42A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763A87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803"/>
      <w:bookmarkStart w:id="32" w:name="_Toc3539363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53CC2A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6EA1B57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3425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D33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FB7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71A4E6B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76BA027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A9A0E9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D477C4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5C3190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6" w:name="_Toc28359095"/>
      <w:bookmarkStart w:id="37" w:name="_Toc35393805"/>
      <w:bookmarkStart w:id="38" w:name="_Toc28359018"/>
      <w:bookmarkStart w:id="39" w:name="_Toc35393636"/>
    </w:p>
    <w:p w14:paraId="1D30581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51C107E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A52936D">
      <w:pPr>
        <w:pStyle w:val="34"/>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35393806"/>
      <w:bookmarkStart w:id="41" w:name="_Toc35393637"/>
      <w:bookmarkStart w:id="42" w:name="_Toc28359019"/>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color w:val="auto"/>
          <w:sz w:val="24"/>
          <w:highlight w:val="none"/>
        </w:rPr>
        <w:t>宁波市海曙区人民政府</w:t>
      </w:r>
      <w:r>
        <w:rPr>
          <w:rFonts w:hint="eastAsia" w:ascii="宋体" w:hAnsi="宋体" w:cs="宋体"/>
          <w:color w:val="auto"/>
          <w:sz w:val="24"/>
          <w:highlight w:val="none"/>
          <w:lang w:val="en-US" w:eastAsia="zh-CN"/>
        </w:rPr>
        <w:t>南门</w:t>
      </w:r>
      <w:r>
        <w:rPr>
          <w:rFonts w:hint="eastAsia" w:ascii="宋体" w:hAnsi="宋体" w:cs="宋体"/>
          <w:color w:val="auto"/>
          <w:sz w:val="24"/>
          <w:highlight w:val="none"/>
        </w:rPr>
        <w:t>街道办事处</w:t>
      </w:r>
      <w:r>
        <w:rPr>
          <w:rFonts w:hint="eastAsia" w:asciiTheme="minorEastAsia" w:hAnsiTheme="minorEastAsia" w:eastAsiaTheme="minorEastAsia"/>
          <w:color w:val="auto"/>
          <w:sz w:val="24"/>
          <w:highlight w:val="none"/>
        </w:rPr>
        <w:t xml:space="preserve">  　　　　　</w:t>
      </w:r>
    </w:p>
    <w:p w14:paraId="000C5B4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宋体" w:hAnsi="宋体" w:cs="宋体"/>
          <w:color w:val="auto"/>
          <w:sz w:val="24"/>
          <w:highlight w:val="none"/>
        </w:rPr>
        <w:t>浙江省宁波市海曙区咏归路150号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0775F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梁老师</w:t>
      </w:r>
    </w:p>
    <w:p w14:paraId="2E848082">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项目联系方式（询问）：0574-87078271</w:t>
      </w:r>
    </w:p>
    <w:p w14:paraId="2C42B84B">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质疑联系人：顾老师</w:t>
      </w:r>
    </w:p>
    <w:p w14:paraId="3C037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质疑联系方式：0574-87469523</w:t>
      </w: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35393807"/>
      <w:bookmarkStart w:id="45" w:name="_Toc35393638"/>
      <w:bookmarkStart w:id="46" w:name="_Toc28359020"/>
      <w:bookmarkStart w:id="47" w:name="_Toc2835909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86AEA9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bookmarkStart w:id="48" w:name="_Toc35393808"/>
      <w:bookmarkStart w:id="49" w:name="_Toc28359021"/>
      <w:bookmarkStart w:id="50" w:name="_Toc28359098"/>
      <w:bookmarkStart w:id="51" w:name="_Toc35393639"/>
      <w:r>
        <w:rPr>
          <w:rFonts w:hint="eastAsia" w:asciiTheme="minorEastAsia" w:hAnsiTheme="minorEastAsia" w:eastAsiaTheme="minorEastAsia"/>
          <w:color w:val="auto"/>
          <w:sz w:val="24"/>
          <w:highlight w:val="none"/>
        </w:rPr>
        <w:t>13967894457</w:t>
      </w:r>
    </w:p>
    <w:p w14:paraId="7588E21A">
      <w:pPr>
        <w:spacing w:line="360" w:lineRule="auto"/>
        <w:ind w:firstLine="480"/>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440162E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3"/>
        <w:rPr>
          <w:color w:val="auto"/>
          <w:highlight w:val="none"/>
        </w:rPr>
      </w:pPr>
    </w:p>
    <w:p w14:paraId="2BF4C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B827197">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outlineLvl w:val="1"/>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59EF4ED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0456FB9F">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ascii="宋体" w:hAnsi="宋体" w:cs="宋体"/>
                <w:b w:val="0"/>
                <w:bCs w:val="0"/>
                <w:color w:val="auto"/>
                <w:kern w:val="0"/>
                <w:sz w:val="24"/>
                <w:highlight w:val="none"/>
                <w:u w:val="single"/>
              </w:rPr>
              <w:t>实施方案编制、创建</w:t>
            </w:r>
            <w:r>
              <w:rPr>
                <w:rFonts w:hint="eastAsia" w:ascii="宋体" w:hAnsi="宋体" w:cs="宋体"/>
                <w:b w:val="0"/>
                <w:bCs w:val="0"/>
                <w:color w:val="auto"/>
                <w:kern w:val="0"/>
                <w:sz w:val="24"/>
                <w:highlight w:val="none"/>
                <w:u w:val="single"/>
                <w:lang w:val="en-US" w:eastAsia="zh-CN"/>
              </w:rPr>
              <w:t>及</w:t>
            </w:r>
            <w:r>
              <w:rPr>
                <w:rFonts w:hint="eastAsia" w:ascii="宋体" w:hAnsi="宋体" w:cs="宋体"/>
                <w:b w:val="0"/>
                <w:bCs w:val="0"/>
                <w:color w:val="auto"/>
                <w:kern w:val="0"/>
                <w:sz w:val="24"/>
                <w:highlight w:val="none"/>
                <w:u w:val="single"/>
              </w:rPr>
              <w:t>验收咨询服务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7ECB459">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09E7CAB">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45CB043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D9A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0A3051">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141304CC">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2AF9AB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6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BF95F">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6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680AF4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808571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47E3F4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36457B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1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6812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7060F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669F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B62F87A">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B9AD4C">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541F76B">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C728503">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5EB14C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ECC1CC">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括但不限于完成本项目的全部内容：包括人工、交通、调研、资料收集与分析、方案成果出具、专家评审（如有）、验收、保险、招标代理服务费、利润、管理费、税金、政策性文件规定及合同包含的所有风险、责任等各项应有的费用。</w:t>
            </w:r>
          </w:p>
          <w:p w14:paraId="1C70A2B1">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3、最高限价：人民币60万元，</w:t>
            </w: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6118A7D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邮寄地址为：浙江省宁波市鄞州区四明中路NB568电商园7号楼；</w:t>
            </w:r>
          </w:p>
          <w:p w14:paraId="61CB38CA">
            <w:pPr>
              <w:pStyle w:val="20"/>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0B0819FB">
            <w:pPr>
              <w:pStyle w:val="20"/>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4"/>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highlight w:val="non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BD41D0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275FDB0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64F81DA2">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B346E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737A48D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257518F7">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开户名称：宁波市拓帆工程管理有限公司</w:t>
            </w:r>
          </w:p>
          <w:p w14:paraId="2338C579">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开户银行：台州银行宁波鄞州支行</w:t>
            </w:r>
          </w:p>
          <w:p w14:paraId="2898DB12">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银行账号：551037875800015</w:t>
            </w:r>
          </w:p>
          <w:p w14:paraId="5093CFC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ascii="宋体" w:hAnsi="宋体" w:cs="Times New Roman"/>
                <w:color w:val="auto"/>
                <w:kern w:val="28"/>
                <w:sz w:val="24"/>
                <w:u w:val="single" w:color="000000"/>
                <w:lang w:val="en-US" w:eastAsia="zh-CN"/>
              </w:rPr>
              <w:t>859267531</w:t>
            </w:r>
            <w:r>
              <w:rPr>
                <w:rFonts w:ascii="宋体" w:hAnsi="宋体" w:eastAsia="宋体" w:cs="Times New Roman"/>
                <w:color w:val="auto"/>
                <w:kern w:val="28"/>
                <w:sz w:val="24"/>
                <w:u w:val="single" w:color="000000"/>
              </w:rPr>
              <w:t>@qq.com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D9F8E3D">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7CEEF9A5">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outlineLvl w:val="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4"/>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463D4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56E1D0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43A2392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4"/>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4"/>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A90355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EE20384">
      <w:pPr>
        <w:pStyle w:val="34"/>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31B3F665">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4E7AA72D">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367E9611">
      <w:pPr>
        <w:pStyle w:val="34"/>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F4EEBAE">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24F22765">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02CB7D66">
      <w:pPr>
        <w:pStyle w:val="34"/>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ABA654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-1）实施服务方案（格式自拟）；</w:t>
      </w:r>
    </w:p>
    <w:p w14:paraId="7B9198D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本项目创建、验收等过程咨询方案（格式自拟）</w:t>
      </w:r>
      <w:r>
        <w:rPr>
          <w:rFonts w:hint="eastAsia" w:asciiTheme="minorEastAsia" w:hAnsiTheme="minorEastAsia" w:eastAsiaTheme="minorEastAsia"/>
          <w:color w:val="auto"/>
          <w:sz w:val="24"/>
          <w:highlight w:val="none"/>
        </w:rPr>
        <w:t>；</w:t>
      </w:r>
    </w:p>
    <w:p w14:paraId="5E9B7425">
      <w:pPr>
        <w:pStyle w:val="34"/>
        <w:spacing w:line="360" w:lineRule="auto"/>
        <w:ind w:firstLine="480" w:firstLineChars="200"/>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-3）拟投入本项目人员配置方案</w:t>
      </w:r>
    </w:p>
    <w:p w14:paraId="018510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4"/>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7818B843">
      <w:pPr>
        <w:pStyle w:val="34"/>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00E9AD4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22915047">
      <w:pPr>
        <w:pStyle w:val="34"/>
        <w:spacing w:line="360" w:lineRule="auto"/>
        <w:ind w:firstLine="482" w:firstLineChars="200"/>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32A5DB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886FBC5">
      <w:pPr>
        <w:pStyle w:val="394"/>
        <w:spacing w:before="0"/>
        <w:ind w:firstLine="0" w:firstLineChars="0"/>
        <w:rPr>
          <w:rFonts w:cs="仿宋_GB2312" w:asciiTheme="minorEastAsia" w:hAnsiTheme="minorEastAsia" w:eastAsiaTheme="minorEastAsia"/>
          <w:b/>
          <w:color w:val="auto"/>
          <w:szCs w:val="24"/>
          <w:highlight w:val="none"/>
        </w:rPr>
      </w:pPr>
    </w:p>
    <w:p w14:paraId="6F2E400B">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863A7C9">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D915C1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EE5B99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4"/>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9"/>
        <w:rPr>
          <w:rFonts w:cs="仿宋_GB2312" w:asciiTheme="minorEastAsia" w:hAnsiTheme="minorEastAsia" w:eastAsiaTheme="minorEastAsia"/>
          <w:color w:val="auto"/>
          <w:sz w:val="24"/>
          <w:highlight w:val="none"/>
        </w:rPr>
      </w:pPr>
    </w:p>
    <w:p w14:paraId="4C684E2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F8AF1">
      <w:pPr>
        <w:tabs>
          <w:tab w:val="left" w:pos="0"/>
        </w:tabs>
        <w:spacing w:line="360" w:lineRule="auto"/>
        <w:outlineLvl w:val="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5"/>
        <w:spacing w:line="360" w:lineRule="auto"/>
        <w:ind w:firstLine="0" w:firstLineChars="0"/>
        <w:outlineLvl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68057669"/>
      <w:bookmarkEnd w:id="53"/>
      <w:bookmarkStart w:id="54" w:name="_Hlt75236101"/>
      <w:bookmarkEnd w:id="54"/>
      <w:bookmarkStart w:id="55" w:name="_Hlt74730295"/>
      <w:bookmarkEnd w:id="55"/>
      <w:bookmarkStart w:id="56" w:name="_Hlt75236011"/>
      <w:bookmarkEnd w:id="56"/>
      <w:bookmarkStart w:id="57" w:name="_Hlt74729768"/>
      <w:bookmarkEnd w:id="57"/>
      <w:bookmarkStart w:id="58" w:name="_Hlt74707468"/>
      <w:bookmarkEnd w:id="58"/>
      <w:bookmarkStart w:id="59" w:name="_Hlt68072990"/>
      <w:bookmarkEnd w:id="59"/>
      <w:bookmarkStart w:id="60" w:name="_Hlt75236290"/>
      <w:bookmarkEnd w:id="60"/>
      <w:bookmarkStart w:id="61" w:name="_Hlt74714665"/>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4"/>
        <w:adjustRightInd/>
        <w:snapToGrid w:val="0"/>
        <w:spacing w:line="360" w:lineRule="auto"/>
        <w:outlineLvl w:val="1"/>
        <w:rPr>
          <w:rFonts w:hint="eastAsia" w:ascii="宋体" w:hAnsi="宋体" w:eastAsia="宋体" w:cs="宋体"/>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lang w:val="en-US" w:eastAsia="zh-CN"/>
        </w:rPr>
        <w:t>采购</w:t>
      </w:r>
      <w:r>
        <w:rPr>
          <w:rFonts w:hint="eastAsia" w:cs="宋体" w:asciiTheme="minorEastAsia" w:hAnsiTheme="minorEastAsia" w:eastAsiaTheme="minorEastAsia"/>
          <w:b/>
          <w:bCs/>
          <w:color w:val="auto"/>
          <w:spacing w:val="-6"/>
          <w:sz w:val="24"/>
          <w:szCs w:val="24"/>
          <w:highlight w:val="none"/>
        </w:rPr>
        <w:t>要求</w:t>
      </w:r>
    </w:p>
    <w:p w14:paraId="49DFD73C">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1E43714C">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尹江岸未来社区建设的提升改造、数字化工程及运营服务项目。主要建设内容包括社区党群服务中心、居家养老服务站、邻里活动中心、社会组织工作站等室内装修工程，室外健身设施提升等室外工程；尹江岸未来社区平台开发建设等数字化工程以及后续的运营服务工作。</w:t>
      </w:r>
    </w:p>
    <w:p w14:paraId="4A7695FC">
      <w:pPr>
        <w:numPr>
          <w:ilvl w:val="0"/>
          <w:numId w:val="0"/>
        </w:num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（二）招标范围</w:t>
      </w:r>
    </w:p>
    <w:p w14:paraId="3A431324">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南门街道尹江岸未来社区项目实施方案编制并提供完成创建与验收通过等过程咨询和台账服务；协助街道做好全域未来社区方案与验收相关工作。具体内容如下：</w:t>
      </w:r>
    </w:p>
    <w:p w14:paraId="07BD0E83">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1、实施方案编制</w:t>
      </w:r>
    </w:p>
    <w:p w14:paraId="0323C8E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70BC55B3">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718E61B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2D9D9F98">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23922E6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1F37F13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5699868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4D24653F">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7E45C8E8">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2、创建、验收等过程咨询</w:t>
      </w:r>
    </w:p>
    <w:p w14:paraId="62FDC67B">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6621D36D">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142EC3A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197BCCD8">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7A0455A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460075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、项目质量要求</w:t>
      </w:r>
    </w:p>
    <w:p w14:paraId="1A95FB6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符合采购人提出的要求，如因成果编制不明，需要</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人现场说明或出具资料补充的，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人必须予以积极配合，否则采购人按合同违约条款约定处理。</w:t>
      </w:r>
    </w:p>
    <w:p w14:paraId="06DAC6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、项目成果要求</w:t>
      </w:r>
    </w:p>
    <w:p w14:paraId="120306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成果主要包括实施方案文本及清单、验收相关台账，要求提供纸质文本不少于3套，电子文本（PDF格式、DWG格式等）不少于2套。注：如采购人后期需要纸质版本的文本，</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人须按采购人的要求提供，相关费用已包含在报价中。</w:t>
      </w:r>
    </w:p>
    <w:p w14:paraId="19185C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、时间进度要求</w:t>
      </w:r>
    </w:p>
    <w:p w14:paraId="757E4F1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1、2024年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21</w:t>
      </w:r>
      <w:r>
        <w:rPr>
          <w:rFonts w:hint="eastAsia" w:ascii="宋体" w:hAnsi="宋体" w:eastAsia="宋体" w:cs="宋体"/>
          <w:bCs/>
          <w:color w:val="auto"/>
          <w:highlight w:val="none"/>
        </w:rPr>
        <w:t>日前提交实施方案编制成果，具体时间进度要求如下：</w:t>
      </w:r>
    </w:p>
    <w:p w14:paraId="78E138AA">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（1）合同签订后</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日内，完成并提交实施方案初稿；</w:t>
      </w:r>
    </w:p>
    <w:p w14:paraId="4B00822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（2）合同签订后</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日内，根据区政府及相关部门修改意见形成整个项目的审查稿；</w:t>
      </w:r>
    </w:p>
    <w:p w14:paraId="51F18841">
      <w:pPr>
        <w:pStyle w:val="2"/>
        <w:ind w:firstLine="480"/>
        <w:rPr>
          <w:rFonts w:ascii="宋体" w:hAnsi="宋体" w:eastAsia="宋体" w:cs="宋体"/>
          <w:bCs/>
          <w:color w:val="auto"/>
          <w:highlight w:val="none"/>
        </w:rPr>
      </w:pPr>
      <w:r>
        <w:rPr>
          <w:rFonts w:hint="eastAsia" w:ascii="宋体" w:hAnsi="宋体" w:eastAsia="宋体" w:cs="宋体"/>
          <w:bCs/>
          <w:color w:val="auto"/>
          <w:highlight w:val="none"/>
        </w:rPr>
        <w:t>（3）2024年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21</w:t>
      </w:r>
      <w:r>
        <w:rPr>
          <w:rFonts w:hint="eastAsia" w:ascii="宋体" w:hAnsi="宋体" w:eastAsia="宋体" w:cs="宋体"/>
          <w:bCs/>
          <w:color w:val="auto"/>
          <w:highlight w:val="none"/>
        </w:rPr>
        <w:t>日前，优化调整形成最终成果稿。</w:t>
      </w:r>
    </w:p>
    <w:p w14:paraId="50AF409C">
      <w:pPr>
        <w:pStyle w:val="2"/>
        <w:ind w:firstLine="480"/>
        <w:rPr>
          <w:color w:val="auto"/>
          <w:highlight w:val="none"/>
        </w:rPr>
      </w:pPr>
      <w:r>
        <w:rPr>
          <w:rFonts w:hint="eastAsia" w:ascii="宋体" w:hAnsi="宋体" w:eastAsia="宋体" w:cs="宋体"/>
          <w:bCs/>
          <w:color w:val="auto"/>
          <w:highlight w:val="none"/>
          <w:lang w:val="en-US" w:eastAsia="zh-CN"/>
        </w:rPr>
        <w:t>5.2</w:t>
      </w:r>
      <w:r>
        <w:rPr>
          <w:rFonts w:hint="eastAsia" w:ascii="宋体" w:hAnsi="宋体" w:eastAsia="宋体" w:cs="宋体"/>
          <w:bCs/>
          <w:color w:val="auto"/>
          <w:highlight w:val="none"/>
        </w:rPr>
        <w:t>、创建过程综合性咨询服务自</w:t>
      </w:r>
      <w:r>
        <w:rPr>
          <w:rFonts w:hint="eastAsia" w:ascii="宋体" w:hAnsi="宋体" w:eastAsia="宋体" w:cs="宋体"/>
          <w:bCs/>
          <w:color w:val="auto"/>
          <w:highlight w:val="none"/>
          <w:lang w:val="en-US" w:eastAsia="zh-CN"/>
        </w:rPr>
        <w:t>尹江岸社区</w:t>
      </w:r>
      <w:r>
        <w:rPr>
          <w:rFonts w:hint="eastAsia" w:ascii="宋体" w:hAnsi="宋体" w:eastAsia="宋体" w:cs="宋体"/>
          <w:bCs/>
          <w:color w:val="auto"/>
          <w:highlight w:val="none"/>
        </w:rPr>
        <w:t>未来社区通过市级</w:t>
      </w:r>
      <w:r>
        <w:rPr>
          <w:rFonts w:hint="eastAsia" w:ascii="宋体" w:hAnsi="宋体" w:eastAsia="宋体" w:cs="宋体"/>
          <w:bCs/>
          <w:color w:val="auto"/>
          <w:highlight w:val="none"/>
          <w:lang w:val="en-US" w:eastAsia="zh-CN"/>
        </w:rPr>
        <w:t>或</w:t>
      </w:r>
      <w:r>
        <w:rPr>
          <w:rFonts w:hint="eastAsia" w:ascii="宋体" w:hAnsi="宋体" w:eastAsia="宋体" w:cs="宋体"/>
          <w:bCs/>
          <w:color w:val="auto"/>
          <w:highlight w:val="none"/>
        </w:rPr>
        <w:t>省级未来社区验收为止。</w:t>
      </w:r>
    </w:p>
    <w:p w14:paraId="6E4E73F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、其他要求</w:t>
      </w:r>
    </w:p>
    <w:p w14:paraId="52C4B08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1）人员及设备配备要求：在合同履约期间，</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人必须按时完成任务并配备足够的人员和设备，以保证项目完成的质量。</w:t>
      </w:r>
    </w:p>
    <w:p w14:paraId="5EB4785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人必须对收集的基础资料及成果承担安全、保密责任。</w:t>
      </w:r>
    </w:p>
    <w:p w14:paraId="4C78966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3）安全文明作业要求：</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人必须重视安全文明工作，并按相关技术规程、规范和规定进行作业，确保不出安全责任事故。如发生安全生产责任事故或交通事故，由</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人承担一切责任及损失。</w:t>
      </w:r>
    </w:p>
    <w:p w14:paraId="492E416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4）合同履行期间因政策、制度等因素造成工作内容变化，导致服务工作内容发生重大调整的，双方根据具体内容对相关费用进行协商解决。对项目验收造成影响的工作内容，</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人积极配合响应并要求实施到位，项目评审、验收、实施过程中需要对方案调整修改的，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人须积极响应按要求作相应调整修改，直至项目各环节审批通过，上述不得以任何形式或理由要求增加相关费用，供应商参加招投标活动时须考虑相关风险。</w:t>
      </w:r>
    </w:p>
    <w:p w14:paraId="71C8455D">
      <w:pPr>
        <w:widowControl w:val="0"/>
        <w:numPr>
          <w:ilvl w:val="0"/>
          <w:numId w:val="0"/>
        </w:numPr>
        <w:spacing w:line="360" w:lineRule="auto"/>
        <w:ind w:firstLine="482"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bCs w:val="0"/>
          <w:color w:val="auto"/>
          <w:sz w:val="24"/>
          <w:highlight w:val="none"/>
          <w:lang w:val="en-US" w:eastAsia="zh-CN"/>
        </w:rPr>
        <w:t>成交</w:t>
      </w:r>
      <w:r>
        <w:rPr>
          <w:rFonts w:hint="eastAsia" w:ascii="宋体" w:hAnsi="宋体" w:cs="宋体"/>
          <w:b/>
          <w:bCs w:val="0"/>
          <w:color w:val="auto"/>
          <w:sz w:val="24"/>
          <w:highlight w:val="none"/>
        </w:rPr>
        <w:t>人</w:t>
      </w:r>
      <w:r>
        <w:rPr>
          <w:rFonts w:hint="eastAsia" w:ascii="宋体" w:hAnsi="宋体" w:cs="宋体"/>
          <w:b/>
          <w:color w:val="auto"/>
          <w:sz w:val="24"/>
          <w:highlight w:val="none"/>
        </w:rPr>
        <w:t>须按时、按要求完成本项目未来社区实施方案编制及创建咨询服务工作，完成项目的申报、修改、评估、验收等一系列全部工作内容，按规定时间通过省</w:t>
      </w:r>
      <w:r>
        <w:rPr>
          <w:rFonts w:hint="eastAsia" w:ascii="宋体" w:hAnsi="宋体" w:cs="宋体"/>
          <w:b/>
          <w:color w:val="auto"/>
          <w:sz w:val="24"/>
          <w:highlight w:val="none"/>
          <w:lang w:val="en-US" w:eastAsia="zh-CN"/>
        </w:rPr>
        <w:t>或</w:t>
      </w:r>
      <w:r>
        <w:rPr>
          <w:rFonts w:hint="eastAsia" w:ascii="宋体" w:hAnsi="宋体" w:cs="宋体"/>
          <w:b/>
          <w:color w:val="auto"/>
          <w:sz w:val="24"/>
          <w:highlight w:val="none"/>
        </w:rPr>
        <w:t>市两级验收。</w:t>
      </w:r>
    </w:p>
    <w:p w14:paraId="49C92935">
      <w:pPr>
        <w:pStyle w:val="73"/>
        <w:spacing w:line="360" w:lineRule="auto"/>
        <w:rPr>
          <w:rFonts w:hint="default" w:ascii="宋体" w:hAnsi="宋体" w:eastAsia="宋体"/>
          <w:color w:val="auto"/>
          <w:szCs w:val="21"/>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pgNumType w:fmt="decimal"/>
          <w:cols w:space="720" w:num="1"/>
          <w:titlePg/>
          <w:docGrid w:linePitch="312" w:charSpace="0"/>
        </w:sectPr>
      </w:pPr>
    </w:p>
    <w:p w14:paraId="4D6D00C2">
      <w:pPr>
        <w:spacing w:line="360" w:lineRule="auto"/>
        <w:textAlignment w:val="baseline"/>
        <w:outlineLvl w:val="1"/>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2"/>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5DB8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4D20FC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057E6A15">
            <w:pPr>
              <w:spacing w:line="400" w:lineRule="exact"/>
              <w:rPr>
                <w:rFonts w:cs="宋体"/>
                <w:color w:val="auto"/>
                <w:sz w:val="24"/>
                <w:highlight w:val="none"/>
              </w:rPr>
            </w:pPr>
            <w:r>
              <w:rPr>
                <w:rFonts w:hint="eastAsia" w:ascii="宋体" w:hAnsi="宋体" w:cs="宋体"/>
                <w:bCs/>
                <w:color w:val="auto"/>
                <w:sz w:val="24"/>
                <w:highlight w:val="none"/>
              </w:rPr>
              <w:t>合同签订之日起至完成未来社区验收之日止，具体详见服务进度要求。</w:t>
            </w:r>
          </w:p>
        </w:tc>
      </w:tr>
      <w:tr w14:paraId="1A6E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06B3D3A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135381B1">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1、预付款：在合同生效以及具备实施条件后7个工作日内支付合同金额的40%。</w:t>
            </w:r>
          </w:p>
          <w:p w14:paraId="430A43A0">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2、实施方案优化调整，通过专家评审并完成备案，由采购人向中标人支付至合同金额的60%；</w:t>
            </w:r>
          </w:p>
          <w:p w14:paraId="14AAE8DD">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3、工程完工经采购人确认后30个工作日内，由采购人向中标人支付至合同金额的80%；</w:t>
            </w:r>
          </w:p>
          <w:p w14:paraId="4570FB8A">
            <w:pPr>
              <w:spacing w:line="400" w:lineRule="exact"/>
              <w:rPr>
                <w:rFonts w:ascii="宋体" w:hAnsi="宋体" w:cs="宋体"/>
                <w:bCs/>
                <w:color w:val="auto"/>
                <w:sz w:val="24"/>
                <w:highlight w:val="none"/>
              </w:rPr>
            </w:pPr>
            <w:r>
              <w:rPr>
                <w:rFonts w:hint="eastAsia" w:ascii="宋体" w:hAnsi="宋体" w:cs="宋体"/>
                <w:bCs/>
                <w:color w:val="auto"/>
                <w:sz w:val="24"/>
                <w:highlight w:val="none"/>
              </w:rPr>
              <w:t>4、通过省</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rPr>
              <w:t>市级未来社区验收合格后30个工作日内，由采购人向中标人支付至合同金额的100%。</w:t>
            </w:r>
          </w:p>
        </w:tc>
      </w:tr>
      <w:tr w14:paraId="48B8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2EA31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D7D3424">
            <w:pPr>
              <w:spacing w:line="400" w:lineRule="exact"/>
              <w:rPr>
                <w:rFonts w:ascii="宋体" w:hAnsi="宋体" w:cs="宋体"/>
                <w:bCs/>
                <w:color w:val="auto"/>
                <w:sz w:val="24"/>
                <w:highlight w:val="none"/>
              </w:rPr>
            </w:pPr>
            <w:r>
              <w:rPr>
                <w:rFonts w:hint="eastAsia" w:ascii="宋体" w:hAnsi="宋体" w:cs="宋体"/>
                <w:bCs/>
                <w:color w:val="auto"/>
                <w:sz w:val="24"/>
                <w:highlight w:val="none"/>
              </w:rPr>
              <w:t>金额：合同金额的1%。</w:t>
            </w:r>
          </w:p>
          <w:p w14:paraId="17460B18">
            <w:pPr>
              <w:spacing w:line="400" w:lineRule="exact"/>
              <w:rPr>
                <w:rFonts w:ascii="宋体" w:hAnsi="宋体" w:cs="宋体"/>
                <w:bCs/>
                <w:color w:val="auto"/>
                <w:sz w:val="24"/>
                <w:highlight w:val="none"/>
              </w:rPr>
            </w:pPr>
            <w:r>
              <w:rPr>
                <w:rFonts w:hint="eastAsia" w:ascii="宋体" w:hAnsi="宋体" w:cs="宋体"/>
                <w:bCs/>
                <w:color w:val="auto"/>
                <w:sz w:val="24"/>
                <w:highlight w:val="none"/>
              </w:rPr>
              <w:t>形式：以银行或保险公司出具的保函的形式或其他非现金形式。</w:t>
            </w:r>
          </w:p>
          <w:p w14:paraId="75244C2A">
            <w:pPr>
              <w:spacing w:line="400" w:lineRule="exact"/>
              <w:rPr>
                <w:rFonts w:ascii="宋体" w:hAnsi="宋体" w:cs="宋体"/>
                <w:bCs/>
                <w:color w:val="auto"/>
                <w:sz w:val="24"/>
                <w:highlight w:val="none"/>
              </w:rPr>
            </w:pPr>
            <w:r>
              <w:rPr>
                <w:rFonts w:hint="eastAsia" w:ascii="宋体" w:hAnsi="宋体" w:cs="宋体"/>
                <w:bCs/>
                <w:color w:val="auto"/>
                <w:sz w:val="24"/>
                <w:highlight w:val="none"/>
              </w:rPr>
              <w:t>缴纳：在签订合同后</w:t>
            </w:r>
            <w:r>
              <w:rPr>
                <w:rFonts w:ascii="宋体" w:hAnsi="宋体" w:cs="宋体"/>
                <w:bCs/>
                <w:color w:val="auto"/>
                <w:sz w:val="24"/>
                <w:highlight w:val="none"/>
              </w:rPr>
              <w:t>7</w:t>
            </w:r>
            <w:r>
              <w:rPr>
                <w:rFonts w:hint="eastAsia" w:ascii="宋体" w:hAnsi="宋体" w:cs="宋体"/>
                <w:bCs/>
                <w:color w:val="auto"/>
                <w:sz w:val="24"/>
                <w:highlight w:val="none"/>
              </w:rPr>
              <w:t>天内缴纳。</w:t>
            </w:r>
          </w:p>
          <w:p w14:paraId="0C8AED28">
            <w:pPr>
              <w:spacing w:line="400" w:lineRule="exact"/>
              <w:rPr>
                <w:color w:val="auto"/>
                <w:highlight w:val="none"/>
              </w:rPr>
            </w:pPr>
            <w:r>
              <w:rPr>
                <w:rFonts w:hint="eastAsia" w:ascii="宋体" w:hAnsi="宋体" w:cs="宋体"/>
                <w:bCs/>
                <w:color w:val="auto"/>
                <w:sz w:val="24"/>
                <w:highlight w:val="none"/>
              </w:rPr>
              <w:t>退还：在未来社区验收合格后</w:t>
            </w:r>
            <w:r>
              <w:rPr>
                <w:rFonts w:ascii="宋体" w:hAnsi="宋体" w:cs="宋体"/>
                <w:bCs/>
                <w:color w:val="auto"/>
                <w:sz w:val="24"/>
                <w:highlight w:val="none"/>
              </w:rPr>
              <w:t>15</w:t>
            </w:r>
            <w:r>
              <w:rPr>
                <w:rFonts w:hint="eastAsia" w:ascii="宋体" w:hAnsi="宋体" w:cs="宋体"/>
                <w:bCs/>
                <w:color w:val="auto"/>
                <w:sz w:val="24"/>
                <w:highlight w:val="none"/>
              </w:rPr>
              <w:t>天内退还。</w:t>
            </w:r>
          </w:p>
        </w:tc>
      </w:tr>
      <w:tr w14:paraId="75A8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7BAB6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50E82A34">
            <w:pPr>
              <w:spacing w:line="400" w:lineRule="exact"/>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人提供的</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文件（包括承诺）</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人和采购人签订的政府采购合同为标准进行验收。</w:t>
            </w:r>
          </w:p>
        </w:tc>
      </w:tr>
      <w:tr w14:paraId="26CA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9227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服务响应要求</w:t>
            </w:r>
          </w:p>
        </w:tc>
        <w:tc>
          <w:tcPr>
            <w:tcW w:w="6325" w:type="dxa"/>
            <w:vAlign w:val="center"/>
          </w:tcPr>
          <w:p w14:paraId="4A973B4E">
            <w:pPr>
              <w:spacing w:line="400" w:lineRule="exact"/>
              <w:rPr>
                <w:rFonts w:ascii="宋体" w:hAnsi="宋体" w:cs="宋体"/>
                <w:bCs/>
                <w:color w:val="auto"/>
                <w:sz w:val="24"/>
                <w:highlight w:val="none"/>
              </w:rPr>
            </w:pPr>
            <w:r>
              <w:rPr>
                <w:rFonts w:hint="eastAsia" w:ascii="宋体" w:hAnsi="宋体" w:cs="宋体"/>
                <w:bCs/>
                <w:color w:val="auto"/>
                <w:sz w:val="24"/>
                <w:highlight w:val="none"/>
              </w:rPr>
              <w:t>响应时间要求：</w:t>
            </w:r>
            <w:r>
              <w:rPr>
                <w:rFonts w:hint="eastAsia" w:ascii="宋体" w:hAnsi="宋体" w:cs="宋体"/>
                <w:bCs/>
                <w:color w:val="auto"/>
                <w:sz w:val="24"/>
                <w:highlight w:val="none"/>
                <w:lang w:val="en-US" w:eastAsia="zh-CN"/>
              </w:rPr>
              <w:t>成交人</w:t>
            </w:r>
            <w:r>
              <w:rPr>
                <w:rFonts w:hint="eastAsia" w:ascii="宋体" w:hAnsi="宋体" w:cs="宋体"/>
                <w:bCs/>
                <w:color w:val="auto"/>
                <w:sz w:val="24"/>
                <w:highlight w:val="none"/>
              </w:rPr>
              <w:t>接到采购人电话后</w:t>
            </w:r>
            <w:r>
              <w:rPr>
                <w:rFonts w:ascii="宋体" w:hAnsi="宋体" w:cs="宋体"/>
                <w:bCs/>
                <w:color w:val="auto"/>
                <w:sz w:val="24"/>
                <w:highlight w:val="none"/>
              </w:rPr>
              <w:t>1</w:t>
            </w:r>
            <w:r>
              <w:rPr>
                <w:rFonts w:hint="eastAsia" w:ascii="宋体" w:hAnsi="宋体" w:cs="宋体"/>
                <w:bCs/>
                <w:color w:val="auto"/>
                <w:sz w:val="24"/>
                <w:highlight w:val="none"/>
              </w:rPr>
              <w:t>小时内响应，</w:t>
            </w:r>
            <w:r>
              <w:rPr>
                <w:rFonts w:ascii="宋体" w:hAnsi="宋体" w:cs="宋体"/>
                <w:bCs/>
                <w:color w:val="auto"/>
                <w:sz w:val="24"/>
                <w:highlight w:val="none"/>
              </w:rPr>
              <w:t>2</w:t>
            </w:r>
            <w:r>
              <w:rPr>
                <w:rFonts w:hint="eastAsia" w:ascii="宋体" w:hAnsi="宋体" w:cs="宋体"/>
                <w:bCs/>
                <w:color w:val="auto"/>
                <w:sz w:val="24"/>
                <w:highlight w:val="none"/>
              </w:rPr>
              <w:t>小时内上门服务，提供7×24小时电话支持。</w:t>
            </w:r>
          </w:p>
        </w:tc>
      </w:tr>
      <w:tr w14:paraId="659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3FCA29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1DF54622">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确定成交</w:t>
            </w:r>
            <w:r>
              <w:rPr>
                <w:rFonts w:hint="eastAsia" w:ascii="宋体" w:hAnsi="宋体" w:cs="宋体"/>
                <w:color w:val="auto"/>
                <w:sz w:val="24"/>
                <w:highlight w:val="none"/>
              </w:rPr>
              <w:t>通知书发出之日起30日内签订合同，具体签约时间以采购人通知为准。</w:t>
            </w:r>
          </w:p>
        </w:tc>
      </w:tr>
    </w:tbl>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964"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85"/>
        <w:gridCol w:w="6369"/>
        <w:gridCol w:w="604"/>
        <w:gridCol w:w="1416"/>
      </w:tblGrid>
      <w:tr w14:paraId="2C58D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90" w:type="dxa"/>
            <w:noWrap w:val="0"/>
            <w:vAlign w:val="center"/>
          </w:tcPr>
          <w:p w14:paraId="5B07ED19">
            <w:pPr>
              <w:widowControl/>
              <w:snapToGrid w:val="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154" w:type="dxa"/>
            <w:gridSpan w:val="2"/>
            <w:noWrap w:val="0"/>
            <w:vAlign w:val="center"/>
          </w:tcPr>
          <w:p w14:paraId="6843B6A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04" w:type="dxa"/>
            <w:noWrap w:val="0"/>
            <w:vAlign w:val="center"/>
          </w:tcPr>
          <w:p w14:paraId="16408B4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1416" w:type="dxa"/>
            <w:noWrap w:val="0"/>
            <w:vAlign w:val="center"/>
          </w:tcPr>
          <w:p w14:paraId="2606B50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主观分/客观分属性</w:t>
            </w:r>
          </w:p>
        </w:tc>
      </w:tr>
      <w:tr w14:paraId="2A522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64" w:type="dxa"/>
            <w:gridSpan w:val="5"/>
            <w:noWrap w:val="0"/>
            <w:vAlign w:val="center"/>
          </w:tcPr>
          <w:p w14:paraId="26D8C82A">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一、商务技术分（90分）</w:t>
            </w:r>
          </w:p>
        </w:tc>
      </w:tr>
      <w:tr w14:paraId="6FAB5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270A340F">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85" w:type="dxa"/>
            <w:vMerge w:val="restart"/>
            <w:noWrap w:val="0"/>
            <w:vAlign w:val="center"/>
          </w:tcPr>
          <w:p w14:paraId="7CDE24AA">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实施</w:t>
            </w:r>
          </w:p>
          <w:p w14:paraId="0F76967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w:t>
            </w:r>
          </w:p>
          <w:p w14:paraId="3A06AE52">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方案</w:t>
            </w:r>
          </w:p>
        </w:tc>
        <w:tc>
          <w:tcPr>
            <w:tcW w:w="6369" w:type="dxa"/>
            <w:noWrap w:val="0"/>
            <w:vAlign w:val="center"/>
          </w:tcPr>
          <w:p w14:paraId="3BAFCED3">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的分析是否精准、详实进行评议：</w:t>
            </w:r>
          </w:p>
          <w:p w14:paraId="69DCEA96">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分析精准，调研数据详实的得5分；</w:t>
            </w:r>
          </w:p>
          <w:p w14:paraId="0307AE5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分析较为精准，调研数据较为详实的得3分；</w:t>
            </w:r>
          </w:p>
          <w:p w14:paraId="3730906A">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分析粗略，调研数据粗略的得1分；</w:t>
            </w:r>
          </w:p>
          <w:p w14:paraId="4143889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分析缺失，调研缺失的不得分。</w:t>
            </w:r>
          </w:p>
        </w:tc>
        <w:tc>
          <w:tcPr>
            <w:tcW w:w="604" w:type="dxa"/>
            <w:noWrap w:val="0"/>
            <w:vAlign w:val="center"/>
          </w:tcPr>
          <w:p w14:paraId="06DB7379">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512220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主观分</w:t>
            </w:r>
          </w:p>
        </w:tc>
      </w:tr>
      <w:tr w14:paraId="758C68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631F3454">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834B98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0C6E9EB8">
            <w:pPr>
              <w:pStyle w:val="61"/>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根据投标人针对本项目的文化品牌提炼是否有特色、文化传承措施是否丰富进行评议：</w:t>
            </w:r>
          </w:p>
          <w:p w14:paraId="3D07786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①文化品牌提炼有特色、文化传承措施丰富多样的得5分；</w:t>
            </w:r>
          </w:p>
          <w:p w14:paraId="757E1F0E">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②文化品牌提炼较为普适、文化传承措施较少的得3分；</w:t>
            </w:r>
          </w:p>
          <w:p w14:paraId="707C5B8F">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③文化品牌提炼较差、文化传承基本缺少的得1分；</w:t>
            </w:r>
          </w:p>
          <w:p w14:paraId="45EB4651">
            <w:pPr>
              <w:rPr>
                <w:rFonts w:hint="eastAsia"/>
                <w:highlight w:val="none"/>
              </w:rPr>
            </w:pPr>
            <w:r>
              <w:rPr>
                <w:rFonts w:hint="eastAsia" w:ascii="宋体" w:hAnsi="宋体" w:eastAsia="宋体" w:cs="宋体"/>
                <w:sz w:val="24"/>
                <w:szCs w:val="24"/>
                <w:highlight w:val="none"/>
                <w:lang w:val="en-US" w:eastAsia="zh-CN"/>
              </w:rPr>
              <w:t>④文化品牌缺少、文化传承缺少的不得分。</w:t>
            </w:r>
          </w:p>
        </w:tc>
        <w:tc>
          <w:tcPr>
            <w:tcW w:w="604" w:type="dxa"/>
            <w:noWrap w:val="0"/>
            <w:vAlign w:val="center"/>
          </w:tcPr>
          <w:p w14:paraId="41A5B4C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253EA2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19DD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noWrap w:val="0"/>
            <w:vAlign w:val="center"/>
          </w:tcPr>
          <w:p w14:paraId="57FC768E">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85" w:type="dxa"/>
            <w:vMerge w:val="continue"/>
            <w:noWrap w:val="0"/>
            <w:vAlign w:val="center"/>
          </w:tcPr>
          <w:p w14:paraId="7B40254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566FFB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根据投标人针对本项目的创建目标是否准确、创建思路是否有新意进行评议：</w:t>
            </w:r>
          </w:p>
          <w:p w14:paraId="6E27B24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①目标定位准确性强、创建思路具有新意的得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C2C272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②目标定位准确性较强、创建思路较具有新意的得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4AA1853">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③目标定位准确性一般、创建思路新意一般的得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7158B54">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④目标定位准确性差、创建思路新意差的得1分。</w:t>
            </w:r>
          </w:p>
          <w:p w14:paraId="3A37B48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6D70BCF8">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33C19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063CC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6D93BB9">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6C526B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DAD29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根据投标人针对本项目的空间总体设计方案（包括改造布局、提升方案）进行评议：</w:t>
            </w:r>
          </w:p>
          <w:p w14:paraId="1067605A">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①改造布局合理、提升方案详细的得5分；</w:t>
            </w:r>
          </w:p>
          <w:p w14:paraId="5925BB3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②改造布局较合理、提升方案较详细的得4分；</w:t>
            </w:r>
          </w:p>
          <w:p w14:paraId="139AFCA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③②改造布局合理性一般、提升方案详细性一般的得3分；</w:t>
            </w:r>
          </w:p>
          <w:p w14:paraId="369AB48E">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④改造布局合理性差、提升方案不详细的得1分。</w:t>
            </w:r>
          </w:p>
          <w:p w14:paraId="1C34C52E">
            <w:pPr>
              <w:pStyle w:val="2"/>
              <w:ind w:left="0" w:leftChars="0" w:firstLine="0" w:firstLineChars="0"/>
              <w:rPr>
                <w:rFonts w:hint="eastAsia"/>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71EFEE3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62DD10F">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6A180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90" w:type="dxa"/>
            <w:noWrap w:val="0"/>
            <w:vAlign w:val="center"/>
          </w:tcPr>
          <w:p w14:paraId="0E1BC9A7">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5942992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C8855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根据投标人针对本项目的特色亮点场景选定是否有特色进行评议：</w:t>
            </w:r>
          </w:p>
          <w:p w14:paraId="3735EB69">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①特色亮点场景选定独具特色的得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D3EF2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②特色亮点场景选定较为普通的得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7E20A6B">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③特色亮点场景选定不具特色的得1分。</w:t>
            </w:r>
          </w:p>
          <w:p w14:paraId="1F6EF66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6FF4E0D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3CB9D3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3B41E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173BFC6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07545D93">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115A7AF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根据投标人针对本项目的场景系统集成方案（包括是否充分考虑社区人口构成与需求、场景设施布局是否合理）进行评议：</w:t>
            </w:r>
          </w:p>
          <w:p w14:paraId="64B5FB9C">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①方案充分考虑社区人口构成与需求、场景设施布局合理的得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525D29E">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②方案欠考虑社区人口构成与需求、场景设施布局欠合理的得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47D1510">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③方案未分考虑社区人口构成与需求、场景设施布局不合理的得1分。</w:t>
            </w:r>
          </w:p>
          <w:p w14:paraId="05142A4D">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0241F10E">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5F711A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761A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90" w:type="dxa"/>
            <w:noWrap w:val="0"/>
            <w:vAlign w:val="center"/>
          </w:tcPr>
          <w:p w14:paraId="7CF337D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4ACA2EF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4C29D3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根据投标人针对本项目的分场景方案进行评议：</w:t>
            </w:r>
          </w:p>
          <w:p w14:paraId="7AE456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①各场景方案针对性强、详细、全面的得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1A763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②各场景方案针对性较强、较详细、较全面的得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0A7A1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③各场景方案针对性一般、详细性一般、全面性一般的得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D76A4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④各场景方案针对性差、不详细、不全面的得1分。</w:t>
            </w:r>
          </w:p>
          <w:p w14:paraId="260298B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0045DAEB">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D1AFBA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18363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8933D1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785" w:type="dxa"/>
            <w:vMerge w:val="continue"/>
            <w:noWrap w:val="0"/>
            <w:vAlign w:val="center"/>
          </w:tcPr>
          <w:p w14:paraId="3B48BEDB">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A011C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根据投标人针对本项目的数字化系统设计方案（包括社区数字化软硬件建设清单是否符合社区居民需求、数字化与运营是否具有融合性）进行评议：</w:t>
            </w:r>
          </w:p>
          <w:p w14:paraId="57B38B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①社区数字化软硬件建设清单完全符合社区居民需求、数字化与运营融合性强的得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F4F7BD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②社区数字化软硬件建设清单基本符合社区居民需求、数字化与运营融合性一般的得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E92AD1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③社区数字化软硬件建设清单不符合社区居民需求、数字化与运营融合性差的得1分。</w:t>
            </w:r>
          </w:p>
          <w:p w14:paraId="2CF6989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3B1F6CD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2CEB70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7F7E0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90" w:type="dxa"/>
            <w:noWrap w:val="0"/>
            <w:vAlign w:val="center"/>
          </w:tcPr>
          <w:p w14:paraId="5C2CF73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785" w:type="dxa"/>
            <w:vMerge w:val="continue"/>
            <w:noWrap w:val="0"/>
            <w:vAlign w:val="center"/>
          </w:tcPr>
          <w:p w14:paraId="47513678">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7CDE8D7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根据投标人针对本项目的运营组织架构、运营模式进行评议：</w:t>
            </w:r>
          </w:p>
          <w:p w14:paraId="0FBC85F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①运营组织架构合理、运营模式可持续性强的得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5400C9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②运营组织架构较合理、运营模式可持续性一般的得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9D3A96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③运营组织架构不合理、运营模式不具备可持续行性的得1分。</w:t>
            </w:r>
          </w:p>
          <w:p w14:paraId="005D02EA">
            <w:pPr>
              <w:pStyle w:val="2"/>
              <w:ind w:left="0" w:leftChars="0" w:firstLine="0" w:firstLineChars="0"/>
              <w:rPr>
                <w:rFonts w:hint="eastAsia"/>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185FD8B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1BEB8C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71B77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2DD00A6">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85" w:type="dxa"/>
            <w:vMerge w:val="continue"/>
            <w:noWrap w:val="0"/>
            <w:vAlign w:val="center"/>
          </w:tcPr>
          <w:p w14:paraId="78DA9772">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528E77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根据投标人针对本项目的业态空间布局进行评议：</w:t>
            </w:r>
          </w:p>
          <w:p w14:paraId="3A2F4D1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①公益性、普惠性、经营性业态搭配合理的得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9C25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②公益性、普惠性、经营性业态搭配较为合理的得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EA987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③公益性一般、普惠性一般、经营性业态搭配合理性一般的得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B3A15B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④公益性差、普惠性差、经营性不合理的得1分。</w:t>
            </w:r>
          </w:p>
          <w:p w14:paraId="5A2AD3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E1D533D">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61B0B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AA03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center"/>
          </w:tcPr>
          <w:p w14:paraId="39EB1F5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785" w:type="dxa"/>
            <w:vMerge w:val="continue"/>
            <w:noWrap w:val="0"/>
            <w:vAlign w:val="center"/>
          </w:tcPr>
          <w:p w14:paraId="51E36D96">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DD76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根据投标人针对本项目的实施推进计划（包括建设进度计划是否合理可行、项目实施推进措施是否有针对性）进行评议：</w:t>
            </w:r>
          </w:p>
          <w:p w14:paraId="67CED82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①进度计划合理可行、措施针对性强的得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E0CB12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②进度计划较合理可行、措施针对性较强的得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174916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③进度计划合理可行性一般、措施针对性一般的得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395B7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④进度计划不合理可行、措施针对性不强的得1分。</w:t>
            </w:r>
          </w:p>
          <w:p w14:paraId="73C0280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2784F43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1670149">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F55B3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90" w:type="dxa"/>
            <w:noWrap w:val="0"/>
            <w:vAlign w:val="center"/>
          </w:tcPr>
          <w:p w14:paraId="138EF740">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F88C5B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025C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根据投标人针对本项目的估算与资金平衡方案（包括运营期成本支出与收入项目是否明确、清晰、项目运营是否可持续）进行评议：</w:t>
            </w:r>
          </w:p>
          <w:p w14:paraId="3F3928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①运营期成本支出与收入项目明确、清晰、项目运营可持续的得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D7319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②运营期成本支出与收入项目较明确、较清晰、项目运营较为可持续的得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70AFB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③运营期成本支出与收入项目不明确、不清晰、项目运营不可持续的得1分；</w:t>
            </w:r>
          </w:p>
          <w:p w14:paraId="5123CD5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3CFC4B9">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07B46F8D">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50EC3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90" w:type="dxa"/>
            <w:noWrap w:val="0"/>
            <w:vAlign w:val="center"/>
          </w:tcPr>
          <w:p w14:paraId="31639D11">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785" w:type="dxa"/>
            <w:vMerge w:val="restart"/>
            <w:noWrap w:val="0"/>
            <w:vAlign w:val="center"/>
          </w:tcPr>
          <w:p w14:paraId="3AB179D2">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创建、验收等过程咨询方案</w:t>
            </w:r>
          </w:p>
        </w:tc>
        <w:tc>
          <w:tcPr>
            <w:tcW w:w="6369" w:type="dxa"/>
            <w:noWrap w:val="0"/>
            <w:vAlign w:val="center"/>
          </w:tcPr>
          <w:p w14:paraId="0CED26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根据投标人针对本项目的创建咨询方案（包括资料梳理制作、创建方案汇报、专家组对接等）进行评议：</w:t>
            </w:r>
          </w:p>
          <w:p w14:paraId="7ADEB2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①对创建过程中需要的资料清单、需要对接的相关方梳理清晰的得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A76AAB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②对创建过程中需要的资料清单、需要对接的相关方梳理较为清晰的得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BEDF0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③对创建过程中需要的资料清单、需要对接的相关方梳理不清晰的得1分</w:t>
            </w:r>
          </w:p>
          <w:p w14:paraId="6623E51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0EA4C6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6E61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9A4D8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4EACF3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B3AD2E7">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02D9B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根据投标人针对本项目的运营咨询方案（包括参与运营相关会议、提供优化实施方案）进行评议：</w:t>
            </w:r>
          </w:p>
          <w:p w14:paraId="3628C28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①对意向运营单位的要求清晰、优化实施方案切实可行的得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7A038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②对意向运营单位的要求较为清晰、优化实施方案较切实可行的得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6115A1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③对意向运营单位的要求清晰、优化实施方案切实可行的得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C7D907A">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④</w:t>
            </w:r>
            <w:r>
              <w:rPr>
                <w:rFonts w:hint="eastAsia" w:ascii="宋体" w:hAnsi="宋体" w:eastAsia="宋体" w:cs="宋体"/>
                <w:kern w:val="2"/>
                <w:sz w:val="24"/>
                <w:szCs w:val="24"/>
                <w:highlight w:val="none"/>
                <w:lang w:val="en-US" w:eastAsia="zh-CN" w:bidi="ar-SA"/>
              </w:rPr>
              <w:t>对意向运营单位的要求不清晰、优化实施方案不切实可行的得1分</w:t>
            </w:r>
          </w:p>
          <w:p w14:paraId="17A8B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C9C9BC5">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34EEDDD4">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B5A0D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90" w:type="dxa"/>
            <w:noWrap w:val="0"/>
            <w:vAlign w:val="center"/>
          </w:tcPr>
          <w:p w14:paraId="6599CC25">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1C0BF73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E63B4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根据投标人针对本项目的建设咨询方案（包括图纸审核与优化、参观动线规划与优化）进行评议：</w:t>
            </w:r>
          </w:p>
          <w:p w14:paraId="4C1D84D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①图纸审核要点清晰、参观动线规划与优化方案可行的得5分</w:t>
            </w:r>
          </w:p>
          <w:p w14:paraId="552A9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②图纸审核要点较为清晰、参观动线规划与优化方案较可行的得4分</w:t>
            </w:r>
          </w:p>
          <w:p w14:paraId="550CFDA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③图纸审核要点一般清晰、参观动线规划与优化方案一般的得3分</w:t>
            </w:r>
          </w:p>
          <w:p w14:paraId="0E9135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④图纸要点不清晰、参观动线规划与优化方案差的得1分</w:t>
            </w:r>
          </w:p>
          <w:p w14:paraId="0DAADEF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A205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7F51F8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C0CB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90" w:type="dxa"/>
            <w:noWrap w:val="0"/>
            <w:vAlign w:val="center"/>
          </w:tcPr>
          <w:p w14:paraId="11F9024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5BBD95D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E0C63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根据投标人针对本项目的验收咨询方案（包括验收台账整理、台账收集）进行评议：</w:t>
            </w:r>
          </w:p>
          <w:p w14:paraId="3CA745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①验收事项梳理清晰，可行性强的得5分</w:t>
            </w:r>
          </w:p>
          <w:p w14:paraId="661353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②验收事项梳理较清晰，可行性较强的得4分</w:t>
            </w:r>
          </w:p>
          <w:p w14:paraId="7BCE64E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③验收事项梳理一般，可行性一般的得3分</w:t>
            </w:r>
          </w:p>
          <w:p w14:paraId="488D150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④验收事项梳理不清晰，不具备可行性的不可行的得1分</w:t>
            </w:r>
          </w:p>
          <w:p w14:paraId="055A27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086A8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0A5D54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C0F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0" w:type="dxa"/>
            <w:noWrap w:val="0"/>
            <w:vAlign w:val="center"/>
          </w:tcPr>
          <w:p w14:paraId="1C7612E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26731E1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4C71E7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w:t>
            </w:r>
            <w:r>
              <w:rPr>
                <w:rFonts w:hint="eastAsia" w:ascii="宋体" w:hAnsi="宋体" w:eastAsia="宋体" w:cs="宋体"/>
                <w:sz w:val="24"/>
                <w:szCs w:val="24"/>
                <w:highlight w:val="none"/>
                <w:lang w:val="en-US" w:eastAsia="zh-CN"/>
              </w:rPr>
              <w:t>创建</w:t>
            </w:r>
            <w:r>
              <w:rPr>
                <w:rFonts w:hint="eastAsia" w:ascii="宋体" w:hAnsi="宋体" w:eastAsia="宋体" w:cs="宋体"/>
                <w:sz w:val="24"/>
                <w:szCs w:val="24"/>
                <w:highlight w:val="none"/>
              </w:rPr>
              <w:t>的相关系统与数据库进行评议：</w:t>
            </w:r>
          </w:p>
          <w:p w14:paraId="3C3B34A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①相关系统与数据库</w:t>
            </w:r>
            <w:r>
              <w:rPr>
                <w:rFonts w:hint="eastAsia" w:ascii="宋体" w:hAnsi="宋体" w:eastAsia="宋体" w:cs="宋体"/>
                <w:sz w:val="24"/>
                <w:szCs w:val="24"/>
                <w:highlight w:val="none"/>
                <w:lang w:val="en-US" w:eastAsia="zh-CN"/>
              </w:rPr>
              <w:t>信息完整全面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思路清晰、体系完全</w:t>
            </w:r>
            <w:r>
              <w:rPr>
                <w:rFonts w:hint="eastAsia" w:ascii="宋体" w:hAnsi="宋体" w:eastAsia="宋体" w:cs="宋体"/>
                <w:sz w:val="24"/>
                <w:szCs w:val="24"/>
                <w:highlight w:val="none"/>
              </w:rPr>
              <w:t>的得5分；</w:t>
            </w:r>
          </w:p>
          <w:p w14:paraId="780A9F3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②相关系统与数据库</w:t>
            </w:r>
            <w:r>
              <w:rPr>
                <w:rFonts w:hint="eastAsia" w:ascii="宋体" w:hAnsi="宋体" w:eastAsia="宋体" w:cs="宋体"/>
                <w:sz w:val="24"/>
                <w:szCs w:val="24"/>
                <w:highlight w:val="none"/>
                <w:lang w:val="en-US" w:eastAsia="zh-CN"/>
              </w:rPr>
              <w:t>信息较完整全面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思路较清晰、体系较完全</w:t>
            </w:r>
            <w:r>
              <w:rPr>
                <w:rFonts w:hint="eastAsia" w:ascii="宋体" w:hAnsi="宋体" w:eastAsia="宋体" w:cs="宋体"/>
                <w:sz w:val="24"/>
                <w:szCs w:val="24"/>
                <w:highlight w:val="none"/>
              </w:rPr>
              <w:t>的得4分</w:t>
            </w:r>
          </w:p>
          <w:p w14:paraId="67FD24E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③相关系统与数据库</w:t>
            </w:r>
            <w:r>
              <w:rPr>
                <w:rFonts w:hint="eastAsia" w:ascii="宋体" w:hAnsi="宋体" w:eastAsia="宋体" w:cs="宋体"/>
                <w:sz w:val="24"/>
                <w:szCs w:val="24"/>
                <w:highlight w:val="none"/>
                <w:lang w:val="en-US" w:eastAsia="zh-CN"/>
              </w:rPr>
              <w:t>信息完整较一般</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思路一般、体系一般</w:t>
            </w:r>
            <w:r>
              <w:rPr>
                <w:rFonts w:hint="eastAsia" w:ascii="宋体" w:hAnsi="宋体" w:eastAsia="宋体" w:cs="宋体"/>
                <w:sz w:val="24"/>
                <w:szCs w:val="24"/>
                <w:highlight w:val="none"/>
              </w:rPr>
              <w:t>的得3分</w:t>
            </w:r>
          </w:p>
          <w:p w14:paraId="3C8B5F3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④相关系统与数据库</w:t>
            </w:r>
            <w:r>
              <w:rPr>
                <w:rFonts w:hint="eastAsia" w:ascii="宋体" w:hAnsi="宋体" w:eastAsia="宋体" w:cs="宋体"/>
                <w:sz w:val="24"/>
                <w:szCs w:val="24"/>
                <w:highlight w:val="none"/>
                <w:lang w:val="en-US" w:eastAsia="zh-CN"/>
              </w:rPr>
              <w:t>信息不完整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思路不清晰、体系不完全</w:t>
            </w:r>
            <w:r>
              <w:rPr>
                <w:rFonts w:hint="eastAsia" w:ascii="宋体" w:hAnsi="宋体" w:eastAsia="宋体" w:cs="宋体"/>
                <w:sz w:val="24"/>
                <w:szCs w:val="24"/>
                <w:highlight w:val="none"/>
              </w:rPr>
              <w:t>的得1分</w:t>
            </w:r>
          </w:p>
          <w:p w14:paraId="3E6AD17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475492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848FED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689D98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49" w:hRule="atLeast"/>
        </w:trPr>
        <w:tc>
          <w:tcPr>
            <w:tcW w:w="790" w:type="dxa"/>
            <w:noWrap w:val="0"/>
            <w:vAlign w:val="center"/>
          </w:tcPr>
          <w:p w14:paraId="0FBB720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7154" w:type="dxa"/>
            <w:gridSpan w:val="2"/>
            <w:noWrap w:val="0"/>
            <w:vAlign w:val="center"/>
          </w:tcPr>
          <w:p w14:paraId="36CB0A6E">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拟投入本项目人员配置方案</w:t>
            </w:r>
          </w:p>
          <w:p w14:paraId="1D819A2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根据投标人拟投入本项目人员配置方案（包括人员配置结构是否合理、人员是否具有相关经验、中标后人员到岗时间是否及时）进行评议：</w:t>
            </w:r>
          </w:p>
          <w:p w14:paraId="32F28BF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①人员配置结构合理、人员相关经验丰富、中标后人员到岗时间及时的得5分；</w:t>
            </w:r>
          </w:p>
          <w:p w14:paraId="2549E12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②人员配置结构较合理、人员相关经验欠缺、中标后人员到岗时间较及时的得3分</w:t>
            </w:r>
          </w:p>
          <w:p w14:paraId="1DFBE8C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③人员配置结构不合理、人员不具有相关经验、中标后人员到岗时间不及时的得1分</w:t>
            </w:r>
          </w:p>
          <w:p w14:paraId="3A36AA8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④未提供相关方案的不得分。</w:t>
            </w:r>
          </w:p>
          <w:p w14:paraId="6F5A7A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备注：投标文件中提供拟派本项目人员的相关证书复印件及</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内任一月份的有效社保证明材料加盖公章，未提供或未加盖公章的不得分。</w:t>
            </w:r>
          </w:p>
        </w:tc>
        <w:tc>
          <w:tcPr>
            <w:tcW w:w="604" w:type="dxa"/>
            <w:noWrap w:val="0"/>
            <w:vAlign w:val="center"/>
          </w:tcPr>
          <w:p w14:paraId="1AD31BA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B43675C">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D20AA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964" w:type="dxa"/>
            <w:gridSpan w:val="5"/>
            <w:noWrap w:val="0"/>
            <w:vAlign w:val="center"/>
          </w:tcPr>
          <w:p w14:paraId="0670C23A">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二）、报价分（10分）</w:t>
            </w:r>
          </w:p>
        </w:tc>
      </w:tr>
      <w:tr w14:paraId="0E1743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90" w:type="dxa"/>
            <w:noWrap w:val="0"/>
            <w:vAlign w:val="center"/>
          </w:tcPr>
          <w:p w14:paraId="608AB18C">
            <w:pPr>
              <w:widowControl/>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7154" w:type="dxa"/>
            <w:gridSpan w:val="2"/>
            <w:noWrap w:val="0"/>
            <w:vAlign w:val="center"/>
          </w:tcPr>
          <w:p w14:paraId="744C82D5">
            <w:pPr>
              <w:widowControl/>
              <w:tabs>
                <w:tab w:val="left" w:pos="0"/>
              </w:tabs>
              <w:spacing w:line="360" w:lineRule="auto"/>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报价</w:t>
            </w:r>
            <w:r>
              <w:rPr>
                <w:rFonts w:hint="eastAsia" w:ascii="宋体" w:hAnsi="宋体" w:eastAsia="宋体" w:cs="宋体"/>
                <w:b/>
                <w:bCs/>
                <w:kern w:val="0"/>
                <w:sz w:val="24"/>
                <w:szCs w:val="24"/>
                <w:highlight w:val="none"/>
                <w:lang w:val="zh-CN"/>
              </w:rPr>
              <w:t>得分</w:t>
            </w:r>
          </w:p>
          <w:p w14:paraId="0FA4F912">
            <w:pPr>
              <w:widowControl/>
              <w:tabs>
                <w:tab w:val="left" w:pos="0"/>
              </w:tabs>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rPr>
              <w:t>参与评审的价格=投标报价。</w:t>
            </w:r>
          </w:p>
          <w:p w14:paraId="72029223">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评标基准价指的是满足采购文件要求且最低的参与评审的价格。</w:t>
            </w:r>
          </w:p>
          <w:p w14:paraId="4DD8DC4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参与评审的价格为评标基准价的其价格得分得满分10分。</w:t>
            </w:r>
          </w:p>
          <w:p w14:paraId="3CC0A51B">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其他投标人价格得分按照下列公式计算：</w:t>
            </w:r>
          </w:p>
          <w:p w14:paraId="065BCBA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价格得分=（评标基准价/各投标人参与评审的价格）×10×100％。</w:t>
            </w:r>
          </w:p>
        </w:tc>
        <w:tc>
          <w:tcPr>
            <w:tcW w:w="604" w:type="dxa"/>
            <w:noWrap w:val="0"/>
            <w:vAlign w:val="center"/>
          </w:tcPr>
          <w:p w14:paraId="0F84AFEC">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10</w:t>
            </w:r>
          </w:p>
        </w:tc>
        <w:tc>
          <w:tcPr>
            <w:tcW w:w="1416" w:type="dxa"/>
            <w:noWrap w:val="0"/>
            <w:vAlign w:val="center"/>
          </w:tcPr>
          <w:p w14:paraId="260B9C62">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客观</w:t>
            </w:r>
            <w:r>
              <w:rPr>
                <w:rFonts w:hint="eastAsia" w:ascii="宋体" w:hAnsi="宋体" w:eastAsia="宋体" w:cs="宋体"/>
                <w:kern w:val="0"/>
                <w:sz w:val="24"/>
                <w:szCs w:val="24"/>
                <w:highlight w:val="none"/>
              </w:rPr>
              <w:t>分</w:t>
            </w:r>
          </w:p>
        </w:tc>
      </w:tr>
    </w:tbl>
    <w:p w14:paraId="2DCFE893">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bCs/>
          <w:sz w:val="24"/>
          <w:highlight w:val="none"/>
        </w:rPr>
        <w:t>（1）</w:t>
      </w:r>
      <w:r>
        <w:rPr>
          <w:rFonts w:hint="eastAsia" w:ascii="宋体" w:hAnsi="宋体" w:cs="宋体"/>
          <w:sz w:val="24"/>
          <w:highlight w:val="none"/>
        </w:rPr>
        <w:t>投标人编制投标文件（商务技术文件部分）时，建议按此目录内容提供评标标准相应的商务技术资料。</w:t>
      </w:r>
    </w:p>
    <w:p w14:paraId="51F0796E">
      <w:pPr>
        <w:adjustRightInd/>
        <w:spacing w:line="360" w:lineRule="auto"/>
        <w:ind w:firstLine="480" w:firstLineChars="200"/>
        <w:rPr>
          <w:rFonts w:asciiTheme="minorEastAsia" w:hAnsiTheme="minorEastAsia" w:eastAsiaTheme="minorEastAsia"/>
          <w:color w:val="auto"/>
          <w:highlight w:val="none"/>
          <w:lang w:val="en-US"/>
        </w:rPr>
      </w:pPr>
      <w:r>
        <w:rPr>
          <w:rFonts w:hint="eastAsia" w:ascii="宋体" w:hAnsi="宋体" w:cs="宋体"/>
          <w:sz w:val="24"/>
          <w:highlight w:val="none"/>
        </w:rPr>
        <w:t>（2）评委在上表设定的分值范围内打分(四舍五入保留两位小数)，平均分值计算四舍五入保留两位小数点。</w:t>
      </w:r>
    </w:p>
    <w:p w14:paraId="1AEDF198">
      <w:pPr>
        <w:pStyle w:val="394"/>
        <w:spacing w:before="0"/>
        <w:ind w:firstLine="0" w:firstLineChars="0"/>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3ACE6C6">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65" w:name="第五部分"/>
      <w:bookmarkStart w:id="66" w:name="_Toc86217003"/>
    </w:p>
    <w:p w14:paraId="7B6F64D2">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7B7BD807">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中标人（乙方）：</w:t>
      </w:r>
    </w:p>
    <w:p w14:paraId="591B7B9A">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p>
    <w:p w14:paraId="0E61B4E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项目编号：               合同号：</w:t>
      </w:r>
    </w:p>
    <w:p w14:paraId="5566330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4CC13C7C">
      <w:pPr>
        <w:pStyle w:val="34"/>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left="0"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285C3653">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cs="宋体"/>
          <w:b w:val="0"/>
          <w:bCs/>
          <w:color w:val="auto"/>
          <w:sz w:val="24"/>
          <w:szCs w:val="24"/>
          <w:highlight w:val="none"/>
          <w:lang w:val="en-US" w:eastAsia="zh-CN"/>
        </w:rPr>
        <w:t>南门街道尹江岸</w:t>
      </w:r>
      <w:r>
        <w:rPr>
          <w:rFonts w:hint="eastAsia" w:ascii="宋体" w:hAnsi="宋体" w:eastAsia="宋体" w:cs="宋体"/>
          <w:b w:val="0"/>
          <w:bCs/>
          <w:color w:val="auto"/>
          <w:sz w:val="24"/>
          <w:szCs w:val="24"/>
          <w:highlight w:val="none"/>
        </w:rPr>
        <w:t>未来社区项目实施方案编制并提供完成创建与验收通过等过程咨询和台账服务</w:t>
      </w:r>
      <w:r>
        <w:rPr>
          <w:rFonts w:hint="eastAsia" w:ascii="宋体" w:hAnsi="宋体" w:eastAsia="宋体" w:cs="宋体"/>
          <w:b w:val="0"/>
          <w:bCs/>
          <w:color w:val="auto"/>
          <w:sz w:val="24"/>
          <w:szCs w:val="24"/>
          <w:highlight w:val="none"/>
          <w:lang w:eastAsia="zh-CN"/>
        </w:rPr>
        <w:t>。</w:t>
      </w:r>
    </w:p>
    <w:p w14:paraId="5009129D">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71BDEF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金额（大写）：_________元</w:t>
      </w:r>
    </w:p>
    <w:p w14:paraId="5345599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14:paraId="78065AB8">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43B731F3">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尹江岸未来社区建设的提升改造、数字化工程及运营服务项目。主要建设内容包括社区党群服务中心、居家养老服务站、邻里活动中心、社会组织工作站等室内装修工程，室外健身设施提升等室外工程；尹江岸未来社区平台开发建设等数字化工程以及后续的运营服务工作。</w:t>
      </w:r>
    </w:p>
    <w:p w14:paraId="2985B4AD">
      <w:pPr>
        <w:numPr>
          <w:ilvl w:val="0"/>
          <w:numId w:val="0"/>
        </w:num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（二）招标范围</w:t>
      </w:r>
    </w:p>
    <w:p w14:paraId="474FC615">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南门街道尹江岸未来社区项目实施方案编制并提供完成创建与验收通过等过程咨询和台账服务；协助街道做好全域未来社区方案与验收相关工作。具体内容如下：</w:t>
      </w:r>
    </w:p>
    <w:p w14:paraId="2E1ED9B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1、实施方案编制</w:t>
      </w:r>
    </w:p>
    <w:p w14:paraId="2C65C670">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5400E06F">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3994A254">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147BC4E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297099A0">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4DD607CE">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6251DAA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79448C0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4B1242E0">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2、创建、验收等过程咨询</w:t>
      </w:r>
    </w:p>
    <w:p w14:paraId="1E2B6C65">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126FD19C">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4FD887BD">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4026AD6E">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11A90054">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63607F9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080BBBF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p>
    <w:p w14:paraId="4536D31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五、履约保证金</w:t>
      </w:r>
    </w:p>
    <w:p w14:paraId="634CE37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元作为本合同的履约保证金。履约保证金将在移交项目全套相关技术资料并扣除应扣除的违约金后退还。如乙方拒绝履行合同规定的义务，履约保证金将作为违约金被没收。</w:t>
      </w:r>
    </w:p>
    <w:p w14:paraId="17BEF1FF">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13568C1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A4940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2.除非得到甲方的书面同意，乙方不得将本合同范围的部分分包给他人供应；</w:t>
      </w:r>
    </w:p>
    <w:p w14:paraId="674F4D0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3.如有转让和未经甲方同意的分包行为，甲方有权解除合同，不予退还履约保证金并追究乙方的违约责任。</w:t>
      </w:r>
    </w:p>
    <w:p w14:paraId="684AF004">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七、服务质量保证期</w:t>
      </w:r>
    </w:p>
    <w:p w14:paraId="1DE6A79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年。（自验收合格之日起计）。</w:t>
      </w:r>
    </w:p>
    <w:p w14:paraId="34B71E8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八、合同的履行时间及验收</w:t>
      </w:r>
    </w:p>
    <w:p w14:paraId="701BB587">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8.1、项目进度要求：</w:t>
      </w:r>
    </w:p>
    <w:p w14:paraId="751D1F1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日前提交实施方案编制成果，具体时间进度要求如下：</w:t>
      </w:r>
    </w:p>
    <w:p w14:paraId="2618759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日内，完成并提交实施方案初稿；</w:t>
      </w:r>
    </w:p>
    <w:p w14:paraId="48DFD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日内，根据区政府及相关部门修改意见形成整个项目的审查稿；</w:t>
      </w:r>
    </w:p>
    <w:p w14:paraId="6BE4FD22">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日前，优化调整形成最终成果稿。</w:t>
      </w:r>
    </w:p>
    <w:p w14:paraId="0AF4B3E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、创建过程综合性咨询服务自</w:t>
      </w:r>
      <w:r>
        <w:rPr>
          <w:rFonts w:hint="eastAsia" w:hAnsi="宋体" w:cs="宋体"/>
          <w:color w:val="auto"/>
          <w:sz w:val="24"/>
          <w:szCs w:val="24"/>
          <w:highlight w:val="none"/>
          <w:lang w:val="en-US" w:eastAsia="zh-CN"/>
        </w:rPr>
        <w:t>尹江岸</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未来社区通过市级</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省级未来社区验收为止。</w:t>
      </w:r>
    </w:p>
    <w:p w14:paraId="68A6668E">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8.2验收：</w:t>
      </w:r>
      <w:r>
        <w:rPr>
          <w:rFonts w:hint="eastAsia" w:ascii="宋体" w:hAnsi="宋体" w:eastAsia="宋体" w:cs="宋体"/>
          <w:snapToGrid w:val="0"/>
          <w:color w:val="auto"/>
          <w:sz w:val="24"/>
          <w:szCs w:val="24"/>
          <w:highlight w:val="none"/>
        </w:rPr>
        <w:t>按照中标人提供的投标文件（包括承诺）及中标人和采购人签订的政府采购合同为标准进行验收。</w:t>
      </w:r>
    </w:p>
    <w:p w14:paraId="52B933EB">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九、付款方式</w:t>
      </w:r>
    </w:p>
    <w:p w14:paraId="449F9F3B">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1、预付款：在合同生效以及具备实施条件后7个工作日内支付合同金额的40%。</w:t>
      </w:r>
    </w:p>
    <w:p w14:paraId="6B1BC571">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2、实施方案优化调整，通过专家评审并完成备案，由采购人向中标人支付至合同金额的60%；</w:t>
      </w:r>
    </w:p>
    <w:p w14:paraId="4A5CF069">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3、工程完工经采购人确认后30个工作日内，由采购人向中标人支付至合同金额的80%；</w:t>
      </w:r>
    </w:p>
    <w:p w14:paraId="52AE974D">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4、通过省</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市级未来社区验收合格后30个工作日内，由采购人向中标人支付至合同金额的100%。</w:t>
      </w:r>
    </w:p>
    <w:p w14:paraId="0EEF4329">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BF03B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306BD9">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十一、质量保证及后续服务</w:t>
      </w:r>
    </w:p>
    <w:p w14:paraId="4EA6216C">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565D11E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B85042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8FCB38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17FB2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ADCD58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 1 小时内响应， 2 个工作日内解决出现的问题。</w:t>
      </w:r>
    </w:p>
    <w:p w14:paraId="44F7D3D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7285A881">
      <w:pPr>
        <w:pStyle w:val="23"/>
        <w:keepNext w:val="0"/>
        <w:keepLines w:val="0"/>
        <w:pageBreakBefore w:val="0"/>
        <w:kinsoku/>
        <w:wordWrap/>
        <w:topLinePunct w:val="0"/>
        <w:bidi w:val="0"/>
        <w:adjustRightInd w:val="0"/>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乙方投标文件作为本合同组成部分，所做出的承诺对乙方具有约束力。</w:t>
      </w:r>
    </w:p>
    <w:p w14:paraId="0C9E43D1">
      <w:pPr>
        <w:pStyle w:val="23"/>
        <w:keepNext w:val="0"/>
        <w:keepLines w:val="0"/>
        <w:pageBreakBefore w:val="0"/>
        <w:kinsoku/>
        <w:wordWrap/>
        <w:topLinePunct w:val="0"/>
        <w:bidi w:val="0"/>
        <w:adjustRightInd w:val="0"/>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2E9C729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1.甲方无正当理由拒绝接受服务的，甲方向乙方偿付合同总值百分之五作为违约金。</w:t>
      </w:r>
    </w:p>
    <w:p w14:paraId="42E486C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2.甲方无故逾期验收和办理款项支付手续的,甲方应按逾期总额每日万分之五向乙方支付违约金。</w:t>
      </w:r>
    </w:p>
    <w:p w14:paraId="5414946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一作为违约金。乙方超过约定日期20个工作日仍不能提供全部服务的，甲方可解除本合同，已完成批次加工费按合同支付，拒付当前批次加工费。乙方因未能如期提供全部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348D3DA2">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82350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033880A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CEC0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E77C18">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、争议的解决</w:t>
      </w:r>
    </w:p>
    <w:p w14:paraId="7090945C">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75987FFC">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、合同的生效</w:t>
      </w:r>
    </w:p>
    <w:p w14:paraId="7672DC6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1.本合同经甲乙双方法定代表人或其委托人签字并加盖公章后生效。</w:t>
      </w:r>
    </w:p>
    <w:p w14:paraId="2F7E775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份，甲乙各执</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1B544A9">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3.相关招标文件、投标文件与本合同具有同等法律效力。</w:t>
      </w:r>
    </w:p>
    <w:p w14:paraId="4217CB21">
      <w:pPr>
        <w:spacing w:line="360" w:lineRule="auto"/>
        <w:rPr>
          <w:rFonts w:hint="eastAsia" w:ascii="宋体" w:hAnsi="宋体" w:eastAsia="宋体" w:cs="宋体"/>
          <w:color w:val="auto"/>
          <w:sz w:val="24"/>
          <w:szCs w:val="24"/>
          <w:highlight w:val="none"/>
        </w:rPr>
      </w:pPr>
    </w:p>
    <w:p w14:paraId="25D8929F">
      <w:pPr>
        <w:spacing w:line="360" w:lineRule="auto"/>
        <w:rPr>
          <w:rFonts w:hint="eastAsia" w:ascii="宋体" w:hAnsi="宋体" w:eastAsia="宋体" w:cs="宋体"/>
          <w:color w:val="auto"/>
          <w:sz w:val="24"/>
          <w:szCs w:val="24"/>
          <w:highlight w:val="none"/>
        </w:rPr>
      </w:pPr>
    </w:p>
    <w:p w14:paraId="007DAB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方（盖章）：                        乙  方（盖章）： </w:t>
      </w:r>
    </w:p>
    <w:p w14:paraId="701F15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14:paraId="739A26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BD07B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82605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35B57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1F5D3B3">
      <w:pPr>
        <w:pStyle w:val="34"/>
        <w:pageBreakBefore w:val="0"/>
        <w:widowControl w:val="0"/>
        <w:kinsoku/>
        <w:wordWrap/>
        <w:overflowPunct/>
        <w:topLinePunct w:val="0"/>
        <w:bidi w:val="0"/>
        <w:adjustRightInd w:val="0"/>
        <w:spacing w:line="360" w:lineRule="auto"/>
        <w:ind w:left="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pacing w:val="-16"/>
          <w:sz w:val="24"/>
          <w:szCs w:val="24"/>
          <w:highlight w:val="none"/>
          <w:lang w:val="en-US" w:eastAsia="zh-CN"/>
        </w:rPr>
        <w:t>账号</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lang w:val="en-US" w:eastAsia="zh-CN"/>
        </w:rPr>
        <w:t xml:space="preserve">  账号：</w:t>
      </w:r>
    </w:p>
    <w:p w14:paraId="64CFEC50">
      <w:pPr>
        <w:pStyle w:val="34"/>
        <w:spacing w:beforeLines="0" w:afterLines="0" w:line="360" w:lineRule="auto"/>
        <w:ind w:firstLine="420" w:firstLineChars="200"/>
        <w:rPr>
          <w:rFonts w:hAnsi="宋体" w:cs="宋体"/>
          <w:color w:val="auto"/>
          <w:sz w:val="21"/>
          <w:szCs w:val="21"/>
          <w:highlight w:val="none"/>
        </w:rPr>
      </w:pPr>
    </w:p>
    <w:p w14:paraId="4E171C74">
      <w:pPr>
        <w:pStyle w:val="34"/>
        <w:spacing w:beforeLines="0" w:afterLines="0"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p>
    <w:p w14:paraId="5850214A">
      <w:pPr>
        <w:widowControl/>
        <w:adjustRightInd/>
        <w:spacing w:line="360" w:lineRule="auto"/>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945928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56F7518">
      <w:pPr>
        <w:pStyle w:val="185"/>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DCB88F4">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B2EA51B">
      <w:pPr>
        <w:widowControl/>
        <w:tabs>
          <w:tab w:val="left" w:pos="1200"/>
        </w:tabs>
        <w:adjustRightInd/>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val="en-US"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4F8978FE">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7" w:type="default"/>
          <w:footerReference r:id="rId8" w:type="default"/>
          <w:pgSz w:w="11906" w:h="16838"/>
          <w:pgMar w:top="1247" w:right="1418" w:bottom="1276" w:left="1418" w:header="851" w:footer="992" w:gutter="0"/>
          <w:pgNumType w:fmt="decimal"/>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7F851823">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0C263FFB">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77CDE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6531B380">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24F3320D">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D3CB4B">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34F5679C">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EB1B8A6">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6AB074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590BD517">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61DFA52">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5C83BD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spacing w:line="360" w:lineRule="auto"/>
              <w:rPr>
                <w:rFonts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6E707866">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spacing w:line="360" w:lineRule="auto"/>
              <w:rPr>
                <w:rFonts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5E4A6F63">
      <w:pPr>
        <w:snapToGrid w:val="0"/>
        <w:spacing w:before="50" w:after="156" w:afterLines="50"/>
        <w:jc w:val="center"/>
        <w:rPr>
          <w:rFonts w:hint="eastAsia" w:hAnsi="宋体" w:eastAsia="宋体" w:cs="宋体"/>
          <w:b/>
          <w:bCs/>
          <w:color w:val="auto"/>
          <w:sz w:val="21"/>
          <w:highlight w:val="none"/>
        </w:rPr>
      </w:pPr>
      <w:r>
        <w:rPr>
          <w:rFonts w:hint="eastAsia" w:hAnsi="宋体" w:cs="宋体"/>
          <w:b/>
          <w:bCs/>
          <w:color w:val="auto"/>
          <w:sz w:val="21"/>
          <w:highlight w:val="none"/>
          <w:lang w:val="en-US" w:eastAsia="zh-CN"/>
        </w:rPr>
        <w:t>采购要求</w:t>
      </w:r>
      <w:r>
        <w:rPr>
          <w:rFonts w:hint="eastAsia" w:hAnsi="宋体" w:eastAsia="宋体" w:cs="宋体"/>
          <w:b/>
          <w:bCs/>
          <w:color w:val="auto"/>
          <w:sz w:val="21"/>
          <w:highlight w:val="none"/>
        </w:rPr>
        <w:t>响应（偏离）表</w:t>
      </w:r>
    </w:p>
    <w:p w14:paraId="43075A7E">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4FF4D0C">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7EC7967F">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3EE0F00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5201E8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jc w:val="center"/>
              <w:rPr>
                <w:rFonts w:hint="eastAsia" w:hAnsi="宋体" w:eastAsia="宋体" w:cs="宋体"/>
                <w:color w:val="auto"/>
                <w:sz w:val="24"/>
                <w:szCs w:val="24"/>
                <w:highlight w:val="none"/>
              </w:rPr>
            </w:pPr>
          </w:p>
        </w:tc>
        <w:tc>
          <w:tcPr>
            <w:tcW w:w="4647" w:type="dxa"/>
            <w:noWrap w:val="0"/>
            <w:vAlign w:val="center"/>
          </w:tcPr>
          <w:p w14:paraId="504A5A28">
            <w:pPr>
              <w:rPr>
                <w:rFonts w:hint="eastAsia" w:hAnsi="宋体" w:eastAsia="宋体" w:cs="宋体"/>
                <w:b/>
                <w:bCs/>
                <w:color w:val="auto"/>
                <w:sz w:val="24"/>
                <w:szCs w:val="24"/>
                <w:highlight w:val="none"/>
              </w:rPr>
            </w:pPr>
          </w:p>
        </w:tc>
        <w:tc>
          <w:tcPr>
            <w:tcW w:w="1575" w:type="dxa"/>
            <w:noWrap w:val="0"/>
            <w:vAlign w:val="center"/>
          </w:tcPr>
          <w:p w14:paraId="0C518E32">
            <w:pPr>
              <w:jc w:val="center"/>
              <w:rPr>
                <w:rFonts w:hint="eastAsia" w:hAnsi="宋体" w:eastAsia="宋体" w:cs="宋体"/>
                <w:color w:val="auto"/>
                <w:sz w:val="24"/>
                <w:szCs w:val="24"/>
                <w:highlight w:val="none"/>
              </w:rPr>
            </w:pPr>
          </w:p>
        </w:tc>
        <w:tc>
          <w:tcPr>
            <w:tcW w:w="1185" w:type="dxa"/>
            <w:noWrap w:val="0"/>
            <w:vAlign w:val="center"/>
          </w:tcPr>
          <w:p w14:paraId="278423A3">
            <w:pPr>
              <w:jc w:val="center"/>
              <w:rPr>
                <w:rFonts w:hint="eastAsia" w:hAnsi="宋体" w:eastAsia="宋体" w:cs="宋体"/>
                <w:color w:val="auto"/>
                <w:sz w:val="24"/>
                <w:szCs w:val="24"/>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jc w:val="center"/>
              <w:rPr>
                <w:rFonts w:hint="eastAsia" w:hAnsi="宋体" w:eastAsia="宋体" w:cs="宋体"/>
                <w:color w:val="auto"/>
                <w:sz w:val="24"/>
                <w:szCs w:val="24"/>
                <w:highlight w:val="none"/>
              </w:rPr>
            </w:pPr>
          </w:p>
        </w:tc>
        <w:tc>
          <w:tcPr>
            <w:tcW w:w="4647" w:type="dxa"/>
            <w:noWrap w:val="0"/>
            <w:vAlign w:val="center"/>
          </w:tcPr>
          <w:p w14:paraId="470211DC">
            <w:pPr>
              <w:rPr>
                <w:rFonts w:hint="eastAsia" w:hAnsi="宋体" w:eastAsia="宋体" w:cs="宋体"/>
                <w:b/>
                <w:bCs/>
                <w:color w:val="auto"/>
                <w:sz w:val="24"/>
                <w:szCs w:val="24"/>
                <w:highlight w:val="none"/>
              </w:rPr>
            </w:pPr>
          </w:p>
        </w:tc>
        <w:tc>
          <w:tcPr>
            <w:tcW w:w="1575" w:type="dxa"/>
            <w:noWrap w:val="0"/>
            <w:vAlign w:val="center"/>
          </w:tcPr>
          <w:p w14:paraId="296AAB59">
            <w:pPr>
              <w:jc w:val="center"/>
              <w:rPr>
                <w:rFonts w:hint="eastAsia" w:hAnsi="宋体" w:eastAsia="宋体" w:cs="宋体"/>
                <w:color w:val="auto"/>
                <w:sz w:val="24"/>
                <w:szCs w:val="24"/>
                <w:highlight w:val="none"/>
              </w:rPr>
            </w:pPr>
          </w:p>
        </w:tc>
        <w:tc>
          <w:tcPr>
            <w:tcW w:w="1185" w:type="dxa"/>
            <w:noWrap w:val="0"/>
            <w:vAlign w:val="center"/>
          </w:tcPr>
          <w:p w14:paraId="093777E3">
            <w:pPr>
              <w:jc w:val="center"/>
              <w:rPr>
                <w:rFonts w:hint="eastAsia" w:hAnsi="宋体" w:eastAsia="宋体" w:cs="宋体"/>
                <w:color w:val="auto"/>
                <w:sz w:val="24"/>
                <w:szCs w:val="24"/>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jc w:val="center"/>
              <w:rPr>
                <w:rFonts w:hint="eastAsia" w:hAnsi="宋体" w:eastAsia="宋体" w:cs="宋体"/>
                <w:color w:val="auto"/>
                <w:sz w:val="24"/>
                <w:szCs w:val="24"/>
                <w:highlight w:val="none"/>
              </w:rPr>
            </w:pPr>
          </w:p>
        </w:tc>
        <w:tc>
          <w:tcPr>
            <w:tcW w:w="4647" w:type="dxa"/>
            <w:noWrap w:val="0"/>
            <w:vAlign w:val="center"/>
          </w:tcPr>
          <w:p w14:paraId="4A7164F9">
            <w:pPr>
              <w:rPr>
                <w:rFonts w:hint="eastAsia" w:hAnsi="宋体" w:eastAsia="宋体" w:cs="宋体"/>
                <w:color w:val="auto"/>
                <w:sz w:val="24"/>
                <w:szCs w:val="24"/>
                <w:highlight w:val="none"/>
              </w:rPr>
            </w:pPr>
          </w:p>
        </w:tc>
        <w:tc>
          <w:tcPr>
            <w:tcW w:w="1575" w:type="dxa"/>
            <w:noWrap w:val="0"/>
            <w:vAlign w:val="center"/>
          </w:tcPr>
          <w:p w14:paraId="04C0B782">
            <w:pPr>
              <w:jc w:val="center"/>
              <w:rPr>
                <w:rFonts w:hint="eastAsia" w:hAnsi="宋体" w:eastAsia="宋体" w:cs="宋体"/>
                <w:color w:val="auto"/>
                <w:sz w:val="24"/>
                <w:szCs w:val="24"/>
                <w:highlight w:val="none"/>
              </w:rPr>
            </w:pPr>
          </w:p>
        </w:tc>
        <w:tc>
          <w:tcPr>
            <w:tcW w:w="1185" w:type="dxa"/>
            <w:noWrap w:val="0"/>
            <w:vAlign w:val="center"/>
          </w:tcPr>
          <w:p w14:paraId="46A6E540">
            <w:pPr>
              <w:jc w:val="center"/>
              <w:rPr>
                <w:rFonts w:hint="eastAsia" w:hAnsi="宋体" w:eastAsia="宋体" w:cs="宋体"/>
                <w:color w:val="auto"/>
                <w:sz w:val="24"/>
                <w:szCs w:val="24"/>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jc w:val="center"/>
              <w:rPr>
                <w:rFonts w:hint="eastAsia" w:hAnsi="宋体" w:eastAsia="宋体" w:cs="宋体"/>
                <w:color w:val="auto"/>
                <w:sz w:val="24"/>
                <w:szCs w:val="24"/>
                <w:highlight w:val="none"/>
              </w:rPr>
            </w:pPr>
          </w:p>
        </w:tc>
        <w:tc>
          <w:tcPr>
            <w:tcW w:w="4647" w:type="dxa"/>
            <w:noWrap w:val="0"/>
            <w:vAlign w:val="center"/>
          </w:tcPr>
          <w:p w14:paraId="6ED0A262">
            <w:pPr>
              <w:rPr>
                <w:rFonts w:hint="eastAsia" w:hAnsi="宋体" w:eastAsia="宋体" w:cs="宋体"/>
                <w:color w:val="auto"/>
                <w:sz w:val="24"/>
                <w:szCs w:val="24"/>
                <w:highlight w:val="none"/>
              </w:rPr>
            </w:pPr>
          </w:p>
        </w:tc>
        <w:tc>
          <w:tcPr>
            <w:tcW w:w="1575" w:type="dxa"/>
            <w:noWrap w:val="0"/>
            <w:vAlign w:val="center"/>
          </w:tcPr>
          <w:p w14:paraId="54486D75">
            <w:pPr>
              <w:jc w:val="center"/>
              <w:rPr>
                <w:rFonts w:hint="eastAsia" w:hAnsi="宋体" w:eastAsia="宋体" w:cs="宋体"/>
                <w:color w:val="auto"/>
                <w:sz w:val="24"/>
                <w:szCs w:val="24"/>
                <w:highlight w:val="none"/>
              </w:rPr>
            </w:pPr>
          </w:p>
        </w:tc>
        <w:tc>
          <w:tcPr>
            <w:tcW w:w="1185" w:type="dxa"/>
            <w:noWrap w:val="0"/>
            <w:vAlign w:val="center"/>
          </w:tcPr>
          <w:p w14:paraId="5F705E2A">
            <w:pPr>
              <w:jc w:val="center"/>
              <w:rPr>
                <w:rFonts w:hint="eastAsia" w:hAnsi="宋体" w:eastAsia="宋体" w:cs="宋体"/>
                <w:color w:val="auto"/>
                <w:sz w:val="24"/>
                <w:szCs w:val="24"/>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jc w:val="center"/>
              <w:rPr>
                <w:rFonts w:hint="eastAsia" w:hAnsi="宋体" w:eastAsia="宋体" w:cs="宋体"/>
                <w:color w:val="auto"/>
                <w:sz w:val="24"/>
                <w:szCs w:val="24"/>
                <w:highlight w:val="none"/>
              </w:rPr>
            </w:pPr>
          </w:p>
        </w:tc>
        <w:tc>
          <w:tcPr>
            <w:tcW w:w="4647" w:type="dxa"/>
            <w:noWrap w:val="0"/>
            <w:vAlign w:val="center"/>
          </w:tcPr>
          <w:p w14:paraId="25CDA76B">
            <w:pPr>
              <w:rPr>
                <w:rFonts w:hint="eastAsia" w:hAnsi="宋体" w:eastAsia="宋体" w:cs="宋体"/>
                <w:color w:val="auto"/>
                <w:sz w:val="24"/>
                <w:szCs w:val="24"/>
                <w:highlight w:val="none"/>
              </w:rPr>
            </w:pPr>
          </w:p>
        </w:tc>
        <w:tc>
          <w:tcPr>
            <w:tcW w:w="1575" w:type="dxa"/>
            <w:noWrap w:val="0"/>
            <w:vAlign w:val="center"/>
          </w:tcPr>
          <w:p w14:paraId="342E4F23">
            <w:pPr>
              <w:jc w:val="center"/>
              <w:rPr>
                <w:rFonts w:hint="eastAsia" w:hAnsi="宋体" w:eastAsia="宋体" w:cs="宋体"/>
                <w:color w:val="auto"/>
                <w:sz w:val="24"/>
                <w:szCs w:val="24"/>
                <w:highlight w:val="none"/>
              </w:rPr>
            </w:pPr>
          </w:p>
        </w:tc>
        <w:tc>
          <w:tcPr>
            <w:tcW w:w="1185" w:type="dxa"/>
            <w:noWrap w:val="0"/>
            <w:vAlign w:val="center"/>
          </w:tcPr>
          <w:p w14:paraId="785162E8">
            <w:pPr>
              <w:jc w:val="center"/>
              <w:rPr>
                <w:rFonts w:hint="eastAsia" w:hAnsi="宋体" w:eastAsia="宋体" w:cs="宋体"/>
                <w:color w:val="auto"/>
                <w:sz w:val="24"/>
                <w:szCs w:val="24"/>
                <w:highlight w:val="none"/>
              </w:rPr>
            </w:pPr>
          </w:p>
        </w:tc>
      </w:tr>
    </w:tbl>
    <w:p w14:paraId="21600BFD">
      <w:pPr>
        <w:pStyle w:val="2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A8DE5B">
      <w:pPr>
        <w:pStyle w:val="73"/>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6D535493">
      <w:pPr>
        <w:snapToGrid w:val="0"/>
        <w:spacing w:before="50" w:after="156" w:afterLines="50"/>
        <w:jc w:val="center"/>
        <w:rPr>
          <w:rFonts w:hint="eastAsia" w:hAnsi="宋体" w:eastAsia="宋体" w:cs="宋体"/>
          <w:b/>
          <w:bCs/>
          <w:color w:val="auto"/>
          <w:sz w:val="21"/>
          <w:highlight w:val="none"/>
        </w:rPr>
      </w:pPr>
    </w:p>
    <w:p w14:paraId="7E1C264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0194A0E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77E51ED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2C02D2DA">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6053F4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21724469">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jc w:val="center"/>
              <w:rPr>
                <w:rFonts w:hint="eastAsia" w:hAnsi="宋体" w:eastAsia="宋体" w:cs="宋体"/>
                <w:color w:val="auto"/>
                <w:sz w:val="24"/>
                <w:szCs w:val="24"/>
                <w:highlight w:val="none"/>
              </w:rPr>
            </w:pPr>
          </w:p>
        </w:tc>
        <w:tc>
          <w:tcPr>
            <w:tcW w:w="4647" w:type="dxa"/>
            <w:noWrap w:val="0"/>
            <w:vAlign w:val="center"/>
          </w:tcPr>
          <w:p w14:paraId="20B0D4DF">
            <w:pPr>
              <w:rPr>
                <w:rFonts w:hint="eastAsia" w:hAnsi="宋体" w:eastAsia="宋体" w:cs="宋体"/>
                <w:b/>
                <w:bCs/>
                <w:color w:val="auto"/>
                <w:sz w:val="24"/>
                <w:szCs w:val="24"/>
                <w:highlight w:val="none"/>
              </w:rPr>
            </w:pPr>
          </w:p>
        </w:tc>
        <w:tc>
          <w:tcPr>
            <w:tcW w:w="1575" w:type="dxa"/>
            <w:noWrap w:val="0"/>
            <w:vAlign w:val="center"/>
          </w:tcPr>
          <w:p w14:paraId="16491F83">
            <w:pPr>
              <w:jc w:val="center"/>
              <w:rPr>
                <w:rFonts w:hint="eastAsia" w:hAnsi="宋体" w:eastAsia="宋体" w:cs="宋体"/>
                <w:color w:val="auto"/>
                <w:sz w:val="24"/>
                <w:szCs w:val="24"/>
                <w:highlight w:val="none"/>
              </w:rPr>
            </w:pPr>
          </w:p>
        </w:tc>
        <w:tc>
          <w:tcPr>
            <w:tcW w:w="1185" w:type="dxa"/>
            <w:noWrap w:val="0"/>
            <w:vAlign w:val="center"/>
          </w:tcPr>
          <w:p w14:paraId="36504601">
            <w:pPr>
              <w:jc w:val="center"/>
              <w:rPr>
                <w:rFonts w:hint="eastAsia" w:hAnsi="宋体" w:eastAsia="宋体" w:cs="宋体"/>
                <w:color w:val="auto"/>
                <w:sz w:val="24"/>
                <w:szCs w:val="24"/>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jc w:val="center"/>
              <w:rPr>
                <w:rFonts w:hint="eastAsia" w:hAnsi="宋体" w:eastAsia="宋体" w:cs="宋体"/>
                <w:color w:val="auto"/>
                <w:sz w:val="24"/>
                <w:szCs w:val="24"/>
                <w:highlight w:val="none"/>
              </w:rPr>
            </w:pPr>
          </w:p>
        </w:tc>
        <w:tc>
          <w:tcPr>
            <w:tcW w:w="4647" w:type="dxa"/>
            <w:noWrap w:val="0"/>
            <w:vAlign w:val="center"/>
          </w:tcPr>
          <w:p w14:paraId="6A98B964">
            <w:pPr>
              <w:rPr>
                <w:rFonts w:hint="eastAsia" w:hAnsi="宋体" w:eastAsia="宋体" w:cs="宋体"/>
                <w:b/>
                <w:bCs/>
                <w:color w:val="auto"/>
                <w:sz w:val="24"/>
                <w:szCs w:val="24"/>
                <w:highlight w:val="none"/>
              </w:rPr>
            </w:pPr>
          </w:p>
        </w:tc>
        <w:tc>
          <w:tcPr>
            <w:tcW w:w="1575" w:type="dxa"/>
            <w:noWrap w:val="0"/>
            <w:vAlign w:val="center"/>
          </w:tcPr>
          <w:p w14:paraId="4062C27F">
            <w:pPr>
              <w:jc w:val="center"/>
              <w:rPr>
                <w:rFonts w:hint="eastAsia" w:hAnsi="宋体" w:eastAsia="宋体" w:cs="宋体"/>
                <w:color w:val="auto"/>
                <w:sz w:val="24"/>
                <w:szCs w:val="24"/>
                <w:highlight w:val="none"/>
              </w:rPr>
            </w:pPr>
          </w:p>
        </w:tc>
        <w:tc>
          <w:tcPr>
            <w:tcW w:w="1185" w:type="dxa"/>
            <w:noWrap w:val="0"/>
            <w:vAlign w:val="center"/>
          </w:tcPr>
          <w:p w14:paraId="0E78C0F3">
            <w:pPr>
              <w:jc w:val="center"/>
              <w:rPr>
                <w:rFonts w:hint="eastAsia" w:hAnsi="宋体" w:eastAsia="宋体" w:cs="宋体"/>
                <w:color w:val="auto"/>
                <w:sz w:val="24"/>
                <w:szCs w:val="24"/>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jc w:val="center"/>
              <w:rPr>
                <w:rFonts w:hint="eastAsia" w:hAnsi="宋体" w:eastAsia="宋体" w:cs="宋体"/>
                <w:color w:val="auto"/>
                <w:sz w:val="24"/>
                <w:szCs w:val="24"/>
                <w:highlight w:val="none"/>
              </w:rPr>
            </w:pPr>
          </w:p>
        </w:tc>
        <w:tc>
          <w:tcPr>
            <w:tcW w:w="4647" w:type="dxa"/>
            <w:noWrap w:val="0"/>
            <w:vAlign w:val="center"/>
          </w:tcPr>
          <w:p w14:paraId="7D8DB4E7">
            <w:pPr>
              <w:rPr>
                <w:rFonts w:hint="eastAsia" w:hAnsi="宋体" w:eastAsia="宋体" w:cs="宋体"/>
                <w:b/>
                <w:bCs/>
                <w:color w:val="auto"/>
                <w:sz w:val="24"/>
                <w:szCs w:val="24"/>
                <w:highlight w:val="none"/>
              </w:rPr>
            </w:pPr>
          </w:p>
        </w:tc>
        <w:tc>
          <w:tcPr>
            <w:tcW w:w="1575" w:type="dxa"/>
            <w:noWrap w:val="0"/>
            <w:vAlign w:val="center"/>
          </w:tcPr>
          <w:p w14:paraId="50E13704">
            <w:pPr>
              <w:jc w:val="center"/>
              <w:rPr>
                <w:rFonts w:hint="eastAsia" w:hAnsi="宋体" w:eastAsia="宋体" w:cs="宋体"/>
                <w:color w:val="auto"/>
                <w:sz w:val="24"/>
                <w:szCs w:val="24"/>
                <w:highlight w:val="none"/>
              </w:rPr>
            </w:pPr>
          </w:p>
        </w:tc>
        <w:tc>
          <w:tcPr>
            <w:tcW w:w="1185" w:type="dxa"/>
            <w:noWrap w:val="0"/>
            <w:vAlign w:val="center"/>
          </w:tcPr>
          <w:p w14:paraId="08C9B23D">
            <w:pPr>
              <w:jc w:val="center"/>
              <w:rPr>
                <w:rFonts w:hint="eastAsia" w:hAnsi="宋体" w:eastAsia="宋体" w:cs="宋体"/>
                <w:color w:val="auto"/>
                <w:sz w:val="24"/>
                <w:szCs w:val="24"/>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jc w:val="center"/>
              <w:rPr>
                <w:rFonts w:hint="eastAsia" w:hAnsi="宋体" w:eastAsia="宋体" w:cs="宋体"/>
                <w:color w:val="auto"/>
                <w:sz w:val="24"/>
                <w:szCs w:val="24"/>
                <w:highlight w:val="none"/>
              </w:rPr>
            </w:pPr>
          </w:p>
        </w:tc>
        <w:tc>
          <w:tcPr>
            <w:tcW w:w="4647" w:type="dxa"/>
            <w:noWrap w:val="0"/>
            <w:vAlign w:val="center"/>
          </w:tcPr>
          <w:p w14:paraId="0EF724A1">
            <w:pPr>
              <w:rPr>
                <w:rFonts w:hint="eastAsia" w:hAnsi="宋体" w:eastAsia="宋体" w:cs="宋体"/>
                <w:b/>
                <w:bCs/>
                <w:color w:val="auto"/>
                <w:sz w:val="24"/>
                <w:szCs w:val="24"/>
                <w:highlight w:val="none"/>
              </w:rPr>
            </w:pPr>
          </w:p>
        </w:tc>
        <w:tc>
          <w:tcPr>
            <w:tcW w:w="1575" w:type="dxa"/>
            <w:noWrap w:val="0"/>
            <w:vAlign w:val="center"/>
          </w:tcPr>
          <w:p w14:paraId="72F15688">
            <w:pPr>
              <w:jc w:val="center"/>
              <w:rPr>
                <w:rFonts w:hint="eastAsia" w:hAnsi="宋体" w:eastAsia="宋体" w:cs="宋体"/>
                <w:color w:val="auto"/>
                <w:sz w:val="24"/>
                <w:szCs w:val="24"/>
                <w:highlight w:val="none"/>
              </w:rPr>
            </w:pPr>
          </w:p>
        </w:tc>
        <w:tc>
          <w:tcPr>
            <w:tcW w:w="1185" w:type="dxa"/>
            <w:noWrap w:val="0"/>
            <w:vAlign w:val="center"/>
          </w:tcPr>
          <w:p w14:paraId="329D2B8E">
            <w:pPr>
              <w:jc w:val="center"/>
              <w:rPr>
                <w:rFonts w:hint="eastAsia" w:hAnsi="宋体" w:eastAsia="宋体" w:cs="宋体"/>
                <w:color w:val="auto"/>
                <w:sz w:val="24"/>
                <w:szCs w:val="24"/>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jc w:val="center"/>
              <w:rPr>
                <w:rFonts w:hint="eastAsia" w:hAnsi="宋体" w:eastAsia="宋体" w:cs="宋体"/>
                <w:color w:val="auto"/>
                <w:sz w:val="24"/>
                <w:szCs w:val="24"/>
                <w:highlight w:val="none"/>
              </w:rPr>
            </w:pPr>
          </w:p>
        </w:tc>
        <w:tc>
          <w:tcPr>
            <w:tcW w:w="4647" w:type="dxa"/>
            <w:noWrap w:val="0"/>
            <w:vAlign w:val="center"/>
          </w:tcPr>
          <w:p w14:paraId="7F462D66">
            <w:pPr>
              <w:rPr>
                <w:rFonts w:hint="eastAsia" w:hAnsi="宋体" w:eastAsia="宋体" w:cs="宋体"/>
                <w:color w:val="auto"/>
                <w:sz w:val="24"/>
                <w:szCs w:val="24"/>
                <w:highlight w:val="none"/>
              </w:rPr>
            </w:pPr>
          </w:p>
        </w:tc>
        <w:tc>
          <w:tcPr>
            <w:tcW w:w="1575" w:type="dxa"/>
            <w:noWrap w:val="0"/>
            <w:vAlign w:val="center"/>
          </w:tcPr>
          <w:p w14:paraId="7C9EE305">
            <w:pPr>
              <w:jc w:val="center"/>
              <w:rPr>
                <w:rFonts w:hint="eastAsia" w:hAnsi="宋体" w:eastAsia="宋体" w:cs="宋体"/>
                <w:color w:val="auto"/>
                <w:sz w:val="24"/>
                <w:szCs w:val="24"/>
                <w:highlight w:val="none"/>
              </w:rPr>
            </w:pPr>
          </w:p>
        </w:tc>
        <w:tc>
          <w:tcPr>
            <w:tcW w:w="1185" w:type="dxa"/>
            <w:noWrap w:val="0"/>
            <w:vAlign w:val="center"/>
          </w:tcPr>
          <w:p w14:paraId="76C12F13">
            <w:pPr>
              <w:jc w:val="center"/>
              <w:rPr>
                <w:rFonts w:hint="eastAsia" w:hAnsi="宋体" w:eastAsia="宋体" w:cs="宋体"/>
                <w:color w:val="auto"/>
                <w:sz w:val="24"/>
                <w:szCs w:val="24"/>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jc w:val="center"/>
              <w:rPr>
                <w:rFonts w:hint="eastAsia" w:hAnsi="宋体" w:eastAsia="宋体" w:cs="宋体"/>
                <w:color w:val="auto"/>
                <w:sz w:val="24"/>
                <w:szCs w:val="24"/>
                <w:highlight w:val="none"/>
              </w:rPr>
            </w:pPr>
          </w:p>
        </w:tc>
        <w:tc>
          <w:tcPr>
            <w:tcW w:w="4647" w:type="dxa"/>
            <w:noWrap w:val="0"/>
            <w:vAlign w:val="center"/>
          </w:tcPr>
          <w:p w14:paraId="7A517ECE">
            <w:pPr>
              <w:rPr>
                <w:rFonts w:hint="eastAsia" w:hAnsi="宋体" w:eastAsia="宋体" w:cs="宋体"/>
                <w:color w:val="auto"/>
                <w:sz w:val="24"/>
                <w:szCs w:val="24"/>
                <w:highlight w:val="none"/>
              </w:rPr>
            </w:pPr>
          </w:p>
        </w:tc>
        <w:tc>
          <w:tcPr>
            <w:tcW w:w="1575" w:type="dxa"/>
            <w:noWrap w:val="0"/>
            <w:vAlign w:val="center"/>
          </w:tcPr>
          <w:p w14:paraId="7C546521">
            <w:pPr>
              <w:jc w:val="center"/>
              <w:rPr>
                <w:rFonts w:hint="eastAsia" w:hAnsi="宋体" w:eastAsia="宋体" w:cs="宋体"/>
                <w:color w:val="auto"/>
                <w:sz w:val="24"/>
                <w:szCs w:val="24"/>
                <w:highlight w:val="none"/>
              </w:rPr>
            </w:pPr>
          </w:p>
        </w:tc>
        <w:tc>
          <w:tcPr>
            <w:tcW w:w="1185" w:type="dxa"/>
            <w:noWrap w:val="0"/>
            <w:vAlign w:val="center"/>
          </w:tcPr>
          <w:p w14:paraId="167EBC95">
            <w:pPr>
              <w:jc w:val="center"/>
              <w:rPr>
                <w:rFonts w:hint="eastAsia" w:hAnsi="宋体" w:eastAsia="宋体" w:cs="宋体"/>
                <w:color w:val="auto"/>
                <w:sz w:val="24"/>
                <w:szCs w:val="24"/>
                <w:highlight w:val="none"/>
              </w:rPr>
            </w:pPr>
          </w:p>
        </w:tc>
      </w:tr>
    </w:tbl>
    <w:p w14:paraId="5F94CAEC">
      <w:pPr>
        <w:pStyle w:val="7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szCs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FD0FC5">
      <w:pPr>
        <w:pStyle w:val="73"/>
        <w:jc w:val="both"/>
        <w:rPr>
          <w:rFonts w:hint="eastAsia" w:cs="仿宋_GB2312" w:asciiTheme="minorEastAsia" w:hAnsiTheme="minorEastAsia" w:eastAsiaTheme="minorEastAsia"/>
          <w:b/>
          <w:bCs/>
          <w:color w:val="auto"/>
          <w:sz w:val="32"/>
          <w:szCs w:val="32"/>
          <w:highlight w:val="none"/>
          <w:lang w:val="en-US" w:eastAsia="zh-CN"/>
        </w:rPr>
      </w:pPr>
    </w:p>
    <w:p w14:paraId="507F6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6FB93721">
      <w:pPr>
        <w:pStyle w:val="73"/>
        <w:jc w:val="both"/>
        <w:rPr>
          <w:rFonts w:hint="eastAsia" w:cs="仿宋_GB2312" w:asciiTheme="minorEastAsia" w:hAnsiTheme="minorEastAsia" w:eastAsiaTheme="minorEastAsia"/>
          <w:b/>
          <w:bCs/>
          <w:color w:val="auto"/>
          <w:sz w:val="32"/>
          <w:szCs w:val="32"/>
          <w:highlight w:val="none"/>
          <w:lang w:val="en-US" w:eastAsia="zh-CN"/>
        </w:rPr>
      </w:pPr>
    </w:p>
    <w:p w14:paraId="366E0C68">
      <w:pPr>
        <w:pStyle w:val="73"/>
        <w:jc w:val="both"/>
        <w:rPr>
          <w:rFonts w:hint="eastAsia" w:cs="仿宋_GB2312" w:asciiTheme="minorEastAsia" w:hAnsiTheme="minorEastAsia" w:eastAsiaTheme="minorEastAsia"/>
          <w:b/>
          <w:bCs/>
          <w:color w:val="auto"/>
          <w:sz w:val="32"/>
          <w:szCs w:val="32"/>
          <w:highlight w:val="none"/>
          <w:lang w:val="en-US" w:eastAsia="zh-CN"/>
        </w:rPr>
      </w:pPr>
    </w:p>
    <w:p w14:paraId="08ED2F9F">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64D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766067E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B77B879">
      <w:pPr>
        <w:pStyle w:val="73"/>
        <w:jc w:val="both"/>
        <w:rPr>
          <w:rFonts w:hint="eastAsia" w:cs="仿宋_GB2312" w:asciiTheme="minorEastAsia" w:hAnsiTheme="minorEastAsia" w:eastAsiaTheme="minorEastAsia"/>
          <w:b/>
          <w:bCs/>
          <w:color w:val="auto"/>
          <w:sz w:val="32"/>
          <w:szCs w:val="32"/>
          <w:highlight w:val="none"/>
          <w:lang w:val="en-US" w:eastAsia="zh-CN"/>
        </w:rPr>
      </w:pPr>
    </w:p>
    <w:p w14:paraId="78806134">
      <w:pPr>
        <w:pStyle w:val="73"/>
        <w:jc w:val="both"/>
        <w:rPr>
          <w:rFonts w:hint="eastAsia" w:cs="仿宋_GB2312" w:asciiTheme="minorEastAsia" w:hAnsiTheme="minorEastAsia" w:eastAsiaTheme="minorEastAsia"/>
          <w:b/>
          <w:bCs/>
          <w:color w:val="auto"/>
          <w:sz w:val="32"/>
          <w:szCs w:val="32"/>
          <w:highlight w:val="none"/>
          <w:lang w:val="en-US" w:eastAsia="zh-CN"/>
        </w:rPr>
      </w:pPr>
    </w:p>
    <w:p w14:paraId="4ACD0825">
      <w:pPr>
        <w:pStyle w:val="73"/>
        <w:jc w:val="both"/>
        <w:rPr>
          <w:rFonts w:hint="eastAsia" w:cs="仿宋_GB2312" w:asciiTheme="minorEastAsia" w:hAnsiTheme="minorEastAsia" w:eastAsiaTheme="minorEastAsia"/>
          <w:b/>
          <w:bCs/>
          <w:color w:val="auto"/>
          <w:sz w:val="32"/>
          <w:szCs w:val="32"/>
          <w:highlight w:val="none"/>
          <w:lang w:val="en-US" w:eastAsia="zh-CN"/>
        </w:rPr>
      </w:pPr>
    </w:p>
    <w:p w14:paraId="7F2C6264">
      <w:pPr>
        <w:pStyle w:val="73"/>
        <w:jc w:val="both"/>
        <w:rPr>
          <w:rFonts w:hint="eastAsia" w:cs="仿宋_GB2312" w:asciiTheme="minorEastAsia" w:hAnsiTheme="minorEastAsia" w:eastAsiaTheme="minorEastAsia"/>
          <w:b/>
          <w:bCs/>
          <w:color w:val="auto"/>
          <w:sz w:val="32"/>
          <w:szCs w:val="32"/>
          <w:highlight w:val="none"/>
          <w:lang w:val="en-US" w:eastAsia="zh-CN"/>
        </w:rPr>
      </w:pPr>
    </w:p>
    <w:p w14:paraId="6A5B2B9B">
      <w:pPr>
        <w:pStyle w:val="73"/>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3"/>
        <w:jc w:val="center"/>
        <w:outlineLvl w:val="1"/>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w:t>
      </w:r>
    </w:p>
    <w:p w14:paraId="63C38BF2">
      <w:pPr>
        <w:spacing w:line="360" w:lineRule="auto"/>
        <w:rPr>
          <w:rFonts w:hint="eastAsia" w:cs="仿宋_GB2312" w:asciiTheme="minorEastAsia" w:hAnsiTheme="minorEastAsia" w:eastAsiaTheme="minorEastAsia"/>
          <w:b/>
          <w:bCs/>
          <w:color w:val="auto"/>
          <w:sz w:val="24"/>
          <w:highlight w:val="none"/>
        </w:rPr>
      </w:pPr>
    </w:p>
    <w:p w14:paraId="15219870">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-1）实施服务方案（格式自拟）；</w:t>
      </w:r>
    </w:p>
    <w:p w14:paraId="4159CED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-2）本项目创建、验收等过程咨询方案（格式自拟）；</w:t>
      </w:r>
    </w:p>
    <w:p w14:paraId="04F7FA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-3）拟投入本项目人员配置方案</w:t>
      </w:r>
    </w:p>
    <w:p w14:paraId="2B3E77F6">
      <w:pPr>
        <w:pStyle w:val="2"/>
        <w:rPr>
          <w:color w:val="auto"/>
          <w:highlight w:val="none"/>
        </w:rPr>
      </w:pPr>
    </w:p>
    <w:p w14:paraId="7B23E403">
      <w:pPr>
        <w:spacing w:line="360" w:lineRule="auto"/>
        <w:jc w:val="center"/>
        <w:rPr>
          <w:rFonts w:cs="仿宋_GB2312" w:asciiTheme="minorEastAsia" w:hAnsiTheme="minorEastAsia" w:eastAsiaTheme="minorEastAsia"/>
          <w:b/>
          <w:bCs/>
          <w:color w:val="auto"/>
          <w:sz w:val="32"/>
          <w:szCs w:val="32"/>
          <w:highlight w:val="none"/>
        </w:rPr>
      </w:pPr>
    </w:p>
    <w:p w14:paraId="0999E2BD">
      <w:pPr>
        <w:spacing w:line="360" w:lineRule="auto"/>
        <w:jc w:val="both"/>
        <w:rPr>
          <w:rFonts w:cs="仿宋_GB2312" w:asciiTheme="minorEastAsia" w:hAnsiTheme="minorEastAsia" w:eastAsiaTheme="minorEastAsia"/>
          <w:color w:val="auto"/>
          <w:kern w:val="0"/>
          <w:sz w:val="24"/>
          <w:highlight w:val="none"/>
        </w:rPr>
      </w:pPr>
    </w:p>
    <w:p w14:paraId="74A9835B">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DB4BB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39420">
      <w:pPr>
        <w:spacing w:line="360" w:lineRule="auto"/>
        <w:jc w:val="center"/>
        <w:rPr>
          <w:rFonts w:cs="仿宋_GB2312" w:asciiTheme="minorEastAsia" w:hAnsiTheme="minorEastAsia" w:eastAsiaTheme="minorEastAsia"/>
          <w:color w:val="auto"/>
          <w:sz w:val="24"/>
          <w:highlight w:val="none"/>
        </w:rPr>
      </w:pPr>
    </w:p>
    <w:p w14:paraId="0C99E696">
      <w:pPr>
        <w:spacing w:line="360" w:lineRule="auto"/>
        <w:rPr>
          <w:rFonts w:cs="仿宋_GB2312" w:asciiTheme="minorEastAsia" w:hAnsiTheme="minorEastAsia" w:eastAsiaTheme="minorEastAsia"/>
          <w:color w:val="auto"/>
          <w:sz w:val="24"/>
          <w:highlight w:val="none"/>
        </w:rPr>
      </w:pPr>
    </w:p>
    <w:p w14:paraId="2D97C6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6B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9122E3">
      <w:pPr>
        <w:spacing w:line="360" w:lineRule="auto"/>
        <w:jc w:val="center"/>
        <w:rPr>
          <w:rFonts w:hint="eastAsia" w:cs="仿宋_GB2312" w:asciiTheme="minorEastAsia" w:hAnsiTheme="minorEastAsia" w:eastAsiaTheme="minorEastAsia"/>
          <w:b/>
          <w:bCs/>
          <w:color w:val="auto"/>
          <w:sz w:val="32"/>
          <w:szCs w:val="32"/>
          <w:highlight w:val="none"/>
        </w:rPr>
      </w:pP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78CED395">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30AF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5F8426F">
      <w:pPr>
        <w:spacing w:line="360" w:lineRule="auto"/>
        <w:rPr>
          <w:rFonts w:cs="仿宋_GB2312" w:asciiTheme="minorEastAsia" w:hAnsiTheme="minorEastAsia" w:eastAsiaTheme="minorEastAsia"/>
          <w:color w:val="auto"/>
          <w:sz w:val="24"/>
          <w:highlight w:val="none"/>
        </w:rPr>
      </w:pPr>
    </w:p>
    <w:p w14:paraId="53707A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D6BDB0">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9A0124">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09D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539482E3">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0C2F202">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667A1C1">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203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DC4CAE9">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11CFF55">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海曙区南门街道尹江岸未来社区项目（实施方案编制，创建及验收咨询服务）</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6E0FF43">
            <w:pPr>
              <w:widowControl/>
              <w:adjustRightInd/>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975DEB7">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CB6F39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5"/>
        <w:tabs>
          <w:tab w:val="left" w:pos="4841"/>
        </w:tabs>
        <w:spacing w:line="360" w:lineRule="auto"/>
        <w:jc w:val="center"/>
        <w:outlineLvl w:val="1"/>
        <w:rPr>
          <w:rFonts w:hAnsi="宋体" w:cs="宋体"/>
          <w:color w:val="auto"/>
          <w:sz w:val="21"/>
          <w:szCs w:val="21"/>
          <w:highlight w:val="none"/>
        </w:rPr>
      </w:pPr>
      <w:bookmarkStart w:id="67" w:name="_Toc465665161"/>
      <w:r>
        <w:rPr>
          <w:rFonts w:hint="eastAsia" w:hAnsi="宋体" w:cs="宋体"/>
          <w:b/>
          <w:color w:val="auto"/>
          <w:sz w:val="24"/>
          <w:highlight w:val="none"/>
        </w:rPr>
        <w:t>分项报价表</w:t>
      </w:r>
    </w:p>
    <w:p w14:paraId="79E4615C">
      <w:pPr>
        <w:pStyle w:val="25"/>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spacing w:line="276" w:lineRule="auto"/>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spacing w:line="276" w:lineRule="auto"/>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spacing w:line="276" w:lineRule="auto"/>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spacing w:line="276" w:lineRule="auto"/>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spacing w:line="276" w:lineRule="auto"/>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spacing w:line="276" w:lineRule="auto"/>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spacing w:line="276" w:lineRule="auto"/>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spacing w:line="276" w:lineRule="auto"/>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spacing w:line="276" w:lineRule="auto"/>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spacing w:line="276" w:lineRule="auto"/>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3"/>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5"/>
        <w:spacing w:line="360" w:lineRule="auto"/>
        <w:ind w:left="694" w:leftChars="187" w:hanging="301" w:hangingChars="143"/>
        <w:rPr>
          <w:rFonts w:hint="eastAsia" w:hAnsi="宋体" w:cs="宋体"/>
          <w:b/>
          <w:bCs/>
          <w:color w:val="auto"/>
          <w:sz w:val="21"/>
          <w:szCs w:val="21"/>
          <w:highlight w:val="none"/>
        </w:rPr>
      </w:pPr>
    </w:p>
    <w:p w14:paraId="2A1E321B">
      <w:pPr>
        <w:pStyle w:val="25"/>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5"/>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5"/>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688C7544">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pgNumType w:fmt="decimal"/>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7"/>
    </w:p>
    <w:p w14:paraId="040B7424">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outlineLvl w:val="9"/>
        <w:rPr>
          <w:rFonts w:asciiTheme="minorEastAsia" w:hAnsiTheme="minorEastAsia" w:eastAsiaTheme="minorEastAsia"/>
          <w:b/>
          <w:color w:val="auto"/>
          <w:spacing w:val="6"/>
          <w:sz w:val="32"/>
          <w:szCs w:val="32"/>
          <w:highlight w:val="none"/>
        </w:rPr>
      </w:pPr>
    </w:p>
    <w:p w14:paraId="04BDA416">
      <w:pPr>
        <w:spacing w:line="360" w:lineRule="auto"/>
        <w:jc w:val="center"/>
        <w:outlineLvl w:val="1"/>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w:t>
      </w:r>
      <w:r>
        <w:rPr>
          <w:rFonts w:hint="eastAsia" w:cs="仿宋_GB2312" w:asciiTheme="minorEastAsia" w:hAnsiTheme="minorEastAsia" w:eastAsiaTheme="minorEastAsia"/>
          <w:color w:val="auto"/>
          <w:sz w:val="24"/>
          <w:highlight w:val="none"/>
          <w:u w:val="single"/>
          <w:lang w:val="en-US" w:eastAsia="zh-CN"/>
        </w:rPr>
        <w:t>南门</w:t>
      </w:r>
      <w:r>
        <w:rPr>
          <w:rFonts w:hint="eastAsia" w:cs="仿宋_GB2312" w:asciiTheme="minorEastAsia" w:hAnsiTheme="minorEastAsia" w:eastAsiaTheme="minorEastAsia"/>
          <w:color w:val="auto"/>
          <w:sz w:val="24"/>
          <w:highlight w:val="none"/>
          <w:u w:val="single"/>
          <w:lang w:eastAsia="zh-CN"/>
        </w:rPr>
        <w:t>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仿宋_GB2312" w:asciiTheme="minorEastAsia" w:hAnsiTheme="minorEastAsia" w:eastAsiaTheme="minorEastAsia"/>
          <w:color w:val="auto"/>
          <w:sz w:val="24"/>
          <w:highlight w:val="none"/>
        </w:rPr>
        <w:t>：</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海曙区南门街道尹江岸未来社区项目（实施方案编制，创建及验收咨询服务）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海曙区南门街道尹江岸未来社区项目（实施方案编制，创建及验收咨询服务）</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eastAsia="zh-CN"/>
        </w:rPr>
        <w:t>海曙区南门街道尹江岸未来社区项目（实施方案编制，创建及验收咨询服务）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val="en-US" w:eastAsia="zh-CN"/>
        </w:rPr>
        <w:t>宁波市拓帆工程管理有限公司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1"/>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8"/>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3"/>
        <w:rPr>
          <w:rFonts w:asciiTheme="minorEastAsia" w:hAnsiTheme="minorEastAsia" w:eastAsiaTheme="minorEastAsia"/>
          <w:color w:val="auto"/>
          <w:highlight w:val="none"/>
          <w:lang w:val="en-US"/>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AFD8">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0BA7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00BA7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EA60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EEA60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42CB0">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242CB0">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9"/>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1C2CA">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D1C2CA">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9A9CE">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29A9CE">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CB7E">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10"/>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240"/>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4547"/>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05CD6"/>
    <w:rsid w:val="01A653B9"/>
    <w:rsid w:val="02056D00"/>
    <w:rsid w:val="02DA0C0E"/>
    <w:rsid w:val="033B1C2D"/>
    <w:rsid w:val="03463A74"/>
    <w:rsid w:val="034D0227"/>
    <w:rsid w:val="03DD35E4"/>
    <w:rsid w:val="03E95F35"/>
    <w:rsid w:val="04145ACE"/>
    <w:rsid w:val="042E51E5"/>
    <w:rsid w:val="04936845"/>
    <w:rsid w:val="04E32FDC"/>
    <w:rsid w:val="055532B9"/>
    <w:rsid w:val="057400D7"/>
    <w:rsid w:val="05AE5667"/>
    <w:rsid w:val="0646387A"/>
    <w:rsid w:val="065A6178"/>
    <w:rsid w:val="06C82346"/>
    <w:rsid w:val="06FF1D0D"/>
    <w:rsid w:val="075562B7"/>
    <w:rsid w:val="079F3753"/>
    <w:rsid w:val="07CE48F8"/>
    <w:rsid w:val="07DE427B"/>
    <w:rsid w:val="07F6164B"/>
    <w:rsid w:val="08730818"/>
    <w:rsid w:val="087A1B7A"/>
    <w:rsid w:val="087D5842"/>
    <w:rsid w:val="08915791"/>
    <w:rsid w:val="08B27C10"/>
    <w:rsid w:val="08EA5B08"/>
    <w:rsid w:val="094445B2"/>
    <w:rsid w:val="096B2097"/>
    <w:rsid w:val="09CC2642"/>
    <w:rsid w:val="09DA5FB3"/>
    <w:rsid w:val="0A312D88"/>
    <w:rsid w:val="0A483850"/>
    <w:rsid w:val="0A5B7E63"/>
    <w:rsid w:val="0A650C83"/>
    <w:rsid w:val="0ABF1FBE"/>
    <w:rsid w:val="0AD26D8C"/>
    <w:rsid w:val="0BAB1E8A"/>
    <w:rsid w:val="0BC3149D"/>
    <w:rsid w:val="0C10430F"/>
    <w:rsid w:val="0C2219BD"/>
    <w:rsid w:val="0C3122CE"/>
    <w:rsid w:val="0C87121B"/>
    <w:rsid w:val="0C927CA5"/>
    <w:rsid w:val="0D41103B"/>
    <w:rsid w:val="0D5F027D"/>
    <w:rsid w:val="0DCB0DDA"/>
    <w:rsid w:val="0DF702FE"/>
    <w:rsid w:val="0E377A2F"/>
    <w:rsid w:val="0E3F698B"/>
    <w:rsid w:val="0E7E55BE"/>
    <w:rsid w:val="0ED63EFE"/>
    <w:rsid w:val="0F140E26"/>
    <w:rsid w:val="0F21508F"/>
    <w:rsid w:val="0F2C6214"/>
    <w:rsid w:val="0F582B65"/>
    <w:rsid w:val="0F816ACD"/>
    <w:rsid w:val="0F8258F3"/>
    <w:rsid w:val="0FB21E05"/>
    <w:rsid w:val="0FB94501"/>
    <w:rsid w:val="0FF47C77"/>
    <w:rsid w:val="103F7CA2"/>
    <w:rsid w:val="104B534E"/>
    <w:rsid w:val="10850CF4"/>
    <w:rsid w:val="10B047CF"/>
    <w:rsid w:val="10CA1840"/>
    <w:rsid w:val="10DD0E16"/>
    <w:rsid w:val="10E24DDC"/>
    <w:rsid w:val="10FC16EA"/>
    <w:rsid w:val="1118646A"/>
    <w:rsid w:val="112371A2"/>
    <w:rsid w:val="115F467E"/>
    <w:rsid w:val="118963A1"/>
    <w:rsid w:val="11A7551F"/>
    <w:rsid w:val="11BE5AB6"/>
    <w:rsid w:val="120D40DA"/>
    <w:rsid w:val="126020B8"/>
    <w:rsid w:val="127723A9"/>
    <w:rsid w:val="12D93FBD"/>
    <w:rsid w:val="12EF203C"/>
    <w:rsid w:val="13072A44"/>
    <w:rsid w:val="139B74C4"/>
    <w:rsid w:val="13A24F4F"/>
    <w:rsid w:val="13C00783"/>
    <w:rsid w:val="13EB044B"/>
    <w:rsid w:val="14172FEE"/>
    <w:rsid w:val="145044FA"/>
    <w:rsid w:val="14941188"/>
    <w:rsid w:val="14CC6F39"/>
    <w:rsid w:val="1588773E"/>
    <w:rsid w:val="15CA107C"/>
    <w:rsid w:val="163065E9"/>
    <w:rsid w:val="16C949BD"/>
    <w:rsid w:val="170766B9"/>
    <w:rsid w:val="17385300"/>
    <w:rsid w:val="174B5B3D"/>
    <w:rsid w:val="178501FF"/>
    <w:rsid w:val="17F65FC0"/>
    <w:rsid w:val="18414ADE"/>
    <w:rsid w:val="186742B0"/>
    <w:rsid w:val="18D771F0"/>
    <w:rsid w:val="18D953BD"/>
    <w:rsid w:val="18E6625F"/>
    <w:rsid w:val="190A3122"/>
    <w:rsid w:val="19143B09"/>
    <w:rsid w:val="191822CD"/>
    <w:rsid w:val="191C2E55"/>
    <w:rsid w:val="193D0C2D"/>
    <w:rsid w:val="1962378A"/>
    <w:rsid w:val="19634A28"/>
    <w:rsid w:val="19A15D46"/>
    <w:rsid w:val="19B843F1"/>
    <w:rsid w:val="19DE635C"/>
    <w:rsid w:val="19F03933"/>
    <w:rsid w:val="1A0062D3"/>
    <w:rsid w:val="1A012BD0"/>
    <w:rsid w:val="1AB57476"/>
    <w:rsid w:val="1ABA2925"/>
    <w:rsid w:val="1B28788F"/>
    <w:rsid w:val="1B2A271F"/>
    <w:rsid w:val="1B6705AA"/>
    <w:rsid w:val="1B78333C"/>
    <w:rsid w:val="1B890139"/>
    <w:rsid w:val="1BAF6202"/>
    <w:rsid w:val="1BCC2910"/>
    <w:rsid w:val="1CFF2E33"/>
    <w:rsid w:val="1D266CE1"/>
    <w:rsid w:val="1D3963AF"/>
    <w:rsid w:val="1D8A2A83"/>
    <w:rsid w:val="1D8D60CF"/>
    <w:rsid w:val="1E6E5F01"/>
    <w:rsid w:val="1E714A66"/>
    <w:rsid w:val="1E9E64F0"/>
    <w:rsid w:val="1EAA4A5F"/>
    <w:rsid w:val="1F026649"/>
    <w:rsid w:val="1F446C62"/>
    <w:rsid w:val="1F732F0E"/>
    <w:rsid w:val="1F8A4FBC"/>
    <w:rsid w:val="1FA408DD"/>
    <w:rsid w:val="1FB657A8"/>
    <w:rsid w:val="1FE12702"/>
    <w:rsid w:val="1FE868A9"/>
    <w:rsid w:val="1FF02946"/>
    <w:rsid w:val="1FF03604"/>
    <w:rsid w:val="1FFB37C4"/>
    <w:rsid w:val="208B2A62"/>
    <w:rsid w:val="20A6664D"/>
    <w:rsid w:val="20EE50D7"/>
    <w:rsid w:val="211E26D6"/>
    <w:rsid w:val="21283D08"/>
    <w:rsid w:val="21D7200F"/>
    <w:rsid w:val="21F52495"/>
    <w:rsid w:val="221A1EFC"/>
    <w:rsid w:val="2241337E"/>
    <w:rsid w:val="22462CF1"/>
    <w:rsid w:val="22761828"/>
    <w:rsid w:val="2288483E"/>
    <w:rsid w:val="22D30A28"/>
    <w:rsid w:val="23185695"/>
    <w:rsid w:val="23963AC4"/>
    <w:rsid w:val="23E950FC"/>
    <w:rsid w:val="241D6137"/>
    <w:rsid w:val="24447EBA"/>
    <w:rsid w:val="24B86128"/>
    <w:rsid w:val="24D408E1"/>
    <w:rsid w:val="24DB0068"/>
    <w:rsid w:val="2513335E"/>
    <w:rsid w:val="2561056D"/>
    <w:rsid w:val="25760785"/>
    <w:rsid w:val="257E40E6"/>
    <w:rsid w:val="25B440B3"/>
    <w:rsid w:val="25D56865"/>
    <w:rsid w:val="26063DAD"/>
    <w:rsid w:val="263E08AF"/>
    <w:rsid w:val="27870A7F"/>
    <w:rsid w:val="27D07446"/>
    <w:rsid w:val="28390070"/>
    <w:rsid w:val="284B2E0F"/>
    <w:rsid w:val="28E8319E"/>
    <w:rsid w:val="293B10D5"/>
    <w:rsid w:val="293D309F"/>
    <w:rsid w:val="297B7724"/>
    <w:rsid w:val="29820AB2"/>
    <w:rsid w:val="2A8E3487"/>
    <w:rsid w:val="2AA1365A"/>
    <w:rsid w:val="2AC1011E"/>
    <w:rsid w:val="2AC97147"/>
    <w:rsid w:val="2AD76456"/>
    <w:rsid w:val="2B5B1692"/>
    <w:rsid w:val="2B856638"/>
    <w:rsid w:val="2BBC165C"/>
    <w:rsid w:val="2C184672"/>
    <w:rsid w:val="2C1B0D4A"/>
    <w:rsid w:val="2C595236"/>
    <w:rsid w:val="2CB371D5"/>
    <w:rsid w:val="2D3A0BEC"/>
    <w:rsid w:val="2DB86778"/>
    <w:rsid w:val="2DBB74BD"/>
    <w:rsid w:val="2DD15014"/>
    <w:rsid w:val="2E04418C"/>
    <w:rsid w:val="2E497DF1"/>
    <w:rsid w:val="2E9A064C"/>
    <w:rsid w:val="2EF92028"/>
    <w:rsid w:val="2F230642"/>
    <w:rsid w:val="2F464330"/>
    <w:rsid w:val="2F4F5EB6"/>
    <w:rsid w:val="2F7F6399"/>
    <w:rsid w:val="2FD07944"/>
    <w:rsid w:val="2FD25781"/>
    <w:rsid w:val="301253D5"/>
    <w:rsid w:val="303F76FD"/>
    <w:rsid w:val="304E5B92"/>
    <w:rsid w:val="307E2F49"/>
    <w:rsid w:val="30840E48"/>
    <w:rsid w:val="30EF0EEA"/>
    <w:rsid w:val="30F34AD5"/>
    <w:rsid w:val="31564347"/>
    <w:rsid w:val="319C6071"/>
    <w:rsid w:val="31AF55A4"/>
    <w:rsid w:val="32BF3808"/>
    <w:rsid w:val="32DB72BE"/>
    <w:rsid w:val="32DC4FC1"/>
    <w:rsid w:val="3341553A"/>
    <w:rsid w:val="33A715BF"/>
    <w:rsid w:val="33AE3840"/>
    <w:rsid w:val="341C3615"/>
    <w:rsid w:val="341C48E8"/>
    <w:rsid w:val="342D3D10"/>
    <w:rsid w:val="342E63AB"/>
    <w:rsid w:val="345D260B"/>
    <w:rsid w:val="348F0527"/>
    <w:rsid w:val="34B00336"/>
    <w:rsid w:val="34B34216"/>
    <w:rsid w:val="34CA2C35"/>
    <w:rsid w:val="35F06289"/>
    <w:rsid w:val="36072414"/>
    <w:rsid w:val="360B4516"/>
    <w:rsid w:val="364641D2"/>
    <w:rsid w:val="364B12DB"/>
    <w:rsid w:val="365302AE"/>
    <w:rsid w:val="366567E6"/>
    <w:rsid w:val="3679013B"/>
    <w:rsid w:val="36B6571C"/>
    <w:rsid w:val="36FB1EA4"/>
    <w:rsid w:val="37AC6465"/>
    <w:rsid w:val="37F142D2"/>
    <w:rsid w:val="389E07E8"/>
    <w:rsid w:val="38C420A7"/>
    <w:rsid w:val="39242B89"/>
    <w:rsid w:val="392F5027"/>
    <w:rsid w:val="39873363"/>
    <w:rsid w:val="39A13F14"/>
    <w:rsid w:val="3A4C7049"/>
    <w:rsid w:val="3A741F04"/>
    <w:rsid w:val="3AE16A06"/>
    <w:rsid w:val="3B077CB1"/>
    <w:rsid w:val="3B197DB6"/>
    <w:rsid w:val="3B554279"/>
    <w:rsid w:val="3B7919E7"/>
    <w:rsid w:val="3BBE6CEB"/>
    <w:rsid w:val="3C29300F"/>
    <w:rsid w:val="3C5F759A"/>
    <w:rsid w:val="3C9D5067"/>
    <w:rsid w:val="3CD025E5"/>
    <w:rsid w:val="3CF640DF"/>
    <w:rsid w:val="3D17748C"/>
    <w:rsid w:val="3D204F34"/>
    <w:rsid w:val="3D295311"/>
    <w:rsid w:val="3D581DFE"/>
    <w:rsid w:val="3D5C78D4"/>
    <w:rsid w:val="3DCA27E0"/>
    <w:rsid w:val="3DF06A9E"/>
    <w:rsid w:val="3E2A0839"/>
    <w:rsid w:val="3E602A0A"/>
    <w:rsid w:val="3E974BA8"/>
    <w:rsid w:val="3F050B2F"/>
    <w:rsid w:val="3F0A0A9A"/>
    <w:rsid w:val="3F634935"/>
    <w:rsid w:val="3FFF72A6"/>
    <w:rsid w:val="405A435B"/>
    <w:rsid w:val="40CA3013"/>
    <w:rsid w:val="40E90FBF"/>
    <w:rsid w:val="41171FD0"/>
    <w:rsid w:val="41265D6F"/>
    <w:rsid w:val="415F094C"/>
    <w:rsid w:val="41B810BD"/>
    <w:rsid w:val="41C77552"/>
    <w:rsid w:val="423D42C3"/>
    <w:rsid w:val="424C2358"/>
    <w:rsid w:val="42755200"/>
    <w:rsid w:val="42AA65A3"/>
    <w:rsid w:val="42DF267A"/>
    <w:rsid w:val="42E1381E"/>
    <w:rsid w:val="43601604"/>
    <w:rsid w:val="4392593E"/>
    <w:rsid w:val="43A82ECB"/>
    <w:rsid w:val="43B059AA"/>
    <w:rsid w:val="43FB717C"/>
    <w:rsid w:val="444455BE"/>
    <w:rsid w:val="449F722D"/>
    <w:rsid w:val="451E447A"/>
    <w:rsid w:val="45345B76"/>
    <w:rsid w:val="4588349D"/>
    <w:rsid w:val="45A2397F"/>
    <w:rsid w:val="45DB537A"/>
    <w:rsid w:val="45DD6F5A"/>
    <w:rsid w:val="46050CBD"/>
    <w:rsid w:val="464A2500"/>
    <w:rsid w:val="467E5752"/>
    <w:rsid w:val="470F7C31"/>
    <w:rsid w:val="47307808"/>
    <w:rsid w:val="47863A0C"/>
    <w:rsid w:val="47E81FD1"/>
    <w:rsid w:val="47EF7803"/>
    <w:rsid w:val="481A5BC9"/>
    <w:rsid w:val="4830775E"/>
    <w:rsid w:val="486F747C"/>
    <w:rsid w:val="48BA1BBF"/>
    <w:rsid w:val="48F0738F"/>
    <w:rsid w:val="49150F3E"/>
    <w:rsid w:val="49170DBF"/>
    <w:rsid w:val="491D5621"/>
    <w:rsid w:val="494F035A"/>
    <w:rsid w:val="49764039"/>
    <w:rsid w:val="499C0B00"/>
    <w:rsid w:val="4A9401EE"/>
    <w:rsid w:val="4AFC5FB2"/>
    <w:rsid w:val="4B0E1D4E"/>
    <w:rsid w:val="4B1D68D2"/>
    <w:rsid w:val="4B38326F"/>
    <w:rsid w:val="4BCE2367"/>
    <w:rsid w:val="4C0373D9"/>
    <w:rsid w:val="4C67747A"/>
    <w:rsid w:val="4C8853A9"/>
    <w:rsid w:val="4CEC65D1"/>
    <w:rsid w:val="4D2F5B88"/>
    <w:rsid w:val="4D317C8F"/>
    <w:rsid w:val="4D706CF0"/>
    <w:rsid w:val="4D7A191D"/>
    <w:rsid w:val="4D7E62F1"/>
    <w:rsid w:val="4D861CF6"/>
    <w:rsid w:val="4DEE763D"/>
    <w:rsid w:val="4E263853"/>
    <w:rsid w:val="4E281379"/>
    <w:rsid w:val="4E353A96"/>
    <w:rsid w:val="4E661EA1"/>
    <w:rsid w:val="4E73382E"/>
    <w:rsid w:val="4EEA32B3"/>
    <w:rsid w:val="4EEE3181"/>
    <w:rsid w:val="4F15290B"/>
    <w:rsid w:val="4F8402E8"/>
    <w:rsid w:val="4FBA0958"/>
    <w:rsid w:val="4FBF18D3"/>
    <w:rsid w:val="4FE30DC1"/>
    <w:rsid w:val="501157CE"/>
    <w:rsid w:val="506B0941"/>
    <w:rsid w:val="507408A5"/>
    <w:rsid w:val="507F3FA0"/>
    <w:rsid w:val="512428A6"/>
    <w:rsid w:val="51781094"/>
    <w:rsid w:val="519B6CC9"/>
    <w:rsid w:val="51A0432A"/>
    <w:rsid w:val="51B82A14"/>
    <w:rsid w:val="51D67879"/>
    <w:rsid w:val="51DB762E"/>
    <w:rsid w:val="526B5CD8"/>
    <w:rsid w:val="527140E5"/>
    <w:rsid w:val="52756B57"/>
    <w:rsid w:val="5292508F"/>
    <w:rsid w:val="52A96B6F"/>
    <w:rsid w:val="52B96A43"/>
    <w:rsid w:val="52BF7DD2"/>
    <w:rsid w:val="52C45EE8"/>
    <w:rsid w:val="52E066C6"/>
    <w:rsid w:val="52E77A54"/>
    <w:rsid w:val="52F50359"/>
    <w:rsid w:val="5345477B"/>
    <w:rsid w:val="53B64BC0"/>
    <w:rsid w:val="53B66CDD"/>
    <w:rsid w:val="53CE295F"/>
    <w:rsid w:val="543A3BB4"/>
    <w:rsid w:val="544F09ED"/>
    <w:rsid w:val="548A6E01"/>
    <w:rsid w:val="55004DFD"/>
    <w:rsid w:val="550764A4"/>
    <w:rsid w:val="551926E0"/>
    <w:rsid w:val="555A5A70"/>
    <w:rsid w:val="55D32512"/>
    <w:rsid w:val="55E62245"/>
    <w:rsid w:val="561279B9"/>
    <w:rsid w:val="562C39D0"/>
    <w:rsid w:val="56515F3B"/>
    <w:rsid w:val="565E1D1A"/>
    <w:rsid w:val="569B0F46"/>
    <w:rsid w:val="56BC4D54"/>
    <w:rsid w:val="56FF5CA7"/>
    <w:rsid w:val="572B71CA"/>
    <w:rsid w:val="573C5E95"/>
    <w:rsid w:val="576A47B0"/>
    <w:rsid w:val="577D1B56"/>
    <w:rsid w:val="58117322"/>
    <w:rsid w:val="5818721B"/>
    <w:rsid w:val="58196ABF"/>
    <w:rsid w:val="58207565"/>
    <w:rsid w:val="58AE4F0C"/>
    <w:rsid w:val="58B5530F"/>
    <w:rsid w:val="58C6476C"/>
    <w:rsid w:val="58EE57AA"/>
    <w:rsid w:val="59084C7F"/>
    <w:rsid w:val="590D09EF"/>
    <w:rsid w:val="596671F9"/>
    <w:rsid w:val="59722590"/>
    <w:rsid w:val="59BB7B8F"/>
    <w:rsid w:val="59F3435B"/>
    <w:rsid w:val="5A2A7C7B"/>
    <w:rsid w:val="5A517EA9"/>
    <w:rsid w:val="5A7140A7"/>
    <w:rsid w:val="5A9C5DB6"/>
    <w:rsid w:val="5B2555BE"/>
    <w:rsid w:val="5B9A15AA"/>
    <w:rsid w:val="5BB636D1"/>
    <w:rsid w:val="5BCC7517"/>
    <w:rsid w:val="5BF74317"/>
    <w:rsid w:val="5C016442"/>
    <w:rsid w:val="5C0E556A"/>
    <w:rsid w:val="5C2E0F50"/>
    <w:rsid w:val="5C4A2E02"/>
    <w:rsid w:val="5C80234E"/>
    <w:rsid w:val="5CCB5CF1"/>
    <w:rsid w:val="5D1A49F1"/>
    <w:rsid w:val="5E1929B8"/>
    <w:rsid w:val="5E261785"/>
    <w:rsid w:val="5E40270F"/>
    <w:rsid w:val="5E5B30A5"/>
    <w:rsid w:val="5ECD192C"/>
    <w:rsid w:val="5F585836"/>
    <w:rsid w:val="5F724B4A"/>
    <w:rsid w:val="5FCC5339"/>
    <w:rsid w:val="5FE70807"/>
    <w:rsid w:val="600E43EB"/>
    <w:rsid w:val="60200102"/>
    <w:rsid w:val="6042451C"/>
    <w:rsid w:val="60BF2C01"/>
    <w:rsid w:val="60D07B9D"/>
    <w:rsid w:val="60D4195D"/>
    <w:rsid w:val="60E53485"/>
    <w:rsid w:val="61054A27"/>
    <w:rsid w:val="611D2366"/>
    <w:rsid w:val="61374ED4"/>
    <w:rsid w:val="618945FC"/>
    <w:rsid w:val="61B3013A"/>
    <w:rsid w:val="61C148CA"/>
    <w:rsid w:val="62885958"/>
    <w:rsid w:val="628A41A8"/>
    <w:rsid w:val="62C70D09"/>
    <w:rsid w:val="62EA49F7"/>
    <w:rsid w:val="632B47CD"/>
    <w:rsid w:val="636724EC"/>
    <w:rsid w:val="638B61DA"/>
    <w:rsid w:val="63C937DE"/>
    <w:rsid w:val="63DF4FB6"/>
    <w:rsid w:val="64316B61"/>
    <w:rsid w:val="645B38E5"/>
    <w:rsid w:val="64713622"/>
    <w:rsid w:val="64B21B0A"/>
    <w:rsid w:val="64CE2EAA"/>
    <w:rsid w:val="65102E3B"/>
    <w:rsid w:val="662E75B1"/>
    <w:rsid w:val="66342C2E"/>
    <w:rsid w:val="663E784C"/>
    <w:rsid w:val="664A2893"/>
    <w:rsid w:val="667744B2"/>
    <w:rsid w:val="66884E55"/>
    <w:rsid w:val="66B21CD0"/>
    <w:rsid w:val="66CE390F"/>
    <w:rsid w:val="672901E4"/>
    <w:rsid w:val="67406BC6"/>
    <w:rsid w:val="674B589C"/>
    <w:rsid w:val="67801DCE"/>
    <w:rsid w:val="67A240D1"/>
    <w:rsid w:val="684D1648"/>
    <w:rsid w:val="685867EC"/>
    <w:rsid w:val="687B6160"/>
    <w:rsid w:val="688C26E5"/>
    <w:rsid w:val="68914293"/>
    <w:rsid w:val="68F93BE6"/>
    <w:rsid w:val="698D0267"/>
    <w:rsid w:val="69A973BA"/>
    <w:rsid w:val="69AC0C58"/>
    <w:rsid w:val="69BB70ED"/>
    <w:rsid w:val="69D93AF2"/>
    <w:rsid w:val="6A007A75"/>
    <w:rsid w:val="6A4B0471"/>
    <w:rsid w:val="6A971908"/>
    <w:rsid w:val="6B5E5F82"/>
    <w:rsid w:val="6C241170"/>
    <w:rsid w:val="6C2E004A"/>
    <w:rsid w:val="6C574A65"/>
    <w:rsid w:val="6CA03489"/>
    <w:rsid w:val="6CD96F0E"/>
    <w:rsid w:val="6DB372E9"/>
    <w:rsid w:val="6E7C32EF"/>
    <w:rsid w:val="6E8A66AF"/>
    <w:rsid w:val="6E8E12EF"/>
    <w:rsid w:val="6EAE7221"/>
    <w:rsid w:val="6EC95E08"/>
    <w:rsid w:val="6ED722D3"/>
    <w:rsid w:val="6F307C36"/>
    <w:rsid w:val="6F3D3E33"/>
    <w:rsid w:val="6F4162E7"/>
    <w:rsid w:val="6F5C254F"/>
    <w:rsid w:val="6F657725"/>
    <w:rsid w:val="702A6D7B"/>
    <w:rsid w:val="707355AF"/>
    <w:rsid w:val="70A240C5"/>
    <w:rsid w:val="70B84386"/>
    <w:rsid w:val="70F43A84"/>
    <w:rsid w:val="710452DD"/>
    <w:rsid w:val="716F5156"/>
    <w:rsid w:val="71892D95"/>
    <w:rsid w:val="71C67D7A"/>
    <w:rsid w:val="71D43752"/>
    <w:rsid w:val="72273D81"/>
    <w:rsid w:val="723B526F"/>
    <w:rsid w:val="72504160"/>
    <w:rsid w:val="72BD476A"/>
    <w:rsid w:val="72C7610E"/>
    <w:rsid w:val="73245D03"/>
    <w:rsid w:val="73A14ECB"/>
    <w:rsid w:val="73BC5F3C"/>
    <w:rsid w:val="73DD6243"/>
    <w:rsid w:val="73F84699"/>
    <w:rsid w:val="743C5234"/>
    <w:rsid w:val="748D4180"/>
    <w:rsid w:val="749C4185"/>
    <w:rsid w:val="74B035DF"/>
    <w:rsid w:val="74BB41DE"/>
    <w:rsid w:val="75C8558D"/>
    <w:rsid w:val="75D7589A"/>
    <w:rsid w:val="75DA2C18"/>
    <w:rsid w:val="75DD315D"/>
    <w:rsid w:val="75F60EF6"/>
    <w:rsid w:val="76742AFE"/>
    <w:rsid w:val="76832D41"/>
    <w:rsid w:val="769136B0"/>
    <w:rsid w:val="7736021D"/>
    <w:rsid w:val="775319EF"/>
    <w:rsid w:val="783545C9"/>
    <w:rsid w:val="786066B3"/>
    <w:rsid w:val="78752EF2"/>
    <w:rsid w:val="790F1C77"/>
    <w:rsid w:val="79D7587D"/>
    <w:rsid w:val="79F04B91"/>
    <w:rsid w:val="7A0F108E"/>
    <w:rsid w:val="7A504480"/>
    <w:rsid w:val="7A640E22"/>
    <w:rsid w:val="7A67303B"/>
    <w:rsid w:val="7A7B08FF"/>
    <w:rsid w:val="7AA17154"/>
    <w:rsid w:val="7AAB1D04"/>
    <w:rsid w:val="7ABA4368"/>
    <w:rsid w:val="7ABA72C5"/>
    <w:rsid w:val="7AE83ABA"/>
    <w:rsid w:val="7AEA551E"/>
    <w:rsid w:val="7AF4245F"/>
    <w:rsid w:val="7B0F1047"/>
    <w:rsid w:val="7B1E6D01"/>
    <w:rsid w:val="7B257FFD"/>
    <w:rsid w:val="7BD61B65"/>
    <w:rsid w:val="7C2B1DA5"/>
    <w:rsid w:val="7CE42970"/>
    <w:rsid w:val="7D371124"/>
    <w:rsid w:val="7D6D04F4"/>
    <w:rsid w:val="7D860169"/>
    <w:rsid w:val="7D985324"/>
    <w:rsid w:val="7DC425BD"/>
    <w:rsid w:val="7DDC070D"/>
    <w:rsid w:val="7DF4317E"/>
    <w:rsid w:val="7E040C0B"/>
    <w:rsid w:val="7E5C27F5"/>
    <w:rsid w:val="7E64308B"/>
    <w:rsid w:val="7E671B2F"/>
    <w:rsid w:val="7E7427A1"/>
    <w:rsid w:val="7E982A8F"/>
    <w:rsid w:val="7EE1266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24"/>
    <w:link w:val="512"/>
    <w:autoRedefine/>
    <w:qFormat/>
    <w:uiPriority w:val="0"/>
    <w:pPr>
      <w:autoSpaceDE w:val="0"/>
      <w:autoSpaceDN w:val="0"/>
      <w:spacing w:line="360" w:lineRule="auto"/>
    </w:pPr>
    <w:rPr>
      <w:rFonts w:ascii="宋体"/>
      <w:sz w:val="24"/>
      <w:szCs w:val="21"/>
      <w:lang w:val="zh-CN"/>
    </w:rPr>
  </w:style>
  <w:style w:type="paragraph" w:styleId="24">
    <w:name w:val="Date"/>
    <w:basedOn w:val="1"/>
    <w:next w:val="1"/>
    <w:link w:val="598"/>
    <w:autoRedefine/>
    <w:qFormat/>
    <w:uiPriority w:val="0"/>
    <w:pPr>
      <w:ind w:left="100" w:leftChars="2500"/>
    </w:pPr>
    <w:rPr>
      <w:rFonts w:ascii="宋体"/>
      <w:sz w:val="24"/>
      <w:szCs w:val="21"/>
      <w:lang w:val="zh-CN"/>
    </w:rPr>
  </w:style>
  <w:style w:type="paragraph" w:styleId="25">
    <w:name w:val="Body Text Indent"/>
    <w:basedOn w:val="1"/>
    <w:next w:val="26"/>
    <w:link w:val="475"/>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50"/>
    <w:link w:val="545"/>
    <w:autoRedefine/>
    <w:qFormat/>
    <w:uiPriority w:val="0"/>
    <w:pPr>
      <w:ind w:firstLine="420"/>
    </w:pPr>
    <w:rPr>
      <w:szCs w:val="20"/>
    </w:rPr>
  </w:style>
  <w:style w:type="paragraph" w:styleId="61">
    <w:name w:val="Body Text First Indent 2"/>
    <w:basedOn w:val="25"/>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4"/>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1"/>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2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4"/>
    <w:autoRedefine/>
    <w:qFormat/>
    <w:uiPriority w:val="0"/>
    <w:rPr>
      <w:rFonts w:hint="eastAsia" w:ascii="宋体" w:hAnsi="宋体" w:eastAsia="宋体" w:cs="宋体"/>
      <w:color w:val="000000"/>
      <w:sz w:val="22"/>
      <w:szCs w:val="22"/>
      <w:u w:val="none"/>
    </w:rPr>
  </w:style>
  <w:style w:type="character" w:customStyle="1" w:styleId="636">
    <w:name w:val="font51"/>
    <w:basedOn w:val="64"/>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BodyText1I2"/>
    <w:basedOn w:val="64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41">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35988</Words>
  <Characters>37549</Characters>
  <Lines>288</Lines>
  <Paragraphs>81</Paragraphs>
  <TotalTime>31</TotalTime>
  <ScaleCrop>false</ScaleCrop>
  <LinksUpToDate>false</LinksUpToDate>
  <CharactersWithSpaces>40566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雨溪</cp:lastModifiedBy>
  <cp:lastPrinted>2021-10-22T18:37:00Z</cp:lastPrinted>
  <dcterms:modified xsi:type="dcterms:W3CDTF">2024-09-30T11:21:59Z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00667424B7F34064819A613362BA9C75_13</vt:lpwstr>
  </property>
</Properties>
</file>