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DAFE">
      <w:pPr>
        <w:spacing w:line="360" w:lineRule="auto"/>
        <w:jc w:val="center"/>
        <w:rPr>
          <w:rFonts w:hint="eastAsia" w:cs="仿宋_GB2312" w:asciiTheme="minorEastAsia" w:hAnsiTheme="minorEastAsia" w:eastAsiaTheme="minorEastAsia"/>
          <w:b/>
          <w:color w:val="auto"/>
          <w:sz w:val="24"/>
          <w:highlight w:val="none"/>
          <w:lang w:eastAsia="zh-CN"/>
        </w:rPr>
      </w:pPr>
      <w:bookmarkStart w:id="69" w:name="_GoBack"/>
      <w:r>
        <w:rPr>
          <w:rFonts w:hint="eastAsia" w:cs="仿宋_GB2312" w:asciiTheme="minorEastAsia" w:hAnsiTheme="minorEastAsia" w:eastAsiaTheme="minorEastAsia"/>
          <w:b/>
          <w:color w:val="auto"/>
          <w:sz w:val="24"/>
          <w:highlight w:val="none"/>
          <w:lang w:eastAsia="zh-CN"/>
        </w:rPr>
        <w:drawing>
          <wp:inline distT="0" distB="0" distL="114300" distR="114300">
            <wp:extent cx="6146165" cy="8693785"/>
            <wp:effectExtent l="0" t="0" r="6985" b="12065"/>
            <wp:docPr id="20" name="图片 20" descr="车站未来社区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车站未来社区招标文件封面_00"/>
                    <pic:cNvPicPr>
                      <a:picLocks noChangeAspect="1"/>
                    </pic:cNvPicPr>
                  </pic:nvPicPr>
                  <pic:blipFill>
                    <a:blip r:embed="rId14"/>
                    <a:stretch>
                      <a:fillRect/>
                    </a:stretch>
                  </pic:blipFill>
                  <pic:spPr>
                    <a:xfrm>
                      <a:off x="0" y="0"/>
                      <a:ext cx="6146165" cy="8693785"/>
                    </a:xfrm>
                    <a:prstGeom prst="rect">
                      <a:avLst/>
                    </a:prstGeom>
                  </pic:spPr>
                </pic:pic>
              </a:graphicData>
            </a:graphic>
          </wp:inline>
        </w:drawing>
      </w:r>
      <w:bookmarkEnd w:id="69"/>
    </w:p>
    <w:p w14:paraId="2D16A79C">
      <w:pPr>
        <w:spacing w:line="360" w:lineRule="auto"/>
        <w:jc w:val="center"/>
        <w:rPr>
          <w:rFonts w:hint="eastAsia" w:cs="仿宋_GB2312" w:asciiTheme="minorEastAsia" w:hAnsiTheme="minorEastAsia" w:eastAsiaTheme="minorEastAsia"/>
          <w:b/>
          <w:color w:val="auto"/>
          <w:sz w:val="24"/>
          <w:highlight w:val="none"/>
          <w:lang w:eastAsia="zh-CN"/>
        </w:rPr>
      </w:pPr>
    </w:p>
    <w:p w14:paraId="39C5D302">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31F264A">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8F1BBF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566EE76">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D8CA22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CA876D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A18756E">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4850534">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11BA28D">
      <w:pPr>
        <w:spacing w:line="360" w:lineRule="auto"/>
        <w:rPr>
          <w:rFonts w:cs="仿宋_GB2312" w:asciiTheme="minorEastAsia" w:hAnsiTheme="minorEastAsia" w:eastAsiaTheme="minorEastAsia"/>
          <w:color w:val="auto"/>
          <w:sz w:val="32"/>
          <w:szCs w:val="32"/>
          <w:highlight w:val="none"/>
        </w:rPr>
      </w:pPr>
      <w:bookmarkStart w:id="0" w:name="_Hlt91233176"/>
      <w:bookmarkEnd w:id="0"/>
      <w:bookmarkStart w:id="1" w:name="_Toc91899869"/>
      <w:r>
        <w:rPr>
          <w:rFonts w:hint="eastAsia" w:cs="仿宋_GB2312" w:asciiTheme="minorEastAsia" w:hAnsiTheme="minorEastAsia" w:eastAsiaTheme="minorEastAsia"/>
          <w:color w:val="auto"/>
          <w:sz w:val="32"/>
          <w:szCs w:val="32"/>
          <w:highlight w:val="none"/>
        </w:rPr>
        <w:t>第八部分      报价格式</w:t>
      </w:r>
    </w:p>
    <w:p w14:paraId="2FB6440A">
      <w:pPr>
        <w:spacing w:line="360" w:lineRule="auto"/>
        <w:ind w:firstLine="549" w:firstLineChars="229"/>
        <w:rPr>
          <w:rFonts w:cs="仿宋_GB2312" w:asciiTheme="minorEastAsia" w:hAnsiTheme="minorEastAsia" w:eastAsiaTheme="minorEastAsia"/>
          <w:color w:val="auto"/>
          <w:sz w:val="24"/>
          <w:highlight w:val="none"/>
        </w:rPr>
      </w:pPr>
    </w:p>
    <w:p w14:paraId="4A8E68D2">
      <w:pPr>
        <w:spacing w:line="360" w:lineRule="auto"/>
        <w:ind w:firstLine="549" w:firstLineChars="229"/>
        <w:rPr>
          <w:rFonts w:cs="仿宋_GB2312" w:asciiTheme="minorEastAsia" w:hAnsiTheme="minorEastAsia" w:eastAsiaTheme="minorEastAsia"/>
          <w:color w:val="auto"/>
          <w:sz w:val="24"/>
          <w:highlight w:val="none"/>
        </w:rPr>
      </w:pPr>
    </w:p>
    <w:p w14:paraId="70BAF58F">
      <w:pPr>
        <w:spacing w:line="360" w:lineRule="auto"/>
        <w:ind w:firstLine="549" w:firstLineChars="229"/>
        <w:rPr>
          <w:rFonts w:cs="仿宋_GB2312" w:asciiTheme="minorEastAsia" w:hAnsiTheme="minorEastAsia" w:eastAsiaTheme="minorEastAsia"/>
          <w:color w:val="auto"/>
          <w:sz w:val="24"/>
          <w:highlight w:val="none"/>
        </w:rPr>
      </w:pPr>
    </w:p>
    <w:p w14:paraId="4F13EFE7">
      <w:pPr>
        <w:spacing w:line="360" w:lineRule="auto"/>
        <w:ind w:firstLine="549" w:firstLineChars="229"/>
        <w:rPr>
          <w:rFonts w:cs="仿宋_GB2312" w:asciiTheme="minorEastAsia" w:hAnsiTheme="minorEastAsia" w:eastAsiaTheme="minorEastAsia"/>
          <w:color w:val="auto"/>
          <w:sz w:val="24"/>
          <w:highlight w:val="none"/>
        </w:rPr>
      </w:pPr>
    </w:p>
    <w:p w14:paraId="6B81E70C">
      <w:pPr>
        <w:spacing w:line="360" w:lineRule="auto"/>
        <w:ind w:firstLine="549" w:firstLineChars="229"/>
        <w:rPr>
          <w:rFonts w:cs="仿宋_GB2312" w:asciiTheme="minorEastAsia" w:hAnsiTheme="minorEastAsia" w:eastAsiaTheme="minorEastAsia"/>
          <w:color w:val="auto"/>
          <w:sz w:val="24"/>
          <w:highlight w:val="none"/>
        </w:rPr>
      </w:pPr>
    </w:p>
    <w:p w14:paraId="376DD89E">
      <w:pPr>
        <w:spacing w:line="360" w:lineRule="auto"/>
        <w:ind w:firstLine="549" w:firstLineChars="229"/>
        <w:rPr>
          <w:rFonts w:cs="仿宋_GB2312" w:asciiTheme="minorEastAsia" w:hAnsiTheme="minorEastAsia" w:eastAsiaTheme="minorEastAsia"/>
          <w:color w:val="auto"/>
          <w:sz w:val="24"/>
          <w:highlight w:val="none"/>
        </w:rPr>
      </w:pPr>
    </w:p>
    <w:p w14:paraId="01592847">
      <w:pPr>
        <w:spacing w:line="360" w:lineRule="auto"/>
        <w:ind w:firstLine="549" w:firstLineChars="229"/>
        <w:rPr>
          <w:rFonts w:cs="仿宋_GB2312" w:asciiTheme="minorEastAsia" w:hAnsiTheme="minorEastAsia" w:eastAsiaTheme="minorEastAsia"/>
          <w:color w:val="auto"/>
          <w:sz w:val="24"/>
          <w:highlight w:val="none"/>
        </w:rPr>
      </w:pPr>
    </w:p>
    <w:p w14:paraId="0D1113E0">
      <w:pPr>
        <w:spacing w:line="360" w:lineRule="auto"/>
        <w:ind w:firstLine="549" w:firstLineChars="229"/>
        <w:rPr>
          <w:rFonts w:cs="仿宋_GB2312" w:asciiTheme="minorEastAsia" w:hAnsiTheme="minorEastAsia" w:eastAsiaTheme="minorEastAsia"/>
          <w:color w:val="auto"/>
          <w:sz w:val="24"/>
          <w:highlight w:val="none"/>
        </w:rPr>
      </w:pPr>
    </w:p>
    <w:p w14:paraId="56A45D68">
      <w:pPr>
        <w:spacing w:line="360" w:lineRule="auto"/>
        <w:ind w:firstLine="549" w:firstLineChars="229"/>
        <w:rPr>
          <w:rFonts w:cs="仿宋_GB2312" w:asciiTheme="minorEastAsia" w:hAnsiTheme="minorEastAsia" w:eastAsiaTheme="minorEastAsia"/>
          <w:color w:val="auto"/>
          <w:sz w:val="24"/>
          <w:highlight w:val="none"/>
        </w:rPr>
      </w:pPr>
    </w:p>
    <w:p w14:paraId="56BFEEEF">
      <w:pPr>
        <w:spacing w:line="360" w:lineRule="auto"/>
        <w:ind w:firstLine="549" w:firstLineChars="229"/>
        <w:rPr>
          <w:rFonts w:cs="仿宋_GB2312" w:asciiTheme="minorEastAsia" w:hAnsiTheme="minorEastAsia" w:eastAsiaTheme="minorEastAsia"/>
          <w:color w:val="auto"/>
          <w:sz w:val="24"/>
          <w:highlight w:val="none"/>
        </w:rPr>
      </w:pPr>
    </w:p>
    <w:p w14:paraId="0511CD48">
      <w:pPr>
        <w:spacing w:line="360" w:lineRule="auto"/>
        <w:ind w:firstLine="549" w:firstLineChars="229"/>
        <w:rPr>
          <w:rFonts w:cs="仿宋_GB2312" w:asciiTheme="minorEastAsia" w:hAnsiTheme="minorEastAsia" w:eastAsiaTheme="minorEastAsia"/>
          <w:color w:val="auto"/>
          <w:sz w:val="24"/>
          <w:highlight w:val="none"/>
        </w:rPr>
      </w:pPr>
    </w:p>
    <w:p w14:paraId="137E76E8">
      <w:pPr>
        <w:spacing w:line="360" w:lineRule="auto"/>
        <w:ind w:firstLine="549" w:firstLineChars="229"/>
        <w:rPr>
          <w:rFonts w:cs="仿宋_GB2312" w:asciiTheme="minorEastAsia" w:hAnsiTheme="minorEastAsia" w:eastAsiaTheme="minorEastAsia"/>
          <w:color w:val="auto"/>
          <w:sz w:val="24"/>
          <w:highlight w:val="none"/>
        </w:rPr>
      </w:pPr>
    </w:p>
    <w:p w14:paraId="2F82275C">
      <w:pPr>
        <w:spacing w:line="360" w:lineRule="auto"/>
        <w:rPr>
          <w:rFonts w:cs="仿宋_GB2312" w:asciiTheme="minorEastAsia" w:hAnsiTheme="minorEastAsia" w:eastAsiaTheme="minorEastAsia"/>
          <w:color w:val="auto"/>
          <w:sz w:val="24"/>
          <w:highlight w:val="none"/>
        </w:rPr>
      </w:pPr>
    </w:p>
    <w:p w14:paraId="35D4D871">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第一部分"/>
      <w:r>
        <w:rPr>
          <w:rFonts w:hint="eastAsia" w:cs="仿宋_GB2312" w:asciiTheme="minorEastAsia" w:hAnsiTheme="minorEastAsia" w:eastAsiaTheme="minorEastAsia"/>
          <w:b/>
          <w:color w:val="auto"/>
          <w:sz w:val="36"/>
          <w:szCs w:val="36"/>
          <w:highlight w:val="none"/>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2B5C30E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CA4ED3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BAD6B1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海曙区南门街道车站未来社区项目（实施方案编制，创建及验收咨询服务）</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A425243">
      <w:pPr>
        <w:pStyle w:val="4"/>
        <w:numPr>
          <w:ilvl w:val="0"/>
          <w:numId w:val="0"/>
        </w:numPr>
        <w:ind w:left="432" w:hanging="432"/>
        <w:rPr>
          <w:rFonts w:cs="宋体" w:asciiTheme="minorEastAsia" w:hAnsiTheme="minorEastAsia" w:eastAsiaTheme="minorEastAsia"/>
          <w:color w:val="auto"/>
          <w:sz w:val="24"/>
          <w:szCs w:val="24"/>
          <w:highlight w:val="none"/>
        </w:rPr>
      </w:pPr>
      <w:bookmarkStart w:id="10" w:name="_Toc35393798"/>
      <w:bookmarkStart w:id="11" w:name="_Toc28359089"/>
      <w:bookmarkStart w:id="12" w:name="_Toc35393629"/>
      <w:bookmarkStart w:id="13" w:name="_Toc28359012"/>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5B26476A">
      <w:pPr>
        <w:spacing w:line="360" w:lineRule="auto"/>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
          <w:color w:val="auto"/>
          <w:sz w:val="24"/>
          <w:highlight w:val="none"/>
        </w:rPr>
        <w:t>项目编号：2024NBHSWCS411</w:t>
      </w:r>
    </w:p>
    <w:p w14:paraId="08A56875">
      <w:pPr>
        <w:spacing w:line="360" w:lineRule="auto"/>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val="en-US" w:eastAsia="zh-CN"/>
        </w:rPr>
        <w:t>海曙区南门街道车站未来社区项目（实施方案编制，创建及验收咨询服务）</w:t>
      </w:r>
    </w:p>
    <w:p w14:paraId="37D5D9C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9B69FC9">
      <w:pPr>
        <w:spacing w:line="360" w:lineRule="auto"/>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600,000.00</w:t>
      </w:r>
    </w:p>
    <w:p w14:paraId="7DFAC310">
      <w:pPr>
        <w:spacing w:line="360" w:lineRule="auto"/>
        <w:rPr>
          <w:rFonts w:hint="default" w:asciiTheme="minorEastAsia" w:hAnsiTheme="minorEastAsia" w:eastAsiaTheme="minorEastAsia"/>
          <w:bCs/>
          <w:color w:val="auto"/>
          <w:sz w:val="24"/>
          <w:highlight w:val="none"/>
          <w:lang w:val="en-US"/>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600,000.00</w:t>
      </w:r>
    </w:p>
    <w:p w14:paraId="44E1507A">
      <w:pPr>
        <w:tabs>
          <w:tab w:val="left" w:pos="41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660CE781">
      <w:pPr>
        <w:spacing w:line="360" w:lineRule="auto"/>
        <w:rPr>
          <w:rFonts w:asciiTheme="minorEastAsia" w:hAnsiTheme="minorEastAsia" w:eastAsiaTheme="minorEastAsia"/>
          <w:b/>
          <w:color w:val="auto"/>
          <w:sz w:val="24"/>
          <w:highlight w:val="none"/>
        </w:rPr>
      </w:pPr>
    </w:p>
    <w:p w14:paraId="08A4ABFF">
      <w:pPr>
        <w:spacing w:line="360" w:lineRule="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 w:val="0"/>
          <w:bCs/>
          <w:color w:val="auto"/>
          <w:sz w:val="24"/>
          <w:highlight w:val="none"/>
          <w:lang w:eastAsia="zh-CN"/>
        </w:rPr>
        <w:t>海曙区南门街道车站未来社区项目（实施方案编制，创建及验收咨询服务）</w:t>
      </w:r>
    </w:p>
    <w:p w14:paraId="5846EC19">
      <w:pPr>
        <w:spacing w:line="360" w:lineRule="auto"/>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rPr>
        <w:t>1</w:t>
      </w:r>
      <w:r>
        <w:rPr>
          <w:rFonts w:hint="eastAsia" w:asciiTheme="minorEastAsia" w:hAnsiTheme="minorEastAsia" w:eastAsiaTheme="minorEastAsia"/>
          <w:b w:val="0"/>
          <w:bCs/>
          <w:color w:val="auto"/>
          <w:sz w:val="24"/>
          <w:highlight w:val="none"/>
          <w:lang w:val="en-US" w:eastAsia="zh-CN"/>
        </w:rPr>
        <w:t>项</w:t>
      </w:r>
    </w:p>
    <w:p w14:paraId="08F3478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600,000.00</w:t>
      </w:r>
    </w:p>
    <w:p w14:paraId="0165800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color w:val="auto"/>
          <w:sz w:val="24"/>
          <w:highlight w:val="none"/>
          <w:lang w:val="en-US" w:eastAsia="zh-CN"/>
        </w:rPr>
        <w:t>南门车站</w:t>
      </w:r>
      <w:r>
        <w:rPr>
          <w:rFonts w:hint="eastAsia" w:asciiTheme="minorEastAsia" w:hAnsiTheme="minorEastAsia" w:eastAsiaTheme="minorEastAsia"/>
          <w:color w:val="auto"/>
          <w:sz w:val="24"/>
          <w:highlight w:val="none"/>
        </w:rPr>
        <w:t>未来社区项目实施方案编制并提供完成创建与验收通过等过程咨询和台账服务</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bCs/>
          <w:color w:val="auto"/>
          <w:sz w:val="24"/>
          <w:highlight w:val="none"/>
        </w:rPr>
        <w:t>具体详见磋商文件。</w:t>
      </w:r>
    </w:p>
    <w:p w14:paraId="7C674C85">
      <w:pPr>
        <w:spacing w:line="360" w:lineRule="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 w:val="0"/>
          <w:bCs/>
          <w:color w:val="auto"/>
          <w:sz w:val="24"/>
          <w:highlight w:val="none"/>
          <w:lang w:val="en-US" w:eastAsia="zh-CN"/>
        </w:rPr>
        <w:t>无。</w:t>
      </w:r>
    </w:p>
    <w:p w14:paraId="220BCDF0">
      <w:pPr>
        <w:spacing w:line="360" w:lineRule="auto"/>
        <w:rPr>
          <w:color w:val="auto"/>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val="0"/>
          <w:bCs/>
          <w:color w:val="auto"/>
          <w:sz w:val="24"/>
          <w:highlight w:val="none"/>
        </w:rPr>
        <w:t>自合同签订生效后开始至双方合同义务完全履行后截止。</w:t>
      </w:r>
    </w:p>
    <w:p w14:paraId="71E4645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否</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接受联合体投标。</w:t>
      </w:r>
    </w:p>
    <w:p w14:paraId="47C0D934">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4" w:name="_Toc35393630"/>
      <w:bookmarkStart w:id="15" w:name="_Toc35393799"/>
      <w:bookmarkStart w:id="16" w:name="_Toc28359090"/>
      <w:bookmarkStart w:id="17" w:name="_Toc28359013"/>
      <w:r>
        <w:rPr>
          <w:rFonts w:hint="eastAsia" w:cs="宋体" w:asciiTheme="minorEastAsia" w:hAnsiTheme="minorEastAsia" w:eastAsiaTheme="minorEastAsia"/>
          <w:color w:val="auto"/>
          <w:sz w:val="24"/>
          <w:szCs w:val="24"/>
          <w:highlight w:val="none"/>
        </w:rPr>
        <w:t>二、申请人的资格要求：</w:t>
      </w:r>
      <w:bookmarkEnd w:id="14"/>
      <w:bookmarkEnd w:id="15"/>
      <w:bookmarkEnd w:id="16"/>
      <w:bookmarkEnd w:id="17"/>
    </w:p>
    <w:p w14:paraId="18D77E0B">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4D2F60C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2.落实政府采购政策需满足的资格要求：专门面向中小企业</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lang w:val="en-US" w:eastAsia="zh-CN"/>
        </w:rPr>
        <w:t>即</w:t>
      </w:r>
      <w:r>
        <w:rPr>
          <w:rFonts w:hint="eastAsia" w:cs="宋体" w:asciiTheme="minorEastAsia" w:hAnsiTheme="minorEastAsia" w:eastAsiaTheme="minorEastAsia"/>
          <w:snapToGrid w:val="0"/>
          <w:color w:val="auto"/>
          <w:kern w:val="28"/>
          <w:sz w:val="24"/>
          <w:szCs w:val="20"/>
          <w:highlight w:val="none"/>
        </w:rPr>
        <w:t>服务全部由符合政策要求的中小企业承接，提供中小企业声明函</w:t>
      </w:r>
      <w:r>
        <w:rPr>
          <w:rFonts w:hint="eastAsia" w:cs="宋体" w:asciiTheme="minorEastAsia" w:hAnsiTheme="minorEastAsia" w:eastAsiaTheme="minorEastAsia"/>
          <w:color w:val="auto"/>
          <w:sz w:val="24"/>
          <w:highlight w:val="none"/>
        </w:rPr>
        <w:t>；</w:t>
      </w:r>
    </w:p>
    <w:p w14:paraId="5F6949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100995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B94891">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8" w:name="_Toc35393631"/>
      <w:bookmarkStart w:id="19" w:name="_Toc28359091"/>
      <w:bookmarkStart w:id="20" w:name="_Toc35393800"/>
      <w:bookmarkStart w:id="21" w:name="_Toc28359014"/>
      <w:r>
        <w:rPr>
          <w:rFonts w:hint="eastAsia" w:cs="宋体" w:asciiTheme="minorEastAsia" w:hAnsiTheme="minorEastAsia" w:eastAsiaTheme="minorEastAsia"/>
          <w:color w:val="auto"/>
          <w:sz w:val="24"/>
          <w:szCs w:val="24"/>
          <w:highlight w:val="none"/>
        </w:rPr>
        <w:t>三、获取（下载）采购文件</w:t>
      </w:r>
      <w:bookmarkEnd w:id="18"/>
      <w:bookmarkEnd w:id="19"/>
      <w:bookmarkEnd w:id="20"/>
      <w:bookmarkEnd w:id="21"/>
    </w:p>
    <w:p w14:paraId="454DB42F">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2024年</w:t>
      </w:r>
      <w:r>
        <w:rPr>
          <w:rFonts w:hint="eastAsia" w:cs="宋体" w:asciiTheme="minorEastAsia" w:hAnsiTheme="minorEastAsia" w:eastAsiaTheme="minorEastAsia"/>
          <w:color w:val="auto"/>
          <w:sz w:val="24"/>
          <w:highlight w:val="none"/>
          <w:lang w:val="en-US" w:eastAsia="zh-CN"/>
        </w:rPr>
        <w:t>09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日至2024年</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4CE15AB9">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Cs/>
          <w:color w:val="auto"/>
          <w:sz w:val="24"/>
          <w:highlight w:val="none"/>
        </w:rPr>
        <w:t>https://www.zcygov.cn/</w:t>
      </w:r>
      <w:r>
        <w:rPr>
          <w:rStyle w:val="70"/>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6BF559B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EF46717">
      <w:pPr>
        <w:spacing w:line="360" w:lineRule="auto"/>
        <w:ind w:firstLine="540"/>
        <w:rPr>
          <w:rFonts w:hint="default" w:cs="宋体" w:asciiTheme="minorEastAsia" w:hAnsiTheme="minorEastAsia" w:eastAsiaTheme="minorEastAsia"/>
          <w:color w:val="auto"/>
          <w:sz w:val="28"/>
          <w:szCs w:val="28"/>
          <w:highlight w:val="none"/>
          <w:lang w:val="en-US"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0元</w:t>
      </w:r>
    </w:p>
    <w:p w14:paraId="5FA42448">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22" w:name="_Toc35393801"/>
      <w:bookmarkStart w:id="23" w:name="_Toc28359015"/>
      <w:bookmarkStart w:id="24" w:name="_Toc28359092"/>
      <w:bookmarkStart w:id="25" w:name="_Toc3539363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667409A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color w:val="auto"/>
          <w:sz w:val="24"/>
          <w:highlight w:val="none"/>
          <w:u w:val="single"/>
          <w:lang w:val="en-US" w:eastAsia="zh-CN"/>
        </w:rPr>
        <w:t>年10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14:00</w:t>
      </w:r>
      <w:r>
        <w:rPr>
          <w:rFonts w:hint="eastAsia" w:asciiTheme="minorEastAsia" w:hAnsiTheme="minorEastAsia" w:eastAsiaTheme="minorEastAsia"/>
          <w:bCs/>
          <w:color w:val="auto"/>
          <w:sz w:val="24"/>
          <w:highlight w:val="none"/>
        </w:rPr>
        <w:t>（北京时间）</w:t>
      </w:r>
    </w:p>
    <w:p w14:paraId="0940901B">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val="0"/>
          <w:bCs/>
          <w:color w:val="auto"/>
          <w:sz w:val="24"/>
          <w:highlight w:val="none"/>
        </w:rPr>
        <w:t>。</w:t>
      </w:r>
    </w:p>
    <w:p w14:paraId="2B7D7B66">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28359016"/>
      <w:bookmarkStart w:id="27" w:name="_Toc35393802"/>
      <w:bookmarkStart w:id="28" w:name="_Toc35393633"/>
      <w:bookmarkStart w:id="29" w:name="_Toc28359093"/>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6CB42AE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14:00</w:t>
      </w:r>
      <w:r>
        <w:rPr>
          <w:rFonts w:hint="eastAsia" w:asciiTheme="minorEastAsia" w:hAnsiTheme="minorEastAsia" w:eastAsiaTheme="minorEastAsia"/>
          <w:bCs/>
          <w:color w:val="auto"/>
          <w:sz w:val="24"/>
          <w:highlight w:val="none"/>
        </w:rPr>
        <w:t>（北京时间）</w:t>
      </w:r>
    </w:p>
    <w:p w14:paraId="0763A87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0FEF1E87">
      <w:pPr>
        <w:pStyle w:val="4"/>
        <w:numPr>
          <w:ilvl w:val="0"/>
          <w:numId w:val="0"/>
        </w:numPr>
        <w:ind w:left="432" w:hanging="432"/>
        <w:rPr>
          <w:rFonts w:cs="宋体" w:asciiTheme="minorEastAsia" w:hAnsiTheme="minorEastAsia" w:eastAsiaTheme="minorEastAsia"/>
          <w:color w:val="auto"/>
          <w:sz w:val="24"/>
          <w:szCs w:val="24"/>
          <w:highlight w:val="none"/>
        </w:rPr>
      </w:pPr>
      <w:bookmarkStart w:id="30" w:name="_Toc28359094"/>
      <w:bookmarkStart w:id="31" w:name="_Toc35393803"/>
      <w:bookmarkStart w:id="32" w:name="_Toc35393634"/>
      <w:bookmarkStart w:id="33" w:name="_Toc28359017"/>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253CC2A6">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B775145">
      <w:pPr>
        <w:pStyle w:val="4"/>
        <w:numPr>
          <w:ilvl w:val="0"/>
          <w:numId w:val="0"/>
        </w:numPr>
        <w:ind w:left="432" w:hanging="432"/>
        <w:rPr>
          <w:rFonts w:cs="宋体" w:asciiTheme="minorEastAsia" w:hAnsiTheme="minorEastAsia" w:eastAsiaTheme="minorEastAsia"/>
          <w:color w:val="auto"/>
          <w:sz w:val="24"/>
          <w:szCs w:val="24"/>
          <w:highlight w:val="none"/>
        </w:rPr>
      </w:pPr>
      <w:bookmarkStart w:id="34" w:name="_Toc35393635"/>
      <w:bookmarkStart w:id="35" w:name="_Toc35393804"/>
      <w:r>
        <w:rPr>
          <w:rFonts w:hint="eastAsia" w:cs="宋体" w:asciiTheme="minorEastAsia" w:hAnsiTheme="minorEastAsia" w:eastAsiaTheme="minorEastAsia"/>
          <w:color w:val="auto"/>
          <w:sz w:val="24"/>
          <w:szCs w:val="24"/>
          <w:highlight w:val="none"/>
        </w:rPr>
        <w:t>七、其他补充事宜</w:t>
      </w:r>
      <w:bookmarkEnd w:id="34"/>
      <w:bookmarkEnd w:id="35"/>
    </w:p>
    <w:p w14:paraId="6EA1B57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83425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BD338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B32A15">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6EB918B3">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4E9D041D">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w:t>
      </w:r>
      <w:r>
        <w:rPr>
          <w:rFonts w:hint="eastAsia" w:cs="宋体" w:asciiTheme="minorEastAsia" w:hAnsiTheme="minorEastAsia" w:eastAsiaTheme="minorEastAsia"/>
          <w:b/>
          <w:color w:val="auto"/>
          <w:kern w:val="0"/>
          <w:sz w:val="24"/>
          <w:szCs w:val="20"/>
          <w:highlight w:val="none"/>
          <w:lang w:val="en-US" w:eastAsia="zh-CN"/>
        </w:rPr>
        <w:t>2</w:t>
      </w:r>
      <w:r>
        <w:rPr>
          <w:rFonts w:hint="eastAsia" w:cs="宋体" w:asciiTheme="minorEastAsia" w:hAnsiTheme="minorEastAsia" w:eastAsiaTheme="minorEastAsia"/>
          <w:b/>
          <w:color w:val="auto"/>
          <w:kern w:val="0"/>
          <w:sz w:val="24"/>
          <w:szCs w:val="20"/>
          <w:highlight w:val="none"/>
        </w:rPr>
        <w:t>）</w:t>
      </w:r>
      <w:r>
        <w:rPr>
          <w:rFonts w:hint="eastAsia" w:cs="仿宋_GB2312" w:asciiTheme="minorEastAsia" w:hAnsiTheme="minorEastAsia" w:eastAsiaTheme="minorEastAsia"/>
          <w:b/>
          <w:color w:val="auto"/>
          <w:sz w:val="24"/>
          <w:highlight w:val="none"/>
        </w:rPr>
        <w:t xml:space="preserve">电子交易的说明: </w:t>
      </w:r>
    </w:p>
    <w:p w14:paraId="7E620EE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39FB7B82">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4FE90FE">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71A4E6B6">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val="en-US" w:eastAsia="zh-CN"/>
        </w:rPr>
        <w:t>响应</w:t>
      </w:r>
      <w:r>
        <w:rPr>
          <w:rFonts w:hint="eastAsia" w:cs="仿宋_GB2312" w:asciiTheme="minorEastAsia" w:hAnsiTheme="minorEastAsia" w:eastAsiaTheme="minorEastAsia"/>
          <w:color w:val="auto"/>
          <w:sz w:val="24"/>
          <w:highlight w:val="none"/>
        </w:rPr>
        <w:t>文件”、“标书关联”、“标书检查”、“电子签名”、“生成电子标书”等操作。</w:t>
      </w:r>
    </w:p>
    <w:p w14:paraId="76BA0278">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4A9A0E9E">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4D477C42">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05C31904">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359CBBB4">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5A66BE5E">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6" w:name="_Toc35393805"/>
      <w:bookmarkStart w:id="37" w:name="_Toc28359018"/>
      <w:bookmarkStart w:id="38" w:name="_Toc35393636"/>
      <w:bookmarkStart w:id="39" w:name="_Toc28359095"/>
    </w:p>
    <w:p w14:paraId="1D30581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浙江政府采购网（www.zjzfcg.gov.cn）、宁波市公共资源交易电子服务系统（甬易阳光）（https://jyxt.zwb.ningbo.gov.cn:4011/website/home）、浙江省公共资源交易服务平台（http://zjpubservice.zjzwfw.gov.cn/）。</w:t>
      </w:r>
    </w:p>
    <w:p w14:paraId="51C107E2">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7A52936D">
      <w:pPr>
        <w:pStyle w:val="34"/>
        <w:rPr>
          <w:rFonts w:asciiTheme="minorEastAsia" w:hAnsiTheme="minorEastAsia" w:eastAsiaTheme="minorEastAsia"/>
          <w:color w:val="auto"/>
          <w:highlight w:val="none"/>
        </w:rPr>
      </w:pPr>
    </w:p>
    <w:p w14:paraId="395370A6">
      <w:pPr>
        <w:pStyle w:val="4"/>
        <w:pageBreakBefore w:val="0"/>
        <w:widowControl w:val="0"/>
        <w:numPr>
          <w:ilvl w:val="0"/>
          <w:numId w:val="0"/>
        </w:numPr>
        <w:kinsoku/>
        <w:wordWrap/>
        <w:overflowPunct/>
        <w:topLinePunct w:val="0"/>
        <w:autoSpaceDE/>
        <w:autoSpaceDN/>
        <w:bidi w:val="0"/>
        <w:snapToGrid/>
        <w:spacing w:line="360" w:lineRule="auto"/>
        <w:ind w:left="432" w:hanging="432"/>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36B4BC75">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0" w:name="_Toc35393806"/>
      <w:bookmarkStart w:id="41" w:name="_Toc28359096"/>
      <w:bookmarkStart w:id="42" w:name="_Toc35393637"/>
      <w:bookmarkStart w:id="43" w:name="_Toc28359019"/>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5753B8F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color w:val="auto"/>
          <w:sz w:val="24"/>
          <w:highlight w:val="none"/>
        </w:rPr>
        <w:t>宁波市海曙区人民政府</w:t>
      </w:r>
      <w:r>
        <w:rPr>
          <w:rFonts w:hint="eastAsia" w:ascii="宋体" w:hAnsi="宋体" w:cs="宋体"/>
          <w:color w:val="auto"/>
          <w:sz w:val="24"/>
          <w:highlight w:val="none"/>
          <w:lang w:val="en-US" w:eastAsia="zh-CN"/>
        </w:rPr>
        <w:t>南门</w:t>
      </w:r>
      <w:r>
        <w:rPr>
          <w:rFonts w:hint="eastAsia" w:ascii="宋体" w:hAnsi="宋体" w:cs="宋体"/>
          <w:color w:val="auto"/>
          <w:sz w:val="24"/>
          <w:highlight w:val="none"/>
        </w:rPr>
        <w:t>街道办事处</w:t>
      </w:r>
      <w:r>
        <w:rPr>
          <w:rFonts w:hint="eastAsia" w:asciiTheme="minorEastAsia" w:hAnsiTheme="minorEastAsia" w:eastAsiaTheme="minorEastAsia"/>
          <w:color w:val="auto"/>
          <w:sz w:val="24"/>
          <w:highlight w:val="none"/>
        </w:rPr>
        <w:t xml:space="preserve">  　　　　　</w:t>
      </w:r>
    </w:p>
    <w:p w14:paraId="000C5B4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w:t>
      </w:r>
      <w:r>
        <w:rPr>
          <w:rFonts w:hint="eastAsia" w:ascii="宋体" w:hAnsi="宋体" w:cs="宋体"/>
          <w:color w:val="auto"/>
          <w:sz w:val="24"/>
          <w:highlight w:val="none"/>
        </w:rPr>
        <w:t>浙江省宁波市海曙区咏归路150号</w:t>
      </w:r>
      <w:r>
        <w:rPr>
          <w:rFonts w:hint="eastAsia" w:asciiTheme="minorEastAsia" w:hAnsiTheme="minorEastAsia" w:eastAsiaTheme="minorEastAsia"/>
          <w:color w:val="auto"/>
          <w:sz w:val="24"/>
          <w:highlight w:val="none"/>
        </w:rPr>
        <w:t xml:space="preserve">   　　　　　</w:t>
      </w:r>
    </w:p>
    <w:p w14:paraId="691C0CE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70775F0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梁老师</w:t>
      </w:r>
    </w:p>
    <w:p w14:paraId="2E848082">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项目联系方式（询问）：0574-87078271</w:t>
      </w:r>
    </w:p>
    <w:p w14:paraId="2C42B84B">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质疑联系人：顾老师</w:t>
      </w:r>
    </w:p>
    <w:p w14:paraId="3C03708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质疑联系方式：0574-87469523</w:t>
      </w:r>
    </w:p>
    <w:p w14:paraId="6DB8E2D3">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highlight w:val="none"/>
        </w:rPr>
      </w:pPr>
      <w:bookmarkStart w:id="44" w:name="_Toc35393638"/>
      <w:bookmarkStart w:id="45" w:name="_Toc28359020"/>
      <w:bookmarkStart w:id="46" w:name="_Toc28359097"/>
      <w:bookmarkStart w:id="47" w:name="_Toc35393807"/>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13945F5B">
      <w:pPr>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称：宁波市拓帆工程管理有限公司            </w:t>
      </w:r>
    </w:p>
    <w:p w14:paraId="6CAA4137">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址：浙江省宁波市海曙区三支街151号海曙区人才开发广场二层1948工位</w:t>
      </w:r>
      <w:r>
        <w:rPr>
          <w:rFonts w:asciiTheme="minorEastAsia" w:hAnsiTheme="minorEastAsia" w:eastAsiaTheme="minorEastAsia"/>
          <w:color w:val="auto"/>
          <w:sz w:val="24"/>
          <w:highlight w:val="none"/>
        </w:rPr>
        <w:t xml:space="preserve"> </w:t>
      </w:r>
    </w:p>
    <w:p w14:paraId="7D31A7BB">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1A1AA4E1">
      <w:pPr>
        <w:pageBreakBefore w:val="0"/>
        <w:widowControl w:val="0"/>
        <w:kinsoku/>
        <w:wordWrap/>
        <w:overflowPunct/>
        <w:topLinePunct w:val="0"/>
        <w:autoSpaceDE/>
        <w:autoSpaceDN/>
        <w:bidi w:val="0"/>
        <w:snapToGrid/>
        <w:spacing w:line="360" w:lineRule="auto"/>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孙瑞瑞</w:t>
      </w:r>
    </w:p>
    <w:p w14:paraId="0F19117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18895682856</w:t>
      </w:r>
    </w:p>
    <w:p w14:paraId="3A6BFCD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严沈杰</w:t>
      </w:r>
      <w:r>
        <w:rPr>
          <w:rFonts w:hint="eastAsia" w:asciiTheme="minorEastAsia" w:hAnsiTheme="minorEastAsia" w:eastAsiaTheme="minorEastAsia"/>
          <w:color w:val="auto"/>
          <w:sz w:val="24"/>
          <w:highlight w:val="none"/>
        </w:rPr>
        <w:t xml:space="preserve">            </w:t>
      </w:r>
    </w:p>
    <w:p w14:paraId="386AEA99">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bookmarkStart w:id="48" w:name="_Toc35393808"/>
      <w:bookmarkStart w:id="49" w:name="_Toc35393639"/>
      <w:bookmarkStart w:id="50" w:name="_Toc28359021"/>
      <w:bookmarkStart w:id="51" w:name="_Toc28359098"/>
      <w:r>
        <w:rPr>
          <w:rFonts w:hint="eastAsia" w:asciiTheme="minorEastAsia" w:hAnsiTheme="minorEastAsia" w:eastAsiaTheme="minorEastAsia"/>
          <w:color w:val="auto"/>
          <w:sz w:val="24"/>
          <w:highlight w:val="none"/>
        </w:rPr>
        <w:t>13967894457</w:t>
      </w:r>
    </w:p>
    <w:p w14:paraId="7588E21A">
      <w:pPr>
        <w:spacing w:line="360" w:lineRule="auto"/>
        <w:ind w:firstLine="480"/>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440162E5">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50C1FEB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址：宁波市海曙区大梁街48号天之海大厦2楼</w:t>
      </w:r>
    </w:p>
    <w:p w14:paraId="2713728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w:t>
      </w:r>
    </w:p>
    <w:p w14:paraId="23D3C723">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 系 人：王老师</w:t>
      </w:r>
    </w:p>
    <w:p w14:paraId="004EA684">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2C5DBDBF">
      <w:pPr>
        <w:pStyle w:val="23"/>
        <w:rPr>
          <w:color w:val="auto"/>
          <w:highlight w:val="none"/>
        </w:rPr>
      </w:pPr>
    </w:p>
    <w:p w14:paraId="2BF4C5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2BBEE53">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B827197">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14:paraId="1D79D72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ABD885E">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CA9A8C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5074AE8">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CB4CD11">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6C322EF">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678DB0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D2B372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BCDAFB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10EB3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E27F5D4">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393C75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001FFB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D838B90">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2C5D27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8F1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B9B67E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B8D77A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D7756C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73CBCA6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CB8EE0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5FFD4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BB351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B29C9B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7A23523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834C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21E7FF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B4A9E8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18302E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855372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84B5C9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第二、第三成交候选供应商。供应商综合得分相同的则报价低者优先，报价也相同的，则由采购人抽签决定；如评审过程中出现本磋商采购文件未尽事宜，则由磋商小组讨论决定，并编写评审报告。</w:t>
      </w:r>
    </w:p>
    <w:p w14:paraId="6CB5C3CD">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79516A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AE19EE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8F73CC7">
      <w:pPr>
        <w:pStyle w:val="394"/>
        <w:spacing w:before="0"/>
        <w:ind w:firstLine="0" w:firstLineChars="0"/>
        <w:outlineLvl w:val="1"/>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6CE6EA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BC52D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 w:val="24"/>
          <w:highlight w:val="none"/>
        </w:rPr>
        <w:t>5.2</w:t>
      </w:r>
      <w:r>
        <w:rPr>
          <w:rFonts w:hint="eastAsia" w:asciiTheme="minorEastAsia" w:hAnsiTheme="minorEastAsia" w:eastAsiaTheme="minorEastAsia"/>
          <w:color w:val="auto"/>
          <w:szCs w:val="24"/>
          <w:highlight w:val="none"/>
        </w:rPr>
        <w:t>合同履约。</w:t>
      </w:r>
    </w:p>
    <w:p w14:paraId="0171C86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rPr>
        <w:t>采购人组织验收。</w:t>
      </w:r>
    </w:p>
    <w:p w14:paraId="73C1A3D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FCA979">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B712D4">
      <w:pPr>
        <w:pStyle w:val="394"/>
        <w:spacing w:before="0"/>
        <w:ind w:firstLine="0" w:firstLineChars="0"/>
        <w:rPr>
          <w:rFonts w:asciiTheme="minorEastAsia" w:hAnsiTheme="minorEastAsia" w:eastAsiaTheme="minorEastAsia"/>
          <w:b/>
          <w:color w:val="auto"/>
          <w:highlight w:val="none"/>
        </w:rPr>
      </w:pPr>
    </w:p>
    <w:p w14:paraId="7CF6F0BE">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0AB318A5">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1FC856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59EF4ED5">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1CC58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6D8A918D">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05EE6123">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20926E0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1178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6559C4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3C05622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5F540DC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CA1F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527EEF9">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75CD51C1">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5E35E53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cs="宋体" w:asciiTheme="minorEastAsia" w:hAnsiTheme="minorEastAsia" w:eastAsiaTheme="minorEastAsia"/>
                <w:color w:val="auto"/>
                <w:kern w:val="0"/>
                <w:sz w:val="24"/>
                <w:highlight w:val="none"/>
                <w:lang w:eastAsia="zh-CN"/>
              </w:rPr>
            </w:pPr>
            <w:r>
              <w:rPr>
                <w:rFonts w:hint="eastAsia" w:ascii="宋体" w:hAnsi="宋体" w:cs="宋体"/>
                <w:color w:val="auto"/>
                <w:kern w:val="0"/>
                <w:sz w:val="24"/>
                <w:highlight w:val="none"/>
                <w:u w:val="none"/>
                <w:lang w:val="en-US" w:eastAsia="zh-CN"/>
              </w:rPr>
              <w:t>（1）本项目为专门面向中小企业。</w:t>
            </w:r>
          </w:p>
          <w:p w14:paraId="0456FB9F">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标的：</w:t>
            </w:r>
            <w:r>
              <w:rPr>
                <w:rFonts w:hint="eastAsia" w:ascii="宋体" w:hAnsi="宋体" w:cs="宋体"/>
                <w:b w:val="0"/>
                <w:bCs w:val="0"/>
                <w:color w:val="auto"/>
                <w:kern w:val="0"/>
                <w:sz w:val="24"/>
                <w:highlight w:val="none"/>
                <w:u w:val="single"/>
              </w:rPr>
              <w:t>实施方案编制、创建</w:t>
            </w:r>
            <w:r>
              <w:rPr>
                <w:rFonts w:hint="eastAsia" w:ascii="宋体" w:hAnsi="宋体" w:cs="宋体"/>
                <w:b w:val="0"/>
                <w:bCs w:val="0"/>
                <w:color w:val="auto"/>
                <w:kern w:val="0"/>
                <w:sz w:val="24"/>
                <w:highlight w:val="none"/>
                <w:u w:val="single"/>
                <w:lang w:val="en-US" w:eastAsia="zh-CN"/>
              </w:rPr>
              <w:t>及</w:t>
            </w:r>
            <w:r>
              <w:rPr>
                <w:rFonts w:hint="eastAsia" w:ascii="宋体" w:hAnsi="宋体" w:cs="宋体"/>
                <w:b w:val="0"/>
                <w:bCs w:val="0"/>
                <w:color w:val="auto"/>
                <w:kern w:val="0"/>
                <w:sz w:val="24"/>
                <w:highlight w:val="none"/>
                <w:u w:val="single"/>
              </w:rPr>
              <w:t>验收咨询服务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p w14:paraId="77ECB459">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备注：《关于印发中小企业划型标准规定的通知》（工信部联企业〔2011〕300）：</w:t>
            </w:r>
          </w:p>
          <w:p w14:paraId="409E7CAB">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b/>
                <w:bCs/>
                <w:color w:val="auto"/>
                <w:kern w:val="0"/>
                <w:sz w:val="24"/>
                <w:highlight w:val="none"/>
                <w:lang w:eastAsia="zh-CN"/>
              </w:rPr>
              <w:t>其他未列明行业。从业人员300人以下的为中小微型企业。其中，从业人员100人及以上的为中型企业；从业人员10人及以上的为小型企业；从业人员10人以下的为微型企业。</w:t>
            </w:r>
          </w:p>
        </w:tc>
      </w:tr>
      <w:tr w14:paraId="2099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D8A8C2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705A346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31FAA4F6">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42D7223F">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C3F0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03C55B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6722399A">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183D54E4">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45CB043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9B967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0CA8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190446C">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1561DB4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3364BCF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D7DECC4">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D9A4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50A3051">
            <w:pPr>
              <w:snapToGrid w:val="0"/>
              <w:spacing w:line="400" w:lineRule="exact"/>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141304CC">
            <w:pPr>
              <w:snapToGrid w:val="0"/>
              <w:spacing w:line="400" w:lineRule="exact"/>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42AF9ABB">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06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AFBF95F">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6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7680AF47">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8085710">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47E3F4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36457B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474561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4746812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37060F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68669F4">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B62F87A">
            <w:pPr>
              <w:spacing w:line="40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17B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535C1E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436F1E00">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3E18375B">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4632D08">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6B9AD4C">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541F76B">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2C728503">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05EB14CD">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FECC1CC">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93D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23CEF31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71380866">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66D5441D">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22A32D7D">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7726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3F569E70">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13CB54F4">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640398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AA42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8ED0D0">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6BD49E40">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7A3E1101">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D60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41070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4D02B898">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2FB35B6D">
            <w:pPr>
              <w:snapToGrid w:val="0"/>
              <w:spacing w:line="400" w:lineRule="exact"/>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3F5FAD3D">
            <w:pPr>
              <w:snapToGrid w:val="0"/>
              <w:spacing w:line="400" w:lineRule="exact"/>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2、</w:t>
            </w:r>
            <w:r>
              <w:rPr>
                <w:rFonts w:hint="eastAsia" w:cs="宋体" w:asciiTheme="minorEastAsia" w:hAnsiTheme="minorEastAsia" w:eastAsiaTheme="minorEastAsia"/>
                <w:b/>
                <w:color w:val="auto"/>
                <w:kern w:val="0"/>
                <w:sz w:val="24"/>
                <w:highlight w:val="none"/>
                <w:lang w:val="zh-CN"/>
              </w:rPr>
              <w:t>本项目应以人民币报价，</w:t>
            </w:r>
            <w:r>
              <w:rPr>
                <w:rFonts w:hint="eastAsia" w:cs="宋体" w:asciiTheme="minorEastAsia" w:hAnsiTheme="minorEastAsia" w:eastAsiaTheme="minorEastAsia"/>
                <w:b/>
                <w:color w:val="auto"/>
                <w:kern w:val="0"/>
                <w:sz w:val="24"/>
                <w:highlight w:val="none"/>
                <w:lang w:val="en-US" w:eastAsia="zh-CN"/>
              </w:rPr>
              <w:t>响应</w:t>
            </w:r>
            <w:r>
              <w:rPr>
                <w:rFonts w:hint="eastAsia" w:cs="宋体" w:asciiTheme="minorEastAsia" w:hAnsiTheme="minorEastAsia" w:eastAsiaTheme="minorEastAsia"/>
                <w:b/>
                <w:color w:val="auto"/>
                <w:kern w:val="0"/>
                <w:sz w:val="24"/>
                <w:highlight w:val="none"/>
                <w:lang w:val="zh-CN"/>
              </w:rPr>
              <w:t>报价包括但不限于完成本项目的全部内容：包括人工、交通、调研、资料收集与分析、方案成果出具、专家评审（如有）、验收、保险、招标代理服务费、利润、管理费、税金、政策性文件规定及合同包含的所有风险、责任等各项应有的费用。</w:t>
            </w:r>
          </w:p>
          <w:p w14:paraId="1C70A2B1">
            <w:pPr>
              <w:snapToGrid w:val="0"/>
              <w:spacing w:line="400" w:lineRule="exact"/>
              <w:ind w:firstLine="482" w:firstLineChars="2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3、最高限价：人民币60万元，</w:t>
            </w:r>
            <w:r>
              <w:rPr>
                <w:rFonts w:hint="eastAsia" w:cs="宋体" w:asciiTheme="minorEastAsia" w:hAnsiTheme="minorEastAsia" w:eastAsiaTheme="minorEastAsia"/>
                <w:b/>
                <w:color w:val="auto"/>
                <w:kern w:val="0"/>
                <w:sz w:val="24"/>
                <w:highlight w:val="none"/>
                <w:lang w:val="zh-CN"/>
              </w:rPr>
              <w:t>报价超过最高限价的作无效标处理。</w:t>
            </w:r>
          </w:p>
          <w:p w14:paraId="54AB91B0">
            <w:pPr>
              <w:snapToGrid w:val="0"/>
              <w:spacing w:line="400" w:lineRule="exact"/>
              <w:ind w:firstLine="482" w:firstLineChars="200"/>
              <w:jc w:val="left"/>
              <w:rPr>
                <w:rFonts w:cs="宋体" w:asciiTheme="minorEastAsia" w:hAnsiTheme="minorEastAsia" w:eastAsiaTheme="minorEastAsia"/>
                <w:b/>
                <w:bCs w:val="0"/>
                <w:color w:val="auto"/>
                <w:kern w:val="0"/>
                <w:sz w:val="24"/>
                <w:highlight w:val="none"/>
                <w:lang w:val="zh-CN"/>
              </w:rPr>
            </w:pPr>
            <w:r>
              <w:rPr>
                <w:rFonts w:hint="eastAsia" w:cs="宋体" w:asciiTheme="minorEastAsia" w:hAnsiTheme="minorEastAsia" w:eastAsiaTheme="minorEastAsia"/>
                <w:b/>
                <w:bCs w:val="0"/>
                <w:color w:val="auto"/>
                <w:kern w:val="0"/>
                <w:sz w:val="24"/>
                <w:highlight w:val="none"/>
                <w:lang w:val="en-US" w:eastAsia="zh-CN"/>
              </w:rPr>
              <w:t>4、</w:t>
            </w:r>
            <w:r>
              <w:rPr>
                <w:rFonts w:hint="eastAsia" w:cs="宋体" w:asciiTheme="minorEastAsia" w:hAnsiTheme="minorEastAsia" w:eastAsiaTheme="minorEastAsia"/>
                <w:b/>
                <w:bCs w:val="0"/>
                <w:color w:val="auto"/>
                <w:kern w:val="0"/>
                <w:sz w:val="24"/>
                <w:highlight w:val="none"/>
                <w:lang w:val="zh-CN"/>
              </w:rPr>
              <w:t>最后报价出现下列情形的，响应无效：</w:t>
            </w:r>
          </w:p>
          <w:p w14:paraId="6118A7D5">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1）</w:t>
            </w: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235E7F46">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2）</w:t>
            </w: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1A2415D">
            <w:pPr>
              <w:spacing w:line="400" w:lineRule="exact"/>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sz w:val="24"/>
                <w:highlight w:val="none"/>
                <w:lang w:eastAsia="zh-CN"/>
              </w:rPr>
              <w:t>；</w:t>
            </w:r>
          </w:p>
          <w:p w14:paraId="335A9295">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4）供应商对根据修正原则修正后的报价不确认的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2FBAE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743112A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74509F2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6B13F061">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5EBE2042">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0B48944D">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邮寄地址为：浙江省宁波市鄞州区四明中路NB568电商园7号楼；</w:t>
            </w:r>
          </w:p>
          <w:p w14:paraId="61CB38CA">
            <w:pPr>
              <w:pStyle w:val="20"/>
              <w:spacing w:line="400" w:lineRule="exact"/>
              <w:rPr>
                <w:rFonts w:hint="default" w:cs="宋体" w:asciiTheme="minorEastAsia" w:hAnsiTheme="minorEastAsia" w:eastAsiaTheme="minorEastAsia"/>
                <w:color w:val="auto"/>
                <w:kern w:val="28"/>
                <w:sz w:val="24"/>
                <w:highlight w:val="none"/>
                <w:lang w:val="en-US" w:eastAsia="zh-CN"/>
              </w:rPr>
            </w:pPr>
            <w:r>
              <w:rPr>
                <w:rFonts w:hint="eastAsia" w:cs="宋体" w:asciiTheme="minorEastAsia" w:hAnsiTheme="minorEastAsia" w:eastAsiaTheme="minorEastAsia"/>
                <w:color w:val="auto"/>
                <w:kern w:val="28"/>
                <w:sz w:val="24"/>
                <w:highlight w:val="none"/>
              </w:rPr>
              <w:t>收件人：</w:t>
            </w:r>
            <w:r>
              <w:rPr>
                <w:rFonts w:hint="eastAsia" w:cs="宋体" w:asciiTheme="minorEastAsia" w:hAnsiTheme="minorEastAsia" w:eastAsiaTheme="minorEastAsia"/>
                <w:color w:val="auto"/>
                <w:kern w:val="28"/>
                <w:sz w:val="24"/>
                <w:highlight w:val="none"/>
                <w:lang w:val="en-US" w:eastAsia="zh-CN"/>
              </w:rPr>
              <w:t>孙瑞瑞</w:t>
            </w:r>
            <w:r>
              <w:rPr>
                <w:rFonts w:hint="eastAsia" w:cs="宋体" w:asciiTheme="minorEastAsia" w:hAnsiTheme="minorEastAsia" w:eastAsiaTheme="minorEastAsia"/>
                <w:color w:val="auto"/>
                <w:kern w:val="28"/>
                <w:sz w:val="24"/>
                <w:highlight w:val="none"/>
              </w:rPr>
              <w:t xml:space="preserve">  联系方式：</w:t>
            </w:r>
            <w:r>
              <w:rPr>
                <w:rFonts w:hint="eastAsia" w:cs="宋体" w:asciiTheme="minorEastAsia" w:hAnsiTheme="minorEastAsia" w:eastAsiaTheme="minorEastAsia"/>
                <w:color w:val="auto"/>
                <w:kern w:val="28"/>
                <w:sz w:val="24"/>
                <w:highlight w:val="none"/>
                <w:lang w:val="en-US" w:eastAsia="zh-CN"/>
              </w:rPr>
              <w:t>18895682856</w:t>
            </w:r>
          </w:p>
          <w:p w14:paraId="0B0819FB">
            <w:pPr>
              <w:pStyle w:val="20"/>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1D003836">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5918B7E3">
            <w:pPr>
              <w:pStyle w:val="34"/>
              <w:spacing w:line="40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val="en-US" w:eastAsia="zh-CN"/>
              </w:rPr>
              <w:t>同</w:t>
            </w:r>
            <w:r>
              <w:rPr>
                <w:rFonts w:hint="eastAsia" w:cs="宋体" w:asciiTheme="minorEastAsia" w:hAnsiTheme="minorEastAsia" w:eastAsiaTheme="minorEastAsia"/>
                <w:color w:val="auto"/>
                <w:sz w:val="24"/>
                <w:szCs w:val="24"/>
                <w:highlight w:val="none"/>
              </w:rPr>
              <w:t>响应文件开启</w:t>
            </w:r>
            <w:r>
              <w:rPr>
                <w:rFonts w:hint="eastAsia" w:cs="宋体" w:asciiTheme="minorEastAsia" w:hAnsiTheme="minorEastAsia" w:eastAsiaTheme="minorEastAsia"/>
                <w:color w:val="auto"/>
                <w:sz w:val="24"/>
                <w:szCs w:val="24"/>
                <w:highlight w:val="none"/>
                <w:lang w:val="en-US" w:eastAsia="zh-CN"/>
              </w:rPr>
              <w:t>时间</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highlight w:val="none"/>
                <w:lang w:val="en-US" w:eastAsia="zh-CN"/>
              </w:rPr>
              <w:t>孙瑞瑞18895682856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1938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07194DE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4F17D41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31" w:type="dxa"/>
            <w:tcBorders>
              <w:top w:val="single" w:color="auto" w:sz="4" w:space="0"/>
              <w:left w:val="single" w:color="auto" w:sz="4" w:space="0"/>
              <w:bottom w:val="single" w:color="auto" w:sz="4" w:space="0"/>
              <w:right w:val="single" w:color="auto" w:sz="4" w:space="0"/>
            </w:tcBorders>
            <w:vAlign w:val="center"/>
          </w:tcPr>
          <w:p w14:paraId="5FD8DB9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58DB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08BB6A3B">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07E8A9F2">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7844FBCE">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02C11594">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联合体响应的，联合体中有一方或者联合体成员根据分工按磋商文件第五部分评审标准要求提供资信证明文件的，视为符合相关要求。</w:t>
            </w:r>
          </w:p>
        </w:tc>
      </w:tr>
      <w:tr w14:paraId="3C7EB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1591804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28EB8242">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5BD41D01">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（1）收取方式：供应商应当自</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结果公告发布之日起5个工作日内一次性向采购代理机构支付代理服务费。</w:t>
            </w:r>
          </w:p>
          <w:p w14:paraId="275FDB06">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（2）采购代理服务费用收取标准：本项目采购代理服务费用参照《招标代理服务收费管理暂行办法》(计价格【2002】1980号)的规定下浮2</w:t>
            </w:r>
            <w:r>
              <w:rPr>
                <w:rFonts w:cs="宋体" w:asciiTheme="minorEastAsia" w:hAnsiTheme="minorEastAsia" w:eastAsiaTheme="minorEastAsia"/>
                <w:snapToGrid w:val="0"/>
                <w:color w:val="auto"/>
                <w:kern w:val="28"/>
                <w:sz w:val="24"/>
                <w:highlight w:val="none"/>
              </w:rPr>
              <w:t>0</w:t>
            </w:r>
            <w:r>
              <w:rPr>
                <w:rFonts w:hint="eastAsia" w:cs="宋体" w:asciiTheme="minorEastAsia" w:hAnsiTheme="minorEastAsia" w:eastAsiaTheme="minorEastAsia"/>
                <w:snapToGrid w:val="0"/>
                <w:color w:val="auto"/>
                <w:kern w:val="28"/>
                <w:sz w:val="24"/>
                <w:highlight w:val="none"/>
              </w:rPr>
              <w:t>%，以</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金额为计费基数，按费率差额定律累进计取。</w:t>
            </w:r>
          </w:p>
          <w:p w14:paraId="64F81DA2">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（3）支付形式及账号：</w:t>
            </w:r>
          </w:p>
          <w:p w14:paraId="0B346E1E">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① 代理服务费缴纳形式：汇票/电汇/现金</w:t>
            </w:r>
          </w:p>
          <w:p w14:paraId="737A48DA">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② 代理服务费汇入以下账户 ：</w:t>
            </w:r>
          </w:p>
          <w:p w14:paraId="257518F7">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开户名称：宁波市拓帆工程管理有限公司</w:t>
            </w:r>
          </w:p>
          <w:p w14:paraId="2338C579">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开户银行：台州银行宁波鄞州支行</w:t>
            </w:r>
          </w:p>
          <w:p w14:paraId="2898DB12">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银行账号：551037875800015</w:t>
            </w:r>
          </w:p>
          <w:p w14:paraId="5093CFC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（4）支付流程：</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供应商按照</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结果公告确定金额支付至采购代理机构账户后将汇款底单、开票信息和发票邮寄地址发送至</w:t>
            </w:r>
            <w:r>
              <w:rPr>
                <w:rFonts w:hint="eastAsia" w:ascii="宋体" w:hAnsi="宋体" w:cs="Times New Roman"/>
                <w:color w:val="auto"/>
                <w:kern w:val="28"/>
                <w:sz w:val="24"/>
                <w:u w:val="single" w:color="000000"/>
                <w:lang w:val="en-US" w:eastAsia="zh-CN"/>
              </w:rPr>
              <w:t>859267531</w:t>
            </w:r>
            <w:r>
              <w:rPr>
                <w:rFonts w:ascii="宋体" w:hAnsi="宋体" w:eastAsia="宋体" w:cs="Times New Roman"/>
                <w:color w:val="auto"/>
                <w:kern w:val="28"/>
                <w:sz w:val="24"/>
                <w:u w:val="single" w:color="000000"/>
              </w:rPr>
              <w:t>@qq.com</w:t>
            </w:r>
            <w:r>
              <w:rPr>
                <w:rFonts w:hint="eastAsia" w:cs="宋体" w:asciiTheme="minorEastAsia" w:hAnsiTheme="minorEastAsia" w:eastAsiaTheme="minorEastAsia"/>
                <w:snapToGrid w:val="0"/>
                <w:color w:val="auto"/>
                <w:kern w:val="28"/>
                <w:sz w:val="24"/>
                <w:highlight w:val="none"/>
              </w:rPr>
              <w:t>，采购代理机构在收到邮件后开具发票。</w:t>
            </w:r>
          </w:p>
        </w:tc>
      </w:tr>
    </w:tbl>
    <w:p w14:paraId="0D9F8E3D">
      <w:pPr>
        <w:snapToGrid w:val="0"/>
        <w:jc w:val="center"/>
        <w:rPr>
          <w:rFonts w:cs="仿宋_GB2312" w:asciiTheme="minorEastAsia" w:hAnsiTheme="minorEastAsia" w:eastAsiaTheme="minorEastAsia"/>
          <w:b/>
          <w:color w:val="auto"/>
          <w:sz w:val="32"/>
          <w:szCs w:val="20"/>
          <w:highlight w:val="none"/>
        </w:rPr>
      </w:pPr>
    </w:p>
    <w:p w14:paraId="345BD3BD">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E31A2A0">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6E00B14">
      <w:pPr>
        <w:snapToGrid w:val="0"/>
        <w:spacing w:line="360" w:lineRule="auto"/>
        <w:jc w:val="left"/>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9F8949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本磋商文件适用于该项目的邀请、响应、开启响应文件、信用信息查询、资格审查、评审、成交、合同、验收等行为（法律法规另有规定的，从其规定）。</w:t>
      </w:r>
    </w:p>
    <w:p w14:paraId="7CEEF9A5">
      <w:pPr>
        <w:adjustRightInd/>
        <w:spacing w:line="360" w:lineRule="auto"/>
        <w:outlineLvl w:val="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F337D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4F133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296C84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9BA79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777AC5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D05D8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1259D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D14A0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42A36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A36B7D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23A515ED">
      <w:pPr>
        <w:adjustRightInd/>
        <w:spacing w:line="360" w:lineRule="auto"/>
        <w:outlineLvl w:val="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AF3B937">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53FABB7">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C92A0F9">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FE33FE1">
      <w:pPr>
        <w:tabs>
          <w:tab w:val="left" w:pos="378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3D3FB95">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6159F12">
      <w:pPr>
        <w:spacing w:line="360" w:lineRule="auto"/>
        <w:jc w:val="center"/>
        <w:rPr>
          <w:rFonts w:cs="仿宋_GB2312" w:asciiTheme="minorEastAsia" w:hAnsiTheme="minorEastAsia" w:eastAsiaTheme="minorEastAsia"/>
          <w:b/>
          <w:color w:val="auto"/>
          <w:sz w:val="24"/>
          <w:highlight w:val="none"/>
        </w:rPr>
      </w:pPr>
    </w:p>
    <w:p w14:paraId="29031F88">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36475E7">
      <w:pPr>
        <w:pStyle w:val="394"/>
        <w:spacing w:before="0"/>
        <w:ind w:firstLine="0" w:firstLineChars="0"/>
        <w:outlineLvl w:val="2"/>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9F2DAE0">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9D4015A">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303DE7C">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41EA4B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C719FD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4291C88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5CADF545">
      <w:pPr>
        <w:pStyle w:val="34"/>
        <w:spacing w:line="360" w:lineRule="auto"/>
        <w:outlineLvl w:val="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EDA6EA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773BB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664D4A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23E97C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B056D5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B57A7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95F217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AD71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6F381A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65827A5">
      <w:pPr>
        <w:spacing w:line="360" w:lineRule="auto"/>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4A1B70B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p>
    <w:p w14:paraId="22073C93">
      <w:pPr>
        <w:spacing w:line="360" w:lineRule="auto"/>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1078CC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C05B018">
      <w:pPr>
        <w:spacing w:line="360" w:lineRule="auto"/>
        <w:ind w:firstLine="480" w:firstLineChars="200"/>
        <w:rPr>
          <w:rFonts w:asciiTheme="minorEastAsia" w:hAnsiTheme="minorEastAsia" w:eastAsiaTheme="minorEastAsia"/>
          <w:color w:val="auto"/>
          <w:sz w:val="24"/>
          <w:highlight w:val="none"/>
        </w:rPr>
      </w:pPr>
    </w:p>
    <w:p w14:paraId="623A3099">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13934EC7">
      <w:pPr>
        <w:pStyle w:val="34"/>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69C8DA8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1AF5536E">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5E4F1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A307B">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FA23D76">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1866E3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BE5EE1B">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1AF165">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8CE19D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C88BBE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8C0B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8AD7FD9">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B49A99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480E0BEF">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5D7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C9C6FD3">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AA3BBC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8A4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42751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07D36C5">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8EF7A7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BF3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590B7F1">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7D463D43">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EEC7B95">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1B8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CC29F6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706F06A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5ED7EAC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142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C290DB0">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656E1D0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w:t>
            </w:r>
            <w:r>
              <w:rPr>
                <w:rFonts w:hint="eastAsia" w:asciiTheme="minorEastAsia" w:hAnsiTheme="minorEastAsia" w:eastAsiaTheme="minorEastAsia"/>
                <w:color w:val="auto"/>
                <w:sz w:val="24"/>
                <w:highlight w:val="none"/>
                <w:lang w:val="en-US" w:eastAsia="zh-CN"/>
              </w:rPr>
              <w:t>其他</w:t>
            </w:r>
            <w:r>
              <w:rPr>
                <w:rFonts w:hint="eastAsia" w:asciiTheme="minorEastAsia" w:hAnsiTheme="minorEastAsia" w:eastAsiaTheme="minorEastAsia"/>
                <w:color w:val="auto"/>
                <w:sz w:val="24"/>
                <w:highlight w:val="none"/>
              </w:rPr>
              <w:t>事项提出的质疑</w:t>
            </w:r>
          </w:p>
        </w:tc>
        <w:tc>
          <w:tcPr>
            <w:tcW w:w="2232" w:type="dxa"/>
            <w:vAlign w:val="center"/>
          </w:tcPr>
          <w:p w14:paraId="43A2392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517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8D242B1">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D73BC2B">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80C0C4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097965A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14ED2E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7FF284B1">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D5FF7F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CFB972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3617F83">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E79DCD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2D8B86A">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E424069">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CE1C15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1B5DB31">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9CCEDB2">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677A9481">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EFBAC0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E0A5F1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08F651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A43A47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C5F082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投诉材料寄送相关信息详见《第一部分  邀请供应商》。</w:t>
      </w:r>
    </w:p>
    <w:p w14:paraId="12FDE8B5">
      <w:pPr>
        <w:pStyle w:val="34"/>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DC28736">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03D6A143">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7D8E4F8">
      <w:pPr>
        <w:autoSpaceDE w:val="0"/>
        <w:autoSpaceDN w:val="0"/>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6CC705B">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B2DE22F">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04028B7">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C1B1B6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AB0B7BE">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7D8D66D">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D0EF2EB">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81BB43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7459BC9">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7EA1D90">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4DC6B9B">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0C90AB7">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296B6E6">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8ECB968">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354FC327">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EC87C4C">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D33CF0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DB97C09">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4D22AC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38AD567">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DC0A678">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5D5F7A9">
      <w:pPr>
        <w:pStyle w:val="34"/>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034E651D">
      <w:pPr>
        <w:pStyle w:val="34"/>
        <w:spacing w:line="360" w:lineRule="auto"/>
        <w:ind w:firstLine="480" w:firstLineChars="200"/>
        <w:rPr>
          <w:rFonts w:hint="default" w:cs="仿宋_GB2312"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A903555">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EE20384">
      <w:pPr>
        <w:pStyle w:val="34"/>
        <w:numPr>
          <w:ilvl w:val="0"/>
          <w:numId w:val="0"/>
        </w:numPr>
        <w:spacing w:line="360" w:lineRule="auto"/>
        <w:ind w:left="420" w:leftChars="0"/>
        <w:rPr>
          <w:rFonts w:hint="eastAsia"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提供以下资料之一</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p>
    <w:p w14:paraId="31B3F665">
      <w:pPr>
        <w:pStyle w:val="34"/>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（1）中小企业声明函；</w:t>
      </w:r>
    </w:p>
    <w:p w14:paraId="4E7AA72D">
      <w:pPr>
        <w:pStyle w:val="34"/>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（2）残疾人福利性单位声明函；</w:t>
      </w:r>
    </w:p>
    <w:p w14:paraId="367E9611">
      <w:pPr>
        <w:pStyle w:val="34"/>
        <w:numPr>
          <w:ilvl w:val="0"/>
          <w:numId w:val="0"/>
        </w:numPr>
        <w:spacing w:line="360" w:lineRule="auto"/>
        <w:ind w:left="420" w:leftChars="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（3）由省级以上监狱管理局、戒毒管理局（含新疆生产建设兵团）出具的属于监狱企业的证明文件。</w:t>
      </w:r>
    </w:p>
    <w:p w14:paraId="1F4EEBAE">
      <w:pPr>
        <w:pStyle w:val="34"/>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2.1.4</w:t>
      </w:r>
      <w:r>
        <w:rPr>
          <w:rFonts w:hint="eastAsia" w:asciiTheme="minorEastAsia" w:hAnsiTheme="minorEastAsia" w:eastAsiaTheme="minorEastAsia"/>
          <w:color w:val="auto"/>
          <w:sz w:val="24"/>
          <w:highlight w:val="none"/>
          <w:lang w:val="en-US" w:eastAsia="zh-CN"/>
        </w:rPr>
        <w:t>联合体协议书（联合体参与的，请提供。格式附后）。</w:t>
      </w:r>
    </w:p>
    <w:p w14:paraId="5612BE4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无</w:t>
      </w:r>
      <w:r>
        <w:rPr>
          <w:rFonts w:hint="eastAsia" w:asciiTheme="minorEastAsia" w:hAnsiTheme="minorEastAsia" w:eastAsiaTheme="minorEastAsia"/>
          <w:color w:val="auto"/>
          <w:sz w:val="24"/>
          <w:highlight w:val="none"/>
        </w:rPr>
        <w:t>。</w:t>
      </w:r>
    </w:p>
    <w:p w14:paraId="24F22765">
      <w:pPr>
        <w:pStyle w:val="34"/>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3BE7CEC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293DCD5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32C50E9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441E7F55">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00A2A77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1C19D37B">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2F446C1">
      <w:pPr>
        <w:pStyle w:val="34"/>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2.2.7采购要求响应（偏离）表</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1B3A4458">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2.2.8</w:t>
      </w:r>
      <w:r>
        <w:rPr>
          <w:rFonts w:hint="eastAsia" w:asciiTheme="minorEastAsia" w:hAnsiTheme="minorEastAsia" w:eastAsiaTheme="minorEastAsia"/>
          <w:color w:val="auto"/>
          <w:sz w:val="24"/>
          <w:highlight w:val="none"/>
        </w:rPr>
        <w:t>商务条款响应（偏离）表（</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02CB7D66">
      <w:pPr>
        <w:pStyle w:val="34"/>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2.2.9</w:t>
      </w:r>
      <w:r>
        <w:rPr>
          <w:rFonts w:hint="eastAsia" w:asciiTheme="minorEastAsia" w:hAnsiTheme="minorEastAsia" w:eastAsiaTheme="minorEastAsia"/>
          <w:color w:val="auto"/>
          <w:sz w:val="24"/>
          <w:highlight w:val="none"/>
        </w:rPr>
        <w:t>评标标准相应的商务技术资料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格式自拟</w:t>
      </w:r>
      <w:r>
        <w:rPr>
          <w:rFonts w:hint="eastAsia" w:asciiTheme="minorEastAsia" w:hAnsiTheme="minorEastAsia" w:eastAsiaTheme="minorEastAsia"/>
          <w:color w:val="auto"/>
          <w:sz w:val="24"/>
          <w:highlight w:val="none"/>
          <w:lang w:eastAsia="zh-CN"/>
        </w:rPr>
        <w:t>）；</w:t>
      </w:r>
    </w:p>
    <w:p w14:paraId="0ABA654C">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-1）实施服务方案（格式自拟）；</w:t>
      </w:r>
    </w:p>
    <w:p w14:paraId="7B9198DB">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本项目创建、验收等过程咨询方案（格式自拟）</w:t>
      </w:r>
      <w:r>
        <w:rPr>
          <w:rFonts w:hint="eastAsia" w:asciiTheme="minorEastAsia" w:hAnsiTheme="minorEastAsia" w:eastAsiaTheme="minorEastAsia"/>
          <w:color w:val="auto"/>
          <w:sz w:val="24"/>
          <w:highlight w:val="none"/>
        </w:rPr>
        <w:t>；</w:t>
      </w:r>
    </w:p>
    <w:p w14:paraId="5E9B7425">
      <w:pPr>
        <w:pStyle w:val="34"/>
        <w:spacing w:line="360" w:lineRule="auto"/>
        <w:ind w:firstLine="480" w:firstLineChars="200"/>
        <w:rPr>
          <w:rFonts w:hint="eastAsia"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-3）拟投入本项目人员配置方案</w:t>
      </w:r>
    </w:p>
    <w:p w14:paraId="0185100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kern w:val="0"/>
          <w:sz w:val="24"/>
          <w:highlight w:val="none"/>
          <w:lang w:val="zh-CN"/>
        </w:rPr>
        <w:t>认为需要的其他商务文件或说明 (如果有) ；</w:t>
      </w:r>
    </w:p>
    <w:p w14:paraId="1F089A48">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DB1ADB6">
      <w:pPr>
        <w:pStyle w:val="34"/>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2AAFB510">
      <w:pPr>
        <w:pStyle w:val="34"/>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7818B843">
      <w:pPr>
        <w:pStyle w:val="34"/>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2.3.2</w:t>
      </w:r>
      <w:r>
        <w:rPr>
          <w:rFonts w:hint="eastAsia" w:asciiTheme="minorEastAsia" w:hAnsiTheme="minorEastAsia" w:eastAsiaTheme="minorEastAsia"/>
          <w:color w:val="auto"/>
          <w:sz w:val="24"/>
          <w:highlight w:val="none"/>
          <w:lang w:val="en-US" w:eastAsia="zh-CN"/>
        </w:rPr>
        <w:t>分项报价表；</w:t>
      </w:r>
    </w:p>
    <w:p w14:paraId="00E9AD4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其他资料（如有）。</w:t>
      </w:r>
    </w:p>
    <w:p w14:paraId="22915047">
      <w:pPr>
        <w:pStyle w:val="34"/>
        <w:spacing w:line="360" w:lineRule="auto"/>
        <w:ind w:firstLine="482" w:firstLineChars="200"/>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9A3208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71F840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966185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C86F8C4">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39E9596">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F656FDE">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87386D4">
      <w:pPr>
        <w:pStyle w:val="34"/>
        <w:spacing w:line="360" w:lineRule="auto"/>
        <w:ind w:firstLine="480" w:firstLineChars="200"/>
        <w:rPr>
          <w:rFonts w:cs="仿宋_GB2312" w:asciiTheme="minorEastAsia" w:hAnsiTheme="minorEastAsia" w:eastAsiaTheme="minorEastAsia"/>
          <w:color w:val="auto"/>
          <w:sz w:val="24"/>
          <w:szCs w:val="24"/>
          <w:highlight w:val="none"/>
        </w:rPr>
      </w:pPr>
    </w:p>
    <w:p w14:paraId="32A5DB0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886FBC5">
      <w:pPr>
        <w:pStyle w:val="394"/>
        <w:spacing w:before="0"/>
        <w:ind w:firstLine="0" w:firstLineChars="0"/>
        <w:rPr>
          <w:rFonts w:cs="仿宋_GB2312" w:asciiTheme="minorEastAsia" w:hAnsiTheme="minorEastAsia" w:eastAsiaTheme="minorEastAsia"/>
          <w:b/>
          <w:color w:val="auto"/>
          <w:szCs w:val="24"/>
          <w:highlight w:val="none"/>
        </w:rPr>
      </w:pPr>
    </w:p>
    <w:p w14:paraId="6F2E400B">
      <w:pPr>
        <w:pStyle w:val="394"/>
        <w:spacing w:before="0"/>
        <w:ind w:firstLine="0" w:firstLineChars="0"/>
        <w:outlineLvl w:val="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863A7C9">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12D1B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B6152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26E90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7CC4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C747F39">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F79B40B">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716BEE72">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52B5CE7">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41C0C96">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w:t>
      </w:r>
      <w:r>
        <w:rPr>
          <w:rFonts w:hint="eastAsia" w:cs="仿宋_GB2312" w:asciiTheme="minorEastAsia" w:hAnsiTheme="minorEastAsia" w:eastAsiaTheme="minorEastAsia"/>
          <w:color w:val="auto"/>
          <w:sz w:val="24"/>
          <w:szCs w:val="24"/>
          <w:highlight w:val="none"/>
          <w:lang w:val="en-US" w:eastAsia="zh-CN"/>
        </w:rPr>
        <w:t>泄漏</w:t>
      </w:r>
      <w:r>
        <w:rPr>
          <w:rFonts w:hint="eastAsia" w:cs="仿宋_GB2312" w:asciiTheme="minorEastAsia" w:hAnsiTheme="minorEastAsia" w:eastAsiaTheme="minorEastAsia"/>
          <w:color w:val="auto"/>
          <w:sz w:val="24"/>
          <w:szCs w:val="24"/>
          <w:highlight w:val="none"/>
        </w:rPr>
        <w:t>、遗失、损坏或延期送达等情况的，由供应商自行负责。</w:t>
      </w:r>
    </w:p>
    <w:p w14:paraId="1D915C16">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8BA4061">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1EE5B99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BD33C88">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10536B3">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FDA52A0">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79B53DC">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8A6287D">
      <w:pPr>
        <w:pStyle w:val="394"/>
        <w:spacing w:before="0"/>
        <w:ind w:firstLine="0" w:firstLineChars="0"/>
        <w:outlineLvl w:val="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68DEB64">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4DD7DB6C">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8FD1453">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612E12F7">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37B44F">
      <w:pPr>
        <w:pStyle w:val="34"/>
        <w:spacing w:line="360" w:lineRule="auto"/>
        <w:rPr>
          <w:rFonts w:cs="仿宋_GB2312" w:asciiTheme="minorEastAsia" w:hAnsiTheme="minorEastAsia" w:eastAsiaTheme="minorEastAsia"/>
          <w:b/>
          <w:color w:val="auto"/>
          <w:sz w:val="24"/>
          <w:szCs w:val="24"/>
          <w:highlight w:val="none"/>
        </w:rPr>
      </w:pPr>
    </w:p>
    <w:p w14:paraId="7CCC5030">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3979ADB">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2FD5EE4">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9CD915">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7667A194">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1915235">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D8624BA">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77EF3223">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EFD9AEB">
      <w:pPr>
        <w:adjustRightInd/>
        <w:spacing w:line="360" w:lineRule="auto"/>
        <w:jc w:val="center"/>
        <w:outlineLvl w:val="9"/>
        <w:rPr>
          <w:rFonts w:cs="仿宋_GB2312" w:asciiTheme="minorEastAsia" w:hAnsiTheme="minorEastAsia" w:eastAsiaTheme="minorEastAsia"/>
          <w:color w:val="auto"/>
          <w:sz w:val="24"/>
          <w:highlight w:val="none"/>
        </w:rPr>
      </w:pPr>
    </w:p>
    <w:p w14:paraId="4C684E27">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02D08EE">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F93750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1B0327B">
      <w:pPr>
        <w:pStyle w:val="34"/>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968457C">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49F8AF1">
      <w:pPr>
        <w:tabs>
          <w:tab w:val="left" w:pos="0"/>
        </w:tabs>
        <w:spacing w:line="360" w:lineRule="auto"/>
        <w:outlineLvl w:val="2"/>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B12F442">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42F9DA46">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成交公告期限以及评审专家名单、评分汇总及明细。</w:t>
      </w:r>
    </w:p>
    <w:p w14:paraId="7BA1CB44">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DE0DED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733B3A8">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B295E64">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29D9C44">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3635D63">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79E7123F">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1CDC69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305817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3AF7F7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F22488D">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D9F8EC5">
      <w:pPr>
        <w:tabs>
          <w:tab w:val="left" w:pos="0"/>
        </w:tabs>
        <w:spacing w:line="360" w:lineRule="auto"/>
        <w:rPr>
          <w:rFonts w:cs="宋体" w:asciiTheme="minorEastAsia" w:hAnsiTheme="minorEastAsia" w:eastAsiaTheme="minorEastAsia"/>
          <w:snapToGrid w:val="0"/>
          <w:color w:val="auto"/>
          <w:kern w:val="28"/>
          <w:sz w:val="24"/>
          <w:highlight w:val="none"/>
        </w:rPr>
      </w:pPr>
    </w:p>
    <w:p w14:paraId="2DFE4F9A">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0377371">
      <w:pPr>
        <w:pStyle w:val="25"/>
        <w:spacing w:line="360" w:lineRule="auto"/>
        <w:ind w:firstLine="0" w:firstLineChars="0"/>
        <w:outlineLvl w:val="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A0F865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C8A58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D7DD26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86C48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82EBDE">
      <w:pPr>
        <w:snapToGrid w:val="0"/>
        <w:spacing w:line="360" w:lineRule="auto"/>
        <w:jc w:val="center"/>
        <w:rPr>
          <w:rFonts w:cs="仿宋_GB2312" w:asciiTheme="minorEastAsia" w:hAnsiTheme="minorEastAsia" w:eastAsiaTheme="minorEastAsia"/>
          <w:b/>
          <w:color w:val="auto"/>
          <w:sz w:val="36"/>
          <w:szCs w:val="36"/>
          <w:highlight w:val="none"/>
        </w:rPr>
      </w:pPr>
    </w:p>
    <w:p w14:paraId="14D20A9F">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69A44B2">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BF57AD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34BB50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E02304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98D5BE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62FE39E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908E42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EA1CA8F">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68057669"/>
      <w:bookmarkEnd w:id="53"/>
      <w:bookmarkStart w:id="54" w:name="_Hlt74714665"/>
      <w:bookmarkEnd w:id="54"/>
      <w:bookmarkStart w:id="55" w:name="_Hlt75236101"/>
      <w:bookmarkEnd w:id="55"/>
      <w:bookmarkStart w:id="56" w:name="_Hlt74730295"/>
      <w:bookmarkEnd w:id="56"/>
      <w:bookmarkStart w:id="57" w:name="_Hlt74707468"/>
      <w:bookmarkEnd w:id="57"/>
      <w:bookmarkStart w:id="58" w:name="_Hlt75236290"/>
      <w:bookmarkEnd w:id="58"/>
      <w:bookmarkStart w:id="59" w:name="_Hlt75236011"/>
      <w:bookmarkEnd w:id="59"/>
      <w:bookmarkStart w:id="60" w:name="_Hlt74729768"/>
      <w:bookmarkEnd w:id="60"/>
      <w:bookmarkStart w:id="61" w:name="_Hlt68072990"/>
      <w:bookmarkEnd w:id="61"/>
      <w:bookmarkStart w:id="62" w:name="第三部分"/>
      <w:bookmarkStart w:id="63" w:name="_Toc164416483"/>
      <w:r>
        <w:rPr>
          <w:rFonts w:cs="仿宋_GB2312" w:asciiTheme="minorEastAsia" w:hAnsiTheme="minorEastAsia" w:eastAsiaTheme="minorEastAsia"/>
          <w:b/>
          <w:color w:val="auto"/>
          <w:sz w:val="36"/>
          <w:szCs w:val="36"/>
          <w:highlight w:val="none"/>
        </w:rPr>
        <w:br w:type="page"/>
      </w:r>
    </w:p>
    <w:p w14:paraId="5061AD9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B8936ED">
      <w:pPr>
        <w:pStyle w:val="34"/>
        <w:adjustRightInd/>
        <w:snapToGrid w:val="0"/>
        <w:spacing w:line="360" w:lineRule="auto"/>
        <w:outlineLvl w:val="1"/>
        <w:rPr>
          <w:rFonts w:hint="eastAsia" w:ascii="宋体" w:hAnsi="宋体" w:eastAsia="宋体" w:cs="宋体"/>
          <w:b/>
          <w:bCs/>
          <w:color w:val="auto"/>
          <w:sz w:val="24"/>
          <w:szCs w:val="24"/>
          <w:highlight w:val="none"/>
          <w:lang w:eastAsia="zh-CN"/>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lang w:val="en-US" w:eastAsia="zh-CN"/>
        </w:rPr>
        <w:t>采购</w:t>
      </w:r>
      <w:r>
        <w:rPr>
          <w:rFonts w:hint="eastAsia" w:cs="宋体" w:asciiTheme="minorEastAsia" w:hAnsiTheme="minorEastAsia" w:eastAsiaTheme="minorEastAsia"/>
          <w:b/>
          <w:bCs/>
          <w:color w:val="auto"/>
          <w:spacing w:val="-6"/>
          <w:sz w:val="24"/>
          <w:szCs w:val="24"/>
          <w:highlight w:val="none"/>
        </w:rPr>
        <w:t>要求</w:t>
      </w:r>
    </w:p>
    <w:p w14:paraId="7F6D553F">
      <w:pPr>
        <w:snapToGrid w:val="0"/>
        <w:spacing w:line="360" w:lineRule="auto"/>
        <w:ind w:firstLine="482" w:firstLineChars="200"/>
        <w:rPr>
          <w:rFonts w:hint="eastAsia" w:ascii="宋体" w:hAnsi="宋体" w:cs="宋体"/>
          <w:b/>
          <w:bCs/>
          <w:sz w:val="24"/>
          <w:szCs w:val="24"/>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）项目概况</w:t>
      </w:r>
    </w:p>
    <w:p w14:paraId="75FA321D">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eastAsia="zh-CN"/>
        </w:rPr>
        <w:t>本项目主要涉及南门街道车站未来社区建设的提升改造、数字化工程及运营服务项目。主要建设内容包括社区党群服务中心、居家养老服务站、居民自治站等室内装修工程；车站未来社区平台开发建设等数字化工程以及后续的运营服务工作。</w:t>
      </w:r>
    </w:p>
    <w:p w14:paraId="71B834F3">
      <w:pPr>
        <w:numPr>
          <w:ilvl w:val="0"/>
          <w:numId w:val="0"/>
        </w:numPr>
        <w:snapToGrid w:val="0"/>
        <w:spacing w:line="360" w:lineRule="auto"/>
        <w:ind w:firstLine="482" w:firstLineChars="200"/>
        <w:rPr>
          <w:rFonts w:hint="eastAsia" w:ascii="宋体" w:hAnsi="宋体" w:cs="宋体"/>
          <w:b/>
          <w:bCs/>
          <w:sz w:val="24"/>
          <w:szCs w:val="24"/>
          <w:lang w:eastAsia="zh-CN"/>
        </w:rPr>
      </w:pPr>
      <w:r>
        <w:rPr>
          <w:rFonts w:hint="eastAsia" w:ascii="宋体" w:hAnsi="宋体" w:eastAsia="宋体" w:cs="宋体"/>
          <w:b/>
          <w:bCs/>
          <w:kern w:val="2"/>
          <w:sz w:val="24"/>
          <w:szCs w:val="24"/>
          <w:lang w:val="en-US" w:eastAsia="zh-CN" w:bidi="ar-SA"/>
        </w:rPr>
        <w:t>（二）</w:t>
      </w:r>
      <w:r>
        <w:rPr>
          <w:rFonts w:hint="eastAsia" w:ascii="宋体" w:hAnsi="宋体" w:cs="宋体"/>
          <w:b/>
          <w:bCs/>
          <w:sz w:val="24"/>
          <w:szCs w:val="24"/>
          <w:lang w:eastAsia="zh-CN"/>
        </w:rPr>
        <w:t>招标范围</w:t>
      </w:r>
    </w:p>
    <w:p w14:paraId="7C2CB3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南门街道车站未来社区项目实施方案编制并提供完成创建与验收通过等过程咨询和台账服务；协助街道做好全域未来社区方案与验收相关工作。具体内容如下：</w:t>
      </w:r>
    </w:p>
    <w:p w14:paraId="10FD2174">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实施方案编制</w:t>
      </w:r>
    </w:p>
    <w:p w14:paraId="43566EE1">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1、项目基本情况、总说明。</w:t>
      </w:r>
    </w:p>
    <w:p w14:paraId="1942D5DB">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2、创建目标：针对未来社区创建要求，提出未来社区创建思路、目标定位和特色亮点场景选定。</w:t>
      </w:r>
    </w:p>
    <w:p w14:paraId="155FD80D">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3、总体空间设计：围绕社区创建目标，合理确定改造布局，提出调整提升方案，包括总体设计策略、总体改造更新图、改造内容及相应改造措施等内容。</w:t>
      </w:r>
    </w:p>
    <w:p w14:paraId="33E5093B">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4、场景设计与技术要求：充分考虑社区人口构成与需求，按照社区5-10-15分钟生活圈建设要求，明确场景设施布局。</w:t>
      </w:r>
    </w:p>
    <w:p w14:paraId="53F283F3">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14:paraId="4CAB3329">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6、运营组织：明确公益性、惠民及商业经营性业态空间布局；明确运营主体和运营组织架构。针对“邻里场景、低碳场景、教育场景、健康场景、治理场景、服务场景、交通场景、创业场景、建筑场景”九大场景，编制分场景系统性方案。</w:t>
      </w:r>
    </w:p>
    <w:p w14:paraId="5B134EF6">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7、实施推进计划：包括但不限于建设进度计划内容。</w:t>
      </w:r>
    </w:p>
    <w:p w14:paraId="2408DFB9">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8、估算与资金平衡：明确未来社区项目创建过程中成本支出与收入项目，确定创建期政府方需投入资金与收益情况。</w:t>
      </w:r>
    </w:p>
    <w:p w14:paraId="075D7253">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创建、验收等过程咨询</w:t>
      </w:r>
    </w:p>
    <w:p w14:paraId="6F8E2128">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1、创建咨询：创建政策研究、创建表及相关资料梳理制作、创建方案汇报、专家组对接、对接区、市、省创建评审工作、根据评审意见调整创建材料；创建过程中项目各类汇报材料。</w:t>
      </w:r>
    </w:p>
    <w:p w14:paraId="43BBFB4A">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2、运营咨询：在项目创建过程中，配合街道、社区参与项目运营相关会议（必要时），在过程中优化实施方案，建立未来社区公益型运营咨询；协助社区对接洽谈各个意向运营单位，协助社区选择适合的运营单位，优化业态配比，提供运营咨询服务。</w:t>
      </w:r>
    </w:p>
    <w:p w14:paraId="3BC028D2">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3、建设咨询：针对创建过程中场景空间的改造和装修工作，提供建设咨询服务及过程管理：图纸审核与优化、场景工程条件指导（根据创建需求对改造的智能化硬件提升建议和审核）、参观动线规划与优化。</w:t>
      </w:r>
    </w:p>
    <w:p w14:paraId="4443EB20">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4、验收咨询：验收相关台账整理与收集以及通过验收相关咨询与服务；验收相关迎检手册、宣传视频的基础资料整理、思路指导等咨询服务。</w:t>
      </w:r>
    </w:p>
    <w:p w14:paraId="0B924DED">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5、相关系统与数据库：项目创建过程中的相关系统填报、数据更新、项目信息录入等。</w:t>
      </w:r>
    </w:p>
    <w:p w14:paraId="4600750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、项目质量要求</w:t>
      </w:r>
    </w:p>
    <w:p w14:paraId="1A95FB6A">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符合采购人提出的要求，如因成果编制不明，需要</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人现场说明或出具资料补充的，</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人必须予以积极配合，否则采购人按合同违约条款约定处理。</w:t>
      </w:r>
    </w:p>
    <w:p w14:paraId="06DAC6A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、项目成果要求</w:t>
      </w:r>
    </w:p>
    <w:p w14:paraId="1203066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成果主要包括实施方案文本及清单、验收相关台账，要求提供纸质文本不少于3套，电子文本（PDF格式、DWG格式等）不少于2套。注：如采购人后期需要纸质版本的文本，</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人须按采购人的要求提供，相关费用已包含在报价中。</w:t>
      </w:r>
    </w:p>
    <w:p w14:paraId="19185C5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、时间进度要求</w:t>
      </w:r>
    </w:p>
    <w:p w14:paraId="757E4F18">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1、2024年</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月</w:t>
      </w:r>
      <w:r>
        <w:rPr>
          <w:rFonts w:hint="eastAsia" w:ascii="宋体" w:hAnsi="宋体" w:eastAsia="宋体" w:cs="宋体"/>
          <w:bCs/>
          <w:color w:val="auto"/>
          <w:highlight w:val="none"/>
          <w:lang w:val="en-US" w:eastAsia="zh-CN"/>
        </w:rPr>
        <w:t>20</w:t>
      </w:r>
      <w:r>
        <w:rPr>
          <w:rFonts w:hint="eastAsia" w:ascii="宋体" w:hAnsi="宋体" w:eastAsia="宋体" w:cs="宋体"/>
          <w:bCs/>
          <w:color w:val="auto"/>
          <w:highlight w:val="none"/>
        </w:rPr>
        <w:t>日前提交实施方案编制成果，具体时间进度要求如下：</w:t>
      </w:r>
    </w:p>
    <w:p w14:paraId="78E138AA">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（1）合同签订后</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日内，完成并提交实施方案初稿；</w:t>
      </w:r>
    </w:p>
    <w:p w14:paraId="4B008228">
      <w:pPr>
        <w:pStyle w:val="2"/>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（2）合同签订后</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日内，根据区政府及相关部门修改意见形成整个项目的审查稿；</w:t>
      </w:r>
    </w:p>
    <w:p w14:paraId="51F18841">
      <w:pPr>
        <w:pStyle w:val="2"/>
        <w:ind w:firstLine="480"/>
        <w:rPr>
          <w:rFonts w:ascii="宋体" w:hAnsi="宋体" w:eastAsia="宋体" w:cs="宋体"/>
          <w:bCs/>
          <w:color w:val="auto"/>
          <w:highlight w:val="none"/>
        </w:rPr>
      </w:pPr>
      <w:r>
        <w:rPr>
          <w:rFonts w:hint="eastAsia" w:ascii="宋体" w:hAnsi="宋体" w:eastAsia="宋体" w:cs="宋体"/>
          <w:bCs/>
          <w:color w:val="auto"/>
          <w:highlight w:val="none"/>
        </w:rPr>
        <w:t>（3）2024年</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月</w:t>
      </w:r>
      <w:r>
        <w:rPr>
          <w:rFonts w:hint="eastAsia" w:ascii="宋体" w:hAnsi="宋体" w:eastAsia="宋体" w:cs="宋体"/>
          <w:bCs/>
          <w:color w:val="auto"/>
          <w:highlight w:val="none"/>
          <w:lang w:val="en-US" w:eastAsia="zh-CN"/>
        </w:rPr>
        <w:t>20</w:t>
      </w:r>
      <w:r>
        <w:rPr>
          <w:rFonts w:hint="eastAsia" w:ascii="宋体" w:hAnsi="宋体" w:eastAsia="宋体" w:cs="宋体"/>
          <w:bCs/>
          <w:color w:val="auto"/>
          <w:highlight w:val="none"/>
        </w:rPr>
        <w:t>日前，优化调整形成最终成果稿。</w:t>
      </w:r>
    </w:p>
    <w:p w14:paraId="50AF409C">
      <w:pPr>
        <w:pStyle w:val="2"/>
        <w:ind w:firstLine="480"/>
        <w:rPr>
          <w:color w:val="auto"/>
          <w:highlight w:val="none"/>
        </w:rPr>
      </w:pPr>
      <w:r>
        <w:rPr>
          <w:rFonts w:hint="eastAsia" w:ascii="宋体" w:hAnsi="宋体" w:eastAsia="宋体" w:cs="宋体"/>
          <w:bCs/>
          <w:color w:val="auto"/>
          <w:highlight w:val="none"/>
          <w:lang w:val="en-US" w:eastAsia="zh-CN"/>
        </w:rPr>
        <w:t>5.2</w:t>
      </w:r>
      <w:r>
        <w:rPr>
          <w:rFonts w:hint="eastAsia" w:ascii="宋体" w:hAnsi="宋体" w:eastAsia="宋体" w:cs="宋体"/>
          <w:bCs/>
          <w:color w:val="auto"/>
          <w:highlight w:val="none"/>
        </w:rPr>
        <w:t>、创建过程综合性咨询服务自</w:t>
      </w:r>
      <w:r>
        <w:rPr>
          <w:rFonts w:hint="eastAsia" w:ascii="宋体" w:hAnsi="宋体" w:eastAsia="宋体" w:cs="宋体"/>
          <w:bCs/>
          <w:color w:val="auto"/>
          <w:highlight w:val="none"/>
          <w:lang w:val="en-US" w:eastAsia="zh-CN"/>
        </w:rPr>
        <w:t>车站社区</w:t>
      </w:r>
      <w:r>
        <w:rPr>
          <w:rFonts w:hint="eastAsia" w:ascii="宋体" w:hAnsi="宋体" w:eastAsia="宋体" w:cs="宋体"/>
          <w:bCs/>
          <w:color w:val="auto"/>
          <w:highlight w:val="none"/>
        </w:rPr>
        <w:t>未来社区通过市级</w:t>
      </w:r>
      <w:r>
        <w:rPr>
          <w:rFonts w:hint="eastAsia" w:ascii="宋体" w:hAnsi="宋体" w:eastAsia="宋体" w:cs="宋体"/>
          <w:bCs/>
          <w:color w:val="auto"/>
          <w:highlight w:val="none"/>
          <w:lang w:val="en-US" w:eastAsia="zh-CN"/>
        </w:rPr>
        <w:t>或</w:t>
      </w:r>
      <w:r>
        <w:rPr>
          <w:rFonts w:hint="eastAsia" w:ascii="宋体" w:hAnsi="宋体" w:eastAsia="宋体" w:cs="宋体"/>
          <w:bCs/>
          <w:color w:val="auto"/>
          <w:highlight w:val="none"/>
        </w:rPr>
        <w:t>省级未来社区验收为止。</w:t>
      </w:r>
    </w:p>
    <w:p w14:paraId="6E4E73F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、其他要求</w:t>
      </w:r>
    </w:p>
    <w:p w14:paraId="52C4B08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1）人员及设备配备要求：在合同履约期间，</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人必须按时完成任务并配备足够的人员和设备，以保证项目完成的质量。</w:t>
      </w:r>
    </w:p>
    <w:p w14:paraId="5EB4785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人必须对收集的基础资料及成果承担安全、保密责任。</w:t>
      </w:r>
    </w:p>
    <w:p w14:paraId="4C78966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3）安全文明作业要求：</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人必须重视安全文明工作，并按相关技术规程、规范和规定进行作业，确保不出安全责任事故。如发生安全生产责任事故或交通事故，由</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人承担一切责任及损失。</w:t>
      </w:r>
    </w:p>
    <w:p w14:paraId="492E416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4）合同履行期间因政策、制度等因素造成工作内容变化，导致服务工作内容发生重大调整的，双方根据具体内容对相关费用进行协商解决。对项目验收造成影响的工作内容，</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人积极配合响应并要求实施到位，项目评审、验收、实施过程中需要对方案调整修改的，</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人须积极响应按要求作相应调整修改，直至项目各环节审批通过，上述不得以任何形式或理由要求增加相关费用，供应商参加招投标活动时须考虑相关风险。</w:t>
      </w:r>
    </w:p>
    <w:p w14:paraId="71C8455D">
      <w:pPr>
        <w:widowControl w:val="0"/>
        <w:numPr>
          <w:ilvl w:val="0"/>
          <w:numId w:val="0"/>
        </w:numPr>
        <w:spacing w:line="360" w:lineRule="auto"/>
        <w:ind w:firstLine="482"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bCs w:val="0"/>
          <w:color w:val="auto"/>
          <w:sz w:val="24"/>
          <w:highlight w:val="none"/>
          <w:lang w:val="en-US" w:eastAsia="zh-CN"/>
        </w:rPr>
        <w:t>成交</w:t>
      </w:r>
      <w:r>
        <w:rPr>
          <w:rFonts w:hint="eastAsia" w:ascii="宋体" w:hAnsi="宋体" w:cs="宋体"/>
          <w:b/>
          <w:bCs w:val="0"/>
          <w:color w:val="auto"/>
          <w:sz w:val="24"/>
          <w:highlight w:val="none"/>
        </w:rPr>
        <w:t>人</w:t>
      </w:r>
      <w:r>
        <w:rPr>
          <w:rFonts w:hint="eastAsia" w:ascii="宋体" w:hAnsi="宋体" w:cs="宋体"/>
          <w:b/>
          <w:color w:val="auto"/>
          <w:sz w:val="24"/>
          <w:highlight w:val="none"/>
        </w:rPr>
        <w:t>须按时、按要求完成本项目未来社区实施方案编制及创建咨询服务工作，完成项目的申报、修改、评估、验收等一系列全部工作内容，按规定时间通过省</w:t>
      </w:r>
      <w:r>
        <w:rPr>
          <w:rFonts w:hint="eastAsia" w:ascii="宋体" w:hAnsi="宋体" w:cs="宋体"/>
          <w:b/>
          <w:color w:val="auto"/>
          <w:sz w:val="24"/>
          <w:highlight w:val="none"/>
          <w:lang w:val="en-US" w:eastAsia="zh-CN"/>
        </w:rPr>
        <w:t xml:space="preserve">或 </w:t>
      </w:r>
      <w:r>
        <w:rPr>
          <w:rFonts w:hint="eastAsia" w:ascii="宋体" w:hAnsi="宋体" w:cs="宋体"/>
          <w:b/>
          <w:color w:val="auto"/>
          <w:sz w:val="24"/>
          <w:highlight w:val="none"/>
        </w:rPr>
        <w:t>市两级验收。</w:t>
      </w:r>
    </w:p>
    <w:p w14:paraId="50E3122F">
      <w:pPr>
        <w:pStyle w:val="73"/>
        <w:spacing w:line="360" w:lineRule="auto"/>
        <w:rPr>
          <w:rFonts w:hint="default" w:ascii="宋体" w:hAnsi="宋体" w:eastAsia="宋体"/>
          <w:color w:val="auto"/>
          <w:szCs w:val="21"/>
          <w:highlight w:val="none"/>
          <w:lang w:val="en-US" w:eastAsia="zh-CN"/>
        </w:rPr>
        <w:sectPr>
          <w:headerReference r:id="rId4" w:type="first"/>
          <w:footerReference r:id="rId6" w:type="first"/>
          <w:headerReference r:id="rId3" w:type="default"/>
          <w:footerReference r:id="rId5" w:type="default"/>
          <w:pgSz w:w="11906" w:h="16838"/>
          <w:pgMar w:top="1247" w:right="1418" w:bottom="1276" w:left="1418" w:header="851" w:footer="992" w:gutter="0"/>
          <w:pgNumType w:fmt="decimal"/>
          <w:cols w:space="720" w:num="1"/>
          <w:titlePg/>
          <w:docGrid w:linePitch="312" w:charSpace="0"/>
        </w:sectPr>
      </w:pPr>
    </w:p>
    <w:p w14:paraId="4D6D00C2">
      <w:pPr>
        <w:spacing w:line="360" w:lineRule="auto"/>
        <w:textAlignment w:val="baseline"/>
        <w:outlineLvl w:val="1"/>
        <w:rPr>
          <w:rFonts w:cs="宋体" w:asciiTheme="minorEastAsia" w:hAnsiTheme="minorEastAsia" w:eastAsiaTheme="minorEastAsia"/>
          <w:b/>
          <w:color w:val="auto"/>
          <w:kern w:val="1"/>
          <w:sz w:val="24"/>
          <w:highlight w:val="none"/>
        </w:rPr>
      </w:pPr>
      <w:r>
        <w:rPr>
          <w:rFonts w:hint="eastAsia" w:cs="宋体" w:asciiTheme="minorEastAsia" w:hAnsiTheme="minorEastAsia" w:eastAsiaTheme="minorEastAsia"/>
          <w:b/>
          <w:color w:val="auto"/>
          <w:kern w:val="1"/>
          <w:sz w:val="24"/>
          <w:highlight w:val="none"/>
        </w:rPr>
        <w:t>二、商务要求</w:t>
      </w:r>
    </w:p>
    <w:tbl>
      <w:tblPr>
        <w:tblStyle w:val="62"/>
        <w:tblW w:w="8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6325"/>
      </w:tblGrid>
      <w:tr w14:paraId="5DB86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2376" w:type="dxa"/>
            <w:vAlign w:val="center"/>
          </w:tcPr>
          <w:p w14:paraId="4D20FC5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▲项目完成时间</w:t>
            </w:r>
          </w:p>
        </w:tc>
        <w:tc>
          <w:tcPr>
            <w:tcW w:w="6325" w:type="dxa"/>
            <w:vAlign w:val="center"/>
          </w:tcPr>
          <w:p w14:paraId="057E6A15">
            <w:pPr>
              <w:spacing w:line="400" w:lineRule="exact"/>
              <w:rPr>
                <w:rFonts w:cs="宋体"/>
                <w:color w:val="auto"/>
                <w:sz w:val="24"/>
                <w:highlight w:val="none"/>
              </w:rPr>
            </w:pPr>
            <w:r>
              <w:rPr>
                <w:rFonts w:hint="eastAsia" w:ascii="宋体" w:hAnsi="宋体" w:cs="宋体"/>
                <w:bCs/>
                <w:color w:val="auto"/>
                <w:sz w:val="24"/>
                <w:highlight w:val="none"/>
              </w:rPr>
              <w:t>合同签订之日起至完成未来社区验收之日止，具体详见服务进度要求。</w:t>
            </w:r>
          </w:p>
        </w:tc>
      </w:tr>
      <w:tr w14:paraId="1A6EA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376" w:type="dxa"/>
            <w:vAlign w:val="center"/>
          </w:tcPr>
          <w:p w14:paraId="06B3D3A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6325" w:type="dxa"/>
            <w:vAlign w:val="center"/>
          </w:tcPr>
          <w:p w14:paraId="05C3C592">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1、预付款：在合同生效以及具备实施条件后7个工作日内支付合同金额的40%。</w:t>
            </w:r>
          </w:p>
          <w:p w14:paraId="01F50A34">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2、实施方案优化调整，通过专家评审并完成备案，由采购人向中标人支付至合同金额的60%；</w:t>
            </w:r>
          </w:p>
          <w:p w14:paraId="1DB4E2C3">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3、工程完工经采购人确认后30个工作日内，由采购人向中标人支付至合同金额的80%；</w:t>
            </w:r>
          </w:p>
          <w:p w14:paraId="4570FB8A">
            <w:pPr>
              <w:spacing w:line="400" w:lineRule="exact"/>
              <w:rPr>
                <w:rFonts w:ascii="宋体" w:hAnsi="宋体" w:cs="宋体"/>
                <w:bCs/>
                <w:color w:val="auto"/>
                <w:sz w:val="24"/>
                <w:highlight w:val="none"/>
              </w:rPr>
            </w:pPr>
            <w:r>
              <w:rPr>
                <w:rFonts w:hint="eastAsia" w:ascii="宋体" w:hAnsi="宋体" w:cs="宋体"/>
                <w:bCs/>
                <w:color w:val="auto"/>
                <w:sz w:val="24"/>
                <w:highlight w:val="none"/>
              </w:rPr>
              <w:t>4、通过省</w:t>
            </w:r>
            <w:r>
              <w:rPr>
                <w:rFonts w:hint="eastAsia" w:ascii="宋体" w:hAnsi="宋体" w:cs="宋体"/>
                <w:bCs/>
                <w:color w:val="auto"/>
                <w:sz w:val="24"/>
                <w:highlight w:val="none"/>
                <w:lang w:val="en-US" w:eastAsia="zh-CN"/>
              </w:rPr>
              <w:t>或</w:t>
            </w:r>
            <w:r>
              <w:rPr>
                <w:rFonts w:hint="eastAsia" w:ascii="宋体" w:hAnsi="宋体" w:cs="宋体"/>
                <w:bCs/>
                <w:color w:val="auto"/>
                <w:sz w:val="24"/>
                <w:highlight w:val="none"/>
              </w:rPr>
              <w:t>市级未来社区验收合格后30个工作日内，由采购人向中标人支付至合同金额的100%。</w:t>
            </w:r>
          </w:p>
        </w:tc>
      </w:tr>
      <w:tr w14:paraId="48B8E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376" w:type="dxa"/>
            <w:vAlign w:val="center"/>
          </w:tcPr>
          <w:p w14:paraId="22EA319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325" w:type="dxa"/>
            <w:vAlign w:val="center"/>
          </w:tcPr>
          <w:p w14:paraId="0D7D3424">
            <w:pPr>
              <w:spacing w:line="400" w:lineRule="exact"/>
              <w:rPr>
                <w:rFonts w:ascii="宋体" w:hAnsi="宋体" w:cs="宋体"/>
                <w:bCs/>
                <w:color w:val="auto"/>
                <w:sz w:val="24"/>
                <w:highlight w:val="none"/>
              </w:rPr>
            </w:pPr>
            <w:r>
              <w:rPr>
                <w:rFonts w:hint="eastAsia" w:ascii="宋体" w:hAnsi="宋体" w:cs="宋体"/>
                <w:bCs/>
                <w:color w:val="auto"/>
                <w:sz w:val="24"/>
                <w:highlight w:val="none"/>
              </w:rPr>
              <w:t>金额：合同金额的1%。</w:t>
            </w:r>
          </w:p>
          <w:p w14:paraId="17460B18">
            <w:pPr>
              <w:spacing w:line="400" w:lineRule="exact"/>
              <w:rPr>
                <w:rFonts w:ascii="宋体" w:hAnsi="宋体" w:cs="宋体"/>
                <w:bCs/>
                <w:color w:val="auto"/>
                <w:sz w:val="24"/>
                <w:highlight w:val="none"/>
              </w:rPr>
            </w:pPr>
            <w:r>
              <w:rPr>
                <w:rFonts w:hint="eastAsia" w:ascii="宋体" w:hAnsi="宋体" w:cs="宋体"/>
                <w:bCs/>
                <w:color w:val="auto"/>
                <w:sz w:val="24"/>
                <w:highlight w:val="none"/>
              </w:rPr>
              <w:t>形式：以银行或保险公司出具的保函的形式或其他非现金形式。</w:t>
            </w:r>
          </w:p>
          <w:p w14:paraId="75244C2A">
            <w:pPr>
              <w:spacing w:line="400" w:lineRule="exact"/>
              <w:rPr>
                <w:rFonts w:ascii="宋体" w:hAnsi="宋体" w:cs="宋体"/>
                <w:bCs/>
                <w:color w:val="auto"/>
                <w:sz w:val="24"/>
                <w:highlight w:val="none"/>
              </w:rPr>
            </w:pPr>
            <w:r>
              <w:rPr>
                <w:rFonts w:hint="eastAsia" w:ascii="宋体" w:hAnsi="宋体" w:cs="宋体"/>
                <w:bCs/>
                <w:color w:val="auto"/>
                <w:sz w:val="24"/>
                <w:highlight w:val="none"/>
              </w:rPr>
              <w:t>缴纳：在签订合同后</w:t>
            </w:r>
            <w:r>
              <w:rPr>
                <w:rFonts w:ascii="宋体" w:hAnsi="宋体" w:cs="宋体"/>
                <w:bCs/>
                <w:color w:val="auto"/>
                <w:sz w:val="24"/>
                <w:highlight w:val="none"/>
              </w:rPr>
              <w:t>7</w:t>
            </w:r>
            <w:r>
              <w:rPr>
                <w:rFonts w:hint="eastAsia" w:ascii="宋体" w:hAnsi="宋体" w:cs="宋体"/>
                <w:bCs/>
                <w:color w:val="auto"/>
                <w:sz w:val="24"/>
                <w:highlight w:val="none"/>
              </w:rPr>
              <w:t>天内缴纳。</w:t>
            </w:r>
          </w:p>
          <w:p w14:paraId="0C8AED28">
            <w:pPr>
              <w:spacing w:line="400" w:lineRule="exact"/>
              <w:rPr>
                <w:color w:val="auto"/>
                <w:highlight w:val="none"/>
              </w:rPr>
            </w:pPr>
            <w:r>
              <w:rPr>
                <w:rFonts w:hint="eastAsia" w:ascii="宋体" w:hAnsi="宋体" w:cs="宋体"/>
                <w:bCs/>
                <w:color w:val="auto"/>
                <w:sz w:val="24"/>
                <w:highlight w:val="none"/>
              </w:rPr>
              <w:t>退还：在未来社区验收合格后</w:t>
            </w:r>
            <w:r>
              <w:rPr>
                <w:rFonts w:ascii="宋体" w:hAnsi="宋体" w:cs="宋体"/>
                <w:bCs/>
                <w:color w:val="auto"/>
                <w:sz w:val="24"/>
                <w:highlight w:val="none"/>
              </w:rPr>
              <w:t>15</w:t>
            </w:r>
            <w:r>
              <w:rPr>
                <w:rFonts w:hint="eastAsia" w:ascii="宋体" w:hAnsi="宋体" w:cs="宋体"/>
                <w:bCs/>
                <w:color w:val="auto"/>
                <w:sz w:val="24"/>
                <w:highlight w:val="none"/>
              </w:rPr>
              <w:t>天内退还。</w:t>
            </w:r>
          </w:p>
        </w:tc>
      </w:tr>
      <w:tr w14:paraId="75A80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77BAB61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▲验收标准</w:t>
            </w:r>
          </w:p>
        </w:tc>
        <w:tc>
          <w:tcPr>
            <w:tcW w:w="6325" w:type="dxa"/>
            <w:vAlign w:val="center"/>
          </w:tcPr>
          <w:p w14:paraId="50E82A34">
            <w:pPr>
              <w:spacing w:line="400" w:lineRule="exact"/>
              <w:rPr>
                <w:rFonts w:ascii="宋体" w:hAnsi="宋体" w:cs="宋体"/>
                <w:bCs/>
                <w:color w:val="auto"/>
                <w:sz w:val="24"/>
                <w:highlight w:val="none"/>
              </w:rPr>
            </w:pPr>
            <w:r>
              <w:rPr>
                <w:rFonts w:hint="eastAsia" w:ascii="宋体" w:hAnsi="宋体" w:cs="宋体"/>
                <w:bCs/>
                <w:color w:val="auto"/>
                <w:sz w:val="24"/>
                <w:highlight w:val="none"/>
              </w:rPr>
              <w:t>按照</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人提供的</w:t>
            </w:r>
            <w:r>
              <w:rPr>
                <w:rFonts w:hint="eastAsia" w:ascii="宋体" w:hAnsi="宋体" w:cs="宋体"/>
                <w:bCs/>
                <w:color w:val="auto"/>
                <w:sz w:val="24"/>
                <w:highlight w:val="none"/>
                <w:lang w:val="en-US" w:eastAsia="zh-CN"/>
              </w:rPr>
              <w:t>响应</w:t>
            </w:r>
            <w:r>
              <w:rPr>
                <w:rFonts w:hint="eastAsia" w:ascii="宋体" w:hAnsi="宋体" w:cs="宋体"/>
                <w:bCs/>
                <w:color w:val="auto"/>
                <w:sz w:val="24"/>
                <w:highlight w:val="none"/>
              </w:rPr>
              <w:t>文件（包括承诺）</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人和采购人签订的政府采购合同为标准进行验收。</w:t>
            </w:r>
          </w:p>
        </w:tc>
      </w:tr>
      <w:tr w14:paraId="26CAF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4922796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服务响应要求</w:t>
            </w:r>
          </w:p>
        </w:tc>
        <w:tc>
          <w:tcPr>
            <w:tcW w:w="6325" w:type="dxa"/>
            <w:vAlign w:val="center"/>
          </w:tcPr>
          <w:p w14:paraId="4A973B4E">
            <w:pPr>
              <w:spacing w:line="400" w:lineRule="exact"/>
              <w:rPr>
                <w:rFonts w:ascii="宋体" w:hAnsi="宋体" w:cs="宋体"/>
                <w:bCs/>
                <w:color w:val="auto"/>
                <w:sz w:val="24"/>
                <w:highlight w:val="none"/>
              </w:rPr>
            </w:pPr>
            <w:r>
              <w:rPr>
                <w:rFonts w:hint="eastAsia" w:ascii="宋体" w:hAnsi="宋体" w:cs="宋体"/>
                <w:bCs/>
                <w:color w:val="auto"/>
                <w:sz w:val="24"/>
                <w:highlight w:val="none"/>
              </w:rPr>
              <w:t>响应时间要求：</w:t>
            </w:r>
            <w:r>
              <w:rPr>
                <w:rFonts w:hint="eastAsia" w:ascii="宋体" w:hAnsi="宋体" w:cs="宋体"/>
                <w:bCs/>
                <w:color w:val="auto"/>
                <w:sz w:val="24"/>
                <w:highlight w:val="none"/>
                <w:lang w:val="en-US" w:eastAsia="zh-CN"/>
              </w:rPr>
              <w:t>成交人</w:t>
            </w:r>
            <w:r>
              <w:rPr>
                <w:rFonts w:hint="eastAsia" w:ascii="宋体" w:hAnsi="宋体" w:cs="宋体"/>
                <w:bCs/>
                <w:color w:val="auto"/>
                <w:sz w:val="24"/>
                <w:highlight w:val="none"/>
              </w:rPr>
              <w:t>接到采购人电话后</w:t>
            </w:r>
            <w:r>
              <w:rPr>
                <w:rFonts w:ascii="宋体" w:hAnsi="宋体" w:cs="宋体"/>
                <w:bCs/>
                <w:color w:val="auto"/>
                <w:sz w:val="24"/>
                <w:highlight w:val="none"/>
              </w:rPr>
              <w:t>1</w:t>
            </w:r>
            <w:r>
              <w:rPr>
                <w:rFonts w:hint="eastAsia" w:ascii="宋体" w:hAnsi="宋体" w:cs="宋体"/>
                <w:bCs/>
                <w:color w:val="auto"/>
                <w:sz w:val="24"/>
                <w:highlight w:val="none"/>
              </w:rPr>
              <w:t>小时内响应，</w:t>
            </w:r>
            <w:r>
              <w:rPr>
                <w:rFonts w:ascii="宋体" w:hAnsi="宋体" w:cs="宋体"/>
                <w:bCs/>
                <w:color w:val="auto"/>
                <w:sz w:val="24"/>
                <w:highlight w:val="none"/>
              </w:rPr>
              <w:t>2</w:t>
            </w:r>
            <w:r>
              <w:rPr>
                <w:rFonts w:hint="eastAsia" w:ascii="宋体" w:hAnsi="宋体" w:cs="宋体"/>
                <w:bCs/>
                <w:color w:val="auto"/>
                <w:sz w:val="24"/>
                <w:highlight w:val="none"/>
              </w:rPr>
              <w:t>小时内上门服务，提供7×24小时电话支持。</w:t>
            </w:r>
          </w:p>
        </w:tc>
      </w:tr>
      <w:tr w14:paraId="65903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53FCA29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签订合同时间</w:t>
            </w:r>
          </w:p>
        </w:tc>
        <w:tc>
          <w:tcPr>
            <w:tcW w:w="6325" w:type="dxa"/>
            <w:vAlign w:val="center"/>
          </w:tcPr>
          <w:p w14:paraId="1DF54622">
            <w:pPr>
              <w:spacing w:line="36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确定成交</w:t>
            </w:r>
            <w:r>
              <w:rPr>
                <w:rFonts w:hint="eastAsia" w:ascii="宋体" w:hAnsi="宋体" w:cs="宋体"/>
                <w:color w:val="auto"/>
                <w:sz w:val="24"/>
                <w:highlight w:val="none"/>
              </w:rPr>
              <w:t>通知书发出之日起30日内签订合同，具体签约时间以采购人通知为准。</w:t>
            </w:r>
          </w:p>
        </w:tc>
      </w:tr>
    </w:tbl>
    <w:p w14:paraId="75B5FDBD">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9999B4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271C23C9">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964" w:type="dxa"/>
        <w:tblInd w:w="-113"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85"/>
        <w:gridCol w:w="6369"/>
        <w:gridCol w:w="604"/>
        <w:gridCol w:w="1416"/>
      </w:tblGrid>
      <w:tr w14:paraId="2C58DB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23" w:hRule="atLeast"/>
          <w:tblHeader/>
        </w:trPr>
        <w:tc>
          <w:tcPr>
            <w:tcW w:w="790" w:type="dxa"/>
            <w:noWrap w:val="0"/>
            <w:vAlign w:val="center"/>
          </w:tcPr>
          <w:p w14:paraId="5B07ED19">
            <w:pPr>
              <w:widowControl/>
              <w:snapToGrid w:val="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7154" w:type="dxa"/>
            <w:gridSpan w:val="2"/>
            <w:noWrap w:val="0"/>
            <w:vAlign w:val="center"/>
          </w:tcPr>
          <w:p w14:paraId="6843B6A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评标标准</w:t>
            </w:r>
          </w:p>
        </w:tc>
        <w:tc>
          <w:tcPr>
            <w:tcW w:w="604" w:type="dxa"/>
            <w:noWrap w:val="0"/>
            <w:vAlign w:val="center"/>
          </w:tcPr>
          <w:p w14:paraId="16408B4E">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c>
          <w:tcPr>
            <w:tcW w:w="1416" w:type="dxa"/>
            <w:noWrap w:val="0"/>
            <w:vAlign w:val="center"/>
          </w:tcPr>
          <w:p w14:paraId="2606B50B">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主观分/客观分属性</w:t>
            </w:r>
          </w:p>
        </w:tc>
      </w:tr>
      <w:tr w14:paraId="2A522A9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64" w:type="dxa"/>
            <w:gridSpan w:val="5"/>
            <w:noWrap w:val="0"/>
            <w:vAlign w:val="center"/>
          </w:tcPr>
          <w:p w14:paraId="26D8C82A">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一、商务技术分（90分）</w:t>
            </w:r>
          </w:p>
        </w:tc>
      </w:tr>
      <w:tr w14:paraId="6FAB5E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90" w:type="dxa"/>
            <w:noWrap w:val="0"/>
            <w:vAlign w:val="center"/>
          </w:tcPr>
          <w:p w14:paraId="270A340F">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785" w:type="dxa"/>
            <w:vMerge w:val="restart"/>
            <w:noWrap w:val="0"/>
            <w:vAlign w:val="center"/>
          </w:tcPr>
          <w:p w14:paraId="7CDE24AA">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实施</w:t>
            </w:r>
          </w:p>
          <w:p w14:paraId="0F769675">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w:t>
            </w:r>
          </w:p>
          <w:p w14:paraId="3A06AE52">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方案</w:t>
            </w:r>
          </w:p>
        </w:tc>
        <w:tc>
          <w:tcPr>
            <w:tcW w:w="6369" w:type="dxa"/>
            <w:noWrap w:val="0"/>
            <w:vAlign w:val="center"/>
          </w:tcPr>
          <w:p w14:paraId="3BAFCED3">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的分析是否精准、详实进行评议：</w:t>
            </w:r>
          </w:p>
          <w:p w14:paraId="69DCEA96">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分析精准，调研数据详实的得5分；</w:t>
            </w:r>
          </w:p>
          <w:p w14:paraId="0307AE58">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分析较为精准，调研数据较为详实的得3分；</w:t>
            </w:r>
          </w:p>
          <w:p w14:paraId="3730906A">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分析粗略，调研数据粗略的得1分；</w:t>
            </w:r>
          </w:p>
          <w:p w14:paraId="4143889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④项目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分析缺失，调研缺失的不得分。</w:t>
            </w:r>
          </w:p>
        </w:tc>
        <w:tc>
          <w:tcPr>
            <w:tcW w:w="604" w:type="dxa"/>
            <w:noWrap w:val="0"/>
            <w:vAlign w:val="center"/>
          </w:tcPr>
          <w:p w14:paraId="06DB7379">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5122202">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主观分</w:t>
            </w:r>
          </w:p>
        </w:tc>
      </w:tr>
      <w:tr w14:paraId="758C685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90" w:type="dxa"/>
            <w:noWrap w:val="0"/>
            <w:vAlign w:val="center"/>
          </w:tcPr>
          <w:p w14:paraId="631F3454">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p>
        </w:tc>
        <w:tc>
          <w:tcPr>
            <w:tcW w:w="785" w:type="dxa"/>
            <w:vMerge w:val="continue"/>
            <w:noWrap w:val="0"/>
            <w:vAlign w:val="center"/>
          </w:tcPr>
          <w:p w14:paraId="5834B980">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0C6E9EB8">
            <w:pPr>
              <w:pStyle w:val="61"/>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根据投标人针对本项目的文化品牌提炼是否有特色、文化传承措施是否丰富进行评议：</w:t>
            </w:r>
          </w:p>
          <w:p w14:paraId="3D07786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①文化品牌提炼有特色、文化传承措施丰富多样的得5分；</w:t>
            </w:r>
          </w:p>
          <w:p w14:paraId="757E1F0E">
            <w:pPr>
              <w:pStyle w:val="2"/>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②文化品牌提炼较为普适、文化传承措施较少的得3分；</w:t>
            </w:r>
          </w:p>
          <w:p w14:paraId="707C5B8F">
            <w:pPr>
              <w:pStyle w:val="2"/>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③文化品牌提炼较差、文化传承基本缺少的得1分；</w:t>
            </w:r>
          </w:p>
          <w:p w14:paraId="45EB4651">
            <w:pPr>
              <w:rPr>
                <w:rFonts w:hint="eastAsia"/>
                <w:highlight w:val="none"/>
              </w:rPr>
            </w:pPr>
            <w:r>
              <w:rPr>
                <w:rFonts w:hint="eastAsia" w:ascii="宋体" w:hAnsi="宋体" w:eastAsia="宋体" w:cs="宋体"/>
                <w:sz w:val="24"/>
                <w:szCs w:val="24"/>
                <w:highlight w:val="none"/>
                <w:lang w:val="en-US" w:eastAsia="zh-CN"/>
              </w:rPr>
              <w:t>④文化品牌缺少、文化传承缺少的不得分。</w:t>
            </w:r>
          </w:p>
        </w:tc>
        <w:tc>
          <w:tcPr>
            <w:tcW w:w="604" w:type="dxa"/>
            <w:noWrap w:val="0"/>
            <w:vAlign w:val="center"/>
          </w:tcPr>
          <w:p w14:paraId="41A5B4C6">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4253EA2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19DD9B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90" w:type="dxa"/>
            <w:noWrap w:val="0"/>
            <w:vAlign w:val="center"/>
          </w:tcPr>
          <w:p w14:paraId="57FC768E">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785" w:type="dxa"/>
            <w:vMerge w:val="continue"/>
            <w:noWrap w:val="0"/>
            <w:vAlign w:val="center"/>
          </w:tcPr>
          <w:p w14:paraId="7B40254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566FFB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根据投标人针对本项目的创建目标是否准确、创建思路是否有新意进行评议：</w:t>
            </w:r>
          </w:p>
          <w:p w14:paraId="6E27B242">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①目标定位准确性强、创建思路具有新意的得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C2C2728">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②目标定位准确性较强、创建思路较具有新意的得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54AA1853">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③目标定位准确性一般、创建思路新意一般的得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37158B54">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④目标定位准确性差、创建思路新意差的得1分。</w:t>
            </w:r>
          </w:p>
          <w:p w14:paraId="3A37B48F">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6D70BCF8">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733C19B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063CCDD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6D93BB9">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w:t>
            </w:r>
          </w:p>
        </w:tc>
        <w:tc>
          <w:tcPr>
            <w:tcW w:w="785" w:type="dxa"/>
            <w:vMerge w:val="continue"/>
            <w:noWrap w:val="0"/>
            <w:vAlign w:val="center"/>
          </w:tcPr>
          <w:p w14:paraId="36C526BF">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DAD29C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根据投标人针对本项目的空间总体设计方案（包括改造布局、提升方案）进行评议：</w:t>
            </w:r>
          </w:p>
          <w:p w14:paraId="1067605A">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①改造布局合理、提升方案详细的得5分；</w:t>
            </w:r>
          </w:p>
          <w:p w14:paraId="5925BB38">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②改造布局较合理、提升方案较详细的得4分；</w:t>
            </w:r>
          </w:p>
          <w:p w14:paraId="139AFCA2">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③②改造布局合理性一般、提升方案详细性一般的得3分；</w:t>
            </w:r>
          </w:p>
          <w:p w14:paraId="369AB48E">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④改造布局合理性差、提升方案不详细的得1分。</w:t>
            </w:r>
          </w:p>
          <w:p w14:paraId="1C34C52E">
            <w:pPr>
              <w:pStyle w:val="2"/>
              <w:ind w:left="0" w:leftChars="0" w:firstLine="0" w:firstLineChars="0"/>
              <w:rPr>
                <w:rFonts w:hint="eastAsia"/>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71EFEE38">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662DD10F">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6A180C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90" w:type="dxa"/>
            <w:noWrap w:val="0"/>
            <w:vAlign w:val="center"/>
          </w:tcPr>
          <w:p w14:paraId="0E1BC9A7">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785" w:type="dxa"/>
            <w:vMerge w:val="continue"/>
            <w:noWrap w:val="0"/>
            <w:vAlign w:val="center"/>
          </w:tcPr>
          <w:p w14:paraId="59429920">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C88553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根据投标人针对本项目的特色亮点场景选定是否有特色进行评议：</w:t>
            </w:r>
          </w:p>
          <w:p w14:paraId="3735EB69">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①特色亮点场景选定独具特色的得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9D3EF2F">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②特色亮点场景选定较为普通的得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7E20A6B">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③特色亮点场景选定不具特色的得1分。</w:t>
            </w:r>
          </w:p>
          <w:p w14:paraId="1F6EF66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6FF4E0D0">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3CB9D321">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23B41E7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173BFC6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785" w:type="dxa"/>
            <w:vMerge w:val="continue"/>
            <w:noWrap w:val="0"/>
            <w:vAlign w:val="center"/>
          </w:tcPr>
          <w:p w14:paraId="07545D93">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115A7AF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根据投标人针对本项目的场景系统集成方案（包括是否充分考虑社区人口构成与需求、场景设施布局是否合理）进行评议：</w:t>
            </w:r>
          </w:p>
          <w:p w14:paraId="64B5FB9C">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①方案充分考虑社区人口构成与需求、场景设施布局合理的得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525D29E">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②方案欠考虑社区人口构成与需求、场景设施布局欠合理的得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47D1510">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③方案未分考虑社区人口构成与需求、场景设施布局不合理的得1分。</w:t>
            </w:r>
          </w:p>
          <w:p w14:paraId="05142A4D">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0241F10E">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45F711AE">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C761A4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790" w:type="dxa"/>
            <w:noWrap w:val="0"/>
            <w:vAlign w:val="center"/>
          </w:tcPr>
          <w:p w14:paraId="7CF337D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785" w:type="dxa"/>
            <w:vMerge w:val="continue"/>
            <w:noWrap w:val="0"/>
            <w:vAlign w:val="center"/>
          </w:tcPr>
          <w:p w14:paraId="4ACA2EF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4C29D3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根据投标人针对本项目的分场景方案进行评议：</w:t>
            </w:r>
          </w:p>
          <w:p w14:paraId="7AE456E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①各场景方案针对性强、详细、全面的得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51A7633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②各场景方案针对性较强、较详细、较全面的得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0A7A15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③各场景方案针对性一般、详细性一般、全面性一般的得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1D76A4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④各场景方案针对性差、不详细、不全面的得1分。</w:t>
            </w:r>
          </w:p>
          <w:p w14:paraId="260298B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0045DAEB">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D1AFBA0">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18363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8933D1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785" w:type="dxa"/>
            <w:vMerge w:val="continue"/>
            <w:noWrap w:val="0"/>
            <w:vAlign w:val="center"/>
          </w:tcPr>
          <w:p w14:paraId="3B48BEDB">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6A011CB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根据投标人针对本项目的数字化系统设计方案（包括社区数字化软硬件建设清单是否符合社区居民需求、数字化与运营是否具有融合性）进行评议：</w:t>
            </w:r>
          </w:p>
          <w:p w14:paraId="57B38B6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①社区数字化软硬件建设清单完全符合社区居民需求、数字化与运营融合性强的得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F4F7BD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②社区数字化软硬件建设清单基本符合社区居民需求、数字化与运营融合性一般的得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E92AD1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③社区数字化软硬件建设清单不符合社区居民需求、数字化与运营融合性差的得1分。</w:t>
            </w:r>
          </w:p>
          <w:p w14:paraId="2CF6989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3B1F6CD8">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62CEB70E">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27F7E00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790" w:type="dxa"/>
            <w:noWrap w:val="0"/>
            <w:vAlign w:val="center"/>
          </w:tcPr>
          <w:p w14:paraId="5C2CF73A">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785" w:type="dxa"/>
            <w:vMerge w:val="continue"/>
            <w:noWrap w:val="0"/>
            <w:vAlign w:val="center"/>
          </w:tcPr>
          <w:p w14:paraId="47513678">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7CDE8D7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根据投标人针对本项目的运营组织架构、运营模式进行评议：</w:t>
            </w:r>
          </w:p>
          <w:p w14:paraId="0FBC85F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①运营组织架构合理、运营模式可持续性强的得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65400C9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②运营组织架构较合理、运营模式可持续性一般的得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9D3A96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③运营组织架构不合理、运营模式不具备可持续行性的得1分。</w:t>
            </w:r>
          </w:p>
          <w:p w14:paraId="005D02EA">
            <w:pPr>
              <w:pStyle w:val="2"/>
              <w:ind w:left="0" w:leftChars="0" w:firstLine="0" w:firstLineChars="0"/>
              <w:rPr>
                <w:rFonts w:hint="eastAsia"/>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185FD8B3">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21BEB8C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571B77E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2DD00A6">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785" w:type="dxa"/>
            <w:vMerge w:val="continue"/>
            <w:noWrap w:val="0"/>
            <w:vAlign w:val="center"/>
          </w:tcPr>
          <w:p w14:paraId="78DA9772">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528E77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根据投标人针对本项目的业态空间布局进行评议：</w:t>
            </w:r>
          </w:p>
          <w:p w14:paraId="3A2F4D1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①公益性、普惠性、经营性业态搭配合理的得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A9C254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②公益性、普惠性、经营性业态搭配较为合理的得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3EA9876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③公益性一般、普惠性一般、经营性业态搭配合理性一般的得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7B3A15B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④公益性差、普惠性差、经营性不合理的得1分。</w:t>
            </w:r>
          </w:p>
          <w:p w14:paraId="5A2AD3E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5E1D533D">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761B0BB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CAA03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90" w:type="dxa"/>
            <w:noWrap w:val="0"/>
            <w:vAlign w:val="center"/>
          </w:tcPr>
          <w:p w14:paraId="39EB1F5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785" w:type="dxa"/>
            <w:vMerge w:val="continue"/>
            <w:noWrap w:val="0"/>
            <w:vAlign w:val="center"/>
          </w:tcPr>
          <w:p w14:paraId="51E36D96">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3DD763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根据投标人针对本项目的实施推进计划（包括建设进度计划是否合理可行、项目实施推进措施是否有针对性）进行评议：</w:t>
            </w:r>
          </w:p>
          <w:p w14:paraId="67CED82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①进度计划合理可行、措施针对性强的得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6E0CB12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②进度计划较合理可行、措施针对性较强的得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7174916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③进度计划合理可行性一般、措施针对性一般的得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1395B7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④进度计划不合理可行、措施针对性不强的得1分。</w:t>
            </w:r>
          </w:p>
          <w:p w14:paraId="73C0280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2784F436">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1670149">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F55B3E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90" w:type="dxa"/>
            <w:noWrap w:val="0"/>
            <w:vAlign w:val="center"/>
          </w:tcPr>
          <w:p w14:paraId="138EF740">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p>
        </w:tc>
        <w:tc>
          <w:tcPr>
            <w:tcW w:w="785" w:type="dxa"/>
            <w:vMerge w:val="continue"/>
            <w:noWrap w:val="0"/>
            <w:vAlign w:val="center"/>
          </w:tcPr>
          <w:p w14:paraId="5F88C5BD">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3025C0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根据投标人针对本项目的估算与资金平衡方案（包括运营期成本支出与收入项目是否明确、清晰、项目运营是否可持续）进行评议：</w:t>
            </w:r>
          </w:p>
          <w:p w14:paraId="3F39281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①运营期成本支出与收入项目明确、清晰、项目运营可持续的得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FD7319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②运营期成本支出与收入项目较明确、较清晰、项目运营较为可持续的得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70AFB0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③运营期成本支出与收入项目不明确、不清晰、项目运营不可持续的得1分；</w:t>
            </w:r>
          </w:p>
          <w:p w14:paraId="5123CD5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53CFC4B9">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07B46F8D">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50EC36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790" w:type="dxa"/>
            <w:noWrap w:val="0"/>
            <w:vAlign w:val="center"/>
          </w:tcPr>
          <w:p w14:paraId="31639D11">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p>
        </w:tc>
        <w:tc>
          <w:tcPr>
            <w:tcW w:w="785" w:type="dxa"/>
            <w:vMerge w:val="restart"/>
            <w:noWrap w:val="0"/>
            <w:vAlign w:val="center"/>
          </w:tcPr>
          <w:p w14:paraId="3AB179D2">
            <w:pPr>
              <w:widowControl/>
              <w:spacing w:line="360" w:lineRule="auto"/>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创建、验收等过程咨询方案</w:t>
            </w:r>
          </w:p>
        </w:tc>
        <w:tc>
          <w:tcPr>
            <w:tcW w:w="6369" w:type="dxa"/>
            <w:noWrap w:val="0"/>
            <w:vAlign w:val="center"/>
          </w:tcPr>
          <w:p w14:paraId="0CED26E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根据投标人针对本项目的创建咨询方案（包括资料梳理制作、创建方案汇报、专家组对接等）进行评议：</w:t>
            </w:r>
          </w:p>
          <w:p w14:paraId="7ADEB2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①对创建过程中需要的资料清单、需要对接的相关方梳理清晰的得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A76AAB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②对创建过程中需要的资料清单、需要对接的相关方梳理较为清晰的得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9BEDF0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③对创建过程中需要的资料清单、需要对接的相关方梳理不清晰的得1分</w:t>
            </w:r>
          </w:p>
          <w:p w14:paraId="6623E51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50EA4C63">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26E61A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9A4D8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4EACF3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p>
        </w:tc>
        <w:tc>
          <w:tcPr>
            <w:tcW w:w="785" w:type="dxa"/>
            <w:vMerge w:val="continue"/>
            <w:noWrap w:val="0"/>
            <w:vAlign w:val="center"/>
          </w:tcPr>
          <w:p w14:paraId="3B3AD2E7">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02D9BA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根据投标人针对本项目的运营咨询方案（包括参与运营相关会议、提供优化实施方案）进行评议：</w:t>
            </w:r>
          </w:p>
          <w:p w14:paraId="3628C28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①对意向运营单位的要求清晰、优化实施方案切实可行的得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7A038C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②对意向运营单位的要求较为清晰、优化实施方案较切实可行的得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26115A1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③对意向运营单位的要求清晰、优化实施方案切实可行的得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C7D907A">
            <w:pPr>
              <w:pStyle w:val="2"/>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④</w:t>
            </w:r>
            <w:r>
              <w:rPr>
                <w:rFonts w:hint="eastAsia" w:ascii="宋体" w:hAnsi="宋体" w:eastAsia="宋体" w:cs="宋体"/>
                <w:kern w:val="2"/>
                <w:sz w:val="24"/>
                <w:szCs w:val="24"/>
                <w:highlight w:val="none"/>
                <w:lang w:val="en-US" w:eastAsia="zh-CN" w:bidi="ar-SA"/>
              </w:rPr>
              <w:t>对意向运营单位的要求不清晰、优化实施方案不切实可行的得1分</w:t>
            </w:r>
          </w:p>
          <w:p w14:paraId="17A8BEC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1C9C9BC5">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34EEDDD4">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B5A0D5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90" w:type="dxa"/>
            <w:noWrap w:val="0"/>
            <w:vAlign w:val="center"/>
          </w:tcPr>
          <w:p w14:paraId="6599CC25">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p>
        </w:tc>
        <w:tc>
          <w:tcPr>
            <w:tcW w:w="785" w:type="dxa"/>
            <w:vMerge w:val="continue"/>
            <w:noWrap w:val="0"/>
            <w:vAlign w:val="center"/>
          </w:tcPr>
          <w:p w14:paraId="1C0BF73F">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E63B4E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根据投标人针对本项目的建设咨询方案（包括图纸审核与优化、参观动线规划与优化）进行评议：</w:t>
            </w:r>
          </w:p>
          <w:p w14:paraId="4C1D84D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①图纸审核要点清晰、参观动线规划与优化方案可行的得5分</w:t>
            </w:r>
          </w:p>
          <w:p w14:paraId="552A9EC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②图纸审核要点较为清晰、参观动线规划与优化方案较可行的得4分</w:t>
            </w:r>
          </w:p>
          <w:p w14:paraId="550CFDA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③图纸审核要点一般清晰、参观动线规划与优化方案一般的得3分</w:t>
            </w:r>
          </w:p>
          <w:p w14:paraId="0E9135C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④图纸要点不清晰、参观动线规划与优化方案差的得1分</w:t>
            </w:r>
          </w:p>
          <w:p w14:paraId="0DAADEF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5A205A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77F51F8B">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C0CBEA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90" w:type="dxa"/>
            <w:noWrap w:val="0"/>
            <w:vAlign w:val="center"/>
          </w:tcPr>
          <w:p w14:paraId="11F9024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6</w:t>
            </w:r>
          </w:p>
        </w:tc>
        <w:tc>
          <w:tcPr>
            <w:tcW w:w="785" w:type="dxa"/>
            <w:vMerge w:val="continue"/>
            <w:noWrap w:val="0"/>
            <w:vAlign w:val="center"/>
          </w:tcPr>
          <w:p w14:paraId="5BBD95D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E0C63E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根据投标人针对本项目的验收咨询方案（包括验收台账整理、台账收集）进行评议：</w:t>
            </w:r>
          </w:p>
          <w:p w14:paraId="3CA7450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①验收事项梳理清晰，可行性强的得5分</w:t>
            </w:r>
          </w:p>
          <w:p w14:paraId="6613531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②验收事项梳理较清晰，可行性较强的得4分</w:t>
            </w:r>
          </w:p>
          <w:p w14:paraId="7BCE64E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③验收事项梳理一般，可行性一般的得3分</w:t>
            </w:r>
          </w:p>
          <w:p w14:paraId="488D150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④验收事项梳理不清晰，不具备可行性的不可行的得1分</w:t>
            </w:r>
          </w:p>
          <w:p w14:paraId="055A27F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1086A8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50A5D54B">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5C0F7A2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90" w:type="dxa"/>
            <w:noWrap w:val="0"/>
            <w:vAlign w:val="center"/>
          </w:tcPr>
          <w:p w14:paraId="1C7612EA">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7</w:t>
            </w:r>
          </w:p>
        </w:tc>
        <w:tc>
          <w:tcPr>
            <w:tcW w:w="785" w:type="dxa"/>
            <w:vMerge w:val="continue"/>
            <w:noWrap w:val="0"/>
            <w:vAlign w:val="center"/>
          </w:tcPr>
          <w:p w14:paraId="26731E1D">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64C71E7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w:t>
            </w:r>
            <w:r>
              <w:rPr>
                <w:rFonts w:hint="eastAsia" w:ascii="宋体" w:hAnsi="宋体" w:eastAsia="宋体" w:cs="宋体"/>
                <w:sz w:val="24"/>
                <w:szCs w:val="24"/>
                <w:highlight w:val="none"/>
                <w:lang w:val="en-US" w:eastAsia="zh-CN"/>
              </w:rPr>
              <w:t>创建</w:t>
            </w:r>
            <w:r>
              <w:rPr>
                <w:rFonts w:hint="eastAsia" w:ascii="宋体" w:hAnsi="宋体" w:eastAsia="宋体" w:cs="宋体"/>
                <w:sz w:val="24"/>
                <w:szCs w:val="24"/>
                <w:highlight w:val="none"/>
              </w:rPr>
              <w:t>的相关系统与数据库进行评议：</w:t>
            </w:r>
          </w:p>
          <w:p w14:paraId="3C3B34A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①相关系统与数据库</w:t>
            </w:r>
            <w:r>
              <w:rPr>
                <w:rFonts w:hint="eastAsia" w:ascii="宋体" w:hAnsi="宋体" w:eastAsia="宋体" w:cs="宋体"/>
                <w:sz w:val="24"/>
                <w:szCs w:val="24"/>
                <w:highlight w:val="none"/>
                <w:lang w:val="en-US" w:eastAsia="zh-CN"/>
              </w:rPr>
              <w:t>信息完整全面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思路清晰、体系完全</w:t>
            </w:r>
            <w:r>
              <w:rPr>
                <w:rFonts w:hint="eastAsia" w:ascii="宋体" w:hAnsi="宋体" w:eastAsia="宋体" w:cs="宋体"/>
                <w:sz w:val="24"/>
                <w:szCs w:val="24"/>
                <w:highlight w:val="none"/>
              </w:rPr>
              <w:t>的得5分；</w:t>
            </w:r>
          </w:p>
          <w:p w14:paraId="780A9F3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②相关系统与数据库</w:t>
            </w:r>
            <w:r>
              <w:rPr>
                <w:rFonts w:hint="eastAsia" w:ascii="宋体" w:hAnsi="宋体" w:eastAsia="宋体" w:cs="宋体"/>
                <w:sz w:val="24"/>
                <w:szCs w:val="24"/>
                <w:highlight w:val="none"/>
                <w:lang w:val="en-US" w:eastAsia="zh-CN"/>
              </w:rPr>
              <w:t>信息较完整全面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思路较清晰、体系较完全</w:t>
            </w:r>
            <w:r>
              <w:rPr>
                <w:rFonts w:hint="eastAsia" w:ascii="宋体" w:hAnsi="宋体" w:eastAsia="宋体" w:cs="宋体"/>
                <w:sz w:val="24"/>
                <w:szCs w:val="24"/>
                <w:highlight w:val="none"/>
              </w:rPr>
              <w:t>的得4分</w:t>
            </w:r>
          </w:p>
          <w:p w14:paraId="67FD24E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③相关系统与数据库</w:t>
            </w:r>
            <w:r>
              <w:rPr>
                <w:rFonts w:hint="eastAsia" w:ascii="宋体" w:hAnsi="宋体" w:eastAsia="宋体" w:cs="宋体"/>
                <w:sz w:val="24"/>
                <w:szCs w:val="24"/>
                <w:highlight w:val="none"/>
                <w:lang w:val="en-US" w:eastAsia="zh-CN"/>
              </w:rPr>
              <w:t>信息完整较一般</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思路一般、体系一般</w:t>
            </w:r>
            <w:r>
              <w:rPr>
                <w:rFonts w:hint="eastAsia" w:ascii="宋体" w:hAnsi="宋体" w:eastAsia="宋体" w:cs="宋体"/>
                <w:sz w:val="24"/>
                <w:szCs w:val="24"/>
                <w:highlight w:val="none"/>
              </w:rPr>
              <w:t>的得3分</w:t>
            </w:r>
          </w:p>
          <w:p w14:paraId="3C8B5F3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④相关系统与数据库</w:t>
            </w:r>
            <w:r>
              <w:rPr>
                <w:rFonts w:hint="eastAsia" w:ascii="宋体" w:hAnsi="宋体" w:eastAsia="宋体" w:cs="宋体"/>
                <w:sz w:val="24"/>
                <w:szCs w:val="24"/>
                <w:highlight w:val="none"/>
                <w:lang w:val="en-US" w:eastAsia="zh-CN"/>
              </w:rPr>
              <w:t>信息不完整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思路不清晰、体系不完全</w:t>
            </w:r>
            <w:r>
              <w:rPr>
                <w:rFonts w:hint="eastAsia" w:ascii="宋体" w:hAnsi="宋体" w:eastAsia="宋体" w:cs="宋体"/>
                <w:sz w:val="24"/>
                <w:szCs w:val="24"/>
                <w:highlight w:val="none"/>
              </w:rPr>
              <w:t>的得1分</w:t>
            </w:r>
          </w:p>
          <w:p w14:paraId="3E6AD17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47549221">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5848FED6">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689D98A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49" w:hRule="atLeast"/>
        </w:trPr>
        <w:tc>
          <w:tcPr>
            <w:tcW w:w="790" w:type="dxa"/>
            <w:noWrap w:val="0"/>
            <w:vAlign w:val="center"/>
          </w:tcPr>
          <w:p w14:paraId="0FBB720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18</w:t>
            </w:r>
          </w:p>
        </w:tc>
        <w:tc>
          <w:tcPr>
            <w:tcW w:w="7154" w:type="dxa"/>
            <w:gridSpan w:val="2"/>
            <w:noWrap w:val="0"/>
            <w:vAlign w:val="center"/>
          </w:tcPr>
          <w:p w14:paraId="36CB0A6E">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拟投入本项目人员配置方案</w:t>
            </w:r>
          </w:p>
          <w:p w14:paraId="1D819A23">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根据投标人拟投入本项目人员配置方案（包括人员配置结构是否合理、人员是否具有相关经验、中标后人员到岗时间是否及时）进行评议：</w:t>
            </w:r>
          </w:p>
          <w:p w14:paraId="32F28BF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①人员配置结构合理、人员相关经验丰富、中标后人员到岗时间及时的得5分；</w:t>
            </w:r>
          </w:p>
          <w:p w14:paraId="2549E12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②人员配置结构较合理、人员相关经验欠缺、中标后人员到岗时间较及时的得3分</w:t>
            </w:r>
          </w:p>
          <w:p w14:paraId="1DFBE8C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③人员配置结构不合理、人员不具有相关经验、中标后人员到岗时间不及时的得1分</w:t>
            </w:r>
          </w:p>
          <w:p w14:paraId="3A36AA84">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④未提供相关方案的不得分。</w:t>
            </w:r>
          </w:p>
          <w:p w14:paraId="6F5A7A6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备注：投标文件中提供拟派本项目人员的相关证书复印件及</w:t>
            </w: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月</w:t>
            </w:r>
            <w:r>
              <w:rPr>
                <w:rFonts w:hint="eastAsia" w:ascii="宋体" w:hAnsi="宋体" w:eastAsia="宋体" w:cs="宋体"/>
                <w:kern w:val="0"/>
                <w:sz w:val="24"/>
                <w:szCs w:val="24"/>
                <w:highlight w:val="none"/>
              </w:rPr>
              <w:t>内任一月份的有效社保证明材料加盖公章，未提供或未加盖公章的不得分。</w:t>
            </w:r>
          </w:p>
        </w:tc>
        <w:tc>
          <w:tcPr>
            <w:tcW w:w="604" w:type="dxa"/>
            <w:noWrap w:val="0"/>
            <w:vAlign w:val="center"/>
          </w:tcPr>
          <w:p w14:paraId="1AD31BA6">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7B43675C">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D20AA7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964" w:type="dxa"/>
            <w:gridSpan w:val="5"/>
            <w:noWrap w:val="0"/>
            <w:vAlign w:val="center"/>
          </w:tcPr>
          <w:p w14:paraId="0670C23A">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CN"/>
              </w:rPr>
              <w:t>（</w:t>
            </w:r>
            <w:r>
              <w:rPr>
                <w:rFonts w:hint="eastAsia" w:ascii="宋体" w:hAnsi="宋体" w:eastAsia="宋体" w:cs="宋体"/>
                <w:b/>
                <w:bCs/>
                <w:kern w:val="0"/>
                <w:sz w:val="24"/>
                <w:szCs w:val="24"/>
                <w:highlight w:val="none"/>
              </w:rPr>
              <w:t>二）、报价分（10分）</w:t>
            </w:r>
          </w:p>
        </w:tc>
      </w:tr>
      <w:tr w14:paraId="0E1743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790" w:type="dxa"/>
            <w:noWrap w:val="0"/>
            <w:vAlign w:val="center"/>
          </w:tcPr>
          <w:p w14:paraId="608AB18C">
            <w:pPr>
              <w:widowControl/>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w:t>
            </w:r>
          </w:p>
        </w:tc>
        <w:tc>
          <w:tcPr>
            <w:tcW w:w="7154" w:type="dxa"/>
            <w:gridSpan w:val="2"/>
            <w:noWrap w:val="0"/>
            <w:vAlign w:val="center"/>
          </w:tcPr>
          <w:p w14:paraId="744C82D5">
            <w:pPr>
              <w:widowControl/>
              <w:tabs>
                <w:tab w:val="left" w:pos="0"/>
              </w:tabs>
              <w:spacing w:line="360" w:lineRule="auto"/>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rPr>
              <w:t>报价</w:t>
            </w:r>
            <w:r>
              <w:rPr>
                <w:rFonts w:hint="eastAsia" w:ascii="宋体" w:hAnsi="宋体" w:eastAsia="宋体" w:cs="宋体"/>
                <w:b/>
                <w:bCs/>
                <w:kern w:val="0"/>
                <w:sz w:val="24"/>
                <w:szCs w:val="24"/>
                <w:highlight w:val="none"/>
                <w:lang w:val="zh-CN"/>
              </w:rPr>
              <w:t>得分</w:t>
            </w:r>
          </w:p>
          <w:p w14:paraId="0FA4F912">
            <w:pPr>
              <w:widowControl/>
              <w:tabs>
                <w:tab w:val="left" w:pos="0"/>
              </w:tabs>
              <w:spacing w:line="360" w:lineRule="auto"/>
              <w:jc w:val="left"/>
              <w:rPr>
                <w:rFonts w:hint="eastAsia" w:ascii="宋体" w:hAnsi="宋体" w:eastAsia="宋体" w:cs="宋体"/>
                <w:bCs/>
                <w:kern w:val="0"/>
                <w:sz w:val="24"/>
                <w:szCs w:val="24"/>
                <w:highlight w:val="none"/>
                <w:lang w:val="zh-CN"/>
              </w:rPr>
            </w:pPr>
            <w:r>
              <w:rPr>
                <w:rFonts w:hint="eastAsia" w:ascii="宋体" w:hAnsi="宋体" w:eastAsia="宋体" w:cs="宋体"/>
                <w:bCs/>
                <w:sz w:val="24"/>
                <w:szCs w:val="24"/>
                <w:highlight w:val="none"/>
              </w:rPr>
              <w:t>参与评审的价格=投标报价。</w:t>
            </w:r>
          </w:p>
          <w:p w14:paraId="72029223">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评标基准价指的是满足采购文件要求且最低的参与评审的价格。</w:t>
            </w:r>
          </w:p>
          <w:p w14:paraId="4DD8DC4D">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参与评审的价格为评标基准价的其价格得分得满分10分。</w:t>
            </w:r>
          </w:p>
          <w:p w14:paraId="3CC0A51B">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其他投标人价格得分按照下列公式计算：</w:t>
            </w:r>
          </w:p>
          <w:p w14:paraId="065BCBAD">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价格得分=（评标基准价/各投标人参与评审的价格）×10×100％。</w:t>
            </w:r>
          </w:p>
        </w:tc>
        <w:tc>
          <w:tcPr>
            <w:tcW w:w="604" w:type="dxa"/>
            <w:noWrap w:val="0"/>
            <w:vAlign w:val="center"/>
          </w:tcPr>
          <w:p w14:paraId="0F84AFEC">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10</w:t>
            </w:r>
          </w:p>
        </w:tc>
        <w:tc>
          <w:tcPr>
            <w:tcW w:w="1416" w:type="dxa"/>
            <w:noWrap w:val="0"/>
            <w:vAlign w:val="center"/>
          </w:tcPr>
          <w:p w14:paraId="260B9C62">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客观</w:t>
            </w:r>
            <w:r>
              <w:rPr>
                <w:rFonts w:hint="eastAsia" w:ascii="宋体" w:hAnsi="宋体" w:eastAsia="宋体" w:cs="宋体"/>
                <w:kern w:val="0"/>
                <w:sz w:val="24"/>
                <w:szCs w:val="24"/>
                <w:highlight w:val="none"/>
              </w:rPr>
              <w:t>分</w:t>
            </w:r>
          </w:p>
        </w:tc>
      </w:tr>
    </w:tbl>
    <w:p w14:paraId="2DCFE893">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bCs/>
          <w:sz w:val="24"/>
          <w:highlight w:val="none"/>
        </w:rPr>
        <w:t>（1）</w:t>
      </w:r>
      <w:r>
        <w:rPr>
          <w:rFonts w:hint="eastAsia" w:ascii="宋体" w:hAnsi="宋体" w:cs="宋体"/>
          <w:sz w:val="24"/>
          <w:highlight w:val="none"/>
        </w:rPr>
        <w:t>投标人编制投标文件（商务技术文件部分）时，建议按此目录内容提供评标标准相应的商务技术资料。</w:t>
      </w:r>
    </w:p>
    <w:p w14:paraId="51F0796E">
      <w:pPr>
        <w:adjustRightInd/>
        <w:spacing w:line="360" w:lineRule="auto"/>
        <w:ind w:firstLine="480" w:firstLineChars="200"/>
        <w:rPr>
          <w:rFonts w:asciiTheme="minorEastAsia" w:hAnsiTheme="minorEastAsia" w:eastAsiaTheme="minorEastAsia"/>
          <w:color w:val="auto"/>
          <w:highlight w:val="none"/>
          <w:lang w:val="en-US"/>
        </w:rPr>
      </w:pPr>
      <w:r>
        <w:rPr>
          <w:rFonts w:hint="eastAsia" w:ascii="宋体" w:hAnsi="宋体" w:cs="宋体"/>
          <w:sz w:val="24"/>
          <w:highlight w:val="none"/>
        </w:rPr>
        <w:t>（2）评委在上表设定的分值范围内打分(四舍五入保留两位小数)，平均分值计算四舍五入保留两位小数点。</w:t>
      </w:r>
    </w:p>
    <w:p w14:paraId="1AEDF198">
      <w:pPr>
        <w:pStyle w:val="394"/>
        <w:spacing w:before="0"/>
        <w:ind w:firstLine="0" w:firstLineChars="0"/>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61D5E1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2652E3A">
      <w:pPr>
        <w:adjustRightInd/>
        <w:spacing w:line="360" w:lineRule="auto"/>
        <w:rPr>
          <w:rFonts w:cs="Arial" w:asciiTheme="minorEastAsia" w:hAnsiTheme="minorEastAsia" w:eastAsiaTheme="minorEastAsia"/>
          <w:color w:val="auto"/>
          <w:kern w:val="0"/>
          <w:sz w:val="24"/>
          <w:highlight w:val="none"/>
        </w:rPr>
      </w:pPr>
    </w:p>
    <w:p w14:paraId="2C038B7B">
      <w:pPr>
        <w:snapToGrid w:val="0"/>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064E6191">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AE3EB4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EBADBD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8986BE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224FBE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A96C75D">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FC4BB68">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164F93B">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07ADA67">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1D5BB28">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033519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F34D0BE">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8584FA3">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401E66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021344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E0F70E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E926A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54F9AE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0443469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8FB7A1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122631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34BC57F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w:t>
      </w:r>
      <w:r>
        <w:rPr>
          <w:rFonts w:hint="eastAsia" w:asciiTheme="minorEastAsia" w:hAnsiTheme="minorEastAsia" w:eastAsiaTheme="minorEastAsia"/>
          <w:color w:val="auto"/>
          <w:highlight w:val="none"/>
          <w:lang w:val="en-US" w:eastAsia="zh-CN"/>
        </w:rPr>
        <w:t>其他</w:t>
      </w:r>
      <w:r>
        <w:rPr>
          <w:rFonts w:hint="eastAsia" w:asciiTheme="minorEastAsia" w:hAnsiTheme="minorEastAsia" w:eastAsiaTheme="minorEastAsia"/>
          <w:color w:val="auto"/>
          <w:highlight w:val="none"/>
        </w:rPr>
        <w:t>事项。</w:t>
      </w:r>
    </w:p>
    <w:p w14:paraId="14639CDC">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43D4B8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6E8862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4CEAE0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49D702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2A5133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F778CF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18B7B4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66EE43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6DBEE58">
      <w:pPr>
        <w:pStyle w:val="394"/>
        <w:spacing w:before="0"/>
        <w:ind w:firstLine="0" w:firstLineChars="0"/>
        <w:rPr>
          <w:rFonts w:asciiTheme="minorEastAsia" w:hAnsiTheme="minorEastAsia" w:eastAsiaTheme="minorEastAsia"/>
          <w:b/>
          <w:color w:val="auto"/>
          <w:highlight w:val="none"/>
        </w:rPr>
      </w:pPr>
    </w:p>
    <w:p w14:paraId="6EBA9CED">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609A1B5">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2752751">
      <w:pPr>
        <w:pStyle w:val="394"/>
        <w:spacing w:before="0"/>
        <w:ind w:firstLine="0" w:firstLineChars="0"/>
        <w:rPr>
          <w:rFonts w:asciiTheme="minorEastAsia" w:hAnsiTheme="minorEastAsia" w:eastAsiaTheme="minorEastAsia"/>
          <w:b/>
          <w:color w:val="auto"/>
          <w:highlight w:val="none"/>
        </w:rPr>
      </w:pPr>
    </w:p>
    <w:p w14:paraId="586AF8ED">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E71BA8A">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A3D51E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488040">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018B67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DE727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FAEFD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A6A0F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7B9EC4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D08B7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5FA8B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222E92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A93C435">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83405F0">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9DAE41D">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DF7FC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E75F4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7B68E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34CBF9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2E6EF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7BB52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4168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C87A4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919C0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A0503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170E7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15B9A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0DB25D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637DA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5130DB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EAF5D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80403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2C4EF6D">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102F485">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319708C">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99255C6">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03B2EED">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008808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C64DA9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7928FD5">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46BD7514">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5823330E">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7881205F">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DB22282">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2CA38F37">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8DA45B8">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E69097C">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F5E8AA1">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w:t>
      </w:r>
      <w:r>
        <w:rPr>
          <w:rFonts w:hint="eastAsia" w:asciiTheme="minorEastAsia" w:hAnsiTheme="minorEastAsia" w:eastAsiaTheme="minorEastAsia"/>
          <w:color w:val="auto"/>
          <w:highlight w:val="none"/>
          <w:lang w:val="en-US" w:eastAsia="zh-CN"/>
        </w:rPr>
        <w:t>响应</w:t>
      </w:r>
      <w:r>
        <w:rPr>
          <w:rFonts w:hint="eastAsia" w:asciiTheme="minorEastAsia" w:hAnsiTheme="minorEastAsia" w:eastAsiaTheme="minorEastAsia"/>
          <w:color w:val="auto"/>
          <w:highlight w:val="none"/>
        </w:rPr>
        <w:t>事宜；</w:t>
      </w:r>
    </w:p>
    <w:p w14:paraId="43ACE6C6">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A606713">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F8FECB7">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9CBBC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E8E18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21052DAA">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E36258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5964BF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0306A8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65618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9B6AB38">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8080B3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F7AA903">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06FBC7">
      <w:pPr>
        <w:pStyle w:val="394"/>
        <w:spacing w:before="0"/>
        <w:ind w:firstLine="0" w:firstLineChars="0"/>
        <w:rPr>
          <w:rFonts w:cs="仿宋_GB2312" w:asciiTheme="minorEastAsia" w:hAnsiTheme="minorEastAsia" w:eastAsiaTheme="minorEastAsia"/>
          <w:b/>
          <w:color w:val="auto"/>
          <w:highlight w:val="none"/>
        </w:rPr>
      </w:pPr>
    </w:p>
    <w:p w14:paraId="6205C708">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021734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F5F09A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1E0B3FC1">
      <w:pPr>
        <w:widowControl/>
        <w:adjustRightInd/>
        <w:jc w:val="center"/>
        <w:outlineLvl w:val="0"/>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0E13C683">
      <w:pPr>
        <w:spacing w:line="360" w:lineRule="auto"/>
        <w:rPr>
          <w:rFonts w:asciiTheme="minorEastAsia" w:hAnsiTheme="minorEastAsia" w:eastAsiaTheme="minorEastAsia"/>
          <w:color w:val="auto"/>
          <w:sz w:val="24"/>
          <w:highlight w:val="none"/>
        </w:rPr>
      </w:pPr>
      <w:bookmarkStart w:id="65" w:name="第五部分"/>
      <w:bookmarkStart w:id="66" w:name="_Toc86217003"/>
    </w:p>
    <w:p w14:paraId="7B6F64D2">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7B7BD807">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中标人（乙方）：</w:t>
      </w:r>
    </w:p>
    <w:p w14:paraId="591B7B9A">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p>
    <w:p w14:paraId="0E61B4EA">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                   项目编号：               合同号：</w:t>
      </w:r>
    </w:p>
    <w:p w14:paraId="5566330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项目公开招标的结果，签署本合同。</w:t>
      </w:r>
    </w:p>
    <w:p w14:paraId="4CC13C7C">
      <w:pPr>
        <w:pStyle w:val="34"/>
        <w:keepNext w:val="0"/>
        <w:keepLines w:val="0"/>
        <w:pageBreakBefore w:val="0"/>
        <w:widowControl/>
        <w:numPr>
          <w:ilvl w:val="0"/>
          <w:numId w:val="10"/>
        </w:numPr>
        <w:kinsoku/>
        <w:wordWrap/>
        <w:overflowPunct w:val="0"/>
        <w:topLinePunct w:val="0"/>
        <w:autoSpaceDE w:val="0"/>
        <w:autoSpaceDN w:val="0"/>
        <w:bidi w:val="0"/>
        <w:adjustRightInd w:val="0"/>
        <w:snapToGrid w:val="0"/>
        <w:spacing w:line="360" w:lineRule="auto"/>
        <w:ind w:left="0"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w:t>
      </w:r>
    </w:p>
    <w:p w14:paraId="285C3653">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color w:val="auto"/>
          <w:sz w:val="24"/>
          <w:szCs w:val="24"/>
          <w:highlight w:val="none"/>
          <w:lang w:eastAsia="zh-CN"/>
        </w:rPr>
      </w:pPr>
      <w:r>
        <w:rPr>
          <w:rFonts w:hint="eastAsia" w:hAnsi="宋体" w:cs="宋体"/>
          <w:b w:val="0"/>
          <w:bCs/>
          <w:color w:val="auto"/>
          <w:sz w:val="24"/>
          <w:szCs w:val="24"/>
          <w:highlight w:val="none"/>
          <w:lang w:val="en-US" w:eastAsia="zh-CN"/>
        </w:rPr>
        <w:t>南门街道车站</w:t>
      </w:r>
      <w:r>
        <w:rPr>
          <w:rFonts w:hint="eastAsia" w:ascii="宋体" w:hAnsi="宋体" w:eastAsia="宋体" w:cs="宋体"/>
          <w:b w:val="0"/>
          <w:bCs/>
          <w:color w:val="auto"/>
          <w:sz w:val="24"/>
          <w:szCs w:val="24"/>
          <w:highlight w:val="none"/>
        </w:rPr>
        <w:t>未来社区项目实施方案编制并提供完成创建与验收通过等过程咨询和台账服务</w:t>
      </w:r>
      <w:r>
        <w:rPr>
          <w:rFonts w:hint="eastAsia" w:ascii="宋体" w:hAnsi="宋体" w:eastAsia="宋体" w:cs="宋体"/>
          <w:b w:val="0"/>
          <w:bCs/>
          <w:color w:val="auto"/>
          <w:sz w:val="24"/>
          <w:szCs w:val="24"/>
          <w:highlight w:val="none"/>
          <w:lang w:eastAsia="zh-CN"/>
        </w:rPr>
        <w:t>。</w:t>
      </w:r>
    </w:p>
    <w:p w14:paraId="5009129D">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071BDEF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金额（大写）：_________元</w:t>
      </w:r>
    </w:p>
    <w:p w14:paraId="5345599C">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三、服务要求</w:t>
      </w:r>
    </w:p>
    <w:p w14:paraId="747B4B28">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cs="宋体"/>
          <w:b/>
          <w:bCs/>
          <w:sz w:val="24"/>
          <w:szCs w:val="24"/>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一</w:t>
      </w:r>
      <w:r>
        <w:rPr>
          <w:rFonts w:hint="eastAsia" w:ascii="宋体" w:hAnsi="宋体" w:cs="宋体"/>
          <w:b/>
          <w:bCs/>
          <w:sz w:val="24"/>
          <w:szCs w:val="24"/>
          <w:lang w:eastAsia="zh-CN"/>
        </w:rPr>
        <w:t>）项目概况</w:t>
      </w:r>
    </w:p>
    <w:p w14:paraId="544E9EF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eastAsia="zh-CN"/>
        </w:rPr>
        <w:t>本项目主要涉及南门街道车站未来社区建设的提升改造、数字化工程及运营服务项目。主要建设内容包括社区党群服务中心、居家养老服务站、居民自治站等室内装修工程；车站未来社区平台开发建设等数字化工程以及后续的运营服务工作。</w:t>
      </w:r>
    </w:p>
    <w:p w14:paraId="428F4C95">
      <w:pPr>
        <w:keepNext w:val="0"/>
        <w:keepLines w:val="0"/>
        <w:pageBreakBefore w:val="0"/>
        <w:numPr>
          <w:ilvl w:val="0"/>
          <w:numId w:val="0"/>
        </w:numPr>
        <w:kinsoku/>
        <w:wordWrap/>
        <w:topLinePunct w:val="0"/>
        <w:bidi w:val="0"/>
        <w:adjustRightInd w:val="0"/>
        <w:snapToGrid w:val="0"/>
        <w:spacing w:line="360" w:lineRule="auto"/>
        <w:ind w:left="0" w:firstLine="482" w:firstLineChars="200"/>
        <w:rPr>
          <w:rFonts w:hint="eastAsia" w:ascii="宋体" w:hAnsi="宋体" w:cs="宋体"/>
          <w:b/>
          <w:bCs/>
          <w:sz w:val="24"/>
          <w:szCs w:val="24"/>
          <w:lang w:eastAsia="zh-CN"/>
        </w:rPr>
      </w:pPr>
      <w:r>
        <w:rPr>
          <w:rFonts w:hint="eastAsia" w:ascii="宋体" w:hAnsi="宋体" w:eastAsia="宋体" w:cs="宋体"/>
          <w:b/>
          <w:bCs/>
          <w:kern w:val="2"/>
          <w:sz w:val="24"/>
          <w:szCs w:val="24"/>
          <w:lang w:val="en-US" w:eastAsia="zh-CN" w:bidi="ar-SA"/>
        </w:rPr>
        <w:t>（二）</w:t>
      </w:r>
      <w:r>
        <w:rPr>
          <w:rFonts w:hint="eastAsia" w:ascii="宋体" w:hAnsi="宋体" w:cs="宋体"/>
          <w:b/>
          <w:bCs/>
          <w:sz w:val="24"/>
          <w:szCs w:val="24"/>
          <w:lang w:eastAsia="zh-CN"/>
        </w:rPr>
        <w:t>招标范围</w:t>
      </w:r>
    </w:p>
    <w:p w14:paraId="461BCF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b w:val="0"/>
          <w:bCs w:val="0"/>
          <w:sz w:val="24"/>
          <w:szCs w:val="24"/>
          <w:lang w:eastAsia="zh-CN"/>
        </w:rPr>
      </w:pPr>
      <w:r>
        <w:rPr>
          <w:rFonts w:hint="eastAsia" w:ascii="宋体" w:hAnsi="宋体" w:cs="宋体"/>
          <w:b w:val="0"/>
          <w:bCs w:val="0"/>
          <w:sz w:val="24"/>
          <w:szCs w:val="24"/>
          <w:lang w:eastAsia="zh-CN"/>
        </w:rPr>
        <w:t>南门街道车站未来社区项目实施方案编制并提供完成创建与验收通过等过程咨询和台账服务；协助街道做好全域未来社区方案与验收相关工作。具体内容如下：</w:t>
      </w:r>
    </w:p>
    <w:p w14:paraId="6ED8A5BD">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实施方案编制</w:t>
      </w:r>
    </w:p>
    <w:p w14:paraId="2B56E4B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1、项目基本情况、总说明。</w:t>
      </w:r>
    </w:p>
    <w:p w14:paraId="7D067FF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2、创建目标：针对未来社区创建要求，提出未来社区创建思路、目标定位和特色亮点场景选定。</w:t>
      </w:r>
    </w:p>
    <w:p w14:paraId="35530AF8">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3、总体空间设计：围绕社区创建目标，合理确定改造布局，提出调整提升方案，包括总体设计策略、总体改造更新图、改造内容及相应改造措施等内容。</w:t>
      </w:r>
    </w:p>
    <w:p w14:paraId="0E521EE7">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4、场景设计与技术要求：充分考虑社区人口构成与需求，按照社区5-10-15分钟生活圈建设要求，明确场景设施布局。</w:t>
      </w:r>
    </w:p>
    <w:p w14:paraId="7CD88AFD">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14:paraId="4775D1B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6、运营组织：明确公益性、惠民及商业经营性业态空间布局；明确运营主体和运营组织架构。针对“邻里场景、低碳场景、教育场景、健康场景、治理场景、服务场景、交通场景、创业场景、建筑场景”九大场景，编制分场景系统性方案。</w:t>
      </w:r>
    </w:p>
    <w:p w14:paraId="3B2C9CBF">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7、实施推进计划：包括但不限于建设进度计划内容。</w:t>
      </w:r>
    </w:p>
    <w:p w14:paraId="2577F689">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8、估算与资金平衡：明确未来社区项目创建过程中成本支出与收入项目，确定创建期政府方需投入资金与收益情况。</w:t>
      </w:r>
    </w:p>
    <w:p w14:paraId="351D074F">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创建、验收等过程咨询</w:t>
      </w:r>
    </w:p>
    <w:p w14:paraId="1E76C66B">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1、创建咨询：创建政策研究、创建表及相关资料梳理制作、创建方案汇报、专家组对接、对接区、市、省创建评审工作、根据评审意见调整创建材料；创建过程中项目各类汇报材料。</w:t>
      </w:r>
    </w:p>
    <w:p w14:paraId="527455B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2、运营咨询：在项目创建过程中，配合街道、社区参与项目运营相关会议（必要时），在过程中优化实施方案，建立未来社区公益型运营咨询；协助社区对接洽谈各个意向运营单位，协助社区选择适合的运营单位，优化业态配比，提供运营咨询服务。</w:t>
      </w:r>
    </w:p>
    <w:p w14:paraId="512FE58F">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3、建设咨询：针对创建过程中场景空间的改造和装修工作，提供建设咨询服务及过程管理：图纸审核与优化、场景工程条件指导（根据创建需求对改造的智能化硬件提升建议和审核）、参观动线规划与优化。</w:t>
      </w:r>
    </w:p>
    <w:p w14:paraId="33078B5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4、验收咨询：验收相关台账整理与收集以及通过验收相关咨询与服务；验收相关迎检手册、宣传视频的基础资料整理、思路指导等咨询服务。</w:t>
      </w:r>
    </w:p>
    <w:p w14:paraId="489C78B6">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5、相关系统与数据库：项目创建过程中的相关系统填报、数据更新、项目信息录入等。</w:t>
      </w:r>
    </w:p>
    <w:p w14:paraId="63607F97">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080BBBF8">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w:t>
      </w:r>
      <w:r>
        <w:rPr>
          <w:rFonts w:hint="eastAsia" w:ascii="宋体" w:hAnsi="宋体" w:eastAsia="宋体" w:cs="宋体"/>
          <w:b/>
          <w:color w:val="auto"/>
          <w:sz w:val="24"/>
          <w:szCs w:val="24"/>
          <w:highlight w:val="none"/>
        </w:rPr>
        <w:t>知识产权。</w:t>
      </w:r>
    </w:p>
    <w:p w14:paraId="4536D317">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五、履约保证金</w:t>
      </w:r>
    </w:p>
    <w:p w14:paraId="634CE37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元作为本合同的履约保证金。履约保证金将在移交项目全套相关技术资料并扣除应扣除的违约金后退还。如乙方拒绝履行合同规定的义务，履约保证金将作为违约金被没收。</w:t>
      </w:r>
    </w:p>
    <w:p w14:paraId="17BEF1FF">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六、转包或分包</w:t>
      </w:r>
    </w:p>
    <w:p w14:paraId="13568C1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7A4940FE">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2.除非得到甲方的书面同意，乙方不得将本合同范围的部分分包给他人供应；</w:t>
      </w:r>
    </w:p>
    <w:p w14:paraId="674F4D07">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3.如有转让和未经甲方同意的分包行为，甲方有权解除合同，不予退还履约保证金并追究乙方的违约责任。</w:t>
      </w:r>
    </w:p>
    <w:p w14:paraId="684AF004">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七、服务质量保证期</w:t>
      </w:r>
    </w:p>
    <w:p w14:paraId="1DE6A791">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1.服务质量保证期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年。（自验收合格之日起计）。</w:t>
      </w:r>
    </w:p>
    <w:p w14:paraId="34B71E8C">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八、合同的履行时间及验收</w:t>
      </w:r>
    </w:p>
    <w:p w14:paraId="701BB587">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8.1、项目进度要求：</w:t>
      </w:r>
    </w:p>
    <w:p w14:paraId="751D1F1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1、2024年</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日前提交实施方案编制成果，具体时间进度要求如下：</w:t>
      </w:r>
    </w:p>
    <w:p w14:paraId="2618759F">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日内，完成并提交实施方案初稿；</w:t>
      </w:r>
    </w:p>
    <w:p w14:paraId="48DFD34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（2）合同签订后</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日内，根据区政府及相关部门修改意见形成整个项目的审查稿；</w:t>
      </w:r>
    </w:p>
    <w:p w14:paraId="6BE4FD22">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（3）2024年</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日前，优化调整形成最终成果稿。</w:t>
      </w:r>
    </w:p>
    <w:p w14:paraId="0AF4B3E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、创建过程综合性咨询服务自</w:t>
      </w:r>
      <w:r>
        <w:rPr>
          <w:rFonts w:hint="eastAsia" w:hAnsi="宋体" w:cs="宋体"/>
          <w:color w:val="auto"/>
          <w:sz w:val="24"/>
          <w:szCs w:val="24"/>
          <w:highlight w:val="none"/>
          <w:lang w:val="en-US" w:eastAsia="zh-CN"/>
        </w:rPr>
        <w:t>车站</w:t>
      </w:r>
      <w:r>
        <w:rPr>
          <w:rFonts w:hint="eastAsia" w:ascii="宋体" w:hAnsi="宋体" w:eastAsia="宋体" w:cs="宋体"/>
          <w:color w:val="auto"/>
          <w:sz w:val="24"/>
          <w:szCs w:val="24"/>
          <w:highlight w:val="none"/>
          <w:lang w:val="en-US" w:eastAsia="zh-CN"/>
        </w:rPr>
        <w:t>社区</w:t>
      </w:r>
      <w:r>
        <w:rPr>
          <w:rFonts w:hint="eastAsia" w:ascii="宋体" w:hAnsi="宋体" w:eastAsia="宋体" w:cs="宋体"/>
          <w:color w:val="auto"/>
          <w:sz w:val="24"/>
          <w:szCs w:val="24"/>
          <w:highlight w:val="none"/>
        </w:rPr>
        <w:t>未来社区通过市级</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省级未来社区验收为止。</w:t>
      </w:r>
    </w:p>
    <w:p w14:paraId="68A6668E">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8.2验收：</w:t>
      </w:r>
      <w:r>
        <w:rPr>
          <w:rFonts w:hint="eastAsia" w:ascii="宋体" w:hAnsi="宋体" w:eastAsia="宋体" w:cs="宋体"/>
          <w:snapToGrid w:val="0"/>
          <w:color w:val="auto"/>
          <w:sz w:val="24"/>
          <w:szCs w:val="24"/>
          <w:highlight w:val="none"/>
        </w:rPr>
        <w:t>按照中标人提供的投标文件（包括承诺）及中标人和采购人签订的政府采购合同为标准进行验收。</w:t>
      </w:r>
    </w:p>
    <w:p w14:paraId="52B933EB">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九、付款方式</w:t>
      </w:r>
    </w:p>
    <w:p w14:paraId="53CEB4D1">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1、预付款：在合同生效以及具备实施条件后7个工作日内支付合同金额的40%。</w:t>
      </w:r>
    </w:p>
    <w:p w14:paraId="21E3E8D8">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2、实施方案优化调整，通过专家评审并完成备案，由采购人向中标人支付至合同金额的60%；</w:t>
      </w:r>
    </w:p>
    <w:p w14:paraId="600C41E9">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3、工程完工经采购人确认后30个工作日内，由采购人向中标人支付至合同金额的80%；</w:t>
      </w:r>
    </w:p>
    <w:p w14:paraId="52AE974D">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4、通过省</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市级未来社区验收合格后30个工作日内，由采购人向中标人支付至合同金额的100%。</w:t>
      </w:r>
    </w:p>
    <w:p w14:paraId="0EEF4329">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十、税费</w:t>
      </w:r>
    </w:p>
    <w:p w14:paraId="0BF03BBD">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1A306BD9">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十一、质量保证及后续服务</w:t>
      </w:r>
    </w:p>
    <w:p w14:paraId="4EA6216C">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1.乙方应按招标文件规定向甲方提供服务。</w:t>
      </w:r>
    </w:p>
    <w:p w14:paraId="565D11E9">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4B85042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48FCB38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217FB20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3ADCD58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3.如在使用过程中发生问题，乙方在接到甲方通知后 1 小时内响应， 2 个工作日内解决出现的问题。</w:t>
      </w:r>
    </w:p>
    <w:p w14:paraId="44F7D3D0">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4.在服务质量保证期内，乙方应对出现的质量及安全问题负责处理解决并承担一切费用。</w:t>
      </w:r>
    </w:p>
    <w:p w14:paraId="7285A881">
      <w:pPr>
        <w:pStyle w:val="23"/>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乙方投标文件作为本合同组成部分，所做出的承诺对乙方具有约束力。</w:t>
      </w:r>
    </w:p>
    <w:p w14:paraId="0C9E43D1">
      <w:pPr>
        <w:pStyle w:val="23"/>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十二、违约责任</w:t>
      </w:r>
    </w:p>
    <w:p w14:paraId="2E9C729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1.甲方无正当理由拒绝接受服务的，甲方向乙方偿付合同总值百分之五作为违约金。</w:t>
      </w:r>
    </w:p>
    <w:p w14:paraId="42E486CF">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2.甲方无故逾期验收和办理款项支付手续的,甲方应按逾期总额每日万分之五向乙方支付违约金。</w:t>
      </w:r>
    </w:p>
    <w:p w14:paraId="54149461">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一作为违约金。乙方超过约定日期20个工作日仍不能提供全部服务的，甲方可解除本合同，已完成批次加工费按合同支付，拒付当前批次加工费。乙方因未能如期提供全部服务或因其他违约行为导致甲方解除合同的，乙方应向甲方支付合同总值10%的违约金，如造成甲方损失超过违约金的，超出部分由乙方继续承担赔偿责任。乙方违约的，需承担甲方实现债权的费用包括但不限于律师费、鉴定费、评估费、误工费、交通费、保全费、诉讼费等。 </w:t>
      </w:r>
    </w:p>
    <w:p w14:paraId="348D3DA2">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十三、不可抗力事件处理</w:t>
      </w:r>
    </w:p>
    <w:p w14:paraId="29823503">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033880A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9ACEC0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69E77C18">
      <w:pPr>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w:t>
      </w:r>
      <w:r>
        <w:rPr>
          <w:rFonts w:hint="eastAsia" w:ascii="宋体" w:hAnsi="宋体" w:eastAsia="宋体" w:cs="宋体"/>
          <w:color w:val="auto"/>
          <w:sz w:val="24"/>
          <w:szCs w:val="24"/>
          <w:highlight w:val="none"/>
        </w:rPr>
        <w:t>、争议的解决</w:t>
      </w:r>
    </w:p>
    <w:p w14:paraId="7090945C">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本合同为政府采购之合同，在发生所供商品的质量、售后服务等问题时，甲方有权直接向乙方索赔，签订必要的书面处理协议。如协商不成，任何一方可向甲方所在地人民法院起诉。</w:t>
      </w:r>
    </w:p>
    <w:p w14:paraId="75987FFC">
      <w:pPr>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w:t>
      </w:r>
      <w:r>
        <w:rPr>
          <w:rFonts w:hint="eastAsia" w:ascii="宋体" w:hAnsi="宋体" w:eastAsia="宋体" w:cs="宋体"/>
          <w:color w:val="auto"/>
          <w:sz w:val="24"/>
          <w:szCs w:val="24"/>
          <w:highlight w:val="none"/>
        </w:rPr>
        <w:t>、合同的生效</w:t>
      </w:r>
    </w:p>
    <w:p w14:paraId="7672DC68">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1.本合同经甲乙双方法定代表人或其委托人签字并加盖公章后生效。</w:t>
      </w:r>
    </w:p>
    <w:p w14:paraId="2F7E7758">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份，甲乙各执</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份。</w:t>
      </w:r>
    </w:p>
    <w:p w14:paraId="21B544A9">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3.相关招标文件、投标文件与本合同具有同等法律效力。</w:t>
      </w:r>
    </w:p>
    <w:p w14:paraId="4217CB21">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p>
    <w:p w14:paraId="25D8929F">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p>
    <w:p w14:paraId="007DAB3E">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方（盖章）：                        乙  方（盖章）： </w:t>
      </w:r>
    </w:p>
    <w:p w14:paraId="701F15F4">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法定代表人或受委托人（签字）：          法定代表人或受委托人（签字）：</w:t>
      </w:r>
    </w:p>
    <w:p w14:paraId="739A26D4">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7BD07BB0">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电  话： </w:t>
      </w:r>
    </w:p>
    <w:p w14:paraId="082605B4">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14:paraId="35B57A1F">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1F5D3B3">
      <w:pPr>
        <w:pStyle w:val="34"/>
        <w:keepNext w:val="0"/>
        <w:keepLines w:val="0"/>
        <w:pageBreakBefore w:val="0"/>
        <w:widowControl w:val="0"/>
        <w:kinsoku/>
        <w:wordWrap/>
        <w:overflowPunct/>
        <w:topLinePunct w:val="0"/>
        <w:bidi w:val="0"/>
        <w:adjustRightInd w:val="0"/>
        <w:spacing w:line="360" w:lineRule="auto"/>
        <w:ind w:left="0" w:firstLine="416"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color w:val="auto"/>
          <w:spacing w:val="-16"/>
          <w:sz w:val="24"/>
          <w:szCs w:val="24"/>
          <w:highlight w:val="none"/>
          <w:lang w:val="en-US" w:eastAsia="zh-CN"/>
        </w:rPr>
        <w:t>账号</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6"/>
          <w:sz w:val="24"/>
          <w:szCs w:val="24"/>
          <w:highlight w:val="none"/>
          <w:lang w:val="en-US" w:eastAsia="zh-CN"/>
        </w:rPr>
        <w:t xml:space="preserve">  账号：</w:t>
      </w:r>
    </w:p>
    <w:p w14:paraId="64CFEC50">
      <w:pPr>
        <w:pStyle w:val="34"/>
        <w:spacing w:beforeLines="0" w:afterLines="0" w:line="360" w:lineRule="auto"/>
        <w:ind w:firstLine="420" w:firstLineChars="200"/>
        <w:rPr>
          <w:rFonts w:hAnsi="宋体" w:cs="宋体"/>
          <w:color w:val="auto"/>
          <w:sz w:val="21"/>
          <w:szCs w:val="21"/>
          <w:highlight w:val="none"/>
        </w:rPr>
      </w:pPr>
    </w:p>
    <w:p w14:paraId="4E171C74">
      <w:pPr>
        <w:pStyle w:val="34"/>
        <w:spacing w:beforeLines="0" w:afterLines="0"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w:t>
      </w:r>
    </w:p>
    <w:p w14:paraId="5850214A">
      <w:pPr>
        <w:widowControl/>
        <w:adjustRightInd/>
        <w:spacing w:line="360" w:lineRule="auto"/>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37BAFAC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1945928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076ED6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5A22B0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7DF4A255">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04EB4E61">
      <w:pPr>
        <w:pStyle w:val="185"/>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3EE5A8E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4569AAC">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09927E8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w:t>
      </w:r>
      <w:r>
        <w:rPr>
          <w:rFonts w:hint="eastAsia" w:cs="仿宋_GB2312" w:asciiTheme="minorEastAsia" w:hAnsiTheme="minorEastAsia" w:eastAsiaTheme="minorEastAsia"/>
          <w:color w:val="auto"/>
          <w:highlight w:val="none"/>
          <w:lang w:eastAsia="zh-CN"/>
        </w:rPr>
        <w:t>扫描件</w:t>
      </w:r>
      <w:r>
        <w:rPr>
          <w:rFonts w:hint="eastAsia" w:cs="仿宋_GB2312" w:asciiTheme="minorEastAsia" w:hAnsiTheme="minorEastAsia" w:eastAsiaTheme="minorEastAsia"/>
          <w:color w:val="auto"/>
          <w:highlight w:val="none"/>
        </w:rPr>
        <w:t>）…………………………………………………（页码）</w:t>
      </w:r>
    </w:p>
    <w:p w14:paraId="069CE46F">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93DAAF1">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（8）采购要求响应（偏离）表</w:t>
      </w:r>
      <w:r>
        <w:rPr>
          <w:rFonts w:hint="eastAsia" w:cs="仿宋_GB2312" w:asciiTheme="minorEastAsia" w:hAnsiTheme="minorEastAsia" w:eastAsiaTheme="minorEastAsia"/>
          <w:color w:val="auto"/>
          <w:highlight w:val="none"/>
          <w:lang w:val="zh-CN"/>
        </w:rPr>
        <w:t>…………………………………………………（页码）</w:t>
      </w:r>
    </w:p>
    <w:p w14:paraId="5F526783">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（9）</w:t>
      </w:r>
      <w:r>
        <w:rPr>
          <w:rFonts w:hint="eastAsia" w:cs="仿宋_GB2312" w:asciiTheme="minorEastAsia" w:hAnsiTheme="minorEastAsia" w:eastAsiaTheme="minorEastAsia"/>
          <w:color w:val="auto"/>
          <w:highlight w:val="none"/>
          <w:lang w:val="zh-CN"/>
        </w:rPr>
        <w:t>商务条款响应（偏离）表…………………………………………………（页码）</w:t>
      </w:r>
    </w:p>
    <w:p w14:paraId="756F7518">
      <w:pPr>
        <w:pStyle w:val="185"/>
        <w:spacing w:line="360" w:lineRule="auto"/>
        <w:rPr>
          <w:rFonts w:hint="eastAsia" w:cs="仿宋_GB2312" w:asciiTheme="minorEastAsia" w:hAnsiTheme="minorEastAsia" w:eastAsiaTheme="minorEastAsia"/>
          <w:color w:val="auto"/>
          <w:kern w:val="0"/>
          <w:sz w:val="24"/>
          <w:szCs w:val="24"/>
          <w:highlight w:val="none"/>
          <w:lang w:val="en-US" w:eastAsia="zh-CN"/>
        </w:rPr>
      </w:pPr>
      <w:r>
        <w:rPr>
          <w:rFonts w:hint="eastAsia" w:cs="仿宋_GB2312" w:asciiTheme="minorEastAsia" w:hAnsiTheme="minorEastAsia" w:eastAsiaTheme="minorEastAsia"/>
          <w:color w:val="auto"/>
          <w:kern w:val="0"/>
          <w:sz w:val="24"/>
          <w:szCs w:val="24"/>
          <w:highlight w:val="none"/>
          <w:lang w:val="en-US" w:eastAsia="zh-CN"/>
        </w:rPr>
        <w:t>（10）评标标准相应的商务技术资料</w:t>
      </w:r>
      <w:r>
        <w:rPr>
          <w:rFonts w:hint="eastAsia" w:cs="仿宋_GB2312" w:asciiTheme="minorEastAsia" w:hAnsiTheme="minorEastAsia" w:eastAsiaTheme="minorEastAsia"/>
          <w:color w:val="auto"/>
          <w:highlight w:val="none"/>
          <w:lang w:val="zh-CN"/>
        </w:rPr>
        <w:t>…………………………………………（页码）</w:t>
      </w:r>
    </w:p>
    <w:p w14:paraId="45D6CF97">
      <w:pPr>
        <w:spacing w:line="36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 xml:space="preserve">认为需要的其他商务文件或说明 </w:t>
      </w:r>
      <w:r>
        <w:rPr>
          <w:rFonts w:hint="eastAsia" w:cs="仿宋_GB2312" w:asciiTheme="minorEastAsia" w:hAnsiTheme="minorEastAsia" w:eastAsiaTheme="minorEastAsia"/>
          <w:color w:val="auto"/>
          <w:sz w:val="24"/>
          <w:szCs w:val="24"/>
          <w:highlight w:val="none"/>
          <w:lang w:val="zh-CN"/>
        </w:rPr>
        <w:t>………………………………………（页码）</w:t>
      </w:r>
      <w:r>
        <w:rPr>
          <w:rFonts w:hint="eastAsia" w:cs="仿宋_GB2312" w:asciiTheme="minorEastAsia" w:hAnsiTheme="minorEastAsia" w:eastAsiaTheme="minorEastAsia"/>
          <w:color w:val="auto"/>
          <w:kern w:val="0"/>
          <w:sz w:val="24"/>
          <w:szCs w:val="24"/>
          <w:highlight w:val="none"/>
          <w:lang w:val="zh-CN"/>
        </w:rPr>
        <w:t xml:space="preserve"> </w:t>
      </w:r>
    </w:p>
    <w:p w14:paraId="24D3BDA7">
      <w:pPr>
        <w:spacing w:line="360" w:lineRule="auto"/>
        <w:ind w:firstLine="480"/>
        <w:jc w:val="center"/>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en-US" w:eastAsia="zh-CN"/>
        </w:rPr>
        <w:t>12</w:t>
      </w: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zh-CN"/>
        </w:rPr>
        <w:t>认为需要的其他技术文件或说明…………………</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117CAC8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DCB88F4">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B2EA51B">
      <w:pPr>
        <w:widowControl/>
        <w:tabs>
          <w:tab w:val="left" w:pos="1200"/>
        </w:tabs>
        <w:adjustRightInd/>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79DF5D59">
      <w:pPr>
        <w:pStyle w:val="2"/>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30B09B9">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05B4AF8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街道办事处、宁波市拓帆工程管理有限公司</w:t>
      </w:r>
      <w:r>
        <w:rPr>
          <w:rFonts w:hint="eastAsia" w:cs="宋体" w:asciiTheme="minorEastAsia" w:hAnsiTheme="minorEastAsia" w:eastAsiaTheme="minorEastAsia"/>
          <w:color w:val="auto"/>
          <w:sz w:val="24"/>
          <w:highlight w:val="none"/>
        </w:rPr>
        <w:t>：</w:t>
      </w:r>
    </w:p>
    <w:p w14:paraId="4F1F1D2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u w:val="single"/>
          <w:lang w:val="en-US" w:eastAsia="zh-CN"/>
        </w:rPr>
        <w:t>海曙区南门街道车站未来社区项目（实施方案编制，创建及验收咨询服务）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4B5A5DA2">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51F535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54871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F92587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47539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E46CD1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694C03E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0F850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C84866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D803A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A1CCCD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3693EB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8602FB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29797F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980788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FBB295">
      <w:pPr>
        <w:snapToGrid w:val="0"/>
        <w:spacing w:line="240" w:lineRule="auto"/>
        <w:ind w:right="480"/>
        <w:jc w:val="center"/>
        <w:outlineLvl w:val="2"/>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661BAA89">
      <w:pPr>
        <w:spacing w:line="360" w:lineRule="auto"/>
        <w:jc w:val="center"/>
        <w:rPr>
          <w:rFonts w:cs="仿宋_GB2312" w:asciiTheme="minorEastAsia" w:hAnsiTheme="minorEastAsia" w:eastAsiaTheme="minorEastAsia"/>
          <w:b/>
          <w:color w:val="auto"/>
          <w:sz w:val="32"/>
          <w:szCs w:val="32"/>
          <w:highlight w:val="none"/>
        </w:rPr>
      </w:pPr>
    </w:p>
    <w:p w14:paraId="0BA28FE4">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3B61125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8135571">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6CCBB3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864372F">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AFF16C8">
      <w:pPr>
        <w:spacing w:line="360" w:lineRule="auto"/>
        <w:jc w:val="center"/>
        <w:rPr>
          <w:rFonts w:cs="仿宋_GB2312" w:asciiTheme="minorEastAsia" w:hAnsiTheme="minorEastAsia" w:eastAsiaTheme="minorEastAsia"/>
          <w:b/>
          <w:color w:val="auto"/>
          <w:sz w:val="32"/>
          <w:szCs w:val="32"/>
          <w:highlight w:val="none"/>
        </w:rPr>
      </w:pPr>
    </w:p>
    <w:p w14:paraId="0816C936">
      <w:pPr>
        <w:rPr>
          <w:rFonts w:asciiTheme="minorEastAsia" w:hAnsiTheme="minorEastAsia" w:eastAsiaTheme="minorEastAsia"/>
          <w:color w:val="auto"/>
          <w:sz w:val="24"/>
          <w:highlight w:val="none"/>
        </w:rPr>
      </w:pPr>
    </w:p>
    <w:p w14:paraId="01029360">
      <w:pPr>
        <w:spacing w:line="360" w:lineRule="auto"/>
        <w:jc w:val="center"/>
        <w:outlineLvl w:val="2"/>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w:t>
      </w: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）符合特定资格条件要求的资质文件（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BA598A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FCA7417">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49544C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1E4C885">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8E7D1AC">
      <w:pPr>
        <w:pStyle w:val="16"/>
        <w:rPr>
          <w:color w:val="auto"/>
          <w:highlight w:val="none"/>
          <w:lang w:val="zh-CN"/>
        </w:rPr>
      </w:pPr>
    </w:p>
    <w:p w14:paraId="2EBB4206">
      <w:pPr>
        <w:numPr>
          <w:ilvl w:val="0"/>
          <w:numId w:val="0"/>
        </w:numPr>
        <w:spacing w:line="360" w:lineRule="auto"/>
        <w:jc w:val="center"/>
        <w:outlineLvl w:val="2"/>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（五）联合体协议</w:t>
      </w:r>
    </w:p>
    <w:p w14:paraId="44D8DF00">
      <w:pPr>
        <w:pStyle w:val="16"/>
        <w:numPr>
          <w:ilvl w:val="0"/>
          <w:numId w:val="0"/>
        </w:numPr>
        <w:rPr>
          <w:rFonts w:hint="default"/>
          <w:color w:val="auto"/>
          <w:highlight w:val="none"/>
          <w:lang w:val="en-US" w:eastAsia="zh-CN"/>
        </w:rPr>
      </w:pPr>
    </w:p>
    <w:p w14:paraId="43D189FD">
      <w:pPr>
        <w:snapToGrid w:val="0"/>
        <w:spacing w:line="360" w:lineRule="auto"/>
        <w:ind w:right="480"/>
        <w:jc w:val="center"/>
        <w:rPr>
          <w:rFonts w:hint="eastAsia" w:eastAsia="宋体" w:cs="仿宋_GB2312" w:asciiTheme="minorEastAsia" w:hAnsiTheme="minorEastAsia"/>
          <w:b/>
          <w:color w:val="auto"/>
          <w:kern w:val="0"/>
          <w:sz w:val="32"/>
          <w:szCs w:val="32"/>
          <w:highlight w:val="none"/>
          <w:lang w:val="en-US" w:eastAsia="zh-CN"/>
        </w:rPr>
        <w:sectPr>
          <w:headerReference r:id="rId7" w:type="default"/>
          <w:footerReference r:id="rId8" w:type="default"/>
          <w:pgSz w:w="11906" w:h="16838"/>
          <w:pgMar w:top="1247" w:right="1418" w:bottom="1276" w:left="1418" w:header="851" w:footer="992" w:gutter="0"/>
          <w:pgNumType w:fmt="decimal"/>
          <w:cols w:space="720" w:num="1"/>
          <w:titlePg/>
          <w:docGrid w:linePitch="312" w:charSpace="0"/>
        </w:sect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详见附件7</w:t>
      </w:r>
      <w:r>
        <w:rPr>
          <w:rFonts w:hint="eastAsia" w:ascii="宋体" w:hAnsi="宋体" w:cs="宋体"/>
          <w:b/>
          <w:color w:val="auto"/>
          <w:sz w:val="24"/>
          <w:highlight w:val="none"/>
        </w:rPr>
        <w:t>）</w:t>
      </w:r>
    </w:p>
    <w:p w14:paraId="2E86C311">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2"/>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6F680B5D">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7129C3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54342B6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1D361E69">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309BD5B5">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48C5D2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证明文件</w:t>
            </w:r>
          </w:p>
        </w:tc>
      </w:tr>
      <w:tr w14:paraId="4D403B42">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06C1482E">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95A2E72">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7F851823">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0C263FFB">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0977CDE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75BFC965">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5E41E12F">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04E8EE4">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6531B380">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24F3320D">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09D3CB4B">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0F3FB59B">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B4AE33A">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74FEDFB">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34F5679C">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4EB1B8A6">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36AB074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656A6305">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64015046">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58F3F66E">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590BD517">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461DFA52">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35C83BD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05EFEA75">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667994">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3885CC8">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4B3C7CEF">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73DFE79B">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6497417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7CAA570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42E951">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2C859E6">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4822699">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5E7B2C01">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495CED46">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40D24C6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A0E06F">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C1EA045">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D0D58DE">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2BD8E245">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20C18AB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D8217B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0FD2A0">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03CD0E2">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79738EC">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5F64A1E1">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52367777">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BCCF95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EDCA3BA">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F31F3A0">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EDEA6A7">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35D313F6">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451AC0C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E2A899C">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8D0273">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BED46EE">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CF08474">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203B7B2E">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0D81D08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35739939">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18C4F3F">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64CBD6F">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1B617AA8">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0EB4DB2F">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7575B518">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1F61EF37">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F36DBD">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6FBF0E0">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A8FE65C">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032BC0C9">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23641E8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bl>
    <w:p w14:paraId="43A6E8A6">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7C75AD1D">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69D4BBC9">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0E568B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宁波市拓帆工程管理</w:t>
      </w:r>
      <w:r>
        <w:rPr>
          <w:rFonts w:hint="eastAsia" w:cs="仿宋_GB2312" w:asciiTheme="minorEastAsia" w:hAnsiTheme="minorEastAsia" w:eastAsiaTheme="minorEastAsia"/>
          <w:color w:val="auto"/>
          <w:sz w:val="24"/>
          <w:highlight w:val="none"/>
        </w:rPr>
        <w:t>有限公司：</w:t>
      </w:r>
    </w:p>
    <w:p w14:paraId="30BC93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海曙区南门街道车站未来社区项目（实施方案编制，创建及验收咨询服务）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5473DB25">
      <w:pPr>
        <w:pStyle w:val="2"/>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20CCB0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B4D51CE">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16C6F11">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B84825F">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0204EF6">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ADD106A">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630F968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1600BDB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3C2D64C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7A5595D1">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032BBF2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D1BBE8A">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AF4DA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176673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93A02D3">
      <w:pPr>
        <w:autoSpaceDE w:val="0"/>
        <w:autoSpaceDN w:val="0"/>
        <w:spacing w:line="360" w:lineRule="auto"/>
        <w:rPr>
          <w:rFonts w:cs="仿宋_GB2312" w:asciiTheme="minorEastAsia" w:hAnsiTheme="minorEastAsia" w:eastAsiaTheme="minorEastAsia"/>
          <w:color w:val="auto"/>
          <w:kern w:val="0"/>
          <w:sz w:val="24"/>
          <w:highlight w:val="none"/>
        </w:rPr>
      </w:pPr>
    </w:p>
    <w:p w14:paraId="4C6815A8">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9D49A1F">
      <w:pPr>
        <w:spacing w:line="360" w:lineRule="auto"/>
        <w:rPr>
          <w:rFonts w:cs="仿宋_GB2312" w:asciiTheme="minorEastAsia" w:hAnsiTheme="minorEastAsia" w:eastAsiaTheme="minorEastAsia"/>
          <w:color w:val="auto"/>
          <w:sz w:val="24"/>
          <w:highlight w:val="none"/>
        </w:rPr>
      </w:pPr>
    </w:p>
    <w:p w14:paraId="02B6D922">
      <w:pPr>
        <w:spacing w:line="360" w:lineRule="auto"/>
        <w:rPr>
          <w:rFonts w:cs="仿宋_GB2312" w:asciiTheme="minorEastAsia" w:hAnsiTheme="minorEastAsia" w:eastAsiaTheme="minorEastAsia"/>
          <w:color w:val="auto"/>
          <w:sz w:val="18"/>
          <w:szCs w:val="18"/>
          <w:highlight w:val="none"/>
        </w:rPr>
      </w:pPr>
    </w:p>
    <w:p w14:paraId="27586CB4">
      <w:pPr>
        <w:spacing w:line="360" w:lineRule="auto"/>
        <w:rPr>
          <w:rFonts w:cs="仿宋_GB2312" w:asciiTheme="minorEastAsia" w:hAnsiTheme="minorEastAsia" w:eastAsiaTheme="minorEastAsia"/>
          <w:color w:val="auto"/>
          <w:sz w:val="18"/>
          <w:szCs w:val="18"/>
          <w:highlight w:val="none"/>
        </w:rPr>
      </w:pPr>
    </w:p>
    <w:p w14:paraId="186D3368">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CC932B6">
      <w:pPr>
        <w:widowControl/>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4125103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宁波市拓帆工程管理</w:t>
      </w:r>
      <w:r>
        <w:rPr>
          <w:rFonts w:hint="eastAsia" w:cs="仿宋_GB2312" w:asciiTheme="minorEastAsia" w:hAnsiTheme="minorEastAsia" w:eastAsiaTheme="minorEastAsia"/>
          <w:color w:val="auto"/>
          <w:sz w:val="24"/>
          <w:highlight w:val="none"/>
        </w:rPr>
        <w:t>有限公司</w:t>
      </w:r>
      <w:r>
        <w:rPr>
          <w:rFonts w:hint="eastAsia" w:cs="仿宋_GB2312" w:asciiTheme="minorEastAsia" w:hAnsiTheme="minorEastAsia" w:eastAsiaTheme="minorEastAsia"/>
          <w:color w:val="auto"/>
          <w:kern w:val="0"/>
          <w:sz w:val="24"/>
          <w:highlight w:val="none"/>
          <w:lang w:val="zh-CN"/>
        </w:rPr>
        <w:t>：</w:t>
      </w:r>
    </w:p>
    <w:p w14:paraId="6FDC4DE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海曙区南门街道车站未来社区项目（实施方案编制，创建及验收咨询服务）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46ECC8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744533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AB22F2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F2E49B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B46AD8C">
      <w:pPr>
        <w:snapToGrid w:val="0"/>
        <w:spacing w:line="360" w:lineRule="auto"/>
        <w:rPr>
          <w:rFonts w:cs="仿宋_GB2312" w:asciiTheme="minorEastAsia" w:hAnsiTheme="minorEastAsia" w:eastAsiaTheme="minorEastAsia"/>
          <w:color w:val="auto"/>
          <w:kern w:val="0"/>
          <w:sz w:val="24"/>
          <w:highlight w:val="none"/>
          <w:lang w:val="zh-CN"/>
        </w:rPr>
      </w:pPr>
    </w:p>
    <w:p w14:paraId="26E93500">
      <w:pPr>
        <w:autoSpaceDE w:val="0"/>
        <w:autoSpaceDN w:val="0"/>
        <w:spacing w:line="360" w:lineRule="auto"/>
        <w:jc w:val="center"/>
        <w:outlineLvl w:val="1"/>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kern w:val="0"/>
          <w:sz w:val="32"/>
          <w:szCs w:val="32"/>
          <w:highlight w:val="none"/>
          <w:lang w:val="zh-CN"/>
        </w:rPr>
        <w:br w:type="page"/>
      </w: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446AD291">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54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CCE381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11B8CDD">
            <w:pPr>
              <w:pStyle w:val="620"/>
              <w:spacing w:line="360" w:lineRule="auto"/>
              <w:rPr>
                <w:rFonts w:asciiTheme="minorEastAsia" w:hAnsiTheme="minorEastAsia" w:eastAsiaTheme="minorEastAsia"/>
                <w:bCs/>
                <w:color w:val="auto"/>
                <w:sz w:val="24"/>
                <w:highlight w:val="none"/>
              </w:rPr>
            </w:pPr>
          </w:p>
        </w:tc>
      </w:tr>
    </w:tbl>
    <w:p w14:paraId="3A48685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86ECAD0">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A8F3610">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日期：  年  月</w:t>
      </w:r>
    </w:p>
    <w:p w14:paraId="6E707866">
      <w:pPr>
        <w:autoSpaceDE w:val="0"/>
        <w:autoSpaceDN w:val="0"/>
        <w:spacing w:line="360" w:lineRule="auto"/>
        <w:jc w:val="center"/>
        <w:outlineLvl w:val="1"/>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213E7AF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14:paraId="034F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9100" w:type="dxa"/>
            <w:shd w:val="clear" w:color="auto" w:fill="auto"/>
          </w:tcPr>
          <w:p w14:paraId="5F90606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3F88069">
            <w:pPr>
              <w:pStyle w:val="620"/>
              <w:spacing w:line="360" w:lineRule="auto"/>
              <w:rPr>
                <w:rFonts w:asciiTheme="minorEastAsia" w:hAnsiTheme="minorEastAsia" w:eastAsiaTheme="minorEastAsia"/>
                <w:bCs/>
                <w:color w:val="auto"/>
                <w:sz w:val="24"/>
                <w:highlight w:val="none"/>
              </w:rPr>
            </w:pPr>
          </w:p>
        </w:tc>
      </w:tr>
    </w:tbl>
    <w:p w14:paraId="666A8CC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F2FCD1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AA1197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08504CB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E42216F">
      <w:pPr>
        <w:snapToGrid w:val="0"/>
        <w:spacing w:line="360" w:lineRule="auto"/>
        <w:jc w:val="center"/>
        <w:outlineLvl w:val="1"/>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17D78E11">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8CC11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海曙区南门街道车站未来社区项目（实施方案编制，创建及验收咨询服务）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8CA7A8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6C9F9C9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EEE63B9">
      <w:pPr>
        <w:tabs>
          <w:tab w:val="left" w:pos="432"/>
        </w:tabs>
        <w:ind w:left="664" w:leftChars="316" w:firstLine="228" w:firstLineChars="95"/>
        <w:outlineLvl w:val="9"/>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3624AFD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2E2BB1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19C51D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926DD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219184D">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A62E2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8D906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3FA64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EF023F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628C3D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1C5679C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EEC763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653C1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158A8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18E5EC9">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31B5AE4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C784DB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53A136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8E5B0D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5D90675">
      <w:pPr>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5E0EFD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8A480DE">
      <w:pPr>
        <w:spacing w:line="360" w:lineRule="auto"/>
        <w:jc w:val="center"/>
        <w:rPr>
          <w:rFonts w:cs="仿宋_GB2312" w:asciiTheme="minorEastAsia" w:hAnsiTheme="minorEastAsia" w:eastAsiaTheme="minorEastAsia"/>
          <w:b/>
          <w:color w:val="auto"/>
          <w:sz w:val="30"/>
          <w:szCs w:val="30"/>
          <w:highlight w:val="none"/>
        </w:rPr>
      </w:pPr>
    </w:p>
    <w:p w14:paraId="5C9BB9E3">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BD0C96F">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3380EEDF">
      <w:pPr>
        <w:spacing w:line="360" w:lineRule="auto"/>
        <w:jc w:val="center"/>
        <w:rPr>
          <w:rFonts w:cs="仿宋_GB2312" w:asciiTheme="minorEastAsia" w:hAnsiTheme="minorEastAsia" w:eastAsiaTheme="minorEastAsia"/>
          <w:b/>
          <w:color w:val="auto"/>
          <w:kern w:val="0"/>
          <w:sz w:val="32"/>
          <w:szCs w:val="32"/>
          <w:highlight w:val="none"/>
        </w:rPr>
      </w:pPr>
    </w:p>
    <w:p w14:paraId="17739595">
      <w:pPr>
        <w:rPr>
          <w:rFonts w:cs="仿宋_GB2312" w:asciiTheme="minorEastAsia" w:hAnsiTheme="minorEastAsia" w:eastAsiaTheme="minorEastAsia"/>
          <w:b/>
          <w:bCs/>
          <w:color w:val="auto"/>
          <w:sz w:val="32"/>
          <w:szCs w:val="32"/>
          <w:highlight w:val="none"/>
        </w:rPr>
      </w:pPr>
    </w:p>
    <w:p w14:paraId="4186498C">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798407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390CCEB">
      <w:pPr>
        <w:spacing w:line="360" w:lineRule="auto"/>
        <w:rPr>
          <w:rFonts w:cs="仿宋_GB2312" w:asciiTheme="minorEastAsia" w:hAnsiTheme="minorEastAsia" w:eastAsiaTheme="minorEastAsia"/>
          <w:color w:val="auto"/>
          <w:sz w:val="24"/>
          <w:highlight w:val="none"/>
        </w:rPr>
      </w:pPr>
    </w:p>
    <w:p w14:paraId="05F67C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A75E2A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DE5EA9">
      <w:pPr>
        <w:spacing w:line="360" w:lineRule="auto"/>
        <w:jc w:val="center"/>
        <w:rPr>
          <w:rFonts w:cs="仿宋_GB2312" w:asciiTheme="minorEastAsia" w:hAnsiTheme="minorEastAsia" w:eastAsiaTheme="minorEastAsia"/>
          <w:b/>
          <w:bCs/>
          <w:color w:val="auto"/>
          <w:sz w:val="32"/>
          <w:szCs w:val="32"/>
          <w:highlight w:val="none"/>
        </w:rPr>
      </w:pPr>
    </w:p>
    <w:p w14:paraId="26061A73">
      <w:pPr>
        <w:spacing w:line="360" w:lineRule="auto"/>
        <w:jc w:val="center"/>
        <w:rPr>
          <w:rFonts w:cs="仿宋_GB2312" w:asciiTheme="minorEastAsia" w:hAnsiTheme="minorEastAsia" w:eastAsiaTheme="minorEastAsia"/>
          <w:b/>
          <w:bCs/>
          <w:color w:val="auto"/>
          <w:sz w:val="32"/>
          <w:szCs w:val="32"/>
          <w:highlight w:val="none"/>
        </w:rPr>
      </w:pPr>
    </w:p>
    <w:p w14:paraId="022F857A">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val="en-US" w:eastAsia="zh-CN"/>
        </w:rPr>
        <w:t>采购要求响应（偏离）表</w:t>
      </w:r>
    </w:p>
    <w:p w14:paraId="5E4A6F63">
      <w:pPr>
        <w:snapToGrid w:val="0"/>
        <w:spacing w:before="50" w:after="156" w:afterLines="50"/>
        <w:jc w:val="center"/>
        <w:rPr>
          <w:rFonts w:hint="eastAsia" w:hAnsi="宋体" w:eastAsia="宋体" w:cs="宋体"/>
          <w:b/>
          <w:bCs/>
          <w:color w:val="auto"/>
          <w:sz w:val="21"/>
          <w:highlight w:val="none"/>
        </w:rPr>
      </w:pPr>
      <w:r>
        <w:rPr>
          <w:rFonts w:hint="eastAsia" w:hAnsi="宋体" w:cs="宋体"/>
          <w:b/>
          <w:bCs/>
          <w:color w:val="auto"/>
          <w:sz w:val="21"/>
          <w:highlight w:val="none"/>
          <w:lang w:val="en-US" w:eastAsia="zh-CN"/>
        </w:rPr>
        <w:t>采购要求</w:t>
      </w:r>
      <w:r>
        <w:rPr>
          <w:rFonts w:hint="eastAsia" w:hAnsi="宋体" w:eastAsia="宋体" w:cs="宋体"/>
          <w:b/>
          <w:bCs/>
          <w:color w:val="auto"/>
          <w:sz w:val="21"/>
          <w:highlight w:val="none"/>
        </w:rPr>
        <w:t>响应（偏离）表</w:t>
      </w:r>
    </w:p>
    <w:p w14:paraId="43075A7E">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5652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43CE77AC">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64FF4D0C">
            <w:pPr>
              <w:jc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rPr>
              <w:t>磋商文件的采购</w:t>
            </w:r>
            <w:r>
              <w:rPr>
                <w:rFonts w:hint="eastAsia" w:hAnsi="宋体" w:cs="宋体"/>
                <w:color w:val="auto"/>
                <w:sz w:val="24"/>
                <w:szCs w:val="24"/>
                <w:highlight w:val="none"/>
                <w:lang w:val="en-US" w:eastAsia="zh-CN"/>
              </w:rPr>
              <w:t>要求</w:t>
            </w:r>
          </w:p>
        </w:tc>
        <w:tc>
          <w:tcPr>
            <w:tcW w:w="1575" w:type="dxa"/>
            <w:noWrap w:val="0"/>
            <w:vAlign w:val="center"/>
          </w:tcPr>
          <w:p w14:paraId="7EC7967F">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3EE0F005">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5201E8BB">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77A2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BD6A9AF">
            <w:pPr>
              <w:jc w:val="center"/>
              <w:rPr>
                <w:rFonts w:hint="eastAsia" w:hAnsi="宋体" w:eastAsia="宋体" w:cs="宋体"/>
                <w:color w:val="auto"/>
                <w:sz w:val="24"/>
                <w:szCs w:val="24"/>
                <w:highlight w:val="none"/>
              </w:rPr>
            </w:pPr>
          </w:p>
        </w:tc>
        <w:tc>
          <w:tcPr>
            <w:tcW w:w="4647" w:type="dxa"/>
            <w:noWrap w:val="0"/>
            <w:vAlign w:val="center"/>
          </w:tcPr>
          <w:p w14:paraId="504A5A28">
            <w:pPr>
              <w:rPr>
                <w:rFonts w:hint="eastAsia" w:hAnsi="宋体" w:eastAsia="宋体" w:cs="宋体"/>
                <w:b/>
                <w:bCs/>
                <w:color w:val="auto"/>
                <w:sz w:val="24"/>
                <w:szCs w:val="24"/>
                <w:highlight w:val="none"/>
              </w:rPr>
            </w:pPr>
          </w:p>
        </w:tc>
        <w:tc>
          <w:tcPr>
            <w:tcW w:w="1575" w:type="dxa"/>
            <w:noWrap w:val="0"/>
            <w:vAlign w:val="center"/>
          </w:tcPr>
          <w:p w14:paraId="0C518E32">
            <w:pPr>
              <w:jc w:val="center"/>
              <w:rPr>
                <w:rFonts w:hint="eastAsia" w:hAnsi="宋体" w:eastAsia="宋体" w:cs="宋体"/>
                <w:color w:val="auto"/>
                <w:sz w:val="24"/>
                <w:szCs w:val="24"/>
                <w:highlight w:val="none"/>
              </w:rPr>
            </w:pPr>
          </w:p>
        </w:tc>
        <w:tc>
          <w:tcPr>
            <w:tcW w:w="1185" w:type="dxa"/>
            <w:noWrap w:val="0"/>
            <w:vAlign w:val="center"/>
          </w:tcPr>
          <w:p w14:paraId="278423A3">
            <w:pPr>
              <w:jc w:val="center"/>
              <w:rPr>
                <w:rFonts w:hint="eastAsia" w:hAnsi="宋体" w:eastAsia="宋体" w:cs="宋体"/>
                <w:color w:val="auto"/>
                <w:sz w:val="24"/>
                <w:szCs w:val="24"/>
                <w:highlight w:val="none"/>
              </w:rPr>
            </w:pPr>
          </w:p>
        </w:tc>
      </w:tr>
      <w:tr w14:paraId="32F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774C6FB">
            <w:pPr>
              <w:jc w:val="center"/>
              <w:rPr>
                <w:rFonts w:hint="eastAsia" w:hAnsi="宋体" w:eastAsia="宋体" w:cs="宋体"/>
                <w:color w:val="auto"/>
                <w:sz w:val="24"/>
                <w:szCs w:val="24"/>
                <w:highlight w:val="none"/>
              </w:rPr>
            </w:pPr>
          </w:p>
        </w:tc>
        <w:tc>
          <w:tcPr>
            <w:tcW w:w="4647" w:type="dxa"/>
            <w:noWrap w:val="0"/>
            <w:vAlign w:val="center"/>
          </w:tcPr>
          <w:p w14:paraId="470211DC">
            <w:pPr>
              <w:rPr>
                <w:rFonts w:hint="eastAsia" w:hAnsi="宋体" w:eastAsia="宋体" w:cs="宋体"/>
                <w:b/>
                <w:bCs/>
                <w:color w:val="auto"/>
                <w:sz w:val="24"/>
                <w:szCs w:val="24"/>
                <w:highlight w:val="none"/>
              </w:rPr>
            </w:pPr>
          </w:p>
        </w:tc>
        <w:tc>
          <w:tcPr>
            <w:tcW w:w="1575" w:type="dxa"/>
            <w:noWrap w:val="0"/>
            <w:vAlign w:val="center"/>
          </w:tcPr>
          <w:p w14:paraId="296AAB59">
            <w:pPr>
              <w:jc w:val="center"/>
              <w:rPr>
                <w:rFonts w:hint="eastAsia" w:hAnsi="宋体" w:eastAsia="宋体" w:cs="宋体"/>
                <w:color w:val="auto"/>
                <w:sz w:val="24"/>
                <w:szCs w:val="24"/>
                <w:highlight w:val="none"/>
              </w:rPr>
            </w:pPr>
          </w:p>
        </w:tc>
        <w:tc>
          <w:tcPr>
            <w:tcW w:w="1185" w:type="dxa"/>
            <w:noWrap w:val="0"/>
            <w:vAlign w:val="center"/>
          </w:tcPr>
          <w:p w14:paraId="093777E3">
            <w:pPr>
              <w:jc w:val="center"/>
              <w:rPr>
                <w:rFonts w:hint="eastAsia" w:hAnsi="宋体" w:eastAsia="宋体" w:cs="宋体"/>
                <w:color w:val="auto"/>
                <w:sz w:val="24"/>
                <w:szCs w:val="24"/>
                <w:highlight w:val="none"/>
              </w:rPr>
            </w:pPr>
          </w:p>
        </w:tc>
      </w:tr>
      <w:tr w14:paraId="5AD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FF989E4">
            <w:pPr>
              <w:jc w:val="center"/>
              <w:rPr>
                <w:rFonts w:hint="eastAsia" w:hAnsi="宋体" w:eastAsia="宋体" w:cs="宋体"/>
                <w:color w:val="auto"/>
                <w:sz w:val="24"/>
                <w:szCs w:val="24"/>
                <w:highlight w:val="none"/>
              </w:rPr>
            </w:pPr>
          </w:p>
        </w:tc>
        <w:tc>
          <w:tcPr>
            <w:tcW w:w="4647" w:type="dxa"/>
            <w:noWrap w:val="0"/>
            <w:vAlign w:val="center"/>
          </w:tcPr>
          <w:p w14:paraId="4A7164F9">
            <w:pPr>
              <w:rPr>
                <w:rFonts w:hint="eastAsia" w:hAnsi="宋体" w:eastAsia="宋体" w:cs="宋体"/>
                <w:color w:val="auto"/>
                <w:sz w:val="24"/>
                <w:szCs w:val="24"/>
                <w:highlight w:val="none"/>
              </w:rPr>
            </w:pPr>
          </w:p>
        </w:tc>
        <w:tc>
          <w:tcPr>
            <w:tcW w:w="1575" w:type="dxa"/>
            <w:noWrap w:val="0"/>
            <w:vAlign w:val="center"/>
          </w:tcPr>
          <w:p w14:paraId="04C0B782">
            <w:pPr>
              <w:jc w:val="center"/>
              <w:rPr>
                <w:rFonts w:hint="eastAsia" w:hAnsi="宋体" w:eastAsia="宋体" w:cs="宋体"/>
                <w:color w:val="auto"/>
                <w:sz w:val="24"/>
                <w:szCs w:val="24"/>
                <w:highlight w:val="none"/>
              </w:rPr>
            </w:pPr>
          </w:p>
        </w:tc>
        <w:tc>
          <w:tcPr>
            <w:tcW w:w="1185" w:type="dxa"/>
            <w:noWrap w:val="0"/>
            <w:vAlign w:val="center"/>
          </w:tcPr>
          <w:p w14:paraId="46A6E540">
            <w:pPr>
              <w:jc w:val="center"/>
              <w:rPr>
                <w:rFonts w:hint="eastAsia" w:hAnsi="宋体" w:eastAsia="宋体" w:cs="宋体"/>
                <w:color w:val="auto"/>
                <w:sz w:val="24"/>
                <w:szCs w:val="24"/>
                <w:highlight w:val="none"/>
              </w:rPr>
            </w:pPr>
          </w:p>
        </w:tc>
      </w:tr>
      <w:tr w14:paraId="4AD0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0CB145C">
            <w:pPr>
              <w:jc w:val="center"/>
              <w:rPr>
                <w:rFonts w:hint="eastAsia" w:hAnsi="宋体" w:eastAsia="宋体" w:cs="宋体"/>
                <w:color w:val="auto"/>
                <w:sz w:val="24"/>
                <w:szCs w:val="24"/>
                <w:highlight w:val="none"/>
              </w:rPr>
            </w:pPr>
          </w:p>
        </w:tc>
        <w:tc>
          <w:tcPr>
            <w:tcW w:w="4647" w:type="dxa"/>
            <w:noWrap w:val="0"/>
            <w:vAlign w:val="center"/>
          </w:tcPr>
          <w:p w14:paraId="6ED0A262">
            <w:pPr>
              <w:rPr>
                <w:rFonts w:hint="eastAsia" w:hAnsi="宋体" w:eastAsia="宋体" w:cs="宋体"/>
                <w:color w:val="auto"/>
                <w:sz w:val="24"/>
                <w:szCs w:val="24"/>
                <w:highlight w:val="none"/>
              </w:rPr>
            </w:pPr>
          </w:p>
        </w:tc>
        <w:tc>
          <w:tcPr>
            <w:tcW w:w="1575" w:type="dxa"/>
            <w:noWrap w:val="0"/>
            <w:vAlign w:val="center"/>
          </w:tcPr>
          <w:p w14:paraId="54486D75">
            <w:pPr>
              <w:jc w:val="center"/>
              <w:rPr>
                <w:rFonts w:hint="eastAsia" w:hAnsi="宋体" w:eastAsia="宋体" w:cs="宋体"/>
                <w:color w:val="auto"/>
                <w:sz w:val="24"/>
                <w:szCs w:val="24"/>
                <w:highlight w:val="none"/>
              </w:rPr>
            </w:pPr>
          </w:p>
        </w:tc>
        <w:tc>
          <w:tcPr>
            <w:tcW w:w="1185" w:type="dxa"/>
            <w:noWrap w:val="0"/>
            <w:vAlign w:val="center"/>
          </w:tcPr>
          <w:p w14:paraId="5F705E2A">
            <w:pPr>
              <w:jc w:val="center"/>
              <w:rPr>
                <w:rFonts w:hint="eastAsia" w:hAnsi="宋体" w:eastAsia="宋体" w:cs="宋体"/>
                <w:color w:val="auto"/>
                <w:sz w:val="24"/>
                <w:szCs w:val="24"/>
                <w:highlight w:val="none"/>
              </w:rPr>
            </w:pPr>
          </w:p>
        </w:tc>
      </w:tr>
      <w:tr w14:paraId="422B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EFEC022">
            <w:pPr>
              <w:jc w:val="center"/>
              <w:rPr>
                <w:rFonts w:hint="eastAsia" w:hAnsi="宋体" w:eastAsia="宋体" w:cs="宋体"/>
                <w:color w:val="auto"/>
                <w:sz w:val="24"/>
                <w:szCs w:val="24"/>
                <w:highlight w:val="none"/>
              </w:rPr>
            </w:pPr>
          </w:p>
        </w:tc>
        <w:tc>
          <w:tcPr>
            <w:tcW w:w="4647" w:type="dxa"/>
            <w:noWrap w:val="0"/>
            <w:vAlign w:val="center"/>
          </w:tcPr>
          <w:p w14:paraId="25CDA76B">
            <w:pPr>
              <w:rPr>
                <w:rFonts w:hint="eastAsia" w:hAnsi="宋体" w:eastAsia="宋体" w:cs="宋体"/>
                <w:color w:val="auto"/>
                <w:sz w:val="24"/>
                <w:szCs w:val="24"/>
                <w:highlight w:val="none"/>
              </w:rPr>
            </w:pPr>
          </w:p>
        </w:tc>
        <w:tc>
          <w:tcPr>
            <w:tcW w:w="1575" w:type="dxa"/>
            <w:noWrap w:val="0"/>
            <w:vAlign w:val="center"/>
          </w:tcPr>
          <w:p w14:paraId="342E4F23">
            <w:pPr>
              <w:jc w:val="center"/>
              <w:rPr>
                <w:rFonts w:hint="eastAsia" w:hAnsi="宋体" w:eastAsia="宋体" w:cs="宋体"/>
                <w:color w:val="auto"/>
                <w:sz w:val="24"/>
                <w:szCs w:val="24"/>
                <w:highlight w:val="none"/>
              </w:rPr>
            </w:pPr>
          </w:p>
        </w:tc>
        <w:tc>
          <w:tcPr>
            <w:tcW w:w="1185" w:type="dxa"/>
            <w:noWrap w:val="0"/>
            <w:vAlign w:val="center"/>
          </w:tcPr>
          <w:p w14:paraId="785162E8">
            <w:pPr>
              <w:jc w:val="center"/>
              <w:rPr>
                <w:rFonts w:hint="eastAsia" w:hAnsi="宋体" w:eastAsia="宋体" w:cs="宋体"/>
                <w:color w:val="auto"/>
                <w:sz w:val="24"/>
                <w:szCs w:val="24"/>
                <w:highlight w:val="none"/>
              </w:rPr>
            </w:pPr>
          </w:p>
        </w:tc>
      </w:tr>
    </w:tbl>
    <w:p w14:paraId="21600BFD">
      <w:pPr>
        <w:pStyle w:val="23"/>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注：无偏离应在本表空白处醒目地注明“无服务条款偏离”的字样。</w:t>
      </w:r>
    </w:p>
    <w:p w14:paraId="0AAB187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E44D88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3A8DE5B">
      <w:pPr>
        <w:pStyle w:val="73"/>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、商务条款响应（偏离）表</w:t>
      </w:r>
    </w:p>
    <w:p w14:paraId="6D535493">
      <w:pPr>
        <w:snapToGrid w:val="0"/>
        <w:spacing w:before="50" w:after="156" w:afterLines="50"/>
        <w:jc w:val="center"/>
        <w:rPr>
          <w:rFonts w:hint="eastAsia" w:hAnsi="宋体" w:eastAsia="宋体" w:cs="宋体"/>
          <w:b/>
          <w:bCs/>
          <w:color w:val="auto"/>
          <w:sz w:val="21"/>
          <w:highlight w:val="none"/>
        </w:rPr>
      </w:pPr>
    </w:p>
    <w:p w14:paraId="7E1C264D">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6719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0194A0E7">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77E51ED0">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磋商文件的商务条款</w:t>
            </w:r>
          </w:p>
        </w:tc>
        <w:tc>
          <w:tcPr>
            <w:tcW w:w="1575" w:type="dxa"/>
            <w:noWrap w:val="0"/>
            <w:vAlign w:val="center"/>
          </w:tcPr>
          <w:p w14:paraId="2C02D2DA">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66053F47">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21724469">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328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AC1288B">
            <w:pPr>
              <w:jc w:val="center"/>
              <w:rPr>
                <w:rFonts w:hint="eastAsia" w:hAnsi="宋体" w:eastAsia="宋体" w:cs="宋体"/>
                <w:color w:val="auto"/>
                <w:sz w:val="24"/>
                <w:szCs w:val="24"/>
                <w:highlight w:val="none"/>
              </w:rPr>
            </w:pPr>
          </w:p>
        </w:tc>
        <w:tc>
          <w:tcPr>
            <w:tcW w:w="4647" w:type="dxa"/>
            <w:noWrap w:val="0"/>
            <w:vAlign w:val="center"/>
          </w:tcPr>
          <w:p w14:paraId="20B0D4DF">
            <w:pPr>
              <w:rPr>
                <w:rFonts w:hint="eastAsia" w:hAnsi="宋体" w:eastAsia="宋体" w:cs="宋体"/>
                <w:b/>
                <w:bCs/>
                <w:color w:val="auto"/>
                <w:sz w:val="24"/>
                <w:szCs w:val="24"/>
                <w:highlight w:val="none"/>
              </w:rPr>
            </w:pPr>
          </w:p>
        </w:tc>
        <w:tc>
          <w:tcPr>
            <w:tcW w:w="1575" w:type="dxa"/>
            <w:noWrap w:val="0"/>
            <w:vAlign w:val="center"/>
          </w:tcPr>
          <w:p w14:paraId="16491F83">
            <w:pPr>
              <w:jc w:val="center"/>
              <w:rPr>
                <w:rFonts w:hint="eastAsia" w:hAnsi="宋体" w:eastAsia="宋体" w:cs="宋体"/>
                <w:color w:val="auto"/>
                <w:sz w:val="24"/>
                <w:szCs w:val="24"/>
                <w:highlight w:val="none"/>
              </w:rPr>
            </w:pPr>
          </w:p>
        </w:tc>
        <w:tc>
          <w:tcPr>
            <w:tcW w:w="1185" w:type="dxa"/>
            <w:noWrap w:val="0"/>
            <w:vAlign w:val="center"/>
          </w:tcPr>
          <w:p w14:paraId="36504601">
            <w:pPr>
              <w:jc w:val="center"/>
              <w:rPr>
                <w:rFonts w:hint="eastAsia" w:hAnsi="宋体" w:eastAsia="宋体" w:cs="宋体"/>
                <w:color w:val="auto"/>
                <w:sz w:val="24"/>
                <w:szCs w:val="24"/>
                <w:highlight w:val="none"/>
              </w:rPr>
            </w:pPr>
          </w:p>
        </w:tc>
      </w:tr>
      <w:tr w14:paraId="2ED9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62C87AE">
            <w:pPr>
              <w:jc w:val="center"/>
              <w:rPr>
                <w:rFonts w:hint="eastAsia" w:hAnsi="宋体" w:eastAsia="宋体" w:cs="宋体"/>
                <w:color w:val="auto"/>
                <w:sz w:val="24"/>
                <w:szCs w:val="24"/>
                <w:highlight w:val="none"/>
              </w:rPr>
            </w:pPr>
          </w:p>
        </w:tc>
        <w:tc>
          <w:tcPr>
            <w:tcW w:w="4647" w:type="dxa"/>
            <w:noWrap w:val="0"/>
            <w:vAlign w:val="center"/>
          </w:tcPr>
          <w:p w14:paraId="6A98B964">
            <w:pPr>
              <w:rPr>
                <w:rFonts w:hint="eastAsia" w:hAnsi="宋体" w:eastAsia="宋体" w:cs="宋体"/>
                <w:b/>
                <w:bCs/>
                <w:color w:val="auto"/>
                <w:sz w:val="24"/>
                <w:szCs w:val="24"/>
                <w:highlight w:val="none"/>
              </w:rPr>
            </w:pPr>
          </w:p>
        </w:tc>
        <w:tc>
          <w:tcPr>
            <w:tcW w:w="1575" w:type="dxa"/>
            <w:noWrap w:val="0"/>
            <w:vAlign w:val="center"/>
          </w:tcPr>
          <w:p w14:paraId="4062C27F">
            <w:pPr>
              <w:jc w:val="center"/>
              <w:rPr>
                <w:rFonts w:hint="eastAsia" w:hAnsi="宋体" w:eastAsia="宋体" w:cs="宋体"/>
                <w:color w:val="auto"/>
                <w:sz w:val="24"/>
                <w:szCs w:val="24"/>
                <w:highlight w:val="none"/>
              </w:rPr>
            </w:pPr>
          </w:p>
        </w:tc>
        <w:tc>
          <w:tcPr>
            <w:tcW w:w="1185" w:type="dxa"/>
            <w:noWrap w:val="0"/>
            <w:vAlign w:val="center"/>
          </w:tcPr>
          <w:p w14:paraId="0E78C0F3">
            <w:pPr>
              <w:jc w:val="center"/>
              <w:rPr>
                <w:rFonts w:hint="eastAsia" w:hAnsi="宋体" w:eastAsia="宋体" w:cs="宋体"/>
                <w:color w:val="auto"/>
                <w:sz w:val="24"/>
                <w:szCs w:val="24"/>
                <w:highlight w:val="none"/>
              </w:rPr>
            </w:pPr>
          </w:p>
        </w:tc>
      </w:tr>
      <w:tr w14:paraId="6617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8589B5E">
            <w:pPr>
              <w:jc w:val="center"/>
              <w:rPr>
                <w:rFonts w:hint="eastAsia" w:hAnsi="宋体" w:eastAsia="宋体" w:cs="宋体"/>
                <w:color w:val="auto"/>
                <w:sz w:val="24"/>
                <w:szCs w:val="24"/>
                <w:highlight w:val="none"/>
              </w:rPr>
            </w:pPr>
          </w:p>
        </w:tc>
        <w:tc>
          <w:tcPr>
            <w:tcW w:w="4647" w:type="dxa"/>
            <w:noWrap w:val="0"/>
            <w:vAlign w:val="center"/>
          </w:tcPr>
          <w:p w14:paraId="7D8DB4E7">
            <w:pPr>
              <w:rPr>
                <w:rFonts w:hint="eastAsia" w:hAnsi="宋体" w:eastAsia="宋体" w:cs="宋体"/>
                <w:b/>
                <w:bCs/>
                <w:color w:val="auto"/>
                <w:sz w:val="24"/>
                <w:szCs w:val="24"/>
                <w:highlight w:val="none"/>
              </w:rPr>
            </w:pPr>
          </w:p>
        </w:tc>
        <w:tc>
          <w:tcPr>
            <w:tcW w:w="1575" w:type="dxa"/>
            <w:noWrap w:val="0"/>
            <w:vAlign w:val="center"/>
          </w:tcPr>
          <w:p w14:paraId="50E13704">
            <w:pPr>
              <w:jc w:val="center"/>
              <w:rPr>
                <w:rFonts w:hint="eastAsia" w:hAnsi="宋体" w:eastAsia="宋体" w:cs="宋体"/>
                <w:color w:val="auto"/>
                <w:sz w:val="24"/>
                <w:szCs w:val="24"/>
                <w:highlight w:val="none"/>
              </w:rPr>
            </w:pPr>
          </w:p>
        </w:tc>
        <w:tc>
          <w:tcPr>
            <w:tcW w:w="1185" w:type="dxa"/>
            <w:noWrap w:val="0"/>
            <w:vAlign w:val="center"/>
          </w:tcPr>
          <w:p w14:paraId="08C9B23D">
            <w:pPr>
              <w:jc w:val="center"/>
              <w:rPr>
                <w:rFonts w:hint="eastAsia" w:hAnsi="宋体" w:eastAsia="宋体" w:cs="宋体"/>
                <w:color w:val="auto"/>
                <w:sz w:val="24"/>
                <w:szCs w:val="24"/>
                <w:highlight w:val="none"/>
              </w:rPr>
            </w:pPr>
          </w:p>
        </w:tc>
      </w:tr>
      <w:tr w14:paraId="7F07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5494C29">
            <w:pPr>
              <w:jc w:val="center"/>
              <w:rPr>
                <w:rFonts w:hint="eastAsia" w:hAnsi="宋体" w:eastAsia="宋体" w:cs="宋体"/>
                <w:color w:val="auto"/>
                <w:sz w:val="24"/>
                <w:szCs w:val="24"/>
                <w:highlight w:val="none"/>
              </w:rPr>
            </w:pPr>
          </w:p>
        </w:tc>
        <w:tc>
          <w:tcPr>
            <w:tcW w:w="4647" w:type="dxa"/>
            <w:noWrap w:val="0"/>
            <w:vAlign w:val="center"/>
          </w:tcPr>
          <w:p w14:paraId="0EF724A1">
            <w:pPr>
              <w:rPr>
                <w:rFonts w:hint="eastAsia" w:hAnsi="宋体" w:eastAsia="宋体" w:cs="宋体"/>
                <w:b/>
                <w:bCs/>
                <w:color w:val="auto"/>
                <w:sz w:val="24"/>
                <w:szCs w:val="24"/>
                <w:highlight w:val="none"/>
              </w:rPr>
            </w:pPr>
          </w:p>
        </w:tc>
        <w:tc>
          <w:tcPr>
            <w:tcW w:w="1575" w:type="dxa"/>
            <w:noWrap w:val="0"/>
            <w:vAlign w:val="center"/>
          </w:tcPr>
          <w:p w14:paraId="72F15688">
            <w:pPr>
              <w:jc w:val="center"/>
              <w:rPr>
                <w:rFonts w:hint="eastAsia" w:hAnsi="宋体" w:eastAsia="宋体" w:cs="宋体"/>
                <w:color w:val="auto"/>
                <w:sz w:val="24"/>
                <w:szCs w:val="24"/>
                <w:highlight w:val="none"/>
              </w:rPr>
            </w:pPr>
          </w:p>
        </w:tc>
        <w:tc>
          <w:tcPr>
            <w:tcW w:w="1185" w:type="dxa"/>
            <w:noWrap w:val="0"/>
            <w:vAlign w:val="center"/>
          </w:tcPr>
          <w:p w14:paraId="329D2B8E">
            <w:pPr>
              <w:jc w:val="center"/>
              <w:rPr>
                <w:rFonts w:hint="eastAsia" w:hAnsi="宋体" w:eastAsia="宋体" w:cs="宋体"/>
                <w:color w:val="auto"/>
                <w:sz w:val="24"/>
                <w:szCs w:val="24"/>
                <w:highlight w:val="none"/>
              </w:rPr>
            </w:pPr>
          </w:p>
        </w:tc>
      </w:tr>
      <w:tr w14:paraId="6DE0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453125C">
            <w:pPr>
              <w:jc w:val="center"/>
              <w:rPr>
                <w:rFonts w:hint="eastAsia" w:hAnsi="宋体" w:eastAsia="宋体" w:cs="宋体"/>
                <w:color w:val="auto"/>
                <w:sz w:val="24"/>
                <w:szCs w:val="24"/>
                <w:highlight w:val="none"/>
              </w:rPr>
            </w:pPr>
          </w:p>
        </w:tc>
        <w:tc>
          <w:tcPr>
            <w:tcW w:w="4647" w:type="dxa"/>
            <w:noWrap w:val="0"/>
            <w:vAlign w:val="center"/>
          </w:tcPr>
          <w:p w14:paraId="7F462D66">
            <w:pPr>
              <w:rPr>
                <w:rFonts w:hint="eastAsia" w:hAnsi="宋体" w:eastAsia="宋体" w:cs="宋体"/>
                <w:color w:val="auto"/>
                <w:sz w:val="24"/>
                <w:szCs w:val="24"/>
                <w:highlight w:val="none"/>
              </w:rPr>
            </w:pPr>
          </w:p>
        </w:tc>
        <w:tc>
          <w:tcPr>
            <w:tcW w:w="1575" w:type="dxa"/>
            <w:noWrap w:val="0"/>
            <w:vAlign w:val="center"/>
          </w:tcPr>
          <w:p w14:paraId="7C9EE305">
            <w:pPr>
              <w:jc w:val="center"/>
              <w:rPr>
                <w:rFonts w:hint="eastAsia" w:hAnsi="宋体" w:eastAsia="宋体" w:cs="宋体"/>
                <w:color w:val="auto"/>
                <w:sz w:val="24"/>
                <w:szCs w:val="24"/>
                <w:highlight w:val="none"/>
              </w:rPr>
            </w:pPr>
          </w:p>
        </w:tc>
        <w:tc>
          <w:tcPr>
            <w:tcW w:w="1185" w:type="dxa"/>
            <w:noWrap w:val="0"/>
            <w:vAlign w:val="center"/>
          </w:tcPr>
          <w:p w14:paraId="76C12F13">
            <w:pPr>
              <w:jc w:val="center"/>
              <w:rPr>
                <w:rFonts w:hint="eastAsia" w:hAnsi="宋体" w:eastAsia="宋体" w:cs="宋体"/>
                <w:color w:val="auto"/>
                <w:sz w:val="24"/>
                <w:szCs w:val="24"/>
                <w:highlight w:val="none"/>
              </w:rPr>
            </w:pPr>
          </w:p>
        </w:tc>
      </w:tr>
      <w:tr w14:paraId="31FA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DB8AA10">
            <w:pPr>
              <w:jc w:val="center"/>
              <w:rPr>
                <w:rFonts w:hint="eastAsia" w:hAnsi="宋体" w:eastAsia="宋体" w:cs="宋体"/>
                <w:color w:val="auto"/>
                <w:sz w:val="24"/>
                <w:szCs w:val="24"/>
                <w:highlight w:val="none"/>
              </w:rPr>
            </w:pPr>
          </w:p>
        </w:tc>
        <w:tc>
          <w:tcPr>
            <w:tcW w:w="4647" w:type="dxa"/>
            <w:noWrap w:val="0"/>
            <w:vAlign w:val="center"/>
          </w:tcPr>
          <w:p w14:paraId="7A517ECE">
            <w:pPr>
              <w:rPr>
                <w:rFonts w:hint="eastAsia" w:hAnsi="宋体" w:eastAsia="宋体" w:cs="宋体"/>
                <w:color w:val="auto"/>
                <w:sz w:val="24"/>
                <w:szCs w:val="24"/>
                <w:highlight w:val="none"/>
              </w:rPr>
            </w:pPr>
          </w:p>
        </w:tc>
        <w:tc>
          <w:tcPr>
            <w:tcW w:w="1575" w:type="dxa"/>
            <w:noWrap w:val="0"/>
            <w:vAlign w:val="center"/>
          </w:tcPr>
          <w:p w14:paraId="7C546521">
            <w:pPr>
              <w:jc w:val="center"/>
              <w:rPr>
                <w:rFonts w:hint="eastAsia" w:hAnsi="宋体" w:eastAsia="宋体" w:cs="宋体"/>
                <w:color w:val="auto"/>
                <w:sz w:val="24"/>
                <w:szCs w:val="24"/>
                <w:highlight w:val="none"/>
              </w:rPr>
            </w:pPr>
          </w:p>
        </w:tc>
        <w:tc>
          <w:tcPr>
            <w:tcW w:w="1185" w:type="dxa"/>
            <w:noWrap w:val="0"/>
            <w:vAlign w:val="center"/>
          </w:tcPr>
          <w:p w14:paraId="167EBC95">
            <w:pPr>
              <w:jc w:val="center"/>
              <w:rPr>
                <w:rFonts w:hint="eastAsia" w:hAnsi="宋体" w:eastAsia="宋体" w:cs="宋体"/>
                <w:color w:val="auto"/>
                <w:sz w:val="24"/>
                <w:szCs w:val="24"/>
                <w:highlight w:val="none"/>
              </w:rPr>
            </w:pPr>
          </w:p>
        </w:tc>
      </w:tr>
    </w:tbl>
    <w:p w14:paraId="5F94CAEC">
      <w:pPr>
        <w:pStyle w:val="73"/>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注：供应商须按“第四</w:t>
      </w:r>
      <w:r>
        <w:rPr>
          <w:rFonts w:hint="eastAsia" w:hAnsi="宋体" w:cs="宋体"/>
          <w:color w:val="auto"/>
          <w:sz w:val="24"/>
          <w:szCs w:val="24"/>
          <w:highlight w:val="none"/>
          <w:lang w:val="en-US" w:eastAsia="zh-CN"/>
        </w:rPr>
        <w:t>部分</w:t>
      </w:r>
      <w:r>
        <w:rPr>
          <w:rFonts w:hint="eastAsia"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采购</w:t>
      </w:r>
      <w:r>
        <w:rPr>
          <w:rFonts w:hint="eastAsia" w:hAnsi="宋体" w:eastAsia="宋体" w:cs="宋体"/>
          <w:color w:val="auto"/>
          <w:sz w:val="24"/>
          <w:szCs w:val="24"/>
          <w:highlight w:val="none"/>
        </w:rPr>
        <w:t xml:space="preserve">需求 </w:t>
      </w:r>
      <w:r>
        <w:rPr>
          <w:rFonts w:hint="eastAsia" w:hAnsi="宋体" w:cs="宋体"/>
          <w:color w:val="auto"/>
          <w:sz w:val="24"/>
          <w:szCs w:val="24"/>
          <w:highlight w:val="none"/>
          <w:lang w:val="en-US" w:eastAsia="zh-CN"/>
        </w:rPr>
        <w:t>二、商务要求</w:t>
      </w:r>
      <w:r>
        <w:rPr>
          <w:rFonts w:hint="eastAsia" w:hAnsi="宋体" w:eastAsia="宋体" w:cs="宋体"/>
          <w:color w:val="auto"/>
          <w:sz w:val="24"/>
          <w:szCs w:val="24"/>
          <w:highlight w:val="none"/>
        </w:rPr>
        <w:t>”逐项填写，并根据“第六部分  拟签订的合同文本”内容自行补充。无偏离应在本表空白处醒目地注明“无商务条款偏离”的字样。</w:t>
      </w:r>
    </w:p>
    <w:p w14:paraId="688BA7CF">
      <w:pPr>
        <w:autoSpaceDE w:val="0"/>
        <w:autoSpaceDN w:val="0"/>
        <w:spacing w:line="360" w:lineRule="auto"/>
        <w:ind w:firstLine="4560" w:firstLineChars="1900"/>
        <w:rPr>
          <w:rFonts w:hint="eastAsia" w:cs="仿宋_GB2312" w:asciiTheme="minorEastAsia" w:hAnsiTheme="minorEastAsia" w:eastAsiaTheme="minorEastAsia"/>
          <w:color w:val="auto"/>
          <w:kern w:val="0"/>
          <w:sz w:val="24"/>
          <w:szCs w:val="24"/>
          <w:highlight w:val="none"/>
        </w:rPr>
      </w:pPr>
    </w:p>
    <w:p w14:paraId="114909B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89A14B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3F3DD2">
      <w:pPr>
        <w:pStyle w:val="73"/>
        <w:jc w:val="both"/>
        <w:rPr>
          <w:rFonts w:hint="eastAsia" w:cs="仿宋_GB2312" w:asciiTheme="minorEastAsia" w:hAnsiTheme="minorEastAsia" w:eastAsiaTheme="minorEastAsia"/>
          <w:b/>
          <w:bCs/>
          <w:color w:val="auto"/>
          <w:sz w:val="32"/>
          <w:szCs w:val="32"/>
          <w:highlight w:val="none"/>
          <w:lang w:val="en-US" w:eastAsia="zh-CN"/>
        </w:rPr>
      </w:pPr>
    </w:p>
    <w:p w14:paraId="048B4846">
      <w:pPr>
        <w:pStyle w:val="73"/>
        <w:jc w:val="both"/>
        <w:rPr>
          <w:rFonts w:hint="eastAsia" w:cs="仿宋_GB2312" w:asciiTheme="minorEastAsia" w:hAnsiTheme="minorEastAsia" w:eastAsiaTheme="minorEastAsia"/>
          <w:b/>
          <w:bCs/>
          <w:color w:val="auto"/>
          <w:sz w:val="32"/>
          <w:szCs w:val="32"/>
          <w:highlight w:val="none"/>
          <w:lang w:val="en-US" w:eastAsia="zh-CN"/>
        </w:rPr>
      </w:pPr>
    </w:p>
    <w:p w14:paraId="38FD0FC5">
      <w:pPr>
        <w:pStyle w:val="73"/>
        <w:jc w:val="both"/>
        <w:rPr>
          <w:rFonts w:hint="eastAsia" w:cs="仿宋_GB2312" w:asciiTheme="minorEastAsia" w:hAnsiTheme="minorEastAsia" w:eastAsiaTheme="minorEastAsia"/>
          <w:b/>
          <w:bCs/>
          <w:color w:val="auto"/>
          <w:sz w:val="32"/>
          <w:szCs w:val="32"/>
          <w:highlight w:val="none"/>
          <w:lang w:val="en-US" w:eastAsia="zh-CN"/>
        </w:rPr>
      </w:pPr>
    </w:p>
    <w:p w14:paraId="507F6933">
      <w:pPr>
        <w:pStyle w:val="73"/>
        <w:jc w:val="both"/>
        <w:rPr>
          <w:rFonts w:hint="eastAsia" w:cs="仿宋_GB2312" w:asciiTheme="minorEastAsia" w:hAnsiTheme="minorEastAsia" w:eastAsiaTheme="minorEastAsia"/>
          <w:b/>
          <w:bCs/>
          <w:color w:val="auto"/>
          <w:sz w:val="32"/>
          <w:szCs w:val="32"/>
          <w:highlight w:val="none"/>
          <w:lang w:val="en-US" w:eastAsia="zh-CN"/>
        </w:rPr>
      </w:pPr>
    </w:p>
    <w:p w14:paraId="6FB93721">
      <w:pPr>
        <w:pStyle w:val="73"/>
        <w:jc w:val="both"/>
        <w:rPr>
          <w:rFonts w:hint="eastAsia" w:cs="仿宋_GB2312" w:asciiTheme="minorEastAsia" w:hAnsiTheme="minorEastAsia" w:eastAsiaTheme="minorEastAsia"/>
          <w:b/>
          <w:bCs/>
          <w:color w:val="auto"/>
          <w:sz w:val="32"/>
          <w:szCs w:val="32"/>
          <w:highlight w:val="none"/>
          <w:lang w:val="en-US" w:eastAsia="zh-CN"/>
        </w:rPr>
      </w:pPr>
    </w:p>
    <w:p w14:paraId="366E0C68">
      <w:pPr>
        <w:pStyle w:val="73"/>
        <w:jc w:val="both"/>
        <w:rPr>
          <w:rFonts w:hint="eastAsia" w:cs="仿宋_GB2312" w:asciiTheme="minorEastAsia" w:hAnsiTheme="minorEastAsia" w:eastAsiaTheme="minorEastAsia"/>
          <w:b/>
          <w:bCs/>
          <w:color w:val="auto"/>
          <w:sz w:val="32"/>
          <w:szCs w:val="32"/>
          <w:highlight w:val="none"/>
          <w:lang w:val="en-US" w:eastAsia="zh-CN"/>
        </w:rPr>
      </w:pPr>
    </w:p>
    <w:p w14:paraId="08ED2F9F">
      <w:pPr>
        <w:pStyle w:val="73"/>
        <w:jc w:val="both"/>
        <w:rPr>
          <w:rFonts w:hint="eastAsia" w:cs="仿宋_GB2312" w:asciiTheme="minorEastAsia" w:hAnsiTheme="minorEastAsia" w:eastAsiaTheme="minorEastAsia"/>
          <w:b/>
          <w:bCs/>
          <w:color w:val="auto"/>
          <w:sz w:val="32"/>
          <w:szCs w:val="32"/>
          <w:highlight w:val="none"/>
          <w:lang w:val="en-US" w:eastAsia="zh-CN"/>
        </w:rPr>
      </w:pPr>
    </w:p>
    <w:p w14:paraId="3864D933">
      <w:pPr>
        <w:pStyle w:val="73"/>
        <w:jc w:val="both"/>
        <w:rPr>
          <w:rFonts w:hint="eastAsia" w:cs="仿宋_GB2312" w:asciiTheme="minorEastAsia" w:hAnsiTheme="minorEastAsia" w:eastAsiaTheme="minorEastAsia"/>
          <w:b/>
          <w:bCs/>
          <w:color w:val="auto"/>
          <w:sz w:val="32"/>
          <w:szCs w:val="32"/>
          <w:highlight w:val="none"/>
          <w:lang w:val="en-US" w:eastAsia="zh-CN"/>
        </w:rPr>
      </w:pPr>
    </w:p>
    <w:p w14:paraId="766067E2">
      <w:pPr>
        <w:pStyle w:val="73"/>
        <w:jc w:val="both"/>
        <w:rPr>
          <w:rFonts w:hint="eastAsia" w:cs="仿宋_GB2312" w:asciiTheme="minorEastAsia" w:hAnsiTheme="minorEastAsia" w:eastAsiaTheme="minorEastAsia"/>
          <w:b/>
          <w:bCs/>
          <w:color w:val="auto"/>
          <w:sz w:val="32"/>
          <w:szCs w:val="32"/>
          <w:highlight w:val="none"/>
          <w:lang w:val="en-US" w:eastAsia="zh-CN"/>
        </w:rPr>
      </w:pPr>
    </w:p>
    <w:p w14:paraId="0B77B879">
      <w:pPr>
        <w:pStyle w:val="73"/>
        <w:jc w:val="both"/>
        <w:rPr>
          <w:rFonts w:hint="eastAsia" w:cs="仿宋_GB2312" w:asciiTheme="minorEastAsia" w:hAnsiTheme="minorEastAsia" w:eastAsiaTheme="minorEastAsia"/>
          <w:b/>
          <w:bCs/>
          <w:color w:val="auto"/>
          <w:sz w:val="32"/>
          <w:szCs w:val="32"/>
          <w:highlight w:val="none"/>
          <w:lang w:val="en-US" w:eastAsia="zh-CN"/>
        </w:rPr>
      </w:pPr>
    </w:p>
    <w:p w14:paraId="78806134">
      <w:pPr>
        <w:pStyle w:val="73"/>
        <w:jc w:val="both"/>
        <w:rPr>
          <w:rFonts w:hint="eastAsia" w:cs="仿宋_GB2312" w:asciiTheme="minorEastAsia" w:hAnsiTheme="minorEastAsia" w:eastAsiaTheme="minorEastAsia"/>
          <w:b/>
          <w:bCs/>
          <w:color w:val="auto"/>
          <w:sz w:val="32"/>
          <w:szCs w:val="32"/>
          <w:highlight w:val="none"/>
          <w:lang w:val="en-US" w:eastAsia="zh-CN"/>
        </w:rPr>
      </w:pPr>
    </w:p>
    <w:p w14:paraId="4ACD0825">
      <w:pPr>
        <w:pStyle w:val="73"/>
        <w:jc w:val="both"/>
        <w:rPr>
          <w:rFonts w:hint="eastAsia" w:cs="仿宋_GB2312" w:asciiTheme="minorEastAsia" w:hAnsiTheme="minorEastAsia" w:eastAsiaTheme="minorEastAsia"/>
          <w:b/>
          <w:bCs/>
          <w:color w:val="auto"/>
          <w:sz w:val="32"/>
          <w:szCs w:val="32"/>
          <w:highlight w:val="none"/>
          <w:lang w:val="en-US" w:eastAsia="zh-CN"/>
        </w:rPr>
      </w:pPr>
    </w:p>
    <w:p w14:paraId="7F2C6264">
      <w:pPr>
        <w:pStyle w:val="73"/>
        <w:jc w:val="both"/>
        <w:rPr>
          <w:rFonts w:hint="eastAsia" w:cs="仿宋_GB2312" w:asciiTheme="minorEastAsia" w:hAnsiTheme="minorEastAsia" w:eastAsiaTheme="minorEastAsia"/>
          <w:b/>
          <w:bCs/>
          <w:color w:val="auto"/>
          <w:sz w:val="32"/>
          <w:szCs w:val="32"/>
          <w:highlight w:val="none"/>
          <w:lang w:val="en-US" w:eastAsia="zh-CN"/>
        </w:rPr>
      </w:pPr>
    </w:p>
    <w:p w14:paraId="6A5B2B9B">
      <w:pPr>
        <w:pStyle w:val="73"/>
        <w:jc w:val="both"/>
        <w:rPr>
          <w:rFonts w:hint="eastAsia" w:cs="仿宋_GB2312" w:asciiTheme="minorEastAsia" w:hAnsiTheme="minorEastAsia" w:eastAsiaTheme="minorEastAsia"/>
          <w:b/>
          <w:bCs/>
          <w:color w:val="auto"/>
          <w:sz w:val="32"/>
          <w:szCs w:val="32"/>
          <w:highlight w:val="none"/>
          <w:lang w:val="en-US" w:eastAsia="zh-CN"/>
        </w:rPr>
      </w:pPr>
    </w:p>
    <w:p w14:paraId="28F4D73E">
      <w:pPr>
        <w:pStyle w:val="73"/>
        <w:jc w:val="center"/>
        <w:outlineLvl w:val="1"/>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十、评标标准相应的商务技术资料</w:t>
      </w:r>
    </w:p>
    <w:p w14:paraId="63C38BF2">
      <w:pPr>
        <w:spacing w:line="360" w:lineRule="auto"/>
        <w:rPr>
          <w:rFonts w:hint="eastAsia" w:cs="仿宋_GB2312" w:asciiTheme="minorEastAsia" w:hAnsiTheme="minorEastAsia" w:eastAsiaTheme="minorEastAsia"/>
          <w:b/>
          <w:bCs/>
          <w:color w:val="auto"/>
          <w:sz w:val="24"/>
          <w:highlight w:val="none"/>
        </w:rPr>
      </w:pPr>
    </w:p>
    <w:p w14:paraId="15219870">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-1）实施服务方案（格式自拟）；</w:t>
      </w:r>
    </w:p>
    <w:p w14:paraId="4159CED1">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-2）本项目创建、验收等过程咨询方案（格式自拟）；</w:t>
      </w:r>
    </w:p>
    <w:p w14:paraId="04F7FA5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-3）拟投入本项目人员配置方案</w:t>
      </w:r>
    </w:p>
    <w:p w14:paraId="2B3E77F6">
      <w:pPr>
        <w:pStyle w:val="2"/>
        <w:rPr>
          <w:color w:val="auto"/>
          <w:highlight w:val="none"/>
        </w:rPr>
      </w:pPr>
    </w:p>
    <w:p w14:paraId="7B23E403">
      <w:pPr>
        <w:spacing w:line="360" w:lineRule="auto"/>
        <w:jc w:val="center"/>
        <w:rPr>
          <w:rFonts w:cs="仿宋_GB2312" w:asciiTheme="minorEastAsia" w:hAnsiTheme="minorEastAsia" w:eastAsiaTheme="minorEastAsia"/>
          <w:b/>
          <w:bCs/>
          <w:color w:val="auto"/>
          <w:sz w:val="32"/>
          <w:szCs w:val="32"/>
          <w:highlight w:val="none"/>
        </w:rPr>
      </w:pPr>
    </w:p>
    <w:p w14:paraId="0999E2BD">
      <w:pPr>
        <w:spacing w:line="360" w:lineRule="auto"/>
        <w:jc w:val="both"/>
        <w:rPr>
          <w:rFonts w:cs="仿宋_GB2312" w:asciiTheme="minorEastAsia" w:hAnsiTheme="minorEastAsia" w:eastAsiaTheme="minorEastAsia"/>
          <w:color w:val="auto"/>
          <w:kern w:val="0"/>
          <w:sz w:val="24"/>
          <w:highlight w:val="none"/>
        </w:rPr>
      </w:pPr>
    </w:p>
    <w:p w14:paraId="74A9835B">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十一</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DB4BBF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D339420">
      <w:pPr>
        <w:spacing w:line="360" w:lineRule="auto"/>
        <w:jc w:val="center"/>
        <w:rPr>
          <w:rFonts w:cs="仿宋_GB2312" w:asciiTheme="minorEastAsia" w:hAnsiTheme="minorEastAsia" w:eastAsiaTheme="minorEastAsia"/>
          <w:color w:val="auto"/>
          <w:sz w:val="24"/>
          <w:highlight w:val="none"/>
        </w:rPr>
      </w:pPr>
    </w:p>
    <w:p w14:paraId="0C99E696">
      <w:pPr>
        <w:spacing w:line="360" w:lineRule="auto"/>
        <w:rPr>
          <w:rFonts w:cs="仿宋_GB2312" w:asciiTheme="minorEastAsia" w:hAnsiTheme="minorEastAsia" w:eastAsiaTheme="minorEastAsia"/>
          <w:color w:val="auto"/>
          <w:sz w:val="24"/>
          <w:highlight w:val="none"/>
        </w:rPr>
      </w:pPr>
    </w:p>
    <w:p w14:paraId="2D97C6F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6BBC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19122E3">
      <w:pPr>
        <w:spacing w:line="360" w:lineRule="auto"/>
        <w:jc w:val="center"/>
        <w:rPr>
          <w:rFonts w:hint="eastAsia" w:cs="仿宋_GB2312" w:asciiTheme="minorEastAsia" w:hAnsiTheme="minorEastAsia" w:eastAsiaTheme="minorEastAsia"/>
          <w:b/>
          <w:bCs/>
          <w:color w:val="auto"/>
          <w:sz w:val="32"/>
          <w:szCs w:val="32"/>
          <w:highlight w:val="none"/>
        </w:rPr>
      </w:pPr>
    </w:p>
    <w:p w14:paraId="405ED6B4">
      <w:pPr>
        <w:spacing w:line="360" w:lineRule="auto"/>
        <w:jc w:val="center"/>
        <w:rPr>
          <w:rFonts w:hint="eastAsia" w:cs="仿宋_GB2312" w:asciiTheme="minorEastAsia" w:hAnsiTheme="minorEastAsia" w:eastAsiaTheme="minorEastAsia"/>
          <w:b/>
          <w:bCs/>
          <w:color w:val="auto"/>
          <w:sz w:val="32"/>
          <w:szCs w:val="32"/>
          <w:highlight w:val="none"/>
        </w:rPr>
      </w:pPr>
    </w:p>
    <w:p w14:paraId="78CED395">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十二</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A30AFD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5F8426F">
      <w:pPr>
        <w:spacing w:line="360" w:lineRule="auto"/>
        <w:rPr>
          <w:rFonts w:cs="仿宋_GB2312" w:asciiTheme="minorEastAsia" w:hAnsiTheme="minorEastAsia" w:eastAsiaTheme="minorEastAsia"/>
          <w:color w:val="auto"/>
          <w:sz w:val="24"/>
          <w:highlight w:val="none"/>
        </w:rPr>
      </w:pPr>
    </w:p>
    <w:p w14:paraId="53707AA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0D6BDB0">
      <w:pPr>
        <w:spacing w:line="360" w:lineRule="auto"/>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5E0A838">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584280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BC7A81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89A0124">
      <w:pPr>
        <w:pStyle w:val="394"/>
        <w:ind w:firstLine="0" w:firstLineChars="0"/>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7C866622">
      <w:pPr>
        <w:pStyle w:val="116"/>
        <w:keepNext w:val="0"/>
        <w:pageBreakBefore w:val="0"/>
        <w:tabs>
          <w:tab w:val="clear" w:pos="720"/>
        </w:tabs>
        <w:ind w:firstLine="640"/>
        <w:outlineLvl w:val="1"/>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初次报价一览表</w:t>
      </w:r>
    </w:p>
    <w:p w14:paraId="5E91015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6B960AA">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lang w:eastAsia="zh-CN"/>
        </w:rPr>
        <w:t>海曙区南门街道车站未来社区项目（实施方案编制，创建及验收咨询服务）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04101364">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4492"/>
        <w:gridCol w:w="3012"/>
      </w:tblGrid>
      <w:tr w14:paraId="09DF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539482E3">
            <w:pPr>
              <w:widowControl/>
              <w:adjustRightIn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50C2F202">
            <w:pPr>
              <w:widowControl/>
              <w:adjustRightIn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0667A1C1">
            <w:pPr>
              <w:widowControl/>
              <w:adjustRightIn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初次报价（元）</w:t>
            </w:r>
          </w:p>
        </w:tc>
      </w:tr>
      <w:tr w14:paraId="2031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7DC4CAE9">
            <w:pPr>
              <w:widowControl/>
              <w:adjustRightIn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511CFF55">
            <w:pPr>
              <w:widowControl/>
              <w:adjustRightIn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海曙区南门街道车站未来社区项目（实施方案编制，创建及验收咨询服务）</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36E0FF43">
            <w:pPr>
              <w:widowControl/>
              <w:adjustRightInd/>
              <w:textAlignment w:val="auto"/>
              <w:rPr>
                <w:rFonts w:hint="eastAsia" w:ascii="宋体" w:hAnsi="宋体" w:eastAsia="宋体" w:cs="宋体"/>
                <w:bCs/>
                <w:color w:val="auto"/>
                <w:sz w:val="24"/>
                <w:szCs w:val="24"/>
                <w:highlight w:val="none"/>
              </w:rPr>
            </w:pPr>
          </w:p>
        </w:tc>
      </w:tr>
    </w:tbl>
    <w:p w14:paraId="4F322B05">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F9BDBF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9AECDE2">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975DEB7">
      <w:pPr>
        <w:spacing w:line="360" w:lineRule="auto"/>
        <w:ind w:firstLine="482" w:firstLineChars="200"/>
        <w:rPr>
          <w:rFonts w:hint="default" w:cs="仿宋_GB2312" w:asciiTheme="minorEastAsia" w:hAnsiTheme="minorEastAsia" w:eastAsiaTheme="minorEastAsia"/>
          <w:b/>
          <w:bCs/>
          <w:color w:val="auto"/>
          <w:kern w:val="0"/>
          <w:sz w:val="24"/>
          <w:szCs w:val="22"/>
          <w:highlight w:val="none"/>
          <w:lang w:val="en-US"/>
        </w:rPr>
      </w:pPr>
      <w:r>
        <w:rPr>
          <w:rFonts w:hint="eastAsia" w:cs="仿宋_GB2312" w:asciiTheme="minorEastAsia" w:hAnsiTheme="minorEastAsia" w:eastAsiaTheme="minorEastAsia"/>
          <w:b/>
          <w:bCs/>
          <w:color w:val="auto"/>
          <w:kern w:val="0"/>
          <w:sz w:val="24"/>
          <w:szCs w:val="22"/>
          <w:highlight w:val="none"/>
          <w:lang w:val="en-US" w:eastAsia="zh-CN"/>
        </w:rPr>
        <w:t>4、报价超过最高限价的作无效标处理。</w:t>
      </w:r>
    </w:p>
    <w:p w14:paraId="068CB3CF">
      <w:pPr>
        <w:spacing w:line="360" w:lineRule="auto"/>
        <w:ind w:right="-874" w:rightChars="-416"/>
        <w:rPr>
          <w:rFonts w:cs="仿宋_GB2312" w:asciiTheme="minorEastAsia" w:hAnsiTheme="minorEastAsia" w:eastAsiaTheme="minorEastAsia"/>
          <w:color w:val="auto"/>
          <w:sz w:val="24"/>
          <w:highlight w:val="none"/>
        </w:rPr>
      </w:pPr>
    </w:p>
    <w:p w14:paraId="2CB9255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5144EDE1">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headerReference r:id="rId10" w:type="first"/>
          <w:footerReference r:id="rId12" w:type="first"/>
          <w:headerReference r:id="rId9" w:type="default"/>
          <w:footerReference r:id="rId11" w:type="default"/>
          <w:pgSz w:w="11906" w:h="16838"/>
          <w:pgMar w:top="1417" w:right="1418" w:bottom="1417" w:left="1418" w:header="851" w:footer="992" w:gutter="0"/>
          <w:pgNumType w:fmt="decimal"/>
          <w:cols w:space="0" w:num="1"/>
          <w:titlePg/>
          <w:rtlGutter w:val="0"/>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5B0B495D">
      <w:pPr>
        <w:pStyle w:val="25"/>
        <w:tabs>
          <w:tab w:val="left" w:pos="4841"/>
        </w:tabs>
        <w:spacing w:line="360" w:lineRule="auto"/>
        <w:jc w:val="center"/>
        <w:outlineLvl w:val="1"/>
        <w:rPr>
          <w:rFonts w:hAnsi="宋体" w:cs="宋体"/>
          <w:color w:val="auto"/>
          <w:sz w:val="21"/>
          <w:szCs w:val="21"/>
          <w:highlight w:val="none"/>
        </w:rPr>
      </w:pPr>
      <w:bookmarkStart w:id="67" w:name="_Toc465665161"/>
      <w:r>
        <w:rPr>
          <w:rFonts w:hint="eastAsia" w:hAnsi="宋体" w:cs="宋体"/>
          <w:b/>
          <w:color w:val="auto"/>
          <w:sz w:val="24"/>
          <w:highlight w:val="none"/>
        </w:rPr>
        <w:t>分项报价表</w:t>
      </w:r>
    </w:p>
    <w:p w14:paraId="79E4615C">
      <w:pPr>
        <w:pStyle w:val="25"/>
        <w:spacing w:line="360" w:lineRule="auto"/>
        <w:ind w:firstLine="0"/>
        <w:rPr>
          <w:rFonts w:hAnsi="宋体" w:cs="宋体"/>
          <w:color w:val="auto"/>
          <w:sz w:val="21"/>
          <w:szCs w:val="21"/>
          <w:highlight w:val="none"/>
        </w:rPr>
      </w:pP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项目编号：</w:t>
      </w:r>
      <w:r>
        <w:rPr>
          <w:rFonts w:hint="eastAsia" w:hAnsi="宋体" w:cs="宋体"/>
          <w:color w:val="auto"/>
          <w:sz w:val="21"/>
          <w:szCs w:val="21"/>
          <w:highlight w:val="none"/>
          <w:u w:val="single"/>
        </w:rPr>
        <w:t xml:space="preserve">                     </w:t>
      </w:r>
    </w:p>
    <w:tbl>
      <w:tblPr>
        <w:tblStyle w:val="6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3259"/>
        <w:gridCol w:w="602"/>
        <w:gridCol w:w="1075"/>
        <w:gridCol w:w="1726"/>
        <w:gridCol w:w="1727"/>
      </w:tblGrid>
      <w:tr w14:paraId="742019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11E7A3">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59" w:type="dxa"/>
            <w:tcBorders>
              <w:tl2br w:val="nil"/>
              <w:tr2bl w:val="nil"/>
            </w:tcBorders>
            <w:noWrap/>
            <w:vAlign w:val="center"/>
          </w:tcPr>
          <w:p w14:paraId="7C7BB9AF">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报价内容</w:t>
            </w:r>
          </w:p>
        </w:tc>
        <w:tc>
          <w:tcPr>
            <w:tcW w:w="1677" w:type="dxa"/>
            <w:gridSpan w:val="2"/>
            <w:tcBorders>
              <w:tl2br w:val="nil"/>
              <w:tr2bl w:val="nil"/>
            </w:tcBorders>
            <w:noWrap/>
            <w:vAlign w:val="center"/>
          </w:tcPr>
          <w:p w14:paraId="398BEC37">
            <w:pPr>
              <w:spacing w:line="276"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数量</w:t>
            </w:r>
            <w:r>
              <w:rPr>
                <w:rFonts w:hint="eastAsia" w:ascii="宋体" w:hAnsi="宋体" w:eastAsia="宋体" w:cs="宋体"/>
                <w:b/>
                <w:bCs/>
                <w:color w:val="auto"/>
                <w:sz w:val="24"/>
                <w:szCs w:val="24"/>
                <w:highlight w:val="none"/>
                <w:lang w:val="en-US" w:eastAsia="zh-CN"/>
              </w:rPr>
              <w:t>及单位</w:t>
            </w:r>
          </w:p>
        </w:tc>
        <w:tc>
          <w:tcPr>
            <w:tcW w:w="1726" w:type="dxa"/>
            <w:tcBorders>
              <w:tl2br w:val="nil"/>
              <w:tr2bl w:val="nil"/>
            </w:tcBorders>
            <w:noWrap/>
            <w:vAlign w:val="center"/>
          </w:tcPr>
          <w:p w14:paraId="51624142">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单价（元）</w:t>
            </w:r>
          </w:p>
        </w:tc>
        <w:tc>
          <w:tcPr>
            <w:tcW w:w="1727" w:type="dxa"/>
            <w:tcBorders>
              <w:tl2br w:val="nil"/>
              <w:tr2bl w:val="nil"/>
            </w:tcBorders>
            <w:noWrap w:val="0"/>
            <w:vAlign w:val="center"/>
          </w:tcPr>
          <w:p w14:paraId="52DDA5A1">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小计（元）</w:t>
            </w:r>
          </w:p>
        </w:tc>
      </w:tr>
      <w:tr w14:paraId="6D4E2D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016CFE97">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32383A64">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03CB1579">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EFF6D4E">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50509BC">
            <w:pPr>
              <w:spacing w:line="276" w:lineRule="auto"/>
              <w:jc w:val="center"/>
              <w:rPr>
                <w:rFonts w:hint="eastAsia" w:ascii="宋体" w:hAnsi="宋体" w:eastAsia="宋体" w:cs="宋体"/>
                <w:b/>
                <w:bCs/>
                <w:color w:val="auto"/>
                <w:sz w:val="24"/>
                <w:szCs w:val="24"/>
                <w:highlight w:val="none"/>
              </w:rPr>
            </w:pPr>
          </w:p>
        </w:tc>
      </w:tr>
      <w:tr w14:paraId="4124A4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ABB2DC">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056499D1">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77CC4AF">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7061CB42">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F2EBFD">
            <w:pPr>
              <w:spacing w:line="276" w:lineRule="auto"/>
              <w:jc w:val="center"/>
              <w:rPr>
                <w:rFonts w:hint="eastAsia" w:ascii="宋体" w:hAnsi="宋体" w:eastAsia="宋体" w:cs="宋体"/>
                <w:b/>
                <w:bCs/>
                <w:color w:val="auto"/>
                <w:sz w:val="24"/>
                <w:szCs w:val="24"/>
                <w:highlight w:val="none"/>
              </w:rPr>
            </w:pPr>
          </w:p>
        </w:tc>
      </w:tr>
      <w:tr w14:paraId="66828D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70654459">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F97671">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12948DA1">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C9C01F3">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6EB62168">
            <w:pPr>
              <w:spacing w:line="276" w:lineRule="auto"/>
              <w:jc w:val="center"/>
              <w:rPr>
                <w:rFonts w:hint="eastAsia" w:ascii="宋体" w:hAnsi="宋体" w:eastAsia="宋体" w:cs="宋体"/>
                <w:b/>
                <w:bCs/>
                <w:color w:val="auto"/>
                <w:sz w:val="24"/>
                <w:szCs w:val="24"/>
                <w:highlight w:val="none"/>
              </w:rPr>
            </w:pPr>
          </w:p>
        </w:tc>
      </w:tr>
      <w:tr w14:paraId="0210FB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19B5F02">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5A2D58D">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BD4C086">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5651549">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3156D7">
            <w:pPr>
              <w:spacing w:line="276" w:lineRule="auto"/>
              <w:jc w:val="center"/>
              <w:rPr>
                <w:rFonts w:hint="eastAsia" w:ascii="宋体" w:hAnsi="宋体" w:eastAsia="宋体" w:cs="宋体"/>
                <w:b/>
                <w:bCs/>
                <w:color w:val="auto"/>
                <w:sz w:val="24"/>
                <w:szCs w:val="24"/>
                <w:highlight w:val="none"/>
              </w:rPr>
            </w:pPr>
          </w:p>
        </w:tc>
      </w:tr>
      <w:tr w14:paraId="5E40D9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2DBB811">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61728DF">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95C7AA9">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F10B8C0">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877C60B">
            <w:pPr>
              <w:spacing w:line="276" w:lineRule="auto"/>
              <w:jc w:val="center"/>
              <w:rPr>
                <w:rFonts w:hint="eastAsia" w:ascii="宋体" w:hAnsi="宋体" w:eastAsia="宋体" w:cs="宋体"/>
                <w:b/>
                <w:bCs/>
                <w:color w:val="auto"/>
                <w:sz w:val="24"/>
                <w:szCs w:val="24"/>
                <w:highlight w:val="none"/>
              </w:rPr>
            </w:pPr>
          </w:p>
        </w:tc>
      </w:tr>
      <w:tr w14:paraId="6611F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5DB81198">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168B117">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3C1BB58">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0BF63A5">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31FF74B">
            <w:pPr>
              <w:spacing w:line="276" w:lineRule="auto"/>
              <w:jc w:val="center"/>
              <w:rPr>
                <w:rFonts w:hint="eastAsia" w:ascii="宋体" w:hAnsi="宋体" w:eastAsia="宋体" w:cs="宋体"/>
                <w:b/>
                <w:bCs/>
                <w:color w:val="auto"/>
                <w:sz w:val="24"/>
                <w:szCs w:val="24"/>
                <w:highlight w:val="none"/>
              </w:rPr>
            </w:pPr>
          </w:p>
        </w:tc>
      </w:tr>
      <w:tr w14:paraId="18E09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9B7ED14">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037CAA9">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8CF41AB">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1B53622">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0EA7177">
            <w:pPr>
              <w:spacing w:line="276" w:lineRule="auto"/>
              <w:jc w:val="center"/>
              <w:rPr>
                <w:rFonts w:hint="eastAsia" w:ascii="宋体" w:hAnsi="宋体" w:eastAsia="宋体" w:cs="宋体"/>
                <w:b/>
                <w:bCs/>
                <w:color w:val="auto"/>
                <w:sz w:val="24"/>
                <w:szCs w:val="24"/>
                <w:highlight w:val="none"/>
              </w:rPr>
            </w:pPr>
          </w:p>
        </w:tc>
      </w:tr>
      <w:tr w14:paraId="635F1D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3144A73">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19A773">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CFD0E8C">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331AD0B8">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292997B">
            <w:pPr>
              <w:spacing w:line="276" w:lineRule="auto"/>
              <w:jc w:val="center"/>
              <w:rPr>
                <w:rFonts w:hint="eastAsia" w:ascii="宋体" w:hAnsi="宋体" w:eastAsia="宋体" w:cs="宋体"/>
                <w:b/>
                <w:bCs/>
                <w:color w:val="auto"/>
                <w:sz w:val="24"/>
                <w:szCs w:val="24"/>
                <w:highlight w:val="none"/>
              </w:rPr>
            </w:pPr>
          </w:p>
        </w:tc>
      </w:tr>
      <w:tr w14:paraId="39CE15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67DEA33">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423676C">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204AFC9D">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6D5A476">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60DB817">
            <w:pPr>
              <w:spacing w:line="276" w:lineRule="auto"/>
              <w:jc w:val="center"/>
              <w:rPr>
                <w:rFonts w:hint="eastAsia" w:ascii="宋体" w:hAnsi="宋体" w:eastAsia="宋体" w:cs="宋体"/>
                <w:b/>
                <w:bCs/>
                <w:color w:val="auto"/>
                <w:sz w:val="24"/>
                <w:szCs w:val="24"/>
                <w:highlight w:val="none"/>
              </w:rPr>
            </w:pPr>
          </w:p>
        </w:tc>
      </w:tr>
      <w:tr w14:paraId="7616C0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6CCA56E2">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C45AA6A">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63A1C590">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0E7A2018">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E03BDBF">
            <w:pPr>
              <w:spacing w:line="276" w:lineRule="auto"/>
              <w:jc w:val="center"/>
              <w:rPr>
                <w:rFonts w:hint="eastAsia" w:ascii="宋体" w:hAnsi="宋体" w:eastAsia="宋体" w:cs="宋体"/>
                <w:b/>
                <w:bCs/>
                <w:color w:val="auto"/>
                <w:sz w:val="24"/>
                <w:szCs w:val="24"/>
                <w:highlight w:val="none"/>
              </w:rPr>
            </w:pPr>
          </w:p>
        </w:tc>
      </w:tr>
      <w:tr w14:paraId="45CD70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77" w:type="dxa"/>
            <w:gridSpan w:val="3"/>
            <w:tcBorders>
              <w:tl2br w:val="nil"/>
              <w:tr2bl w:val="nil"/>
            </w:tcBorders>
            <w:noWrap w:val="0"/>
            <w:vAlign w:val="center"/>
          </w:tcPr>
          <w:p w14:paraId="15FCEBAF">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初次报价（元）</w:t>
            </w:r>
          </w:p>
        </w:tc>
        <w:tc>
          <w:tcPr>
            <w:tcW w:w="4528" w:type="dxa"/>
            <w:gridSpan w:val="3"/>
            <w:tcBorders>
              <w:tl2br w:val="nil"/>
              <w:tr2bl w:val="nil"/>
            </w:tcBorders>
            <w:noWrap w:val="0"/>
            <w:vAlign w:val="center"/>
          </w:tcPr>
          <w:p w14:paraId="608C7A6E">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66304108">
            <w:pPr>
              <w:pStyle w:val="23"/>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r>
    </w:tbl>
    <w:p w14:paraId="2CAED83E">
      <w:pPr>
        <w:pStyle w:val="25"/>
        <w:spacing w:line="360" w:lineRule="auto"/>
        <w:ind w:left="694" w:leftChars="187" w:hanging="301" w:hangingChars="143"/>
        <w:rPr>
          <w:rFonts w:hint="eastAsia" w:hAnsi="宋体" w:cs="宋体"/>
          <w:b/>
          <w:bCs/>
          <w:color w:val="auto"/>
          <w:sz w:val="21"/>
          <w:szCs w:val="21"/>
          <w:highlight w:val="none"/>
        </w:rPr>
      </w:pPr>
    </w:p>
    <w:p w14:paraId="2A1E321B">
      <w:pPr>
        <w:pStyle w:val="25"/>
        <w:spacing w:line="360" w:lineRule="auto"/>
        <w:ind w:left="694" w:leftChars="187" w:hanging="301" w:hangingChars="143"/>
        <w:rPr>
          <w:rFonts w:hAnsi="宋体" w:cs="宋体"/>
          <w:color w:val="auto"/>
          <w:sz w:val="21"/>
          <w:szCs w:val="21"/>
          <w:highlight w:val="none"/>
        </w:rPr>
      </w:pPr>
      <w:r>
        <w:rPr>
          <w:rFonts w:hint="eastAsia" w:hAnsi="宋体" w:cs="宋体"/>
          <w:b/>
          <w:bCs/>
          <w:color w:val="auto"/>
          <w:sz w:val="21"/>
          <w:szCs w:val="21"/>
          <w:highlight w:val="none"/>
        </w:rPr>
        <w:t>注：“分项报价表”中“</w:t>
      </w:r>
      <w:r>
        <w:rPr>
          <w:rFonts w:hint="eastAsia" w:cs="宋体"/>
          <w:b/>
          <w:bCs/>
          <w:color w:val="auto"/>
          <w:sz w:val="21"/>
          <w:szCs w:val="21"/>
          <w:highlight w:val="none"/>
          <w:lang w:eastAsia="zh-CN"/>
        </w:rPr>
        <w:t>响应</w:t>
      </w:r>
      <w:r>
        <w:rPr>
          <w:rFonts w:hint="eastAsia" w:hAnsi="宋体" w:cs="宋体"/>
          <w:b/>
          <w:bCs/>
          <w:color w:val="auto"/>
          <w:sz w:val="21"/>
          <w:szCs w:val="21"/>
          <w:highlight w:val="none"/>
        </w:rPr>
        <w:t>总价”应与“</w:t>
      </w:r>
      <w:r>
        <w:rPr>
          <w:rFonts w:hint="eastAsia" w:hAnsi="宋体" w:cs="宋体"/>
          <w:b/>
          <w:bCs/>
          <w:color w:val="auto"/>
          <w:sz w:val="21"/>
          <w:szCs w:val="21"/>
          <w:highlight w:val="none"/>
          <w:lang w:val="en-US" w:eastAsia="zh-CN"/>
        </w:rPr>
        <w:t>初次报价一览表</w:t>
      </w:r>
      <w:r>
        <w:rPr>
          <w:rFonts w:hint="eastAsia" w:hAnsi="宋体" w:cs="宋体"/>
          <w:b/>
          <w:bCs/>
          <w:color w:val="auto"/>
          <w:sz w:val="21"/>
          <w:szCs w:val="21"/>
          <w:highlight w:val="none"/>
        </w:rPr>
        <w:t>”中“</w:t>
      </w:r>
      <w:r>
        <w:rPr>
          <w:rFonts w:hint="eastAsia" w:hAnsi="宋体" w:cs="宋体"/>
          <w:b/>
          <w:bCs/>
          <w:color w:val="auto"/>
          <w:sz w:val="21"/>
          <w:szCs w:val="21"/>
          <w:highlight w:val="none"/>
          <w:lang w:val="en-US" w:eastAsia="zh-CN"/>
        </w:rPr>
        <w:t>初次</w:t>
      </w:r>
      <w:r>
        <w:rPr>
          <w:rFonts w:hint="eastAsia" w:hAnsi="宋体" w:cs="宋体"/>
          <w:b/>
          <w:bCs/>
          <w:color w:val="auto"/>
          <w:sz w:val="21"/>
          <w:szCs w:val="21"/>
          <w:highlight w:val="none"/>
        </w:rPr>
        <w:t>报价”一致。</w:t>
      </w:r>
    </w:p>
    <w:p w14:paraId="4D86892C">
      <w:pPr>
        <w:pStyle w:val="25"/>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DA27E37">
      <w:pPr>
        <w:pStyle w:val="25"/>
        <w:spacing w:line="360" w:lineRule="auto"/>
        <w:jc w:val="center"/>
        <w:rPr>
          <w:rFonts w:hAnsi="宋体" w:cs="宋体"/>
          <w:color w:val="auto"/>
          <w:sz w:val="21"/>
          <w:szCs w:val="21"/>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日期：    年  月   日</w:t>
      </w:r>
    </w:p>
    <w:p w14:paraId="7241F82D">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jc w:val="right"/>
        <w:rPr>
          <w:rFonts w:hint="eastAsia" w:cs="仿宋_GB2312" w:asciiTheme="minorEastAsia" w:hAnsiTheme="minorEastAsia" w:eastAsiaTheme="minorEastAsia"/>
          <w:color w:val="auto"/>
          <w:highlight w:val="none"/>
        </w:rPr>
        <w:sectPr>
          <w:pgSz w:w="11906" w:h="16838"/>
          <w:pgMar w:top="779" w:right="1418" w:bottom="468" w:left="1418" w:header="851" w:footer="992" w:gutter="0"/>
          <w:pgNumType w:fmt="decimal"/>
          <w:cols w:space="720" w:num="1"/>
          <w:titlePg/>
          <w:docGrid w:linePitch="312" w:charSpace="0"/>
        </w:sectPr>
      </w:pPr>
    </w:p>
    <w:p w14:paraId="154F9E31">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outlineLvl w:val="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7"/>
    </w:p>
    <w:p w14:paraId="040B7424">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B697BDB">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62EB733F">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06CCD6B9">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4E7D0B1E">
      <w:pPr>
        <w:spacing w:line="360" w:lineRule="auto"/>
        <w:jc w:val="center"/>
        <w:rPr>
          <w:rFonts w:cs="仿宋_GB2312" w:asciiTheme="minorEastAsia" w:hAnsiTheme="minorEastAsia" w:eastAsiaTheme="minorEastAsia"/>
          <w:b/>
          <w:color w:val="auto"/>
          <w:sz w:val="24"/>
          <w:highlight w:val="none"/>
        </w:rPr>
      </w:pPr>
    </w:p>
    <w:p w14:paraId="5043F345">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AD1F17C">
      <w:pPr>
        <w:spacing w:line="360" w:lineRule="auto"/>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33494B1">
      <w:pPr>
        <w:spacing w:line="360" w:lineRule="auto"/>
        <w:outlineLvl w:val="9"/>
        <w:rPr>
          <w:rFonts w:asciiTheme="minorEastAsia" w:hAnsiTheme="minorEastAsia" w:eastAsiaTheme="minorEastAsia"/>
          <w:b/>
          <w:color w:val="auto"/>
          <w:spacing w:val="6"/>
          <w:sz w:val="32"/>
          <w:szCs w:val="32"/>
          <w:highlight w:val="none"/>
        </w:rPr>
      </w:pPr>
    </w:p>
    <w:p w14:paraId="04BDA416">
      <w:pPr>
        <w:spacing w:line="360" w:lineRule="auto"/>
        <w:jc w:val="center"/>
        <w:outlineLvl w:val="1"/>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65BB5B4">
      <w:pPr>
        <w:spacing w:line="360" w:lineRule="auto"/>
        <w:rPr>
          <w:rFonts w:asciiTheme="minorEastAsia" w:hAnsiTheme="minorEastAsia" w:eastAsiaTheme="minorEastAsia"/>
          <w:b/>
          <w:color w:val="auto"/>
          <w:spacing w:val="6"/>
          <w:sz w:val="30"/>
          <w:szCs w:val="30"/>
          <w:highlight w:val="none"/>
        </w:rPr>
      </w:pPr>
    </w:p>
    <w:p w14:paraId="3EFE38D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宁波市海曙区人民政府</w:t>
      </w:r>
      <w:r>
        <w:rPr>
          <w:rFonts w:hint="eastAsia" w:cs="仿宋_GB2312" w:asciiTheme="minorEastAsia" w:hAnsiTheme="minorEastAsia" w:eastAsiaTheme="minorEastAsia"/>
          <w:color w:val="auto"/>
          <w:sz w:val="24"/>
          <w:highlight w:val="none"/>
          <w:u w:val="single"/>
          <w:lang w:val="en-US" w:eastAsia="zh-CN"/>
        </w:rPr>
        <w:t>南门</w:t>
      </w:r>
      <w:r>
        <w:rPr>
          <w:rFonts w:hint="eastAsia" w:cs="仿宋_GB2312" w:asciiTheme="minorEastAsia" w:hAnsiTheme="minorEastAsia" w:eastAsiaTheme="minorEastAsia"/>
          <w:color w:val="auto"/>
          <w:sz w:val="24"/>
          <w:highlight w:val="none"/>
          <w:u w:val="single"/>
          <w:lang w:eastAsia="zh-CN"/>
        </w:rPr>
        <w:t>街道办事处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海曙区南门街道车站未来社区项目（实施方案编制，创建及验收咨询服务）</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06071A8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28E1D78">
      <w:pPr>
        <w:spacing w:line="360" w:lineRule="auto"/>
        <w:ind w:firstLine="480" w:firstLineChars="200"/>
        <w:rPr>
          <w:rFonts w:cs="仿宋_GB2312" w:asciiTheme="minorEastAsia" w:hAnsiTheme="minorEastAsia" w:eastAsiaTheme="minorEastAsia"/>
          <w:color w:val="auto"/>
          <w:sz w:val="24"/>
          <w:highlight w:val="none"/>
        </w:rPr>
      </w:pPr>
    </w:p>
    <w:p w14:paraId="40AA6011">
      <w:pPr>
        <w:spacing w:line="360" w:lineRule="auto"/>
        <w:ind w:firstLine="480" w:firstLineChars="200"/>
        <w:rPr>
          <w:rFonts w:cs="仿宋_GB2312" w:asciiTheme="minorEastAsia" w:hAnsiTheme="minorEastAsia" w:eastAsiaTheme="minorEastAsia"/>
          <w:color w:val="auto"/>
          <w:sz w:val="24"/>
          <w:highlight w:val="none"/>
        </w:rPr>
      </w:pPr>
    </w:p>
    <w:p w14:paraId="0A995D4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C270CB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FC75A2D">
      <w:pPr>
        <w:spacing w:line="360" w:lineRule="auto"/>
        <w:ind w:firstLine="480" w:firstLineChars="200"/>
        <w:rPr>
          <w:rFonts w:cs="仿宋_GB2312" w:asciiTheme="minorEastAsia" w:hAnsiTheme="minorEastAsia" w:eastAsiaTheme="minorEastAsia"/>
          <w:color w:val="auto"/>
          <w:sz w:val="24"/>
          <w:highlight w:val="none"/>
        </w:rPr>
      </w:pPr>
    </w:p>
    <w:p w14:paraId="2BDB79E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829A578">
      <w:pPr>
        <w:autoSpaceDE w:val="0"/>
        <w:autoSpaceDN w:val="0"/>
        <w:jc w:val="left"/>
        <w:outlineLvl w:val="1"/>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16BC0F">
      <w:pPr>
        <w:spacing w:line="360" w:lineRule="auto"/>
        <w:jc w:val="left"/>
        <w:rPr>
          <w:rFonts w:cs="仿宋_GB2312" w:asciiTheme="minorEastAsia" w:hAnsiTheme="minorEastAsia" w:eastAsiaTheme="minorEastAsia"/>
          <w:b/>
          <w:color w:val="auto"/>
          <w:sz w:val="24"/>
          <w:highlight w:val="none"/>
        </w:rPr>
      </w:pPr>
    </w:p>
    <w:p w14:paraId="3951B25B">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E222626">
      <w:pPr>
        <w:autoSpaceDE w:val="0"/>
        <w:autoSpaceDN w:val="0"/>
        <w:jc w:val="center"/>
        <w:rPr>
          <w:rFonts w:asciiTheme="minorEastAsia" w:hAnsiTheme="minorEastAsia" w:eastAsiaTheme="minorEastAsia"/>
          <w:b/>
          <w:bCs/>
          <w:color w:val="auto"/>
          <w:sz w:val="32"/>
          <w:szCs w:val="32"/>
          <w:highlight w:val="none"/>
        </w:rPr>
      </w:pPr>
    </w:p>
    <w:p w14:paraId="713D2C5F">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街道办事处、宁波市拓帆工程管理有限公司</w:t>
      </w:r>
      <w:r>
        <w:rPr>
          <w:rFonts w:hint="eastAsia" w:cs="仿宋_GB2312" w:asciiTheme="minorEastAsia" w:hAnsiTheme="minorEastAsia" w:eastAsiaTheme="minorEastAsia"/>
          <w:color w:val="auto"/>
          <w:sz w:val="24"/>
          <w:highlight w:val="none"/>
        </w:rPr>
        <w:t>：</w:t>
      </w:r>
    </w:p>
    <w:p w14:paraId="0139016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海曙区南门街道车站未来社区项目（实施方案编制，创建及验收咨询服务）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3721AB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AB544EF">
      <w:pPr>
        <w:spacing w:line="360" w:lineRule="auto"/>
        <w:ind w:firstLine="494"/>
        <w:rPr>
          <w:rFonts w:cs="宋体" w:asciiTheme="minorEastAsia" w:hAnsiTheme="minorEastAsia" w:eastAsiaTheme="minorEastAsia"/>
          <w:color w:val="auto"/>
          <w:sz w:val="24"/>
          <w:highlight w:val="none"/>
        </w:rPr>
      </w:pPr>
    </w:p>
    <w:p w14:paraId="2778C0D8">
      <w:pPr>
        <w:spacing w:line="360" w:lineRule="auto"/>
        <w:ind w:firstLine="494"/>
        <w:rPr>
          <w:rFonts w:cs="宋体" w:asciiTheme="minorEastAsia" w:hAnsiTheme="minorEastAsia" w:eastAsiaTheme="minorEastAsia"/>
          <w:color w:val="auto"/>
          <w:sz w:val="24"/>
          <w:highlight w:val="none"/>
        </w:rPr>
      </w:pPr>
    </w:p>
    <w:p w14:paraId="52EBBF76">
      <w:pPr>
        <w:spacing w:line="360" w:lineRule="auto"/>
        <w:ind w:firstLine="494"/>
        <w:rPr>
          <w:rFonts w:cs="宋体" w:asciiTheme="minorEastAsia" w:hAnsiTheme="minorEastAsia" w:eastAsiaTheme="minorEastAsia"/>
          <w:color w:val="auto"/>
          <w:sz w:val="24"/>
          <w:highlight w:val="none"/>
        </w:rPr>
      </w:pPr>
    </w:p>
    <w:p w14:paraId="4562FFC4">
      <w:pPr>
        <w:spacing w:line="360" w:lineRule="auto"/>
        <w:ind w:firstLine="494"/>
        <w:rPr>
          <w:rFonts w:cs="宋体" w:asciiTheme="minorEastAsia" w:hAnsiTheme="minorEastAsia" w:eastAsiaTheme="minorEastAsia"/>
          <w:color w:val="auto"/>
          <w:sz w:val="24"/>
          <w:highlight w:val="none"/>
        </w:rPr>
      </w:pPr>
    </w:p>
    <w:p w14:paraId="4DE9953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F8C495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51717A7">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CA6F383">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7993D4E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3E29085">
      <w:pPr>
        <w:snapToGrid w:val="0"/>
        <w:spacing w:line="360" w:lineRule="auto"/>
        <w:jc w:val="center"/>
        <w:rPr>
          <w:rFonts w:cs="仿宋_GB2312" w:asciiTheme="minorEastAsia" w:hAnsiTheme="minorEastAsia" w:eastAsiaTheme="minorEastAsia"/>
          <w:b/>
          <w:color w:val="auto"/>
          <w:sz w:val="24"/>
          <w:highlight w:val="none"/>
        </w:rPr>
      </w:pPr>
    </w:p>
    <w:p w14:paraId="03292EB3">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D4AA645">
      <w:pPr>
        <w:autoSpaceDE w:val="0"/>
        <w:autoSpaceDN w:val="0"/>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BF967E6">
      <w:pPr>
        <w:spacing w:line="360" w:lineRule="auto"/>
        <w:jc w:val="center"/>
        <w:rPr>
          <w:rFonts w:cs="宋体" w:asciiTheme="minorEastAsia" w:hAnsiTheme="minorEastAsia" w:eastAsiaTheme="minorEastAsia"/>
          <w:b/>
          <w:color w:val="auto"/>
          <w:sz w:val="32"/>
          <w:szCs w:val="32"/>
          <w:highlight w:val="none"/>
        </w:rPr>
      </w:pPr>
    </w:p>
    <w:p w14:paraId="3531595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8D241F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海曙区南门街道车站未来社区项目（实施方案编制，创建及验收咨询服务）</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45A5C7">
      <w:pPr>
        <w:spacing w:line="360" w:lineRule="auto"/>
        <w:ind w:firstLine="482" w:firstLineChars="200"/>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b/>
          <w:bCs w:val="0"/>
          <w:color w:val="auto"/>
          <w:sz w:val="24"/>
          <w:highlight w:val="none"/>
          <w:u w:val="single"/>
          <w:lang w:eastAsia="zh-CN"/>
        </w:rPr>
        <w:t>海曙区南门街道车站未来社区项目（实施方案编制，创建及验收咨询服务）</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b/>
          <w:bCs/>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（中型企业、小型企业、微型企业） </w:t>
      </w:r>
      <w:r>
        <w:rPr>
          <w:rFonts w:hint="eastAsia" w:cs="宋体" w:asciiTheme="minorEastAsia" w:hAnsiTheme="minorEastAsia" w:eastAsiaTheme="minorEastAsia"/>
          <w:color w:val="auto"/>
          <w:sz w:val="24"/>
          <w:highlight w:val="none"/>
        </w:rPr>
        <w:t>；</w:t>
      </w:r>
    </w:p>
    <w:p w14:paraId="7701672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8BCA3C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0A213F7">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AF88432">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B9C3C26">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18F3146">
      <w:pPr>
        <w:spacing w:line="360" w:lineRule="auto"/>
        <w:ind w:right="420"/>
        <w:rPr>
          <w:rFonts w:cs="宋体" w:asciiTheme="minorEastAsia" w:hAnsiTheme="minorEastAsia" w:eastAsiaTheme="minorEastAsia"/>
          <w:color w:val="auto"/>
          <w:sz w:val="24"/>
          <w:highlight w:val="none"/>
        </w:rPr>
      </w:pPr>
    </w:p>
    <w:p w14:paraId="56FA4BE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6F7D56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651A9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B2C4FC6">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4、其他未列明行业。从业人员300人以下的为中小微型企业。其中，从业人员100人及以上的为中型企业；从业人员10人及以上的为小型企业；从业人员10人以下的为微型企业。</w:t>
      </w:r>
    </w:p>
    <w:p w14:paraId="35230399">
      <w:pP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2833705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7FCDEA82">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u w:val="single"/>
          <w:lang w:val="en-US" w:eastAsia="zh-CN"/>
        </w:rPr>
        <w:t>宁波市拓帆工程管理有限公司</w:t>
      </w:r>
      <w:r>
        <w:rPr>
          <w:rFonts w:hint="eastAsia" w:cs="宋体" w:asciiTheme="minorEastAsia" w:hAnsiTheme="minorEastAsia" w:eastAsiaTheme="minorEastAsia"/>
          <w:color w:val="auto"/>
          <w:spacing w:val="6"/>
          <w:sz w:val="24"/>
          <w:highlight w:val="none"/>
        </w:rPr>
        <w:t>：</w:t>
      </w:r>
    </w:p>
    <w:p w14:paraId="1E60659E">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lang w:val="en-US" w:eastAsia="zh-CN"/>
        </w:rPr>
        <w:t xml:space="preserve"> </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52D12E97">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1889480">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7D0453B4">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4E968A2">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FB9E4EF">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47AAC7D6">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728838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2E52265B">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24CC102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6D11E9FC">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799C013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38AED82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140AEA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34887ED">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0D91DA5D">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1AEEEC0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2237F3A8">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年  月  日（请填写磋商日当天日期）</w:t>
      </w:r>
    </w:p>
    <w:p w14:paraId="2A0097AB">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hint="eastAsia" w:cs="宋体" w:asciiTheme="minorEastAsia" w:hAnsiTheme="minorEastAsia" w:eastAsiaTheme="minorEastAsia"/>
          <w:b/>
          <w:bCs/>
          <w:color w:val="auto"/>
          <w:sz w:val="24"/>
          <w:highlight w:val="none"/>
          <w:u w:val="single"/>
          <w:lang w:val="en-US" w:eastAsia="zh-CN"/>
        </w:rPr>
        <w:t>859267531</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38898E63">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670DD5B4">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4B7B54A4">
      <w:pPr>
        <w:pStyle w:val="16"/>
        <w:ind w:left="0" w:leftChars="0" w:firstLine="0" w:firstLineChars="0"/>
        <w:rPr>
          <w:rFonts w:hint="eastAsia" w:cs="宋体" w:asciiTheme="minorEastAsia" w:hAnsiTheme="minorEastAsia" w:eastAsiaTheme="minorEastAsia"/>
          <w:b/>
          <w:bCs/>
          <w:color w:val="auto"/>
          <w:sz w:val="24"/>
          <w:highlight w:val="none"/>
        </w:rPr>
      </w:pPr>
    </w:p>
    <w:p w14:paraId="3AF11C4F">
      <w:pPr>
        <w:rPr>
          <w:rFonts w:hint="eastAsia" w:cs="宋体" w:asciiTheme="minorEastAsia" w:hAnsiTheme="minorEastAsia" w:eastAsiaTheme="minorEastAsia"/>
          <w:b/>
          <w:bCs/>
          <w:color w:val="auto"/>
          <w:sz w:val="24"/>
          <w:highlight w:val="none"/>
        </w:rPr>
      </w:pPr>
    </w:p>
    <w:p w14:paraId="34317F2A">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22F96C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EFE2F5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39A46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547EC8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AA262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DF4FF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F2F4F08">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B84290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E1F5F7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F27BE1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34D68A1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910B5F3">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B1FF915">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5290E6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CC4095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1F55DF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7FBE17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626B2F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5EC1B1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2865C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4EF1F4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6B096C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D11C34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AC829D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CA68605">
      <w:pPr>
        <w:pStyle w:val="16"/>
        <w:ind w:left="0" w:leftChars="0" w:firstLine="0" w:firstLineChars="0"/>
        <w:outlineLvl w:val="1"/>
        <w:rPr>
          <w:color w:val="auto"/>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7</w:t>
      </w:r>
      <w:r>
        <w:rPr>
          <w:rFonts w:hint="eastAsia" w:cs="仿宋_GB2312" w:asciiTheme="minorEastAsia" w:hAnsiTheme="minorEastAsia" w:eastAsiaTheme="minorEastAsia"/>
          <w:b/>
          <w:color w:val="auto"/>
          <w:sz w:val="32"/>
          <w:szCs w:val="32"/>
          <w:highlight w:val="none"/>
        </w:rPr>
        <w:t>：</w:t>
      </w:r>
    </w:p>
    <w:p w14:paraId="04B250B3">
      <w:pPr>
        <w:jc w:val="center"/>
        <w:rPr>
          <w:rFonts w:hint="eastAsia"/>
          <w:b/>
          <w:bCs/>
          <w:color w:val="auto"/>
          <w:sz w:val="32"/>
          <w:szCs w:val="32"/>
          <w:highlight w:val="none"/>
        </w:rPr>
      </w:pPr>
      <w:r>
        <w:rPr>
          <w:rFonts w:hint="eastAsia"/>
          <w:b/>
          <w:bCs/>
          <w:color w:val="auto"/>
          <w:sz w:val="32"/>
          <w:szCs w:val="32"/>
          <w:highlight w:val="none"/>
        </w:rPr>
        <w:t>联合</w:t>
      </w:r>
      <w:r>
        <w:rPr>
          <w:rFonts w:hint="eastAsia"/>
          <w:b/>
          <w:bCs/>
          <w:color w:val="auto"/>
          <w:sz w:val="32"/>
          <w:szCs w:val="32"/>
          <w:highlight w:val="none"/>
          <w:lang w:val="en-US" w:eastAsia="zh-CN"/>
        </w:rPr>
        <w:t>体</w:t>
      </w:r>
      <w:r>
        <w:rPr>
          <w:rFonts w:hint="eastAsia"/>
          <w:b/>
          <w:bCs/>
          <w:color w:val="auto"/>
          <w:sz w:val="32"/>
          <w:szCs w:val="32"/>
          <w:highlight w:val="none"/>
        </w:rPr>
        <w:t>协议</w:t>
      </w:r>
    </w:p>
    <w:p w14:paraId="65794B76">
      <w:pPr>
        <w:pStyle w:val="61"/>
        <w:ind w:firstLine="420"/>
        <w:rPr>
          <w:color w:val="auto"/>
          <w:highlight w:val="none"/>
        </w:rPr>
      </w:pPr>
    </w:p>
    <w:p w14:paraId="564F071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p>
    <w:p w14:paraId="5144E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8A22C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ED87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6F32D4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1275429">
      <w:pPr>
        <w:snapToGrid w:val="0"/>
        <w:spacing w:line="360" w:lineRule="auto"/>
        <w:ind w:firstLine="576"/>
        <w:rPr>
          <w:rFonts w:ascii="宋体" w:hAnsi="宋体" w:cs="宋体"/>
          <w:color w:val="auto"/>
          <w:kern w:val="0"/>
          <w:sz w:val="24"/>
          <w:highlight w:val="none"/>
          <w:lang w:val="zh-CN"/>
        </w:rPr>
      </w:pPr>
      <w:bookmarkStart w:id="6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2CA0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851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8"/>
    <w:p w14:paraId="131D4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E2F905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B7E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F0FD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0DDB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AC2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D525D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2217B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F4A26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40487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A74456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EB801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9BB0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2477E1">
      <w:pPr>
        <w:pStyle w:val="23"/>
        <w:rPr>
          <w:rFonts w:asciiTheme="minorEastAsia" w:hAnsiTheme="minorEastAsia" w:eastAsiaTheme="minorEastAsia"/>
          <w:color w:val="auto"/>
          <w:highlight w:val="none"/>
          <w:lang w:val="en-US"/>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AFD8">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3976A">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13976A">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E941">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324D">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2A324D">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8CC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B5154">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AB5154">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B24D">
    <w:pPr>
      <w:pStyle w:val="39"/>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AEE74">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62AEE74">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33F9">
    <w:pPr>
      <w:pStyle w:val="39"/>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82E8C">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482E8C">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CB7E">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C476">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05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F708">
    <w:pPr>
      <w:pStyle w:val="40"/>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E6E4">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2CA8046"/>
    <w:multiLevelType w:val="singleLevel"/>
    <w:tmpl w:val="52CA8046"/>
    <w:lvl w:ilvl="0" w:tentative="0">
      <w:start w:val="1"/>
      <w:numFmt w:val="chineseCounting"/>
      <w:suff w:val="nothing"/>
      <w:lvlText w:val="%1、"/>
      <w:lvlJc w:val="left"/>
      <w:pPr>
        <w:tabs>
          <w:tab w:val="left" w:pos="0"/>
        </w:tabs>
        <w:ind w:left="0" w:firstLine="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9"/>
  </w:num>
  <w:num w:numId="6">
    <w:abstractNumId w:val="11"/>
  </w:num>
  <w:num w:numId="7">
    <w:abstractNumId w:val="12"/>
  </w:num>
  <w:num w:numId="8">
    <w:abstractNumId w:val="4"/>
  </w:num>
  <w:num w:numId="9">
    <w:abstractNumId w:val="10"/>
  </w:num>
  <w:num w:numId="10">
    <w:abstractNumId w:val="6"/>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WJmYTVmOGFlNTNiYjMxYmFmOTE0ODlmZWJlO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ABB"/>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240"/>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505CD6"/>
    <w:rsid w:val="01A653B9"/>
    <w:rsid w:val="02056D00"/>
    <w:rsid w:val="02DA0C0E"/>
    <w:rsid w:val="033B1C2D"/>
    <w:rsid w:val="03463A74"/>
    <w:rsid w:val="034D0227"/>
    <w:rsid w:val="03AF1619"/>
    <w:rsid w:val="03DD35E4"/>
    <w:rsid w:val="03E95F35"/>
    <w:rsid w:val="04145ACE"/>
    <w:rsid w:val="042E51E5"/>
    <w:rsid w:val="04936845"/>
    <w:rsid w:val="04E32FDC"/>
    <w:rsid w:val="055532B9"/>
    <w:rsid w:val="057400D7"/>
    <w:rsid w:val="05AE5667"/>
    <w:rsid w:val="0646387A"/>
    <w:rsid w:val="065A6178"/>
    <w:rsid w:val="06C82346"/>
    <w:rsid w:val="06FF1D0D"/>
    <w:rsid w:val="075562B7"/>
    <w:rsid w:val="079F3753"/>
    <w:rsid w:val="07CE48F8"/>
    <w:rsid w:val="07DE427B"/>
    <w:rsid w:val="07F6164B"/>
    <w:rsid w:val="08730818"/>
    <w:rsid w:val="087A1B7A"/>
    <w:rsid w:val="087D5842"/>
    <w:rsid w:val="08915791"/>
    <w:rsid w:val="08B27C10"/>
    <w:rsid w:val="094445B2"/>
    <w:rsid w:val="096B2097"/>
    <w:rsid w:val="09CC2642"/>
    <w:rsid w:val="09DA5FB3"/>
    <w:rsid w:val="0A312D88"/>
    <w:rsid w:val="0A483850"/>
    <w:rsid w:val="0A5B7E63"/>
    <w:rsid w:val="0ABF1FBE"/>
    <w:rsid w:val="0AD26D8C"/>
    <w:rsid w:val="0BAB1E8A"/>
    <w:rsid w:val="0BC3149D"/>
    <w:rsid w:val="0C10430F"/>
    <w:rsid w:val="0C2219BD"/>
    <w:rsid w:val="0C3122CE"/>
    <w:rsid w:val="0C87121B"/>
    <w:rsid w:val="0C927CA5"/>
    <w:rsid w:val="0D41103B"/>
    <w:rsid w:val="0DCB0DDA"/>
    <w:rsid w:val="0DF702FE"/>
    <w:rsid w:val="0E377A2F"/>
    <w:rsid w:val="0E3F698B"/>
    <w:rsid w:val="0E7E55BE"/>
    <w:rsid w:val="0F21508F"/>
    <w:rsid w:val="0F2C6214"/>
    <w:rsid w:val="0F582B65"/>
    <w:rsid w:val="0F816ACD"/>
    <w:rsid w:val="0F8258F3"/>
    <w:rsid w:val="0FB21E05"/>
    <w:rsid w:val="0FB94501"/>
    <w:rsid w:val="0FF47C77"/>
    <w:rsid w:val="103F7CA2"/>
    <w:rsid w:val="104B534E"/>
    <w:rsid w:val="10B047CF"/>
    <w:rsid w:val="10DD0E16"/>
    <w:rsid w:val="10E24DDC"/>
    <w:rsid w:val="10FC16EA"/>
    <w:rsid w:val="115F467E"/>
    <w:rsid w:val="118963A1"/>
    <w:rsid w:val="11BE5AB6"/>
    <w:rsid w:val="120D40DA"/>
    <w:rsid w:val="126020B8"/>
    <w:rsid w:val="127723A9"/>
    <w:rsid w:val="12D25D8D"/>
    <w:rsid w:val="12EF203C"/>
    <w:rsid w:val="13072A44"/>
    <w:rsid w:val="139B74C4"/>
    <w:rsid w:val="13A24F4F"/>
    <w:rsid w:val="13C00783"/>
    <w:rsid w:val="13EB044B"/>
    <w:rsid w:val="14172FEE"/>
    <w:rsid w:val="145044FA"/>
    <w:rsid w:val="14941188"/>
    <w:rsid w:val="14CC6F39"/>
    <w:rsid w:val="1588773E"/>
    <w:rsid w:val="15CA107C"/>
    <w:rsid w:val="163065E9"/>
    <w:rsid w:val="16C949BD"/>
    <w:rsid w:val="170766B9"/>
    <w:rsid w:val="17385300"/>
    <w:rsid w:val="174B5B3D"/>
    <w:rsid w:val="178501FF"/>
    <w:rsid w:val="17B1375A"/>
    <w:rsid w:val="17F65FC0"/>
    <w:rsid w:val="18414ADE"/>
    <w:rsid w:val="184C0E1C"/>
    <w:rsid w:val="186742B0"/>
    <w:rsid w:val="18972DA6"/>
    <w:rsid w:val="18D771F0"/>
    <w:rsid w:val="18D953BD"/>
    <w:rsid w:val="19143B09"/>
    <w:rsid w:val="191822CD"/>
    <w:rsid w:val="191C2E55"/>
    <w:rsid w:val="193D0C2D"/>
    <w:rsid w:val="1962378A"/>
    <w:rsid w:val="19634A28"/>
    <w:rsid w:val="19A15D46"/>
    <w:rsid w:val="19B843F1"/>
    <w:rsid w:val="19DE635C"/>
    <w:rsid w:val="19F03933"/>
    <w:rsid w:val="1A012BD0"/>
    <w:rsid w:val="1A1A55E6"/>
    <w:rsid w:val="1AB57476"/>
    <w:rsid w:val="1ABA2925"/>
    <w:rsid w:val="1AFC1190"/>
    <w:rsid w:val="1B28788F"/>
    <w:rsid w:val="1B2A271F"/>
    <w:rsid w:val="1B6705AA"/>
    <w:rsid w:val="1B78333C"/>
    <w:rsid w:val="1B890139"/>
    <w:rsid w:val="1BAF6202"/>
    <w:rsid w:val="1CFF2E33"/>
    <w:rsid w:val="1D266CE1"/>
    <w:rsid w:val="1D3963AF"/>
    <w:rsid w:val="1D666D95"/>
    <w:rsid w:val="1D8D60CF"/>
    <w:rsid w:val="1E6E5F01"/>
    <w:rsid w:val="1E714A66"/>
    <w:rsid w:val="1E9E64F0"/>
    <w:rsid w:val="1EAA4A5F"/>
    <w:rsid w:val="1F026649"/>
    <w:rsid w:val="1F446C62"/>
    <w:rsid w:val="1F732F0E"/>
    <w:rsid w:val="1F8A4FBC"/>
    <w:rsid w:val="1FA408DD"/>
    <w:rsid w:val="1FB657A8"/>
    <w:rsid w:val="1FE12702"/>
    <w:rsid w:val="1FE868A9"/>
    <w:rsid w:val="1FF02946"/>
    <w:rsid w:val="1FF03604"/>
    <w:rsid w:val="1FFB37C4"/>
    <w:rsid w:val="208B2A62"/>
    <w:rsid w:val="20A6664D"/>
    <w:rsid w:val="20EE50D7"/>
    <w:rsid w:val="211E26D6"/>
    <w:rsid w:val="21283D08"/>
    <w:rsid w:val="21617F9F"/>
    <w:rsid w:val="21D7200F"/>
    <w:rsid w:val="21F52495"/>
    <w:rsid w:val="221A1EFC"/>
    <w:rsid w:val="2241337E"/>
    <w:rsid w:val="22462CF1"/>
    <w:rsid w:val="22761828"/>
    <w:rsid w:val="2288483E"/>
    <w:rsid w:val="23185695"/>
    <w:rsid w:val="23963AC4"/>
    <w:rsid w:val="23E950FC"/>
    <w:rsid w:val="241D6137"/>
    <w:rsid w:val="24447EBA"/>
    <w:rsid w:val="24B86128"/>
    <w:rsid w:val="24D408E1"/>
    <w:rsid w:val="25760785"/>
    <w:rsid w:val="257E40E6"/>
    <w:rsid w:val="25B440B3"/>
    <w:rsid w:val="25D56865"/>
    <w:rsid w:val="26063DAD"/>
    <w:rsid w:val="263E08AF"/>
    <w:rsid w:val="27870A7F"/>
    <w:rsid w:val="27AE1948"/>
    <w:rsid w:val="27D07446"/>
    <w:rsid w:val="28390070"/>
    <w:rsid w:val="284B2E0F"/>
    <w:rsid w:val="286640ED"/>
    <w:rsid w:val="28E8319E"/>
    <w:rsid w:val="293B10D5"/>
    <w:rsid w:val="293D309F"/>
    <w:rsid w:val="297B7724"/>
    <w:rsid w:val="29820AB2"/>
    <w:rsid w:val="2A8E3487"/>
    <w:rsid w:val="2AA1365A"/>
    <w:rsid w:val="2AC1011E"/>
    <w:rsid w:val="2AC97147"/>
    <w:rsid w:val="2AD76456"/>
    <w:rsid w:val="2AFC4894"/>
    <w:rsid w:val="2B5B1692"/>
    <w:rsid w:val="2B856638"/>
    <w:rsid w:val="2BBC165C"/>
    <w:rsid w:val="2C184672"/>
    <w:rsid w:val="2C1B0D4A"/>
    <w:rsid w:val="2C595236"/>
    <w:rsid w:val="2CB371D5"/>
    <w:rsid w:val="2D3A0BEC"/>
    <w:rsid w:val="2DB86778"/>
    <w:rsid w:val="2DBB74BD"/>
    <w:rsid w:val="2DD15014"/>
    <w:rsid w:val="2E9A064C"/>
    <w:rsid w:val="2EF92028"/>
    <w:rsid w:val="2F230642"/>
    <w:rsid w:val="2F464330"/>
    <w:rsid w:val="2F4F5EB6"/>
    <w:rsid w:val="2F7F6399"/>
    <w:rsid w:val="2FD07944"/>
    <w:rsid w:val="2FD25781"/>
    <w:rsid w:val="301253D5"/>
    <w:rsid w:val="303F76FD"/>
    <w:rsid w:val="304E5B92"/>
    <w:rsid w:val="307E2F49"/>
    <w:rsid w:val="30840E48"/>
    <w:rsid w:val="30EF0EEA"/>
    <w:rsid w:val="30F34AD5"/>
    <w:rsid w:val="31564347"/>
    <w:rsid w:val="319C6071"/>
    <w:rsid w:val="31AF55A4"/>
    <w:rsid w:val="32BF3808"/>
    <w:rsid w:val="32DB72BE"/>
    <w:rsid w:val="32DC4FC1"/>
    <w:rsid w:val="3341553A"/>
    <w:rsid w:val="33A715BF"/>
    <w:rsid w:val="33AE3840"/>
    <w:rsid w:val="341C3615"/>
    <w:rsid w:val="341C48E8"/>
    <w:rsid w:val="342E63AB"/>
    <w:rsid w:val="345D260B"/>
    <w:rsid w:val="348F0527"/>
    <w:rsid w:val="34B00336"/>
    <w:rsid w:val="34B34216"/>
    <w:rsid w:val="34CA2C35"/>
    <w:rsid w:val="36072414"/>
    <w:rsid w:val="360B4516"/>
    <w:rsid w:val="364641D2"/>
    <w:rsid w:val="364B12DB"/>
    <w:rsid w:val="365302AE"/>
    <w:rsid w:val="366567E6"/>
    <w:rsid w:val="3679013B"/>
    <w:rsid w:val="36B6571C"/>
    <w:rsid w:val="37AC6465"/>
    <w:rsid w:val="37F142D2"/>
    <w:rsid w:val="389E07E8"/>
    <w:rsid w:val="38C420A7"/>
    <w:rsid w:val="39242B89"/>
    <w:rsid w:val="392F5027"/>
    <w:rsid w:val="39873363"/>
    <w:rsid w:val="39A13F14"/>
    <w:rsid w:val="3A4C7049"/>
    <w:rsid w:val="3A741F04"/>
    <w:rsid w:val="3AD60C5E"/>
    <w:rsid w:val="3AE16A06"/>
    <w:rsid w:val="3B077CB1"/>
    <w:rsid w:val="3B197DB6"/>
    <w:rsid w:val="3B554279"/>
    <w:rsid w:val="3B7919E7"/>
    <w:rsid w:val="3BBE6CEB"/>
    <w:rsid w:val="3C29300F"/>
    <w:rsid w:val="3C5F759A"/>
    <w:rsid w:val="3C9D5067"/>
    <w:rsid w:val="3CD025E5"/>
    <w:rsid w:val="3D17748C"/>
    <w:rsid w:val="3D204F34"/>
    <w:rsid w:val="3D295311"/>
    <w:rsid w:val="3D581DFE"/>
    <w:rsid w:val="3D5C78D4"/>
    <w:rsid w:val="3DCA27E0"/>
    <w:rsid w:val="3DF06A9E"/>
    <w:rsid w:val="3E2A0839"/>
    <w:rsid w:val="3E602A0A"/>
    <w:rsid w:val="3F050B2F"/>
    <w:rsid w:val="3F634935"/>
    <w:rsid w:val="3FFF72A6"/>
    <w:rsid w:val="405A435B"/>
    <w:rsid w:val="405C3CB0"/>
    <w:rsid w:val="40CA3013"/>
    <w:rsid w:val="40E90FBF"/>
    <w:rsid w:val="41171FD0"/>
    <w:rsid w:val="41265D6F"/>
    <w:rsid w:val="415F094C"/>
    <w:rsid w:val="41B810BD"/>
    <w:rsid w:val="423D42C3"/>
    <w:rsid w:val="424C2358"/>
    <w:rsid w:val="42755200"/>
    <w:rsid w:val="42AA65A3"/>
    <w:rsid w:val="42E1381E"/>
    <w:rsid w:val="43601604"/>
    <w:rsid w:val="4392593E"/>
    <w:rsid w:val="43A82ECB"/>
    <w:rsid w:val="43B059AA"/>
    <w:rsid w:val="43FB717C"/>
    <w:rsid w:val="444455BE"/>
    <w:rsid w:val="449F722D"/>
    <w:rsid w:val="451E447A"/>
    <w:rsid w:val="45345B76"/>
    <w:rsid w:val="4588349D"/>
    <w:rsid w:val="45A2397F"/>
    <w:rsid w:val="45DB537A"/>
    <w:rsid w:val="45DD6F5A"/>
    <w:rsid w:val="46050CBD"/>
    <w:rsid w:val="464A2500"/>
    <w:rsid w:val="467E5752"/>
    <w:rsid w:val="470F7C31"/>
    <w:rsid w:val="47307808"/>
    <w:rsid w:val="47863A0C"/>
    <w:rsid w:val="47E81FD1"/>
    <w:rsid w:val="47EF7803"/>
    <w:rsid w:val="481A5BC9"/>
    <w:rsid w:val="4830775E"/>
    <w:rsid w:val="486F747C"/>
    <w:rsid w:val="48B95AB7"/>
    <w:rsid w:val="48BA1BBF"/>
    <w:rsid w:val="48F0738F"/>
    <w:rsid w:val="49150F3E"/>
    <w:rsid w:val="491D5621"/>
    <w:rsid w:val="494F035A"/>
    <w:rsid w:val="49764039"/>
    <w:rsid w:val="4A387FC7"/>
    <w:rsid w:val="4AFC5FB2"/>
    <w:rsid w:val="4B1D68D2"/>
    <w:rsid w:val="4BCE2367"/>
    <w:rsid w:val="4C0373D9"/>
    <w:rsid w:val="4C67747A"/>
    <w:rsid w:val="4C8853A9"/>
    <w:rsid w:val="4CEC65D1"/>
    <w:rsid w:val="4D2F5B88"/>
    <w:rsid w:val="4D317C8F"/>
    <w:rsid w:val="4D706CF0"/>
    <w:rsid w:val="4D7E62F1"/>
    <w:rsid w:val="4D861CF6"/>
    <w:rsid w:val="4DEE763D"/>
    <w:rsid w:val="4E263853"/>
    <w:rsid w:val="4E281379"/>
    <w:rsid w:val="4E353A96"/>
    <w:rsid w:val="4E73382E"/>
    <w:rsid w:val="4EEA32B3"/>
    <w:rsid w:val="4EEE3181"/>
    <w:rsid w:val="4F15290B"/>
    <w:rsid w:val="4F8402E8"/>
    <w:rsid w:val="4FBA0958"/>
    <w:rsid w:val="4FBF18D3"/>
    <w:rsid w:val="4FE30DC1"/>
    <w:rsid w:val="501157CE"/>
    <w:rsid w:val="506B0941"/>
    <w:rsid w:val="507408A5"/>
    <w:rsid w:val="507F3FA0"/>
    <w:rsid w:val="512428A6"/>
    <w:rsid w:val="51781094"/>
    <w:rsid w:val="519B6CC9"/>
    <w:rsid w:val="51A0432A"/>
    <w:rsid w:val="51B82A14"/>
    <w:rsid w:val="51D67879"/>
    <w:rsid w:val="51DB762E"/>
    <w:rsid w:val="526B5CD8"/>
    <w:rsid w:val="527140E5"/>
    <w:rsid w:val="52756B57"/>
    <w:rsid w:val="5292508F"/>
    <w:rsid w:val="52A96B6F"/>
    <w:rsid w:val="52BF7DD2"/>
    <w:rsid w:val="52C45EE8"/>
    <w:rsid w:val="52E77A54"/>
    <w:rsid w:val="52F50359"/>
    <w:rsid w:val="5345477B"/>
    <w:rsid w:val="53B64BC0"/>
    <w:rsid w:val="53B66CDD"/>
    <w:rsid w:val="53CE295F"/>
    <w:rsid w:val="543A3BB4"/>
    <w:rsid w:val="544F09ED"/>
    <w:rsid w:val="548A6E01"/>
    <w:rsid w:val="55004DFD"/>
    <w:rsid w:val="550764A4"/>
    <w:rsid w:val="551926E0"/>
    <w:rsid w:val="555A5A70"/>
    <w:rsid w:val="558C1761"/>
    <w:rsid w:val="55D32512"/>
    <w:rsid w:val="55E62245"/>
    <w:rsid w:val="561279B9"/>
    <w:rsid w:val="56515F3B"/>
    <w:rsid w:val="565E1D1A"/>
    <w:rsid w:val="569B0F46"/>
    <w:rsid w:val="56BC4D54"/>
    <w:rsid w:val="56FF5CA7"/>
    <w:rsid w:val="572B71CA"/>
    <w:rsid w:val="573C5E95"/>
    <w:rsid w:val="576A47B0"/>
    <w:rsid w:val="577D1B56"/>
    <w:rsid w:val="58117322"/>
    <w:rsid w:val="5818721B"/>
    <w:rsid w:val="58196ABF"/>
    <w:rsid w:val="58207565"/>
    <w:rsid w:val="58AE4F0C"/>
    <w:rsid w:val="58B5530F"/>
    <w:rsid w:val="58C6476C"/>
    <w:rsid w:val="58EE57AA"/>
    <w:rsid w:val="59084C7F"/>
    <w:rsid w:val="590D09EF"/>
    <w:rsid w:val="59722590"/>
    <w:rsid w:val="59BB7B8F"/>
    <w:rsid w:val="59F3435B"/>
    <w:rsid w:val="5A2A7C7B"/>
    <w:rsid w:val="5A517EA9"/>
    <w:rsid w:val="5A9C5DB6"/>
    <w:rsid w:val="5B9A15AA"/>
    <w:rsid w:val="5BB636D1"/>
    <w:rsid w:val="5BF74317"/>
    <w:rsid w:val="5C016442"/>
    <w:rsid w:val="5C0E556A"/>
    <w:rsid w:val="5C2E0F50"/>
    <w:rsid w:val="5C80234E"/>
    <w:rsid w:val="5CCB5CF1"/>
    <w:rsid w:val="5D1A49F1"/>
    <w:rsid w:val="5E1929B8"/>
    <w:rsid w:val="5E261785"/>
    <w:rsid w:val="5E40270F"/>
    <w:rsid w:val="5ECD192C"/>
    <w:rsid w:val="5F724B4A"/>
    <w:rsid w:val="5FCC5339"/>
    <w:rsid w:val="5FE70807"/>
    <w:rsid w:val="60200102"/>
    <w:rsid w:val="6042451C"/>
    <w:rsid w:val="60BF2C01"/>
    <w:rsid w:val="60D07B9D"/>
    <w:rsid w:val="60D4195D"/>
    <w:rsid w:val="60E53485"/>
    <w:rsid w:val="61054A27"/>
    <w:rsid w:val="611D2366"/>
    <w:rsid w:val="61374ED4"/>
    <w:rsid w:val="618945FC"/>
    <w:rsid w:val="61B3013A"/>
    <w:rsid w:val="61C148CA"/>
    <w:rsid w:val="62885958"/>
    <w:rsid w:val="628A41A8"/>
    <w:rsid w:val="62C70D09"/>
    <w:rsid w:val="62EA49F7"/>
    <w:rsid w:val="631E1AA0"/>
    <w:rsid w:val="632B47CD"/>
    <w:rsid w:val="63414F5F"/>
    <w:rsid w:val="636724EC"/>
    <w:rsid w:val="638B61DA"/>
    <w:rsid w:val="63C937DE"/>
    <w:rsid w:val="63DF4FB6"/>
    <w:rsid w:val="63FC0E86"/>
    <w:rsid w:val="64316B61"/>
    <w:rsid w:val="645B38E5"/>
    <w:rsid w:val="64713622"/>
    <w:rsid w:val="64B21B0A"/>
    <w:rsid w:val="64CE2EAA"/>
    <w:rsid w:val="65102E3B"/>
    <w:rsid w:val="65326E42"/>
    <w:rsid w:val="662E75B1"/>
    <w:rsid w:val="66342C2E"/>
    <w:rsid w:val="663E784C"/>
    <w:rsid w:val="664A2893"/>
    <w:rsid w:val="667744B2"/>
    <w:rsid w:val="66884E55"/>
    <w:rsid w:val="66B21CD0"/>
    <w:rsid w:val="66CE390F"/>
    <w:rsid w:val="672901E4"/>
    <w:rsid w:val="67406BC6"/>
    <w:rsid w:val="674B589C"/>
    <w:rsid w:val="67801DCE"/>
    <w:rsid w:val="67A240D1"/>
    <w:rsid w:val="684D1648"/>
    <w:rsid w:val="685867EC"/>
    <w:rsid w:val="687B6160"/>
    <w:rsid w:val="688C26E5"/>
    <w:rsid w:val="68914293"/>
    <w:rsid w:val="68F93BE6"/>
    <w:rsid w:val="698D0267"/>
    <w:rsid w:val="69AC0C58"/>
    <w:rsid w:val="69BB70ED"/>
    <w:rsid w:val="69D93AF2"/>
    <w:rsid w:val="6A007A75"/>
    <w:rsid w:val="6A4B0471"/>
    <w:rsid w:val="6A971908"/>
    <w:rsid w:val="6ACA3A8C"/>
    <w:rsid w:val="6B5E5F82"/>
    <w:rsid w:val="6C241170"/>
    <w:rsid w:val="6C2E004A"/>
    <w:rsid w:val="6C574A65"/>
    <w:rsid w:val="6CA03489"/>
    <w:rsid w:val="6CD96F0E"/>
    <w:rsid w:val="6DB372E9"/>
    <w:rsid w:val="6E05302D"/>
    <w:rsid w:val="6E7C32EF"/>
    <w:rsid w:val="6E8A66AF"/>
    <w:rsid w:val="6E8E12EF"/>
    <w:rsid w:val="6EAE7221"/>
    <w:rsid w:val="6EC95E08"/>
    <w:rsid w:val="6ED722D3"/>
    <w:rsid w:val="6F3D3E33"/>
    <w:rsid w:val="6F5C254F"/>
    <w:rsid w:val="6F657725"/>
    <w:rsid w:val="702A6D7B"/>
    <w:rsid w:val="70A240C5"/>
    <w:rsid w:val="70B84386"/>
    <w:rsid w:val="70F43A84"/>
    <w:rsid w:val="710452DD"/>
    <w:rsid w:val="716F5156"/>
    <w:rsid w:val="71892D95"/>
    <w:rsid w:val="71C67D7A"/>
    <w:rsid w:val="71D43752"/>
    <w:rsid w:val="72273D81"/>
    <w:rsid w:val="72504160"/>
    <w:rsid w:val="72C7610E"/>
    <w:rsid w:val="73245D03"/>
    <w:rsid w:val="73A14ECB"/>
    <w:rsid w:val="73DD6243"/>
    <w:rsid w:val="73F84699"/>
    <w:rsid w:val="743C5234"/>
    <w:rsid w:val="748D4180"/>
    <w:rsid w:val="749C4185"/>
    <w:rsid w:val="74B035DF"/>
    <w:rsid w:val="74BB41DE"/>
    <w:rsid w:val="75C8558D"/>
    <w:rsid w:val="75D7589A"/>
    <w:rsid w:val="75DA2C18"/>
    <w:rsid w:val="75DD315D"/>
    <w:rsid w:val="75F60EF6"/>
    <w:rsid w:val="76742AFE"/>
    <w:rsid w:val="76832D41"/>
    <w:rsid w:val="7736021D"/>
    <w:rsid w:val="775319EF"/>
    <w:rsid w:val="783545C9"/>
    <w:rsid w:val="786066B3"/>
    <w:rsid w:val="78752EF2"/>
    <w:rsid w:val="790F1C77"/>
    <w:rsid w:val="79D7587D"/>
    <w:rsid w:val="79F04B91"/>
    <w:rsid w:val="7A0F108E"/>
    <w:rsid w:val="7A640E22"/>
    <w:rsid w:val="7A67303B"/>
    <w:rsid w:val="7A7B08FF"/>
    <w:rsid w:val="7AA17154"/>
    <w:rsid w:val="7AAB1D04"/>
    <w:rsid w:val="7ABA4368"/>
    <w:rsid w:val="7ABA72C5"/>
    <w:rsid w:val="7AEA551E"/>
    <w:rsid w:val="7AF4245F"/>
    <w:rsid w:val="7B0F1047"/>
    <w:rsid w:val="7B1E6D01"/>
    <w:rsid w:val="7B257FFD"/>
    <w:rsid w:val="7BD61B65"/>
    <w:rsid w:val="7C2B1DA5"/>
    <w:rsid w:val="7C8A4E29"/>
    <w:rsid w:val="7CE42970"/>
    <w:rsid w:val="7D371124"/>
    <w:rsid w:val="7D6D04F4"/>
    <w:rsid w:val="7D860169"/>
    <w:rsid w:val="7D985324"/>
    <w:rsid w:val="7DC425BD"/>
    <w:rsid w:val="7DDC070D"/>
    <w:rsid w:val="7DF4317E"/>
    <w:rsid w:val="7E040C0B"/>
    <w:rsid w:val="7E161C9F"/>
    <w:rsid w:val="7E5C27F5"/>
    <w:rsid w:val="7E64308B"/>
    <w:rsid w:val="7E671B2F"/>
    <w:rsid w:val="7E7427A1"/>
    <w:rsid w:val="7E982A8F"/>
    <w:rsid w:val="7EE1266F"/>
    <w:rsid w:val="7F171925"/>
    <w:rsid w:val="7F2461A8"/>
    <w:rsid w:val="7F3C0050"/>
    <w:rsid w:val="7F887D4D"/>
    <w:rsid w:val="7FCD467E"/>
    <w:rsid w:val="7FDE33D3"/>
    <w:rsid w:val="7FFD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0"/>
    <w:pPr>
      <w:spacing w:line="360" w:lineRule="auto"/>
      <w:ind w:firstLine="200" w:firstLineChars="200"/>
    </w:pPr>
    <w:rPr>
      <w:rFonts w:eastAsia="楷体_GB2312" w:cs="Lucida Sans"/>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4"/>
    <w:autoRedefine/>
    <w:qFormat/>
    <w:uiPriority w:val="99"/>
    <w:pPr>
      <w:jc w:val="left"/>
    </w:pPr>
  </w:style>
  <w:style w:type="paragraph" w:styleId="21">
    <w:name w:val="Salutation"/>
    <w:basedOn w:val="1"/>
    <w:next w:val="1"/>
    <w:link w:val="482"/>
    <w:autoRedefine/>
    <w:qFormat/>
    <w:uiPriority w:val="0"/>
    <w:rPr>
      <w:rFonts w:ascii="仿宋_GB2312" w:eastAsia="仿宋_GB2312"/>
      <w:sz w:val="28"/>
      <w:szCs w:val="20"/>
    </w:rPr>
  </w:style>
  <w:style w:type="paragraph" w:styleId="22">
    <w:name w:val="Body Text 3"/>
    <w:basedOn w:val="1"/>
    <w:link w:val="581"/>
    <w:autoRedefine/>
    <w:qFormat/>
    <w:uiPriority w:val="0"/>
    <w:pPr>
      <w:jc w:val="center"/>
    </w:pPr>
    <w:rPr>
      <w:szCs w:val="20"/>
    </w:rPr>
  </w:style>
  <w:style w:type="paragraph" w:styleId="23">
    <w:name w:val="Body Text"/>
    <w:basedOn w:val="1"/>
    <w:next w:val="24"/>
    <w:link w:val="512"/>
    <w:autoRedefine/>
    <w:qFormat/>
    <w:uiPriority w:val="0"/>
    <w:pPr>
      <w:autoSpaceDE w:val="0"/>
      <w:autoSpaceDN w:val="0"/>
      <w:spacing w:line="360" w:lineRule="auto"/>
    </w:pPr>
    <w:rPr>
      <w:rFonts w:ascii="宋体"/>
      <w:sz w:val="24"/>
      <w:szCs w:val="21"/>
      <w:lang w:val="zh-CN"/>
    </w:rPr>
  </w:style>
  <w:style w:type="paragraph" w:styleId="24">
    <w:name w:val="Date"/>
    <w:basedOn w:val="1"/>
    <w:next w:val="1"/>
    <w:link w:val="598"/>
    <w:autoRedefine/>
    <w:qFormat/>
    <w:uiPriority w:val="0"/>
    <w:pPr>
      <w:ind w:left="100" w:leftChars="2500"/>
    </w:pPr>
    <w:rPr>
      <w:rFonts w:ascii="宋体"/>
      <w:sz w:val="24"/>
      <w:szCs w:val="21"/>
      <w:lang w:val="zh-CN"/>
    </w:rPr>
  </w:style>
  <w:style w:type="paragraph" w:styleId="25">
    <w:name w:val="Body Text Indent"/>
    <w:basedOn w:val="1"/>
    <w:next w:val="26"/>
    <w:link w:val="475"/>
    <w:autoRedefine/>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9"/>
    <w:autoRedefine/>
    <w:qFormat/>
    <w:uiPriority w:val="0"/>
    <w:rPr>
      <w:rFonts w:ascii="宋体" w:hAnsi="Courier New"/>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w:basedOn w:val="23"/>
    <w:next w:val="50"/>
    <w:link w:val="545"/>
    <w:autoRedefine/>
    <w:qFormat/>
    <w:uiPriority w:val="0"/>
    <w:pPr>
      <w:ind w:firstLine="420"/>
    </w:pPr>
    <w:rPr>
      <w:szCs w:val="20"/>
    </w:rPr>
  </w:style>
  <w:style w:type="paragraph" w:styleId="61">
    <w:name w:val="Body Text First Indent 2"/>
    <w:basedOn w:val="25"/>
    <w:next w:val="1"/>
    <w:link w:val="502"/>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next w:val="1"/>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6"/>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autoRedefine/>
    <w:qFormat/>
    <w:uiPriority w:val="0"/>
    <w:pPr>
      <w:snapToGrid w:val="0"/>
      <w:spacing w:line="360" w:lineRule="auto"/>
    </w:pPr>
    <w:rPr>
      <w:rFonts w:ascii="宋体"/>
      <w:b/>
      <w:sz w:val="24"/>
      <w:szCs w:val="20"/>
    </w:rPr>
  </w:style>
  <w:style w:type="paragraph" w:customStyle="1" w:styleId="23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5"/>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字符"/>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4"/>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字符"/>
    <w:link w:val="10"/>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字符"/>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5"/>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字符"/>
    <w:link w:val="9"/>
    <w:autoRedefine/>
    <w:qFormat/>
    <w:uiPriority w:val="0"/>
    <w:rPr>
      <w:b/>
      <w:bCs/>
      <w:kern w:val="2"/>
      <w:sz w:val="24"/>
      <w:szCs w:val="24"/>
    </w:rPr>
  </w:style>
  <w:style w:type="character" w:customStyle="1" w:styleId="482">
    <w:name w:val="称呼 字符"/>
    <w:link w:val="21"/>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字符"/>
    <w:link w:val="46"/>
    <w:autoRedefine/>
    <w:qFormat/>
    <w:uiPriority w:val="0"/>
    <w:rPr>
      <w:rFonts w:ascii="Arial" w:hAnsi="Arial" w:eastAsia="隶书"/>
      <w:b/>
      <w:bCs/>
      <w:kern w:val="28"/>
      <w:sz w:val="44"/>
      <w:szCs w:val="32"/>
      <w:lang w:val="en-US" w:eastAsia="zh-CN" w:bidi="ar-SA"/>
    </w:rPr>
  </w:style>
  <w:style w:type="character" w:customStyle="1" w:styleId="489">
    <w:name w:val="纯文本 字符"/>
    <w:link w:val="34"/>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文本首行缩进 2 字符"/>
    <w:link w:val="61"/>
    <w:autoRedefine/>
    <w:qFormat/>
    <w:uiPriority w:val="0"/>
    <w:rPr>
      <w:rFonts w:ascii="宋体" w:hAnsi="宋体"/>
      <w:kern w:val="2"/>
      <w:sz w:val="21"/>
      <w:szCs w:val="24"/>
    </w:rPr>
  </w:style>
  <w:style w:type="character" w:customStyle="1" w:styleId="503">
    <w:name w:val="正文文本缩进 2 字符"/>
    <w:link w:val="37"/>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5"/>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autoRedefine/>
    <w:qFormat/>
    <w:uiPriority w:val="0"/>
    <w:rPr>
      <w:rFonts w:ascii="Arial" w:hAnsi="Arial" w:eastAsia="黑体"/>
      <w:kern w:val="2"/>
      <w:sz w:val="21"/>
      <w:szCs w:val="21"/>
    </w:rPr>
  </w:style>
  <w:style w:type="character" w:customStyle="1" w:styleId="520">
    <w:name w:val="md"/>
    <w:basedOn w:val="64"/>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4"/>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字符"/>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60"/>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字符"/>
    <w:link w:val="3"/>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字符"/>
    <w:link w:val="31"/>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字符"/>
    <w:link w:val="7"/>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4"/>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字符"/>
    <w:link w:val="22"/>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字符"/>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4"/>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字符"/>
    <w:link w:val="24"/>
    <w:autoRedefine/>
    <w:qFormat/>
    <w:uiPriority w:val="0"/>
    <w:rPr>
      <w:rFonts w:ascii="宋体"/>
      <w:kern w:val="2"/>
      <w:sz w:val="24"/>
      <w:szCs w:val="21"/>
      <w:lang w:val="zh-CN"/>
    </w:rPr>
  </w:style>
  <w:style w:type="character" w:customStyle="1" w:styleId="599">
    <w:name w:val="标题 4 字符"/>
    <w:link w:val="6"/>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字符"/>
    <w:link w:val="8"/>
    <w:autoRedefine/>
    <w:qFormat/>
    <w:uiPriority w:val="0"/>
    <w:rPr>
      <w:rFonts w:ascii="Arial" w:hAnsi="Arial" w:eastAsia="黑体"/>
      <w:b/>
      <w:bCs/>
      <w:kern w:val="2"/>
      <w:sz w:val="24"/>
      <w:szCs w:val="24"/>
    </w:rPr>
  </w:style>
  <w:style w:type="character" w:customStyle="1" w:styleId="613">
    <w:name w:val="正文缩进 字符"/>
    <w:link w:val="16"/>
    <w:autoRedefine/>
    <w:qFormat/>
    <w:uiPriority w:val="0"/>
    <w:rPr>
      <w:rFonts w:ascii="宋体" w:eastAsia="宋体"/>
      <w:snapToGrid w:val="0"/>
      <w:color w:val="000000"/>
      <w:kern w:val="28"/>
      <w:sz w:val="28"/>
      <w:lang w:val="en-US" w:eastAsia="zh-CN" w:bidi="ar-SA"/>
    </w:rPr>
  </w:style>
  <w:style w:type="character" w:customStyle="1" w:styleId="614">
    <w:name w:val="批注文字 字符"/>
    <w:link w:val="20"/>
    <w:autoRedefine/>
    <w:qFormat/>
    <w:uiPriority w:val="99"/>
    <w:rPr>
      <w:kern w:val="2"/>
      <w:sz w:val="21"/>
      <w:szCs w:val="24"/>
    </w:rPr>
  </w:style>
  <w:style w:type="character" w:customStyle="1" w:styleId="615">
    <w:name w:val="批注框文本 字符"/>
    <w:link w:val="38"/>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5"/>
    <w:basedOn w:val="1"/>
    <w:autoRedefine/>
    <w:qFormat/>
    <w:uiPriority w:val="0"/>
    <w:pPr>
      <w:spacing w:line="318" w:lineRule="atLeast"/>
      <w:ind w:left="369" w:firstLine="369"/>
      <w:textAlignment w:val="baseline"/>
    </w:pPr>
    <w:rPr>
      <w:rFonts w:ascii="宋体"/>
      <w:szCs w:val="20"/>
    </w:rPr>
  </w:style>
  <w:style w:type="paragraph" w:customStyle="1" w:styleId="633">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4">
    <w:name w:val="正文6"/>
    <w:basedOn w:val="1"/>
    <w:autoRedefine/>
    <w:qFormat/>
    <w:uiPriority w:val="0"/>
    <w:pPr>
      <w:spacing w:line="318" w:lineRule="atLeast"/>
      <w:ind w:left="369" w:firstLine="369"/>
      <w:textAlignment w:val="baseline"/>
    </w:pPr>
    <w:rPr>
      <w:rFonts w:ascii="宋体"/>
      <w:kern w:val="0"/>
      <w:szCs w:val="20"/>
    </w:rPr>
  </w:style>
  <w:style w:type="character" w:customStyle="1" w:styleId="635">
    <w:name w:val="font01"/>
    <w:basedOn w:val="64"/>
    <w:autoRedefine/>
    <w:qFormat/>
    <w:uiPriority w:val="0"/>
    <w:rPr>
      <w:rFonts w:hint="eastAsia" w:ascii="宋体" w:hAnsi="宋体" w:eastAsia="宋体" w:cs="宋体"/>
      <w:color w:val="000000"/>
      <w:sz w:val="22"/>
      <w:szCs w:val="22"/>
      <w:u w:val="none"/>
    </w:rPr>
  </w:style>
  <w:style w:type="character" w:customStyle="1" w:styleId="636">
    <w:name w:val="font51"/>
    <w:basedOn w:val="64"/>
    <w:autoRedefine/>
    <w:qFormat/>
    <w:uiPriority w:val="0"/>
    <w:rPr>
      <w:rFonts w:hint="eastAsia" w:ascii="宋体" w:hAnsi="宋体" w:eastAsia="宋体" w:cs="宋体"/>
      <w:color w:val="000000"/>
      <w:sz w:val="22"/>
      <w:szCs w:val="22"/>
      <w:u w:val="none"/>
      <w:vertAlign w:val="subscript"/>
    </w:rPr>
  </w:style>
  <w:style w:type="paragraph" w:customStyle="1" w:styleId="637">
    <w:name w:val="_Style 7"/>
    <w:basedOn w:val="1"/>
    <w:qFormat/>
    <w:uiPriority w:val="99"/>
    <w:pPr>
      <w:ind w:firstLine="420" w:firstLineChars="200"/>
    </w:pPr>
  </w:style>
  <w:style w:type="table" w:customStyle="1" w:styleId="638">
    <w:name w:val="Table Normal"/>
    <w:autoRedefine/>
    <w:semiHidden/>
    <w:unhideWhenUsed/>
    <w:qFormat/>
    <w:uiPriority w:val="0"/>
    <w:tblPr>
      <w:tblCellMar>
        <w:top w:w="0" w:type="dxa"/>
        <w:left w:w="0" w:type="dxa"/>
        <w:bottom w:w="0" w:type="dxa"/>
        <w:right w:w="0" w:type="dxa"/>
      </w:tblCellMar>
    </w:tblPr>
  </w:style>
  <w:style w:type="paragraph" w:customStyle="1" w:styleId="639">
    <w:name w:val="bg正文"/>
    <w:basedOn w:val="1"/>
    <w:autoRedefine/>
    <w:qFormat/>
    <w:uiPriority w:val="0"/>
    <w:pPr>
      <w:jc w:val="center"/>
    </w:pPr>
    <w:rPr>
      <w:rFonts w:eastAsia="等线"/>
      <w:szCs w:val="24"/>
    </w:rPr>
  </w:style>
  <w:style w:type="paragraph" w:customStyle="1" w:styleId="640">
    <w:name w:val="BodyText1I2"/>
    <w:basedOn w:val="64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641">
    <w:name w:val="BodyTextIndent"/>
    <w:basedOn w:val="1"/>
    <w:qFormat/>
    <w:uiPriority w:val="0"/>
    <w:pPr>
      <w:spacing w:line="380" w:lineRule="exact"/>
      <w:ind w:firstLine="480"/>
      <w:jc w:val="both"/>
      <w:textAlignment w:val="baseline"/>
    </w:pPr>
    <w:rPr>
      <w:rFonts w:ascii="Times New Roman" w:hAnsi="Times New Roman" w:eastAsia="方正书宋简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35918</Words>
  <Characters>37479</Characters>
  <Lines>288</Lines>
  <Paragraphs>81</Paragraphs>
  <TotalTime>40</TotalTime>
  <ScaleCrop>false</ScaleCrop>
  <LinksUpToDate>false</LinksUpToDate>
  <CharactersWithSpaces>40497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雨溪</cp:lastModifiedBy>
  <cp:lastPrinted>2021-10-22T18:37:00Z</cp:lastPrinted>
  <dcterms:modified xsi:type="dcterms:W3CDTF">2024-09-30T11:18:43Z</dcterms:modified>
  <dc:title>杭州市市民卡扩大发卡工程</dc:title>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B7DE1805731640BEAB79414271A49AF5_13</vt:lpwstr>
  </property>
</Properties>
</file>