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DAC967A">
      <w:pPr>
        <w:wordWrap w:val="0"/>
        <w:jc w:val="right"/>
        <w:rPr>
          <w:color w:val="auto"/>
          <w:sz w:val="28"/>
          <w:highlight w:val="none"/>
        </w:rPr>
      </w:pPr>
      <w:r>
        <w:rPr>
          <w:rFonts w:hint="eastAsia"/>
          <w:color w:val="auto"/>
          <w:sz w:val="28"/>
          <w:highlight w:val="none"/>
        </w:rPr>
        <w:t xml:space="preserve">   （</w:t>
      </w:r>
      <w:r>
        <w:rPr>
          <w:rFonts w:hint="eastAsia"/>
          <w:color w:val="auto"/>
          <w:sz w:val="28"/>
          <w:highlight w:val="none"/>
          <w:lang w:val="en-US" w:eastAsia="zh-CN"/>
        </w:rPr>
        <w:t>定稿</w:t>
      </w:r>
      <w:r>
        <w:rPr>
          <w:rFonts w:hint="eastAsia"/>
          <w:color w:val="auto"/>
          <w:sz w:val="28"/>
          <w:highlight w:val="none"/>
        </w:rPr>
        <w:t xml:space="preserve">） </w:t>
      </w:r>
    </w:p>
    <w:p w14:paraId="3DD4AA07">
      <w:pPr>
        <w:pStyle w:val="40"/>
        <w:rPr>
          <w:color w:val="auto"/>
          <w:highlight w:val="none"/>
        </w:rPr>
      </w:pPr>
    </w:p>
    <w:p w14:paraId="4ADF4F68">
      <w:pPr>
        <w:spacing w:after="120"/>
        <w:jc w:val="center"/>
        <w:rPr>
          <w:b/>
          <w:color w:val="auto"/>
          <w:sz w:val="52"/>
          <w:szCs w:val="52"/>
          <w:highlight w:val="none"/>
        </w:rPr>
      </w:pPr>
      <w:r>
        <w:rPr>
          <w:b/>
          <w:color w:val="auto"/>
          <w:sz w:val="52"/>
          <w:szCs w:val="52"/>
          <w:highlight w:val="none"/>
        </w:rPr>
        <w:t>政府采购项目</w:t>
      </w:r>
    </w:p>
    <w:p w14:paraId="0705793E">
      <w:pPr>
        <w:spacing w:after="120"/>
        <w:jc w:val="center"/>
        <w:rPr>
          <w:b/>
          <w:color w:val="auto"/>
          <w:sz w:val="72"/>
          <w:highlight w:val="none"/>
        </w:rPr>
      </w:pPr>
      <w:r>
        <w:rPr>
          <w:b/>
          <w:color w:val="auto"/>
          <w:sz w:val="72"/>
          <w:highlight w:val="none"/>
        </w:rPr>
        <w:t>国内</w:t>
      </w:r>
      <w:r>
        <w:rPr>
          <w:rFonts w:hint="eastAsia"/>
          <w:b/>
          <w:color w:val="auto"/>
          <w:sz w:val="72"/>
          <w:highlight w:val="none"/>
        </w:rPr>
        <w:t>公开</w:t>
      </w:r>
      <w:r>
        <w:rPr>
          <w:b/>
          <w:color w:val="auto"/>
          <w:sz w:val="72"/>
          <w:highlight w:val="none"/>
        </w:rPr>
        <w:t>招标文件</w:t>
      </w:r>
    </w:p>
    <w:p w14:paraId="248D436D">
      <w:pPr>
        <w:jc w:val="center"/>
        <w:rPr>
          <w:rFonts w:hint="eastAsia"/>
          <w:bCs/>
          <w:color w:val="auto"/>
          <w:sz w:val="44"/>
          <w:szCs w:val="44"/>
        </w:rPr>
      </w:pPr>
      <w:r>
        <w:rPr>
          <w:rFonts w:hint="eastAsia"/>
          <w:bCs/>
          <w:color w:val="auto"/>
          <w:sz w:val="44"/>
          <w:szCs w:val="44"/>
        </w:rPr>
        <w:t>（电子招投标版本）</w:t>
      </w:r>
    </w:p>
    <w:p w14:paraId="594A8347">
      <w:pPr>
        <w:jc w:val="center"/>
        <w:rPr>
          <w:color w:val="auto"/>
          <w:sz w:val="28"/>
          <w:highlight w:val="none"/>
        </w:rPr>
      </w:pPr>
    </w:p>
    <w:p w14:paraId="76E1572A">
      <w:pPr>
        <w:jc w:val="center"/>
        <w:rPr>
          <w:color w:val="auto"/>
          <w:sz w:val="28"/>
          <w:highlight w:val="none"/>
        </w:rPr>
      </w:pPr>
    </w:p>
    <w:p w14:paraId="7CD655E8">
      <w:pPr>
        <w:jc w:val="center"/>
        <w:rPr>
          <w:color w:val="auto"/>
          <w:sz w:val="28"/>
          <w:highlight w:val="none"/>
        </w:rPr>
      </w:pPr>
    </w:p>
    <w:tbl>
      <w:tblPr>
        <w:tblStyle w:val="30"/>
        <w:tblW w:w="919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90"/>
        <w:gridCol w:w="7302"/>
      </w:tblGrid>
      <w:tr w14:paraId="124389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1" w:hRule="atLeast"/>
        </w:trPr>
        <w:tc>
          <w:tcPr>
            <w:tcW w:w="1890" w:type="dxa"/>
            <w:tcBorders>
              <w:top w:val="nil"/>
              <w:left w:val="nil"/>
              <w:bottom w:val="nil"/>
              <w:right w:val="nil"/>
            </w:tcBorders>
            <w:vAlign w:val="center"/>
          </w:tcPr>
          <w:p w14:paraId="6AB153F0">
            <w:pPr>
              <w:spacing w:line="520" w:lineRule="exact"/>
              <w:ind w:right="-216"/>
              <w:jc w:val="center"/>
              <w:rPr>
                <w:b/>
                <w:color w:val="auto"/>
                <w:sz w:val="36"/>
                <w:szCs w:val="36"/>
                <w:highlight w:val="none"/>
              </w:rPr>
            </w:pPr>
            <w:r>
              <w:rPr>
                <w:rFonts w:hint="eastAsia"/>
                <w:b/>
                <w:color w:val="auto"/>
                <w:sz w:val="36"/>
                <w:szCs w:val="36"/>
                <w:highlight w:val="none"/>
              </w:rPr>
              <w:t>项目编号：</w:t>
            </w:r>
          </w:p>
        </w:tc>
        <w:tc>
          <w:tcPr>
            <w:tcW w:w="7302" w:type="dxa"/>
            <w:tcBorders>
              <w:top w:val="nil"/>
              <w:left w:val="nil"/>
              <w:bottom w:val="single" w:color="auto" w:sz="4" w:space="0"/>
              <w:right w:val="nil"/>
            </w:tcBorders>
            <w:vAlign w:val="center"/>
          </w:tcPr>
          <w:p w14:paraId="3DE7D732">
            <w:pPr>
              <w:spacing w:line="520" w:lineRule="exact"/>
              <w:jc w:val="center"/>
              <w:rPr>
                <w:b/>
                <w:color w:val="auto"/>
                <w:sz w:val="36"/>
                <w:szCs w:val="36"/>
                <w:highlight w:val="none"/>
              </w:rPr>
            </w:pPr>
            <w:r>
              <w:rPr>
                <w:rFonts w:hint="eastAsia"/>
                <w:b/>
                <w:color w:val="auto"/>
                <w:sz w:val="36"/>
                <w:szCs w:val="36"/>
                <w:highlight w:val="none"/>
              </w:rPr>
              <w:t>NBMC-</w:t>
            </w:r>
            <w:r>
              <w:rPr>
                <w:rFonts w:hint="eastAsia"/>
                <w:b/>
                <w:color w:val="auto"/>
                <w:sz w:val="36"/>
                <w:szCs w:val="36"/>
                <w:highlight w:val="none"/>
                <w:lang w:eastAsia="zh-CN"/>
              </w:rPr>
              <w:t>20256018</w:t>
            </w:r>
            <w:r>
              <w:rPr>
                <w:rFonts w:hint="eastAsia"/>
                <w:b/>
                <w:color w:val="auto"/>
                <w:sz w:val="36"/>
                <w:szCs w:val="36"/>
                <w:highlight w:val="none"/>
              </w:rPr>
              <w:t>G</w:t>
            </w:r>
          </w:p>
        </w:tc>
      </w:tr>
      <w:tr w14:paraId="0B92D0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1" w:hRule="atLeast"/>
        </w:trPr>
        <w:tc>
          <w:tcPr>
            <w:tcW w:w="1890" w:type="dxa"/>
            <w:tcBorders>
              <w:top w:val="nil"/>
              <w:left w:val="nil"/>
              <w:bottom w:val="nil"/>
              <w:right w:val="nil"/>
            </w:tcBorders>
            <w:vAlign w:val="center"/>
          </w:tcPr>
          <w:p w14:paraId="038D4C3A">
            <w:pPr>
              <w:spacing w:line="520" w:lineRule="exact"/>
              <w:ind w:right="-216"/>
              <w:jc w:val="center"/>
              <w:rPr>
                <w:b/>
                <w:color w:val="auto"/>
                <w:sz w:val="36"/>
                <w:szCs w:val="36"/>
                <w:highlight w:val="none"/>
              </w:rPr>
            </w:pPr>
            <w:r>
              <w:rPr>
                <w:rFonts w:hint="eastAsia"/>
                <w:b/>
                <w:color w:val="auto"/>
                <w:sz w:val="36"/>
                <w:szCs w:val="36"/>
                <w:highlight w:val="none"/>
              </w:rPr>
              <w:t>项目名称：</w:t>
            </w:r>
          </w:p>
        </w:tc>
        <w:tc>
          <w:tcPr>
            <w:tcW w:w="7302" w:type="dxa"/>
            <w:tcBorders>
              <w:top w:val="single" w:color="auto" w:sz="4" w:space="0"/>
              <w:left w:val="nil"/>
              <w:bottom w:val="single" w:color="auto" w:sz="4" w:space="0"/>
              <w:right w:val="nil"/>
            </w:tcBorders>
            <w:vAlign w:val="center"/>
          </w:tcPr>
          <w:p w14:paraId="31EC564D">
            <w:pPr>
              <w:spacing w:line="560" w:lineRule="exact"/>
              <w:jc w:val="center"/>
              <w:rPr>
                <w:rFonts w:hint="eastAsia" w:eastAsia="宋体"/>
                <w:b/>
                <w:color w:val="auto"/>
                <w:sz w:val="36"/>
                <w:szCs w:val="36"/>
                <w:highlight w:val="none"/>
                <w:lang w:eastAsia="zh-CN"/>
              </w:rPr>
            </w:pPr>
            <w:r>
              <w:rPr>
                <w:rFonts w:hint="eastAsia"/>
                <w:b/>
                <w:color w:val="auto"/>
                <w:sz w:val="36"/>
                <w:szCs w:val="36"/>
                <w:highlight w:val="none"/>
                <w:lang w:eastAsia="zh-CN"/>
              </w:rPr>
              <w:t>宁波市北仑区港口危险货物储罐抽检项目</w:t>
            </w:r>
          </w:p>
        </w:tc>
      </w:tr>
      <w:tr w14:paraId="312954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1" w:hRule="atLeast"/>
        </w:trPr>
        <w:tc>
          <w:tcPr>
            <w:tcW w:w="1890" w:type="dxa"/>
            <w:tcBorders>
              <w:top w:val="nil"/>
              <w:left w:val="nil"/>
              <w:bottom w:val="nil"/>
              <w:right w:val="nil"/>
            </w:tcBorders>
            <w:vAlign w:val="center"/>
          </w:tcPr>
          <w:p w14:paraId="1F140197">
            <w:pPr>
              <w:spacing w:line="520" w:lineRule="exact"/>
              <w:ind w:right="-216"/>
              <w:jc w:val="center"/>
              <w:rPr>
                <w:b/>
                <w:color w:val="auto"/>
                <w:sz w:val="36"/>
                <w:szCs w:val="36"/>
                <w:highlight w:val="none"/>
              </w:rPr>
            </w:pPr>
            <w:r>
              <w:rPr>
                <w:rFonts w:hint="eastAsia"/>
                <w:b/>
                <w:color w:val="auto"/>
                <w:sz w:val="36"/>
                <w:szCs w:val="36"/>
                <w:highlight w:val="none"/>
              </w:rPr>
              <w:t>采 购 人：</w:t>
            </w:r>
          </w:p>
        </w:tc>
        <w:tc>
          <w:tcPr>
            <w:tcW w:w="7302" w:type="dxa"/>
            <w:tcBorders>
              <w:top w:val="single" w:color="auto" w:sz="4" w:space="0"/>
              <w:left w:val="nil"/>
              <w:bottom w:val="single" w:color="auto" w:sz="4" w:space="0"/>
              <w:right w:val="nil"/>
            </w:tcBorders>
            <w:vAlign w:val="center"/>
          </w:tcPr>
          <w:p w14:paraId="3A87D6EB">
            <w:pPr>
              <w:spacing w:line="560" w:lineRule="exact"/>
              <w:jc w:val="center"/>
              <w:rPr>
                <w:b/>
                <w:color w:val="auto"/>
                <w:sz w:val="36"/>
                <w:szCs w:val="36"/>
                <w:highlight w:val="none"/>
              </w:rPr>
            </w:pPr>
            <w:r>
              <w:rPr>
                <w:rFonts w:hint="eastAsia"/>
                <w:b/>
                <w:color w:val="auto"/>
                <w:sz w:val="36"/>
                <w:szCs w:val="36"/>
                <w:highlight w:val="none"/>
                <w:lang w:eastAsia="zh-CN"/>
              </w:rPr>
              <w:t>宁波市北仑区港航管理中心</w:t>
            </w:r>
            <w:r>
              <w:rPr>
                <w:rFonts w:hint="eastAsia"/>
                <w:b/>
                <w:color w:val="auto"/>
                <w:sz w:val="36"/>
                <w:szCs w:val="36"/>
                <w:highlight w:val="none"/>
              </w:rPr>
              <w:t>（盖章）</w:t>
            </w:r>
          </w:p>
        </w:tc>
      </w:tr>
      <w:tr w14:paraId="68A511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1" w:hRule="atLeast"/>
        </w:trPr>
        <w:tc>
          <w:tcPr>
            <w:tcW w:w="1890" w:type="dxa"/>
            <w:tcBorders>
              <w:top w:val="nil"/>
              <w:left w:val="nil"/>
              <w:bottom w:val="nil"/>
              <w:right w:val="nil"/>
            </w:tcBorders>
            <w:vAlign w:val="center"/>
          </w:tcPr>
          <w:p w14:paraId="5BA4531F">
            <w:pPr>
              <w:spacing w:line="520" w:lineRule="exact"/>
              <w:ind w:right="-216"/>
              <w:jc w:val="center"/>
              <w:rPr>
                <w:b/>
                <w:color w:val="auto"/>
                <w:sz w:val="36"/>
                <w:szCs w:val="36"/>
                <w:highlight w:val="none"/>
              </w:rPr>
            </w:pPr>
            <w:r>
              <w:rPr>
                <w:rFonts w:hint="eastAsia"/>
                <w:b/>
                <w:color w:val="auto"/>
                <w:sz w:val="36"/>
                <w:szCs w:val="36"/>
                <w:highlight w:val="none"/>
              </w:rPr>
              <w:t>采购代理：</w:t>
            </w:r>
          </w:p>
        </w:tc>
        <w:tc>
          <w:tcPr>
            <w:tcW w:w="7302" w:type="dxa"/>
            <w:tcBorders>
              <w:top w:val="single" w:color="auto" w:sz="4" w:space="0"/>
              <w:left w:val="nil"/>
              <w:bottom w:val="single" w:color="auto" w:sz="4" w:space="0"/>
              <w:right w:val="nil"/>
            </w:tcBorders>
            <w:vAlign w:val="center"/>
          </w:tcPr>
          <w:p w14:paraId="64F90AAE">
            <w:pPr>
              <w:spacing w:line="560" w:lineRule="exact"/>
              <w:jc w:val="center"/>
              <w:rPr>
                <w:b/>
                <w:color w:val="auto"/>
                <w:sz w:val="36"/>
                <w:szCs w:val="36"/>
                <w:highlight w:val="none"/>
              </w:rPr>
            </w:pPr>
            <w:r>
              <w:rPr>
                <w:rFonts w:hint="eastAsia"/>
                <w:b/>
                <w:color w:val="auto"/>
                <w:sz w:val="36"/>
                <w:szCs w:val="36"/>
                <w:highlight w:val="none"/>
              </w:rPr>
              <w:t>宁波名诚招标代理有限公司（盖章）</w:t>
            </w:r>
          </w:p>
        </w:tc>
      </w:tr>
    </w:tbl>
    <w:p w14:paraId="736D3A16">
      <w:pPr>
        <w:rPr>
          <w:b/>
          <w:color w:val="auto"/>
          <w:highlight w:val="none"/>
        </w:rPr>
      </w:pPr>
    </w:p>
    <w:p w14:paraId="23A9C035">
      <w:pPr>
        <w:rPr>
          <w:b/>
          <w:color w:val="auto"/>
          <w:highlight w:val="none"/>
        </w:rPr>
      </w:pPr>
    </w:p>
    <w:p w14:paraId="67940E41">
      <w:pPr>
        <w:rPr>
          <w:b/>
          <w:color w:val="auto"/>
          <w:highlight w:val="none"/>
        </w:rPr>
      </w:pPr>
    </w:p>
    <w:p w14:paraId="34FF8015">
      <w:pPr>
        <w:rPr>
          <w:b/>
          <w:color w:val="auto"/>
          <w:highlight w:val="none"/>
        </w:rPr>
      </w:pPr>
    </w:p>
    <w:p w14:paraId="04D2418F">
      <w:pPr>
        <w:rPr>
          <w:b/>
          <w:color w:val="auto"/>
          <w:highlight w:val="none"/>
        </w:rPr>
      </w:pPr>
    </w:p>
    <w:p w14:paraId="5807F429">
      <w:pPr>
        <w:rPr>
          <w:b/>
          <w:color w:val="auto"/>
          <w:highlight w:val="none"/>
        </w:rPr>
      </w:pPr>
    </w:p>
    <w:p w14:paraId="42E1E961">
      <w:pPr>
        <w:rPr>
          <w:b/>
          <w:color w:val="auto"/>
          <w:highlight w:val="none"/>
        </w:rPr>
      </w:pPr>
    </w:p>
    <w:p w14:paraId="42315365">
      <w:pPr>
        <w:rPr>
          <w:b/>
          <w:color w:val="auto"/>
          <w:highlight w:val="none"/>
        </w:rPr>
      </w:pPr>
    </w:p>
    <w:p w14:paraId="0F8F2409">
      <w:pPr>
        <w:spacing w:line="480" w:lineRule="auto"/>
        <w:jc w:val="center"/>
        <w:rPr>
          <w:color w:val="auto"/>
          <w:sz w:val="44"/>
          <w:highlight w:val="none"/>
        </w:rPr>
        <w:sectPr>
          <w:footerReference r:id="rId4" w:type="first"/>
          <w:footerReference r:id="rId3" w:type="default"/>
          <w:pgSz w:w="11907" w:h="16840"/>
          <w:pgMar w:top="1440" w:right="1797" w:bottom="1440" w:left="1377" w:header="720" w:footer="1197" w:gutter="0"/>
          <w:pgBorders>
            <w:top w:val="none" w:sz="0" w:space="0"/>
            <w:left w:val="none" w:sz="0" w:space="0"/>
            <w:bottom w:val="none" w:sz="0" w:space="0"/>
            <w:right w:val="none" w:sz="0" w:space="0"/>
          </w:pgBorders>
          <w:pgNumType w:start="1"/>
          <w:cols w:space="720" w:num="1"/>
          <w:docGrid w:type="lines" w:linePitch="285" w:charSpace="0"/>
        </w:sectPr>
      </w:pPr>
      <w:r>
        <w:rPr>
          <w:rFonts w:hint="eastAsia"/>
          <w:color w:val="auto"/>
          <w:sz w:val="44"/>
          <w:highlight w:val="none"/>
        </w:rPr>
        <w:t>二○二</w:t>
      </w:r>
      <w:r>
        <w:rPr>
          <w:rFonts w:hint="eastAsia"/>
          <w:color w:val="auto"/>
          <w:sz w:val="44"/>
          <w:highlight w:val="none"/>
          <w:lang w:val="en-US" w:eastAsia="zh-CN"/>
        </w:rPr>
        <w:t>五</w:t>
      </w:r>
      <w:r>
        <w:rPr>
          <w:rFonts w:hint="eastAsia"/>
          <w:color w:val="auto"/>
          <w:sz w:val="44"/>
          <w:highlight w:val="none"/>
        </w:rPr>
        <w:t>年</w:t>
      </w:r>
      <w:r>
        <w:rPr>
          <w:rFonts w:hint="eastAsia"/>
          <w:color w:val="auto"/>
          <w:sz w:val="44"/>
          <w:highlight w:val="none"/>
          <w:lang w:val="en-US" w:eastAsia="zh-CN"/>
        </w:rPr>
        <w:t>四</w:t>
      </w:r>
      <w:r>
        <w:rPr>
          <w:rFonts w:hint="eastAsia"/>
          <w:color w:val="auto"/>
          <w:sz w:val="44"/>
          <w:highlight w:val="none"/>
        </w:rPr>
        <w:t>月</w:t>
      </w:r>
    </w:p>
    <w:p w14:paraId="4EF5A563">
      <w:pPr>
        <w:pStyle w:val="14"/>
        <w:rPr>
          <w:color w:val="auto"/>
          <w:highlight w:val="none"/>
        </w:rPr>
      </w:pPr>
    </w:p>
    <w:p w14:paraId="7EC83446">
      <w:pPr>
        <w:spacing w:line="480" w:lineRule="auto"/>
        <w:jc w:val="center"/>
        <w:rPr>
          <w:rFonts w:ascii="宋体" w:hAnsi="宋体"/>
          <w:color w:val="auto"/>
          <w:sz w:val="36"/>
          <w:szCs w:val="32"/>
          <w:highlight w:val="none"/>
        </w:rPr>
      </w:pPr>
      <w:r>
        <w:rPr>
          <w:rFonts w:ascii="宋体" w:hAnsi="宋体"/>
          <w:color w:val="auto"/>
          <w:sz w:val="36"/>
          <w:szCs w:val="32"/>
          <w:highlight w:val="none"/>
        </w:rPr>
        <w:t>目录</w:t>
      </w:r>
    </w:p>
    <w:p w14:paraId="7FB977C3">
      <w:pPr>
        <w:pStyle w:val="2"/>
        <w:rPr>
          <w:color w:val="auto"/>
        </w:rPr>
      </w:pPr>
    </w:p>
    <w:p w14:paraId="73900173">
      <w:pPr>
        <w:pStyle w:val="23"/>
        <w:tabs>
          <w:tab w:val="right" w:leader="dot" w:pos="8313"/>
        </w:tabs>
        <w:spacing w:line="480" w:lineRule="auto"/>
        <w:rPr>
          <w:color w:val="auto"/>
          <w:sz w:val="24"/>
          <w:szCs w:val="24"/>
          <w:highlight w:val="none"/>
        </w:rPr>
      </w:pPr>
      <w:r>
        <w:rPr>
          <w:b/>
          <w:color w:val="auto"/>
          <w:sz w:val="24"/>
          <w:szCs w:val="24"/>
          <w:highlight w:val="none"/>
        </w:rPr>
        <w:fldChar w:fldCharType="begin"/>
      </w:r>
      <w:r>
        <w:rPr>
          <w:b/>
          <w:color w:val="auto"/>
          <w:sz w:val="24"/>
          <w:szCs w:val="24"/>
          <w:highlight w:val="none"/>
        </w:rPr>
        <w:instrText xml:space="preserve">TOC \o "1-1" \h \u </w:instrText>
      </w:r>
      <w:r>
        <w:rPr>
          <w:b/>
          <w:color w:val="auto"/>
          <w:sz w:val="24"/>
          <w:szCs w:val="24"/>
          <w:highlight w:val="none"/>
        </w:rPr>
        <w:fldChar w:fldCharType="separate"/>
      </w:r>
      <w:r>
        <w:rPr>
          <w:color w:val="auto"/>
          <w:sz w:val="24"/>
          <w:szCs w:val="24"/>
          <w:highlight w:val="none"/>
        </w:rPr>
        <w:fldChar w:fldCharType="begin"/>
      </w:r>
      <w:r>
        <w:rPr>
          <w:color w:val="auto"/>
          <w:sz w:val="24"/>
          <w:szCs w:val="24"/>
          <w:highlight w:val="none"/>
        </w:rPr>
        <w:instrText xml:space="preserve"> HYPERLINK \l "_Toc22592" </w:instrText>
      </w:r>
      <w:r>
        <w:rPr>
          <w:color w:val="auto"/>
          <w:sz w:val="24"/>
          <w:szCs w:val="24"/>
          <w:highlight w:val="none"/>
        </w:rPr>
        <w:fldChar w:fldCharType="separate"/>
      </w:r>
      <w:r>
        <w:rPr>
          <w:color w:val="auto"/>
          <w:sz w:val="24"/>
          <w:szCs w:val="24"/>
          <w:highlight w:val="none"/>
        </w:rPr>
        <w:t>第</w:t>
      </w:r>
      <w:r>
        <w:rPr>
          <w:rFonts w:hint="eastAsia"/>
          <w:color w:val="auto"/>
          <w:sz w:val="24"/>
          <w:szCs w:val="24"/>
          <w:highlight w:val="none"/>
        </w:rPr>
        <w:t>一</w:t>
      </w:r>
      <w:r>
        <w:rPr>
          <w:color w:val="auto"/>
          <w:sz w:val="24"/>
          <w:szCs w:val="24"/>
          <w:highlight w:val="none"/>
        </w:rPr>
        <w:t xml:space="preserve">部分  </w:t>
      </w:r>
      <w:r>
        <w:rPr>
          <w:rFonts w:hint="eastAsia"/>
          <w:color w:val="auto"/>
          <w:sz w:val="24"/>
          <w:szCs w:val="24"/>
          <w:highlight w:val="none"/>
        </w:rPr>
        <w:t>招标公告</w:t>
      </w:r>
      <w:r>
        <w:rPr>
          <w:color w:val="auto"/>
          <w:sz w:val="24"/>
          <w:szCs w:val="24"/>
          <w:highlight w:val="none"/>
        </w:rPr>
        <w:tab/>
      </w:r>
      <w:r>
        <w:rPr>
          <w:color w:val="auto"/>
          <w:sz w:val="24"/>
          <w:szCs w:val="24"/>
          <w:highlight w:val="none"/>
        </w:rPr>
        <w:fldChar w:fldCharType="begin"/>
      </w:r>
      <w:r>
        <w:rPr>
          <w:color w:val="auto"/>
          <w:sz w:val="24"/>
          <w:szCs w:val="24"/>
          <w:highlight w:val="none"/>
        </w:rPr>
        <w:instrText xml:space="preserve"> PAGEREF _Toc22592 \h </w:instrText>
      </w:r>
      <w:r>
        <w:rPr>
          <w:color w:val="auto"/>
          <w:sz w:val="24"/>
          <w:szCs w:val="24"/>
          <w:highlight w:val="none"/>
        </w:rPr>
        <w:fldChar w:fldCharType="separate"/>
      </w:r>
      <w:r>
        <w:rPr>
          <w:color w:val="auto"/>
          <w:sz w:val="24"/>
          <w:szCs w:val="24"/>
          <w:highlight w:val="none"/>
        </w:rPr>
        <w:t>1</w:t>
      </w:r>
      <w:r>
        <w:rPr>
          <w:color w:val="auto"/>
          <w:sz w:val="24"/>
          <w:szCs w:val="24"/>
          <w:highlight w:val="none"/>
        </w:rPr>
        <w:fldChar w:fldCharType="end"/>
      </w:r>
      <w:r>
        <w:rPr>
          <w:color w:val="auto"/>
          <w:sz w:val="24"/>
          <w:szCs w:val="24"/>
          <w:highlight w:val="none"/>
        </w:rPr>
        <w:fldChar w:fldCharType="end"/>
      </w:r>
    </w:p>
    <w:p w14:paraId="5249B270">
      <w:pPr>
        <w:pStyle w:val="23"/>
        <w:tabs>
          <w:tab w:val="right" w:leader="dot" w:pos="8313"/>
        </w:tabs>
        <w:spacing w:line="480" w:lineRule="auto"/>
        <w:rPr>
          <w:color w:val="auto"/>
          <w:sz w:val="24"/>
          <w:szCs w:val="24"/>
          <w:highlight w:val="none"/>
        </w:rPr>
      </w:pPr>
      <w:r>
        <w:rPr>
          <w:color w:val="auto"/>
          <w:sz w:val="24"/>
          <w:szCs w:val="24"/>
          <w:highlight w:val="none"/>
        </w:rPr>
        <w:fldChar w:fldCharType="begin"/>
      </w:r>
      <w:r>
        <w:rPr>
          <w:color w:val="auto"/>
          <w:sz w:val="24"/>
          <w:szCs w:val="24"/>
          <w:highlight w:val="none"/>
        </w:rPr>
        <w:instrText xml:space="preserve"> HYPERLINK \l "_Toc788" </w:instrText>
      </w:r>
      <w:r>
        <w:rPr>
          <w:color w:val="auto"/>
          <w:sz w:val="24"/>
          <w:szCs w:val="24"/>
          <w:highlight w:val="none"/>
        </w:rPr>
        <w:fldChar w:fldCharType="separate"/>
      </w:r>
      <w:r>
        <w:rPr>
          <w:color w:val="auto"/>
          <w:sz w:val="24"/>
          <w:szCs w:val="24"/>
          <w:highlight w:val="none"/>
        </w:rPr>
        <w:t>第</w:t>
      </w:r>
      <w:r>
        <w:rPr>
          <w:rFonts w:hint="eastAsia"/>
          <w:color w:val="auto"/>
          <w:sz w:val="24"/>
          <w:szCs w:val="24"/>
          <w:highlight w:val="none"/>
        </w:rPr>
        <w:t>二</w:t>
      </w:r>
      <w:r>
        <w:rPr>
          <w:color w:val="auto"/>
          <w:sz w:val="24"/>
          <w:szCs w:val="24"/>
          <w:highlight w:val="none"/>
        </w:rPr>
        <w:t xml:space="preserve">部分  </w:t>
      </w:r>
      <w:r>
        <w:rPr>
          <w:rFonts w:hint="eastAsia"/>
          <w:color w:val="auto"/>
          <w:sz w:val="24"/>
          <w:szCs w:val="24"/>
          <w:highlight w:val="none"/>
        </w:rPr>
        <w:t>项目要求</w:t>
      </w:r>
      <w:r>
        <w:rPr>
          <w:color w:val="auto"/>
          <w:sz w:val="24"/>
          <w:szCs w:val="24"/>
          <w:highlight w:val="none"/>
        </w:rPr>
        <w:tab/>
      </w:r>
      <w:r>
        <w:rPr>
          <w:color w:val="auto"/>
          <w:sz w:val="24"/>
          <w:szCs w:val="24"/>
          <w:highlight w:val="none"/>
        </w:rPr>
        <w:fldChar w:fldCharType="begin"/>
      </w:r>
      <w:r>
        <w:rPr>
          <w:color w:val="auto"/>
          <w:sz w:val="24"/>
          <w:szCs w:val="24"/>
          <w:highlight w:val="none"/>
        </w:rPr>
        <w:instrText xml:space="preserve"> PAGEREF _Toc788 \h </w:instrText>
      </w:r>
      <w:r>
        <w:rPr>
          <w:color w:val="auto"/>
          <w:sz w:val="24"/>
          <w:szCs w:val="24"/>
          <w:highlight w:val="none"/>
        </w:rPr>
        <w:fldChar w:fldCharType="separate"/>
      </w:r>
      <w:r>
        <w:rPr>
          <w:color w:val="auto"/>
          <w:sz w:val="24"/>
          <w:szCs w:val="24"/>
          <w:highlight w:val="none"/>
        </w:rPr>
        <w:t>6</w:t>
      </w:r>
      <w:r>
        <w:rPr>
          <w:color w:val="auto"/>
          <w:sz w:val="24"/>
          <w:szCs w:val="24"/>
          <w:highlight w:val="none"/>
        </w:rPr>
        <w:fldChar w:fldCharType="end"/>
      </w:r>
      <w:r>
        <w:rPr>
          <w:color w:val="auto"/>
          <w:sz w:val="24"/>
          <w:szCs w:val="24"/>
          <w:highlight w:val="none"/>
        </w:rPr>
        <w:fldChar w:fldCharType="end"/>
      </w:r>
    </w:p>
    <w:p w14:paraId="6CDACBF8">
      <w:pPr>
        <w:pStyle w:val="23"/>
        <w:tabs>
          <w:tab w:val="right" w:leader="dot" w:pos="8313"/>
        </w:tabs>
        <w:spacing w:line="480" w:lineRule="auto"/>
        <w:rPr>
          <w:color w:val="auto"/>
          <w:sz w:val="24"/>
          <w:szCs w:val="24"/>
          <w:highlight w:val="none"/>
        </w:rPr>
      </w:pPr>
      <w:r>
        <w:rPr>
          <w:color w:val="auto"/>
          <w:sz w:val="24"/>
          <w:szCs w:val="24"/>
          <w:highlight w:val="none"/>
        </w:rPr>
        <w:fldChar w:fldCharType="begin"/>
      </w:r>
      <w:r>
        <w:rPr>
          <w:color w:val="auto"/>
          <w:sz w:val="24"/>
          <w:szCs w:val="24"/>
          <w:highlight w:val="none"/>
        </w:rPr>
        <w:instrText xml:space="preserve"> HYPERLINK \l "_Toc9409" </w:instrText>
      </w:r>
      <w:r>
        <w:rPr>
          <w:color w:val="auto"/>
          <w:sz w:val="24"/>
          <w:szCs w:val="24"/>
          <w:highlight w:val="none"/>
        </w:rPr>
        <w:fldChar w:fldCharType="separate"/>
      </w:r>
      <w:r>
        <w:rPr>
          <w:color w:val="auto"/>
          <w:sz w:val="24"/>
          <w:szCs w:val="24"/>
          <w:highlight w:val="none"/>
        </w:rPr>
        <w:t>第</w:t>
      </w:r>
      <w:r>
        <w:rPr>
          <w:rFonts w:hint="eastAsia"/>
          <w:color w:val="auto"/>
          <w:sz w:val="24"/>
          <w:szCs w:val="24"/>
          <w:highlight w:val="none"/>
        </w:rPr>
        <w:t>三</w:t>
      </w:r>
      <w:r>
        <w:rPr>
          <w:color w:val="auto"/>
          <w:sz w:val="24"/>
          <w:szCs w:val="24"/>
          <w:highlight w:val="none"/>
        </w:rPr>
        <w:t xml:space="preserve">部分  </w:t>
      </w:r>
      <w:r>
        <w:rPr>
          <w:rFonts w:hint="eastAsia"/>
          <w:color w:val="auto"/>
          <w:sz w:val="24"/>
          <w:szCs w:val="24"/>
          <w:highlight w:val="none"/>
        </w:rPr>
        <w:t>投标人须知及前附表</w:t>
      </w:r>
      <w:r>
        <w:rPr>
          <w:color w:val="auto"/>
          <w:sz w:val="24"/>
          <w:szCs w:val="24"/>
          <w:highlight w:val="none"/>
        </w:rPr>
        <w:tab/>
      </w:r>
      <w:r>
        <w:rPr>
          <w:color w:val="auto"/>
          <w:sz w:val="24"/>
          <w:szCs w:val="24"/>
          <w:highlight w:val="none"/>
        </w:rPr>
        <w:fldChar w:fldCharType="begin"/>
      </w:r>
      <w:r>
        <w:rPr>
          <w:color w:val="auto"/>
          <w:sz w:val="24"/>
          <w:szCs w:val="24"/>
          <w:highlight w:val="none"/>
        </w:rPr>
        <w:instrText xml:space="preserve"> PAGEREF _Toc9409 \h </w:instrText>
      </w:r>
      <w:r>
        <w:rPr>
          <w:color w:val="auto"/>
          <w:sz w:val="24"/>
          <w:szCs w:val="24"/>
          <w:highlight w:val="none"/>
        </w:rPr>
        <w:fldChar w:fldCharType="separate"/>
      </w:r>
      <w:r>
        <w:rPr>
          <w:color w:val="auto"/>
          <w:sz w:val="24"/>
          <w:szCs w:val="24"/>
          <w:highlight w:val="none"/>
        </w:rPr>
        <w:t>10</w:t>
      </w:r>
      <w:r>
        <w:rPr>
          <w:color w:val="auto"/>
          <w:sz w:val="24"/>
          <w:szCs w:val="24"/>
          <w:highlight w:val="none"/>
        </w:rPr>
        <w:fldChar w:fldCharType="end"/>
      </w:r>
      <w:r>
        <w:rPr>
          <w:color w:val="auto"/>
          <w:sz w:val="24"/>
          <w:szCs w:val="24"/>
          <w:highlight w:val="none"/>
        </w:rPr>
        <w:fldChar w:fldCharType="end"/>
      </w:r>
    </w:p>
    <w:p w14:paraId="69361653">
      <w:pPr>
        <w:pStyle w:val="23"/>
        <w:tabs>
          <w:tab w:val="right" w:leader="dot" w:pos="8313"/>
        </w:tabs>
        <w:spacing w:line="480" w:lineRule="auto"/>
        <w:rPr>
          <w:color w:val="auto"/>
          <w:sz w:val="24"/>
          <w:szCs w:val="24"/>
          <w:highlight w:val="none"/>
        </w:rPr>
      </w:pPr>
      <w:r>
        <w:rPr>
          <w:color w:val="auto"/>
          <w:sz w:val="24"/>
          <w:szCs w:val="24"/>
          <w:highlight w:val="none"/>
        </w:rPr>
        <w:fldChar w:fldCharType="begin"/>
      </w:r>
      <w:r>
        <w:rPr>
          <w:color w:val="auto"/>
          <w:sz w:val="24"/>
          <w:szCs w:val="24"/>
          <w:highlight w:val="none"/>
        </w:rPr>
        <w:instrText xml:space="preserve"> HYPERLINK \l "_Toc14732" </w:instrText>
      </w:r>
      <w:r>
        <w:rPr>
          <w:color w:val="auto"/>
          <w:sz w:val="24"/>
          <w:szCs w:val="24"/>
          <w:highlight w:val="none"/>
        </w:rPr>
        <w:fldChar w:fldCharType="separate"/>
      </w:r>
      <w:r>
        <w:rPr>
          <w:color w:val="auto"/>
          <w:sz w:val="24"/>
          <w:szCs w:val="24"/>
          <w:highlight w:val="none"/>
        </w:rPr>
        <w:t>第</w:t>
      </w:r>
      <w:r>
        <w:rPr>
          <w:rFonts w:hint="eastAsia"/>
          <w:color w:val="auto"/>
          <w:sz w:val="24"/>
          <w:szCs w:val="24"/>
          <w:highlight w:val="none"/>
        </w:rPr>
        <w:t>四</w:t>
      </w:r>
      <w:r>
        <w:rPr>
          <w:color w:val="auto"/>
          <w:sz w:val="24"/>
          <w:szCs w:val="24"/>
          <w:highlight w:val="none"/>
        </w:rPr>
        <w:t>部分  评标</w:t>
      </w:r>
      <w:r>
        <w:rPr>
          <w:rFonts w:hint="eastAsia"/>
          <w:color w:val="auto"/>
          <w:sz w:val="24"/>
          <w:szCs w:val="24"/>
          <w:highlight w:val="none"/>
        </w:rPr>
        <w:t>标准</w:t>
      </w:r>
      <w:r>
        <w:rPr>
          <w:color w:val="auto"/>
          <w:sz w:val="24"/>
          <w:szCs w:val="24"/>
          <w:highlight w:val="none"/>
        </w:rPr>
        <w:tab/>
      </w:r>
      <w:r>
        <w:rPr>
          <w:color w:val="auto"/>
          <w:sz w:val="24"/>
          <w:szCs w:val="24"/>
          <w:highlight w:val="none"/>
        </w:rPr>
        <w:fldChar w:fldCharType="begin"/>
      </w:r>
      <w:r>
        <w:rPr>
          <w:color w:val="auto"/>
          <w:sz w:val="24"/>
          <w:szCs w:val="24"/>
          <w:highlight w:val="none"/>
        </w:rPr>
        <w:instrText xml:space="preserve"> PAGEREF _Toc14732 \h </w:instrText>
      </w:r>
      <w:r>
        <w:rPr>
          <w:color w:val="auto"/>
          <w:sz w:val="24"/>
          <w:szCs w:val="24"/>
          <w:highlight w:val="none"/>
        </w:rPr>
        <w:fldChar w:fldCharType="separate"/>
      </w:r>
      <w:r>
        <w:rPr>
          <w:color w:val="auto"/>
          <w:sz w:val="24"/>
          <w:szCs w:val="24"/>
          <w:highlight w:val="none"/>
        </w:rPr>
        <w:t>19</w:t>
      </w:r>
      <w:r>
        <w:rPr>
          <w:color w:val="auto"/>
          <w:sz w:val="24"/>
          <w:szCs w:val="24"/>
          <w:highlight w:val="none"/>
        </w:rPr>
        <w:fldChar w:fldCharType="end"/>
      </w:r>
      <w:r>
        <w:rPr>
          <w:color w:val="auto"/>
          <w:sz w:val="24"/>
          <w:szCs w:val="24"/>
          <w:highlight w:val="none"/>
        </w:rPr>
        <w:fldChar w:fldCharType="end"/>
      </w:r>
    </w:p>
    <w:p w14:paraId="32AE7082">
      <w:pPr>
        <w:pStyle w:val="23"/>
        <w:tabs>
          <w:tab w:val="right" w:leader="dot" w:pos="8313"/>
        </w:tabs>
        <w:spacing w:line="480" w:lineRule="auto"/>
        <w:rPr>
          <w:color w:val="auto"/>
          <w:sz w:val="24"/>
          <w:szCs w:val="24"/>
          <w:highlight w:val="none"/>
        </w:rPr>
      </w:pPr>
      <w:r>
        <w:rPr>
          <w:color w:val="auto"/>
          <w:sz w:val="24"/>
          <w:szCs w:val="24"/>
          <w:highlight w:val="none"/>
        </w:rPr>
        <w:fldChar w:fldCharType="begin"/>
      </w:r>
      <w:r>
        <w:rPr>
          <w:color w:val="auto"/>
          <w:sz w:val="24"/>
          <w:szCs w:val="24"/>
          <w:highlight w:val="none"/>
        </w:rPr>
        <w:instrText xml:space="preserve"> HYPERLINK \l "_Toc31702" </w:instrText>
      </w:r>
      <w:r>
        <w:rPr>
          <w:color w:val="auto"/>
          <w:sz w:val="24"/>
          <w:szCs w:val="24"/>
          <w:highlight w:val="none"/>
        </w:rPr>
        <w:fldChar w:fldCharType="separate"/>
      </w:r>
      <w:r>
        <w:rPr>
          <w:color w:val="auto"/>
          <w:sz w:val="24"/>
          <w:szCs w:val="24"/>
          <w:highlight w:val="none"/>
        </w:rPr>
        <w:t>第</w:t>
      </w:r>
      <w:r>
        <w:rPr>
          <w:rFonts w:hint="eastAsia"/>
          <w:color w:val="auto"/>
          <w:sz w:val="24"/>
          <w:szCs w:val="24"/>
          <w:highlight w:val="none"/>
        </w:rPr>
        <w:t>五</w:t>
      </w:r>
      <w:r>
        <w:rPr>
          <w:color w:val="auto"/>
          <w:sz w:val="24"/>
          <w:szCs w:val="24"/>
          <w:highlight w:val="none"/>
        </w:rPr>
        <w:t xml:space="preserve">部分  </w:t>
      </w:r>
      <w:r>
        <w:rPr>
          <w:rFonts w:hint="eastAsia"/>
          <w:color w:val="auto"/>
          <w:sz w:val="24"/>
          <w:szCs w:val="24"/>
          <w:highlight w:val="none"/>
        </w:rPr>
        <w:t>合同条款及合同格式</w:t>
      </w:r>
      <w:r>
        <w:rPr>
          <w:color w:val="auto"/>
          <w:sz w:val="24"/>
          <w:szCs w:val="24"/>
          <w:highlight w:val="none"/>
        </w:rPr>
        <w:tab/>
      </w:r>
      <w:r>
        <w:rPr>
          <w:color w:val="auto"/>
          <w:sz w:val="24"/>
          <w:szCs w:val="24"/>
          <w:highlight w:val="none"/>
        </w:rPr>
        <w:fldChar w:fldCharType="begin"/>
      </w:r>
      <w:r>
        <w:rPr>
          <w:color w:val="auto"/>
          <w:sz w:val="24"/>
          <w:szCs w:val="24"/>
          <w:highlight w:val="none"/>
        </w:rPr>
        <w:instrText xml:space="preserve"> PAGEREF _Toc31702 \h </w:instrText>
      </w:r>
      <w:r>
        <w:rPr>
          <w:color w:val="auto"/>
          <w:sz w:val="24"/>
          <w:szCs w:val="24"/>
          <w:highlight w:val="none"/>
        </w:rPr>
        <w:fldChar w:fldCharType="separate"/>
      </w:r>
      <w:r>
        <w:rPr>
          <w:color w:val="auto"/>
          <w:sz w:val="24"/>
          <w:szCs w:val="24"/>
          <w:highlight w:val="none"/>
        </w:rPr>
        <w:t>27</w:t>
      </w:r>
      <w:r>
        <w:rPr>
          <w:color w:val="auto"/>
          <w:sz w:val="24"/>
          <w:szCs w:val="24"/>
          <w:highlight w:val="none"/>
        </w:rPr>
        <w:fldChar w:fldCharType="end"/>
      </w:r>
      <w:r>
        <w:rPr>
          <w:color w:val="auto"/>
          <w:sz w:val="24"/>
          <w:szCs w:val="24"/>
          <w:highlight w:val="none"/>
        </w:rPr>
        <w:fldChar w:fldCharType="end"/>
      </w:r>
    </w:p>
    <w:p w14:paraId="0DB86409">
      <w:pPr>
        <w:pStyle w:val="23"/>
        <w:tabs>
          <w:tab w:val="right" w:leader="dot" w:pos="8313"/>
        </w:tabs>
        <w:spacing w:line="480" w:lineRule="auto"/>
        <w:rPr>
          <w:color w:val="auto"/>
          <w:sz w:val="24"/>
          <w:szCs w:val="24"/>
          <w:highlight w:val="none"/>
        </w:rPr>
      </w:pPr>
      <w:r>
        <w:rPr>
          <w:color w:val="auto"/>
          <w:sz w:val="24"/>
          <w:szCs w:val="24"/>
          <w:highlight w:val="none"/>
        </w:rPr>
        <w:fldChar w:fldCharType="begin"/>
      </w:r>
      <w:r>
        <w:rPr>
          <w:color w:val="auto"/>
          <w:sz w:val="24"/>
          <w:szCs w:val="24"/>
          <w:highlight w:val="none"/>
        </w:rPr>
        <w:instrText xml:space="preserve"> HYPERLINK \l "_Toc6569" </w:instrText>
      </w:r>
      <w:r>
        <w:rPr>
          <w:color w:val="auto"/>
          <w:sz w:val="24"/>
          <w:szCs w:val="24"/>
          <w:highlight w:val="none"/>
        </w:rPr>
        <w:fldChar w:fldCharType="separate"/>
      </w:r>
      <w:r>
        <w:rPr>
          <w:color w:val="auto"/>
          <w:sz w:val="24"/>
          <w:szCs w:val="24"/>
          <w:highlight w:val="none"/>
        </w:rPr>
        <w:t>第</w:t>
      </w:r>
      <w:r>
        <w:rPr>
          <w:rFonts w:hint="eastAsia"/>
          <w:color w:val="auto"/>
          <w:sz w:val="24"/>
          <w:szCs w:val="24"/>
          <w:highlight w:val="none"/>
        </w:rPr>
        <w:t>六</w:t>
      </w:r>
      <w:r>
        <w:rPr>
          <w:color w:val="auto"/>
          <w:sz w:val="24"/>
          <w:szCs w:val="24"/>
          <w:highlight w:val="none"/>
        </w:rPr>
        <w:t>部分</w:t>
      </w:r>
      <w:r>
        <w:rPr>
          <w:rFonts w:hint="eastAsia"/>
          <w:color w:val="auto"/>
          <w:sz w:val="24"/>
          <w:szCs w:val="24"/>
          <w:highlight w:val="none"/>
        </w:rPr>
        <w:t xml:space="preserve">  附件（投标文件格式）</w:t>
      </w:r>
      <w:r>
        <w:rPr>
          <w:color w:val="auto"/>
          <w:sz w:val="24"/>
          <w:szCs w:val="24"/>
          <w:highlight w:val="none"/>
        </w:rPr>
        <w:tab/>
      </w:r>
      <w:r>
        <w:rPr>
          <w:color w:val="auto"/>
          <w:sz w:val="24"/>
          <w:szCs w:val="24"/>
          <w:highlight w:val="none"/>
        </w:rPr>
        <w:fldChar w:fldCharType="begin"/>
      </w:r>
      <w:r>
        <w:rPr>
          <w:color w:val="auto"/>
          <w:sz w:val="24"/>
          <w:szCs w:val="24"/>
          <w:highlight w:val="none"/>
        </w:rPr>
        <w:instrText xml:space="preserve"> PAGEREF _Toc6569 \h </w:instrText>
      </w:r>
      <w:r>
        <w:rPr>
          <w:color w:val="auto"/>
          <w:sz w:val="24"/>
          <w:szCs w:val="24"/>
          <w:highlight w:val="none"/>
        </w:rPr>
        <w:fldChar w:fldCharType="separate"/>
      </w:r>
      <w:r>
        <w:rPr>
          <w:color w:val="auto"/>
          <w:sz w:val="24"/>
          <w:szCs w:val="24"/>
          <w:highlight w:val="none"/>
        </w:rPr>
        <w:t>30</w:t>
      </w:r>
      <w:r>
        <w:rPr>
          <w:color w:val="auto"/>
          <w:sz w:val="24"/>
          <w:szCs w:val="24"/>
          <w:highlight w:val="none"/>
        </w:rPr>
        <w:fldChar w:fldCharType="end"/>
      </w:r>
      <w:r>
        <w:rPr>
          <w:color w:val="auto"/>
          <w:sz w:val="24"/>
          <w:szCs w:val="24"/>
          <w:highlight w:val="none"/>
        </w:rPr>
        <w:fldChar w:fldCharType="end"/>
      </w:r>
    </w:p>
    <w:p w14:paraId="5050FCB5">
      <w:pPr>
        <w:spacing w:line="480" w:lineRule="auto"/>
        <w:rPr>
          <w:b/>
          <w:color w:val="auto"/>
          <w:sz w:val="44"/>
          <w:szCs w:val="44"/>
          <w:highlight w:val="none"/>
        </w:rPr>
      </w:pPr>
      <w:r>
        <w:rPr>
          <w:color w:val="auto"/>
          <w:sz w:val="24"/>
          <w:szCs w:val="24"/>
          <w:highlight w:val="none"/>
        </w:rPr>
        <w:fldChar w:fldCharType="end"/>
      </w:r>
    </w:p>
    <w:p w14:paraId="3179F594">
      <w:pPr>
        <w:pStyle w:val="14"/>
        <w:spacing w:line="480" w:lineRule="auto"/>
        <w:rPr>
          <w:color w:val="auto"/>
          <w:sz w:val="32"/>
          <w:szCs w:val="22"/>
          <w:highlight w:val="none"/>
        </w:rPr>
        <w:sectPr>
          <w:pgSz w:w="11907" w:h="16840"/>
          <w:pgMar w:top="1440" w:right="1797" w:bottom="1440" w:left="1797" w:header="720" w:footer="1197" w:gutter="0"/>
          <w:pgBorders>
            <w:top w:val="none" w:sz="0" w:space="0"/>
            <w:left w:val="none" w:sz="0" w:space="0"/>
            <w:bottom w:val="none" w:sz="0" w:space="0"/>
            <w:right w:val="none" w:sz="0" w:space="0"/>
          </w:pgBorders>
          <w:pgNumType w:start="1"/>
          <w:cols w:space="720" w:num="1"/>
          <w:docGrid w:type="lines" w:linePitch="285" w:charSpace="0"/>
        </w:sectPr>
      </w:pPr>
    </w:p>
    <w:p w14:paraId="207415ED">
      <w:pPr>
        <w:jc w:val="center"/>
        <w:outlineLvl w:val="0"/>
        <w:rPr>
          <w:b/>
          <w:color w:val="auto"/>
          <w:sz w:val="36"/>
          <w:szCs w:val="36"/>
          <w:highlight w:val="none"/>
        </w:rPr>
      </w:pPr>
      <w:bookmarkStart w:id="0" w:name="_Toc22592"/>
      <w:r>
        <w:rPr>
          <w:b/>
          <w:color w:val="auto"/>
          <w:sz w:val="36"/>
          <w:szCs w:val="36"/>
          <w:highlight w:val="none"/>
        </w:rPr>
        <w:t>第</w:t>
      </w:r>
      <w:r>
        <w:rPr>
          <w:rFonts w:hint="eastAsia"/>
          <w:b/>
          <w:color w:val="auto"/>
          <w:sz w:val="36"/>
          <w:szCs w:val="36"/>
          <w:highlight w:val="none"/>
        </w:rPr>
        <w:t>一</w:t>
      </w:r>
      <w:r>
        <w:rPr>
          <w:b/>
          <w:color w:val="auto"/>
          <w:sz w:val="36"/>
          <w:szCs w:val="36"/>
          <w:highlight w:val="none"/>
        </w:rPr>
        <w:t xml:space="preserve">部分   </w:t>
      </w:r>
      <w:r>
        <w:rPr>
          <w:rFonts w:hint="eastAsia"/>
          <w:b/>
          <w:color w:val="auto"/>
          <w:sz w:val="36"/>
          <w:szCs w:val="36"/>
          <w:highlight w:val="none"/>
        </w:rPr>
        <w:t>招标公告</w:t>
      </w:r>
      <w:bookmarkEnd w:id="0"/>
    </w:p>
    <w:p w14:paraId="6F01E0BC">
      <w:pPr>
        <w:pStyle w:val="27"/>
        <w:pBdr>
          <w:top w:val="single" w:color="auto" w:sz="4" w:space="1"/>
          <w:left w:val="single" w:color="auto" w:sz="4" w:space="4"/>
          <w:bottom w:val="single" w:color="auto" w:sz="4" w:space="1"/>
          <w:right w:val="single" w:color="auto" w:sz="4" w:space="4"/>
        </w:pBdr>
        <w:tabs>
          <w:tab w:val="left" w:pos="0"/>
        </w:tabs>
        <w:spacing w:before="0" w:beforeAutospacing="0" w:after="0" w:afterAutospacing="0" w:line="400" w:lineRule="exact"/>
        <w:jc w:val="both"/>
        <w:rPr>
          <w:rFonts w:cs="宋体"/>
          <w:b/>
          <w:bCs/>
          <w:color w:val="auto"/>
          <w:highlight w:val="none"/>
        </w:rPr>
      </w:pPr>
      <w:r>
        <w:rPr>
          <w:rFonts w:hint="eastAsia" w:cs="宋体"/>
          <w:b/>
          <w:bCs/>
          <w:color w:val="auto"/>
          <w:highlight w:val="none"/>
        </w:rPr>
        <w:t>项目概况</w:t>
      </w:r>
    </w:p>
    <w:p w14:paraId="1C26F3B9">
      <w:pPr>
        <w:pStyle w:val="27"/>
        <w:pBdr>
          <w:top w:val="single" w:color="auto" w:sz="4" w:space="1"/>
          <w:left w:val="single" w:color="auto" w:sz="4" w:space="4"/>
          <w:bottom w:val="single" w:color="auto" w:sz="4" w:space="1"/>
          <w:right w:val="single" w:color="auto" w:sz="4" w:space="4"/>
        </w:pBdr>
        <w:tabs>
          <w:tab w:val="left" w:pos="0"/>
        </w:tabs>
        <w:spacing w:before="0" w:beforeAutospacing="0" w:after="0" w:afterAutospacing="0" w:line="400" w:lineRule="exact"/>
        <w:ind w:firstLine="480" w:firstLineChars="200"/>
        <w:jc w:val="both"/>
        <w:rPr>
          <w:rFonts w:cs="宋体"/>
          <w:color w:val="auto"/>
          <w:highlight w:val="none"/>
        </w:rPr>
      </w:pPr>
      <w:r>
        <w:rPr>
          <w:rFonts w:hint="eastAsia" w:cs="宋体"/>
          <w:color w:val="auto"/>
          <w:highlight w:val="none"/>
          <w:u w:val="single"/>
          <w:lang w:eastAsia="zh-CN"/>
        </w:rPr>
        <w:t>宁波市北仑区港口危险货物储罐抽检项目</w:t>
      </w:r>
      <w:r>
        <w:rPr>
          <w:rFonts w:hint="eastAsia" w:cs="宋体"/>
          <w:color w:val="auto"/>
          <w:highlight w:val="none"/>
        </w:rPr>
        <w:t>招标项目的潜在投标人应在浙江政府采购云平台（https://www.zcygov.cn/）获取（下载）招标文件，并于</w:t>
      </w:r>
      <w:r>
        <w:rPr>
          <w:rFonts w:hint="eastAsia" w:cs="宋体"/>
          <w:color w:val="auto"/>
          <w:highlight w:val="none"/>
          <w:u w:val="single"/>
        </w:rPr>
        <w:t>202</w:t>
      </w:r>
      <w:r>
        <w:rPr>
          <w:rFonts w:hint="eastAsia" w:cs="宋体"/>
          <w:color w:val="auto"/>
          <w:highlight w:val="none"/>
          <w:u w:val="single"/>
          <w:lang w:val="en-US" w:eastAsia="zh-CN"/>
        </w:rPr>
        <w:t>5</w:t>
      </w:r>
      <w:r>
        <w:rPr>
          <w:rFonts w:hint="eastAsia" w:cs="宋体"/>
          <w:color w:val="auto"/>
          <w:highlight w:val="none"/>
          <w:u w:val="single"/>
        </w:rPr>
        <w:t>年</w:t>
      </w:r>
      <w:r>
        <w:rPr>
          <w:rFonts w:hint="eastAsia" w:cs="宋体"/>
          <w:color w:val="auto"/>
          <w:highlight w:val="none"/>
          <w:u w:val="single"/>
          <w:lang w:val="en-US" w:eastAsia="zh-CN"/>
        </w:rPr>
        <w:t>05</w:t>
      </w:r>
      <w:r>
        <w:rPr>
          <w:rFonts w:hint="eastAsia" w:cs="宋体"/>
          <w:color w:val="auto"/>
          <w:highlight w:val="none"/>
          <w:u w:val="single"/>
        </w:rPr>
        <w:t>月</w:t>
      </w:r>
      <w:r>
        <w:rPr>
          <w:rFonts w:hint="eastAsia" w:cs="宋体"/>
          <w:color w:val="auto"/>
          <w:highlight w:val="none"/>
          <w:u w:val="single"/>
          <w:lang w:val="en-US" w:eastAsia="zh-CN"/>
        </w:rPr>
        <w:t>08</w:t>
      </w:r>
      <w:r>
        <w:rPr>
          <w:rFonts w:hint="eastAsia" w:cs="宋体"/>
          <w:color w:val="auto"/>
          <w:highlight w:val="none"/>
          <w:u w:val="single"/>
        </w:rPr>
        <w:t>日</w:t>
      </w:r>
      <w:r>
        <w:rPr>
          <w:rFonts w:hint="eastAsia" w:cs="宋体"/>
          <w:color w:val="auto"/>
          <w:highlight w:val="none"/>
          <w:u w:val="single"/>
          <w:lang w:val="en-US" w:eastAsia="zh-CN"/>
        </w:rPr>
        <w:t>09</w:t>
      </w:r>
      <w:r>
        <w:rPr>
          <w:rFonts w:hint="eastAsia" w:cs="宋体"/>
          <w:color w:val="auto"/>
          <w:highlight w:val="none"/>
          <w:u w:val="single"/>
        </w:rPr>
        <w:t>:00</w:t>
      </w:r>
      <w:r>
        <w:rPr>
          <w:rFonts w:hint="eastAsia" w:cs="宋体"/>
          <w:color w:val="auto"/>
          <w:highlight w:val="none"/>
        </w:rPr>
        <w:t>（北京时间）前递交（上传）投标文件。</w:t>
      </w:r>
    </w:p>
    <w:p w14:paraId="0400EF7E">
      <w:pPr>
        <w:pStyle w:val="27"/>
        <w:tabs>
          <w:tab w:val="left" w:pos="0"/>
        </w:tabs>
        <w:spacing w:before="0" w:beforeAutospacing="0" w:after="0" w:afterAutospacing="0" w:line="400" w:lineRule="exact"/>
        <w:jc w:val="both"/>
        <w:rPr>
          <w:rFonts w:cs="宋体"/>
          <w:color w:val="auto"/>
          <w:highlight w:val="none"/>
        </w:rPr>
      </w:pPr>
      <w:r>
        <w:rPr>
          <w:rFonts w:hint="eastAsia" w:cs="宋体"/>
          <w:color w:val="auto"/>
          <w:highlight w:val="none"/>
        </w:rPr>
        <w:t>     </w:t>
      </w:r>
    </w:p>
    <w:p w14:paraId="17231EF2">
      <w:pPr>
        <w:pStyle w:val="27"/>
        <w:spacing w:before="0" w:beforeAutospacing="0" w:after="0" w:afterAutospacing="0" w:line="400" w:lineRule="exact"/>
        <w:jc w:val="both"/>
        <w:rPr>
          <w:rFonts w:cs="宋体"/>
          <w:color w:val="auto"/>
          <w:highlight w:val="none"/>
        </w:rPr>
      </w:pPr>
      <w:r>
        <w:rPr>
          <w:rStyle w:val="34"/>
          <w:rFonts w:hint="eastAsia" w:cs="宋体"/>
          <w:color w:val="auto"/>
          <w:highlight w:val="none"/>
        </w:rPr>
        <w:t>一、项目基本情况</w:t>
      </w:r>
      <w:r>
        <w:rPr>
          <w:rFonts w:hint="eastAsia" w:cs="宋体"/>
          <w:color w:val="auto"/>
          <w:highlight w:val="none"/>
        </w:rPr>
        <w:t xml:space="preserve"> </w:t>
      </w:r>
    </w:p>
    <w:p w14:paraId="1FD1CD3C">
      <w:pPr>
        <w:pStyle w:val="27"/>
        <w:spacing w:before="0" w:beforeAutospacing="0" w:after="0" w:afterAutospacing="0" w:line="400" w:lineRule="exact"/>
        <w:ind w:firstLine="480" w:firstLineChars="200"/>
        <w:jc w:val="both"/>
        <w:rPr>
          <w:rFonts w:hint="eastAsia" w:cs="宋体"/>
          <w:color w:val="auto"/>
          <w:highlight w:val="none"/>
          <w:lang w:eastAsia="zh-CN"/>
        </w:rPr>
      </w:pPr>
      <w:r>
        <w:rPr>
          <w:rFonts w:hint="eastAsia" w:cs="宋体"/>
          <w:color w:val="auto"/>
          <w:highlight w:val="none"/>
        </w:rPr>
        <w:t>项目编号：NBMC-</w:t>
      </w:r>
      <w:r>
        <w:rPr>
          <w:rFonts w:hint="eastAsia" w:cs="宋体"/>
          <w:color w:val="auto"/>
          <w:highlight w:val="none"/>
          <w:lang w:eastAsia="zh-CN"/>
        </w:rPr>
        <w:t>20256018G</w:t>
      </w:r>
    </w:p>
    <w:p w14:paraId="7A7EB2CB">
      <w:pPr>
        <w:pStyle w:val="27"/>
        <w:spacing w:before="0" w:beforeAutospacing="0" w:after="0" w:afterAutospacing="0" w:line="400" w:lineRule="exact"/>
        <w:ind w:firstLine="480" w:firstLineChars="200"/>
        <w:jc w:val="both"/>
        <w:rPr>
          <w:rFonts w:hint="eastAsia" w:eastAsia="宋体" w:cs="宋体"/>
          <w:color w:val="auto"/>
          <w:highlight w:val="none"/>
          <w:lang w:eastAsia="zh-CN"/>
        </w:rPr>
      </w:pPr>
      <w:r>
        <w:rPr>
          <w:rFonts w:hint="eastAsia" w:cs="宋体"/>
          <w:color w:val="auto"/>
          <w:highlight w:val="none"/>
        </w:rPr>
        <w:t>项目名称：</w:t>
      </w:r>
      <w:bookmarkStart w:id="1" w:name="OLE_LINK2"/>
      <w:r>
        <w:rPr>
          <w:rFonts w:hint="eastAsia" w:cs="宋体"/>
          <w:color w:val="auto"/>
          <w:highlight w:val="none"/>
          <w:lang w:eastAsia="zh-CN"/>
        </w:rPr>
        <w:t>宁波市北仑区港口危险货物储罐抽检项目</w:t>
      </w:r>
      <w:bookmarkEnd w:id="1"/>
    </w:p>
    <w:p w14:paraId="6D8308D1">
      <w:pPr>
        <w:pStyle w:val="27"/>
        <w:spacing w:before="0" w:beforeAutospacing="0" w:after="0" w:afterAutospacing="0" w:line="400" w:lineRule="exact"/>
        <w:ind w:firstLine="480" w:firstLineChars="200"/>
        <w:jc w:val="both"/>
        <w:rPr>
          <w:rFonts w:cs="宋体"/>
          <w:color w:val="auto"/>
          <w:highlight w:val="none"/>
        </w:rPr>
      </w:pPr>
      <w:r>
        <w:rPr>
          <w:rFonts w:hint="eastAsia" w:cs="宋体"/>
          <w:color w:val="auto"/>
          <w:highlight w:val="none"/>
        </w:rPr>
        <w:t>预算金额（元）：</w:t>
      </w:r>
      <w:r>
        <w:rPr>
          <w:rFonts w:hint="eastAsia" w:cs="宋体"/>
          <w:color w:val="auto"/>
          <w:highlight w:val="none"/>
          <w:lang w:val="en-US" w:eastAsia="zh-CN"/>
        </w:rPr>
        <w:t xml:space="preserve">1300000 </w:t>
      </w:r>
      <w:r>
        <w:rPr>
          <w:rFonts w:hint="eastAsia" w:cs="宋体"/>
          <w:color w:val="auto"/>
          <w:highlight w:val="none"/>
        </w:rPr>
        <w:t xml:space="preserve">  </w:t>
      </w:r>
    </w:p>
    <w:p w14:paraId="4379A0A4">
      <w:pPr>
        <w:pStyle w:val="27"/>
        <w:spacing w:before="0" w:beforeAutospacing="0" w:after="0" w:afterAutospacing="0" w:line="400" w:lineRule="exact"/>
        <w:ind w:firstLine="480" w:firstLineChars="200"/>
        <w:jc w:val="both"/>
        <w:rPr>
          <w:rFonts w:hint="default" w:eastAsia="宋体" w:cs="宋体"/>
          <w:color w:val="auto"/>
          <w:highlight w:val="none"/>
          <w:lang w:val="en-US" w:eastAsia="zh-CN"/>
        </w:rPr>
      </w:pPr>
      <w:r>
        <w:rPr>
          <w:rFonts w:hint="eastAsia" w:cs="宋体"/>
          <w:color w:val="auto"/>
          <w:highlight w:val="none"/>
        </w:rPr>
        <w:t>最高限价（元）：</w:t>
      </w:r>
      <w:r>
        <w:rPr>
          <w:rFonts w:hint="eastAsia" w:cs="宋体"/>
          <w:color w:val="auto"/>
          <w:highlight w:val="none"/>
          <w:lang w:val="en-US" w:eastAsia="zh-CN"/>
        </w:rPr>
        <w:t>640000,640000</w:t>
      </w:r>
    </w:p>
    <w:p w14:paraId="31FA648E">
      <w:pPr>
        <w:pStyle w:val="27"/>
        <w:spacing w:before="0" w:beforeAutospacing="0" w:after="0" w:afterAutospacing="0" w:line="400" w:lineRule="exact"/>
        <w:ind w:firstLine="480" w:firstLineChars="200"/>
        <w:jc w:val="both"/>
        <w:rPr>
          <w:rFonts w:cs="宋体"/>
          <w:color w:val="auto"/>
          <w:highlight w:val="none"/>
        </w:rPr>
      </w:pPr>
      <w:r>
        <w:rPr>
          <w:rFonts w:hint="eastAsia" w:cs="宋体"/>
          <w:color w:val="auto"/>
          <w:highlight w:val="none"/>
        </w:rPr>
        <w:t>采购需求：</w:t>
      </w:r>
    </w:p>
    <w:p w14:paraId="17E45BF0">
      <w:pPr>
        <w:pStyle w:val="27"/>
        <w:spacing w:before="0" w:beforeAutospacing="0" w:after="0" w:afterAutospacing="0" w:line="400" w:lineRule="exact"/>
        <w:ind w:firstLine="482" w:firstLineChars="200"/>
        <w:jc w:val="both"/>
        <w:rPr>
          <w:rFonts w:cs="宋体"/>
          <w:b/>
          <w:color w:val="auto"/>
          <w:highlight w:val="none"/>
        </w:rPr>
      </w:pPr>
      <w:r>
        <w:rPr>
          <w:rFonts w:hint="eastAsia" w:cs="宋体"/>
          <w:b/>
          <w:color w:val="auto"/>
          <w:highlight w:val="none"/>
        </w:rPr>
        <w:t xml:space="preserve">标项一 </w:t>
      </w:r>
    </w:p>
    <w:p w14:paraId="3DD0838D">
      <w:pPr>
        <w:pStyle w:val="27"/>
        <w:spacing w:before="0" w:beforeAutospacing="0" w:after="0" w:afterAutospacing="0" w:line="400" w:lineRule="exact"/>
        <w:ind w:firstLine="480" w:firstLineChars="200"/>
        <w:jc w:val="both"/>
        <w:rPr>
          <w:rFonts w:hint="default" w:eastAsia="宋体" w:cs="宋体"/>
          <w:color w:val="auto"/>
          <w:highlight w:val="none"/>
          <w:lang w:val="en-US" w:eastAsia="zh-CN"/>
        </w:rPr>
      </w:pPr>
      <w:r>
        <w:rPr>
          <w:rFonts w:hint="eastAsia" w:cs="宋体"/>
          <w:color w:val="auto"/>
          <w:highlight w:val="none"/>
        </w:rPr>
        <w:t>标项名称：</w:t>
      </w:r>
      <w:r>
        <w:rPr>
          <w:rFonts w:hint="eastAsia" w:cs="宋体"/>
          <w:color w:val="auto"/>
          <w:highlight w:val="none"/>
          <w:lang w:eastAsia="zh-CN"/>
        </w:rPr>
        <w:t>宁波市北仑区港口危险货物储罐抽检项目</w:t>
      </w:r>
      <w:r>
        <w:rPr>
          <w:rFonts w:hint="eastAsia" w:cs="宋体"/>
          <w:color w:val="auto"/>
          <w:highlight w:val="none"/>
          <w:lang w:val="en-US" w:eastAsia="zh-CN"/>
        </w:rPr>
        <w:t>一标段</w:t>
      </w:r>
    </w:p>
    <w:p w14:paraId="5B2D297F">
      <w:pPr>
        <w:pStyle w:val="27"/>
        <w:spacing w:before="0" w:beforeAutospacing="0" w:after="0" w:afterAutospacing="0" w:line="400" w:lineRule="exact"/>
        <w:ind w:firstLine="480" w:firstLineChars="200"/>
        <w:jc w:val="both"/>
        <w:rPr>
          <w:rFonts w:cs="宋体"/>
          <w:color w:val="auto"/>
          <w:highlight w:val="none"/>
        </w:rPr>
      </w:pPr>
      <w:r>
        <w:rPr>
          <w:rFonts w:hint="eastAsia" w:cs="宋体"/>
          <w:color w:val="auto"/>
          <w:highlight w:val="none"/>
        </w:rPr>
        <w:t>数量: 1</w:t>
      </w:r>
    </w:p>
    <w:p w14:paraId="40088F14">
      <w:pPr>
        <w:pStyle w:val="27"/>
        <w:spacing w:before="0" w:beforeAutospacing="0" w:after="0" w:afterAutospacing="0" w:line="400" w:lineRule="exact"/>
        <w:ind w:firstLine="480" w:firstLineChars="200"/>
        <w:jc w:val="both"/>
        <w:rPr>
          <w:rFonts w:cs="宋体"/>
          <w:color w:val="auto"/>
          <w:highlight w:val="none"/>
        </w:rPr>
      </w:pPr>
      <w:r>
        <w:rPr>
          <w:rFonts w:hint="eastAsia" w:cs="宋体"/>
          <w:color w:val="auto"/>
          <w:highlight w:val="none"/>
        </w:rPr>
        <w:t>预算金额（元）：</w:t>
      </w:r>
      <w:r>
        <w:rPr>
          <w:rFonts w:hint="eastAsia" w:cs="宋体"/>
          <w:color w:val="auto"/>
          <w:highlight w:val="none"/>
          <w:lang w:val="en-US" w:eastAsia="zh-CN"/>
        </w:rPr>
        <w:t xml:space="preserve">650000 </w:t>
      </w:r>
      <w:r>
        <w:rPr>
          <w:rFonts w:hint="eastAsia" w:cs="宋体"/>
          <w:color w:val="auto"/>
          <w:highlight w:val="none"/>
        </w:rPr>
        <w:t xml:space="preserve">   </w:t>
      </w:r>
    </w:p>
    <w:p w14:paraId="4EEE1619">
      <w:pPr>
        <w:pStyle w:val="27"/>
        <w:spacing w:before="0" w:beforeAutospacing="0" w:after="0" w:afterAutospacing="0" w:line="400" w:lineRule="exact"/>
        <w:ind w:firstLine="480" w:firstLineChars="200"/>
        <w:jc w:val="both"/>
        <w:rPr>
          <w:rFonts w:cs="宋体"/>
          <w:color w:val="auto"/>
          <w:highlight w:val="none"/>
        </w:rPr>
      </w:pPr>
      <w:r>
        <w:rPr>
          <w:rFonts w:hint="eastAsia" w:cs="宋体"/>
          <w:color w:val="auto"/>
          <w:highlight w:val="none"/>
          <w:lang w:eastAsia="zh-CN"/>
        </w:rPr>
        <w:t>简要规格描述或项目基本概况介绍、用途：详见《第二部分 项目要求》</w:t>
      </w:r>
      <w:r>
        <w:rPr>
          <w:rFonts w:hint="eastAsia" w:cs="宋体"/>
          <w:color w:val="auto"/>
          <w:highlight w:val="none"/>
        </w:rPr>
        <w:t xml:space="preserve"> </w:t>
      </w:r>
    </w:p>
    <w:p w14:paraId="1F8E326D">
      <w:pPr>
        <w:pStyle w:val="27"/>
        <w:spacing w:before="0" w:beforeAutospacing="0" w:after="0" w:afterAutospacing="0" w:line="400" w:lineRule="exact"/>
        <w:ind w:firstLine="480" w:firstLineChars="200"/>
        <w:jc w:val="both"/>
        <w:rPr>
          <w:rFonts w:cs="宋体"/>
          <w:color w:val="auto"/>
          <w:highlight w:val="none"/>
        </w:rPr>
      </w:pPr>
      <w:r>
        <w:rPr>
          <w:rFonts w:hint="eastAsia" w:cs="宋体"/>
          <w:color w:val="auto"/>
          <w:highlight w:val="none"/>
        </w:rPr>
        <w:t>备注：无。</w:t>
      </w:r>
    </w:p>
    <w:p w14:paraId="2664AAB5">
      <w:pPr>
        <w:pStyle w:val="27"/>
        <w:spacing w:before="0" w:beforeAutospacing="0" w:after="0" w:afterAutospacing="0" w:line="400" w:lineRule="exact"/>
        <w:ind w:firstLine="482" w:firstLineChars="200"/>
        <w:jc w:val="both"/>
        <w:rPr>
          <w:rFonts w:cs="宋体"/>
          <w:b/>
          <w:color w:val="auto"/>
          <w:highlight w:val="none"/>
        </w:rPr>
      </w:pPr>
      <w:r>
        <w:rPr>
          <w:rFonts w:hint="eastAsia" w:cs="宋体"/>
          <w:b/>
          <w:color w:val="auto"/>
          <w:highlight w:val="none"/>
        </w:rPr>
        <w:t>标项</w:t>
      </w:r>
      <w:r>
        <w:rPr>
          <w:rFonts w:hint="eastAsia" w:cs="宋体"/>
          <w:b/>
          <w:color w:val="auto"/>
          <w:highlight w:val="none"/>
          <w:lang w:val="en-US" w:eastAsia="zh-CN"/>
        </w:rPr>
        <w:t>二</w:t>
      </w:r>
      <w:r>
        <w:rPr>
          <w:rFonts w:hint="eastAsia" w:cs="宋体"/>
          <w:b/>
          <w:color w:val="auto"/>
          <w:highlight w:val="none"/>
        </w:rPr>
        <w:t xml:space="preserve"> </w:t>
      </w:r>
    </w:p>
    <w:p w14:paraId="6E925E41">
      <w:pPr>
        <w:pStyle w:val="27"/>
        <w:spacing w:before="0" w:beforeAutospacing="0" w:after="0" w:afterAutospacing="0" w:line="400" w:lineRule="exact"/>
        <w:ind w:firstLine="480" w:firstLineChars="200"/>
        <w:jc w:val="both"/>
        <w:rPr>
          <w:rFonts w:hint="default" w:eastAsia="宋体" w:cs="宋体"/>
          <w:color w:val="auto"/>
          <w:highlight w:val="none"/>
          <w:lang w:val="en-US" w:eastAsia="zh-CN"/>
        </w:rPr>
      </w:pPr>
      <w:r>
        <w:rPr>
          <w:rFonts w:hint="eastAsia" w:cs="宋体"/>
          <w:color w:val="auto"/>
          <w:highlight w:val="none"/>
        </w:rPr>
        <w:t>标项名称：</w:t>
      </w:r>
      <w:r>
        <w:rPr>
          <w:rFonts w:hint="eastAsia" w:cs="宋体"/>
          <w:color w:val="auto"/>
          <w:highlight w:val="none"/>
          <w:lang w:eastAsia="zh-CN"/>
        </w:rPr>
        <w:t>宁波市北仑区港口危险货物储罐抽检项目</w:t>
      </w:r>
      <w:r>
        <w:rPr>
          <w:rFonts w:hint="eastAsia" w:cs="宋体"/>
          <w:color w:val="auto"/>
          <w:highlight w:val="none"/>
          <w:lang w:val="en-US" w:eastAsia="zh-CN"/>
        </w:rPr>
        <w:t>二标段</w:t>
      </w:r>
    </w:p>
    <w:p w14:paraId="53460D7B">
      <w:pPr>
        <w:pStyle w:val="27"/>
        <w:spacing w:before="0" w:beforeAutospacing="0" w:after="0" w:afterAutospacing="0" w:line="400" w:lineRule="exact"/>
        <w:ind w:firstLine="480" w:firstLineChars="200"/>
        <w:jc w:val="both"/>
        <w:rPr>
          <w:rFonts w:cs="宋体"/>
          <w:color w:val="auto"/>
          <w:highlight w:val="none"/>
        </w:rPr>
      </w:pPr>
      <w:r>
        <w:rPr>
          <w:rFonts w:hint="eastAsia" w:cs="宋体"/>
          <w:color w:val="auto"/>
          <w:highlight w:val="none"/>
        </w:rPr>
        <w:t>数量: 1</w:t>
      </w:r>
    </w:p>
    <w:p w14:paraId="3CB0CA8F">
      <w:pPr>
        <w:pStyle w:val="27"/>
        <w:spacing w:before="0" w:beforeAutospacing="0" w:after="0" w:afterAutospacing="0" w:line="400" w:lineRule="exact"/>
        <w:ind w:firstLine="480" w:firstLineChars="200"/>
        <w:jc w:val="both"/>
        <w:rPr>
          <w:rFonts w:cs="宋体"/>
          <w:color w:val="auto"/>
          <w:highlight w:val="none"/>
        </w:rPr>
      </w:pPr>
      <w:r>
        <w:rPr>
          <w:rFonts w:hint="eastAsia" w:cs="宋体"/>
          <w:color w:val="auto"/>
          <w:highlight w:val="none"/>
        </w:rPr>
        <w:t>预算金额（元）：</w:t>
      </w:r>
      <w:r>
        <w:rPr>
          <w:rFonts w:hint="eastAsia" w:cs="宋体"/>
          <w:color w:val="auto"/>
          <w:highlight w:val="none"/>
          <w:lang w:val="en-US" w:eastAsia="zh-CN"/>
        </w:rPr>
        <w:t xml:space="preserve">650000 </w:t>
      </w:r>
      <w:r>
        <w:rPr>
          <w:rFonts w:hint="eastAsia" w:cs="宋体"/>
          <w:color w:val="auto"/>
          <w:highlight w:val="none"/>
        </w:rPr>
        <w:t xml:space="preserve">   </w:t>
      </w:r>
    </w:p>
    <w:p w14:paraId="08532598">
      <w:pPr>
        <w:pStyle w:val="27"/>
        <w:spacing w:before="0" w:beforeAutospacing="0" w:after="0" w:afterAutospacing="0" w:line="400" w:lineRule="exact"/>
        <w:ind w:firstLine="480" w:firstLineChars="200"/>
        <w:jc w:val="both"/>
        <w:rPr>
          <w:rFonts w:cs="宋体"/>
          <w:color w:val="auto"/>
          <w:highlight w:val="none"/>
        </w:rPr>
      </w:pPr>
      <w:r>
        <w:rPr>
          <w:rFonts w:hint="eastAsia" w:cs="宋体"/>
          <w:color w:val="auto"/>
          <w:highlight w:val="none"/>
        </w:rPr>
        <w:t xml:space="preserve">简要规格描述或项目基本概况介绍、用途：详见《第二部分 项目要求》 </w:t>
      </w:r>
    </w:p>
    <w:p w14:paraId="53B87F2A">
      <w:pPr>
        <w:pStyle w:val="27"/>
        <w:spacing w:before="0" w:beforeAutospacing="0" w:after="0" w:afterAutospacing="0" w:line="400" w:lineRule="exact"/>
        <w:ind w:firstLine="480" w:firstLineChars="200"/>
        <w:jc w:val="both"/>
        <w:rPr>
          <w:rFonts w:cs="宋体"/>
          <w:color w:val="auto"/>
          <w:highlight w:val="none"/>
        </w:rPr>
      </w:pPr>
      <w:r>
        <w:rPr>
          <w:rFonts w:hint="eastAsia" w:cs="宋体"/>
          <w:color w:val="auto"/>
          <w:highlight w:val="none"/>
        </w:rPr>
        <w:t>备注：无。</w:t>
      </w:r>
    </w:p>
    <w:p w14:paraId="027BB2AE">
      <w:pPr>
        <w:pStyle w:val="27"/>
        <w:spacing w:before="0" w:beforeAutospacing="0" w:after="0" w:afterAutospacing="0" w:line="400" w:lineRule="exact"/>
        <w:ind w:firstLine="480" w:firstLineChars="200"/>
        <w:jc w:val="both"/>
        <w:rPr>
          <w:rFonts w:cs="宋体"/>
          <w:color w:val="auto"/>
          <w:highlight w:val="none"/>
        </w:rPr>
      </w:pPr>
      <w:r>
        <w:rPr>
          <w:rFonts w:hint="eastAsia" w:cs="宋体"/>
          <w:color w:val="auto"/>
          <w:highlight w:val="none"/>
        </w:rPr>
        <w:t>合同履约期限：标项</w:t>
      </w:r>
      <w:r>
        <w:rPr>
          <w:rFonts w:hint="eastAsia" w:cs="宋体"/>
          <w:color w:val="auto"/>
          <w:highlight w:val="none"/>
          <w:lang w:val="en-US" w:eastAsia="zh-CN"/>
        </w:rPr>
        <w:t>一/二</w:t>
      </w:r>
      <w:r>
        <w:rPr>
          <w:rFonts w:hint="eastAsia" w:cs="宋体"/>
          <w:color w:val="auto"/>
          <w:highlight w:val="none"/>
        </w:rPr>
        <w:t>，详见《第二部分 项目要求》</w:t>
      </w:r>
    </w:p>
    <w:p w14:paraId="5D9919A3">
      <w:pPr>
        <w:pStyle w:val="27"/>
        <w:spacing w:before="0" w:beforeAutospacing="0" w:after="0" w:afterAutospacing="0" w:line="400" w:lineRule="exact"/>
        <w:ind w:firstLine="480" w:firstLineChars="200"/>
        <w:jc w:val="both"/>
        <w:rPr>
          <w:rFonts w:cs="宋体"/>
          <w:color w:val="auto"/>
          <w:highlight w:val="none"/>
        </w:rPr>
      </w:pPr>
      <w:r>
        <w:rPr>
          <w:rFonts w:hint="eastAsia" w:cs="宋体"/>
          <w:color w:val="auto"/>
          <w:highlight w:val="none"/>
        </w:rPr>
        <w:t>本项目（否）接受联合体投标。</w:t>
      </w:r>
    </w:p>
    <w:p w14:paraId="7454B01C">
      <w:pPr>
        <w:pStyle w:val="27"/>
        <w:spacing w:before="0" w:beforeAutospacing="0" w:after="0" w:afterAutospacing="0" w:line="400" w:lineRule="exact"/>
        <w:jc w:val="both"/>
        <w:rPr>
          <w:rFonts w:cs="宋体"/>
          <w:color w:val="auto"/>
          <w:highlight w:val="none"/>
        </w:rPr>
      </w:pPr>
    </w:p>
    <w:p w14:paraId="268B9096">
      <w:pPr>
        <w:pStyle w:val="27"/>
        <w:spacing w:before="0" w:beforeAutospacing="0" w:after="0" w:afterAutospacing="0" w:line="400" w:lineRule="exact"/>
        <w:jc w:val="both"/>
        <w:rPr>
          <w:rFonts w:cs="宋体"/>
          <w:color w:val="auto"/>
          <w:highlight w:val="none"/>
        </w:rPr>
      </w:pPr>
      <w:r>
        <w:rPr>
          <w:rStyle w:val="34"/>
          <w:rFonts w:hint="eastAsia" w:cs="宋体"/>
          <w:color w:val="auto"/>
          <w:highlight w:val="none"/>
        </w:rPr>
        <w:t>二、申请人的资格要求：</w:t>
      </w:r>
    </w:p>
    <w:p w14:paraId="6DFFA131">
      <w:pPr>
        <w:pStyle w:val="27"/>
        <w:spacing w:before="0" w:beforeAutospacing="0" w:after="0" w:afterAutospacing="0" w:line="400" w:lineRule="exact"/>
        <w:jc w:val="both"/>
        <w:rPr>
          <w:rFonts w:cs="宋体"/>
          <w:color w:val="auto"/>
          <w:highlight w:val="none"/>
        </w:rPr>
      </w:pPr>
      <w:r>
        <w:rPr>
          <w:rFonts w:hint="eastAsia" w:cs="宋体"/>
          <w:color w:val="auto"/>
          <w:highlight w:val="none"/>
        </w:rPr>
        <w:t>  1.</w:t>
      </w:r>
      <w:r>
        <w:rPr>
          <w:rFonts w:hint="eastAsia" w:ascii="宋体" w:hAnsi="宋体" w:eastAsia="宋体" w:cs="宋体"/>
          <w:color w:val="auto"/>
          <w:highlight w:val="none"/>
        </w:rPr>
        <w:t>满足《中华人民共和国政府采购法》第二十二条规定；未被“信用中国”（www.creditchina.gov.cn)、中国政府采购网（www.ccgp.gov.cn）列入失信被执行人、重大税收违法失信主体、政府采购严重违法失信行为记录名单。</w:t>
      </w:r>
    </w:p>
    <w:p w14:paraId="16AA130C">
      <w:pPr>
        <w:pStyle w:val="27"/>
        <w:spacing w:before="0" w:beforeAutospacing="0" w:after="0" w:afterAutospacing="0" w:line="400" w:lineRule="exact"/>
        <w:jc w:val="both"/>
        <w:rPr>
          <w:rFonts w:cs="宋体"/>
          <w:color w:val="auto"/>
          <w:highlight w:val="none"/>
        </w:rPr>
      </w:pPr>
      <w:r>
        <w:rPr>
          <w:rFonts w:hint="eastAsia" w:cs="宋体"/>
          <w:color w:val="auto"/>
          <w:highlight w:val="none"/>
        </w:rPr>
        <w:t>  2.落实政府采购政策需满足的资格要求：</w:t>
      </w:r>
      <w:r>
        <w:rPr>
          <w:rFonts w:hint="eastAsia" w:cs="宋体"/>
          <w:color w:val="auto"/>
          <w:highlight w:val="none"/>
          <w:lang w:val="en-US" w:eastAsia="zh-CN"/>
        </w:rPr>
        <w:t>无</w:t>
      </w:r>
      <w:r>
        <w:rPr>
          <w:rFonts w:hint="eastAsia" w:cs="宋体"/>
          <w:color w:val="auto"/>
          <w:highlight w:val="none"/>
        </w:rPr>
        <w:t>。</w:t>
      </w:r>
    </w:p>
    <w:p w14:paraId="3E3D3EBF">
      <w:pPr>
        <w:pStyle w:val="27"/>
        <w:spacing w:before="0" w:beforeAutospacing="0" w:after="0" w:afterAutospacing="0" w:line="400" w:lineRule="exact"/>
        <w:jc w:val="both"/>
        <w:rPr>
          <w:rFonts w:hint="eastAsia" w:cs="宋体"/>
          <w:color w:val="auto"/>
          <w:highlight w:val="none"/>
          <w:lang w:eastAsia="zh-CN"/>
        </w:rPr>
      </w:pPr>
      <w:r>
        <w:rPr>
          <w:rFonts w:hint="eastAsia" w:cs="宋体"/>
          <w:color w:val="auto"/>
          <w:highlight w:val="none"/>
        </w:rPr>
        <w:t>  3.本项目的特定资格要求：</w:t>
      </w:r>
      <w:r>
        <w:rPr>
          <w:rFonts w:hint="eastAsia" w:cs="宋体"/>
          <w:color w:val="auto"/>
          <w:highlight w:val="none"/>
          <w:lang w:val="en-US" w:eastAsia="zh-CN"/>
        </w:rPr>
        <w:t>标项一/二：</w:t>
      </w:r>
      <w:r>
        <w:rPr>
          <w:rFonts w:hint="eastAsia" w:cs="宋体"/>
          <w:color w:val="auto"/>
          <w:highlight w:val="none"/>
          <w:lang w:eastAsia="zh-CN"/>
        </w:rPr>
        <w:t>经市场监管总局核准的，且核准项目代码包含RD2的特种设备综合检验机构；或经各级市场监管部门核准取得CMA证书，且检验检测机构资质认定证书附表中类别（产品/检测对象）包含常压储罐或常压容器，同时项目参数包含《在用危险化学品常压储罐检验要求》中主要检验检测项目的专业检验机构（</w:t>
      </w:r>
      <w:r>
        <w:rPr>
          <w:rFonts w:hint="eastAsia" w:cs="宋体"/>
          <w:color w:val="auto"/>
          <w:highlight w:val="none"/>
          <w:lang w:val="en-US" w:eastAsia="zh-CN"/>
        </w:rPr>
        <w:t>提供证明文件</w:t>
      </w:r>
      <w:r>
        <w:rPr>
          <w:rFonts w:hint="eastAsia" w:cs="宋体"/>
          <w:color w:val="auto"/>
          <w:highlight w:val="none"/>
          <w:lang w:eastAsia="zh-CN"/>
        </w:rPr>
        <w:t>）。 </w:t>
      </w:r>
    </w:p>
    <w:p w14:paraId="0974F2C3">
      <w:pPr>
        <w:pStyle w:val="27"/>
        <w:spacing w:before="0" w:beforeAutospacing="0" w:after="0" w:afterAutospacing="0" w:line="400" w:lineRule="exact"/>
        <w:jc w:val="both"/>
        <w:rPr>
          <w:rStyle w:val="34"/>
          <w:rFonts w:cs="宋体"/>
          <w:color w:val="auto"/>
          <w:highlight w:val="none"/>
        </w:rPr>
      </w:pPr>
    </w:p>
    <w:p w14:paraId="13E26E51">
      <w:pPr>
        <w:pStyle w:val="27"/>
        <w:spacing w:before="0" w:beforeAutospacing="0" w:after="0" w:afterAutospacing="0" w:line="400" w:lineRule="exact"/>
        <w:jc w:val="both"/>
        <w:rPr>
          <w:rFonts w:cs="宋体"/>
          <w:color w:val="auto"/>
          <w:highlight w:val="none"/>
        </w:rPr>
      </w:pPr>
      <w:r>
        <w:rPr>
          <w:rStyle w:val="34"/>
          <w:rFonts w:hint="eastAsia" w:cs="宋体"/>
          <w:color w:val="auto"/>
          <w:highlight w:val="none"/>
        </w:rPr>
        <w:t>三、获取招标文件</w:t>
      </w:r>
    </w:p>
    <w:p w14:paraId="69414848">
      <w:pPr>
        <w:pStyle w:val="27"/>
        <w:spacing w:before="0" w:beforeAutospacing="0" w:after="0" w:afterAutospacing="0" w:line="400" w:lineRule="exact"/>
        <w:jc w:val="both"/>
        <w:rPr>
          <w:rFonts w:cs="宋体"/>
          <w:color w:val="auto"/>
          <w:highlight w:val="none"/>
        </w:rPr>
      </w:pPr>
      <w:r>
        <w:rPr>
          <w:rFonts w:hint="eastAsia" w:cs="宋体"/>
          <w:color w:val="auto"/>
          <w:highlight w:val="none"/>
        </w:rPr>
        <w:t>   时间：</w:t>
      </w:r>
      <w:r>
        <w:rPr>
          <w:rFonts w:hint="eastAsia" w:cs="宋体"/>
          <w:color w:val="auto"/>
          <w:highlight w:val="none"/>
          <w:u w:val="single"/>
        </w:rPr>
        <w:t>202</w:t>
      </w:r>
      <w:r>
        <w:rPr>
          <w:rFonts w:hint="eastAsia" w:cs="宋体"/>
          <w:color w:val="auto"/>
          <w:highlight w:val="none"/>
          <w:u w:val="single"/>
          <w:lang w:val="en-US" w:eastAsia="zh-CN"/>
        </w:rPr>
        <w:t>5</w:t>
      </w:r>
      <w:r>
        <w:rPr>
          <w:rFonts w:hint="eastAsia" w:cs="宋体"/>
          <w:color w:val="auto"/>
          <w:highlight w:val="none"/>
          <w:u w:val="single"/>
        </w:rPr>
        <w:t>年</w:t>
      </w:r>
      <w:r>
        <w:rPr>
          <w:rFonts w:hint="eastAsia" w:cs="宋体"/>
          <w:color w:val="auto"/>
          <w:highlight w:val="none"/>
          <w:u w:val="single"/>
          <w:lang w:val="en-US" w:eastAsia="zh-CN"/>
        </w:rPr>
        <w:t>04</w:t>
      </w:r>
      <w:r>
        <w:rPr>
          <w:rFonts w:hint="eastAsia" w:cs="宋体"/>
          <w:color w:val="auto"/>
          <w:highlight w:val="none"/>
          <w:u w:val="single"/>
        </w:rPr>
        <w:t>月</w:t>
      </w:r>
      <w:r>
        <w:rPr>
          <w:rFonts w:hint="eastAsia" w:cs="宋体"/>
          <w:color w:val="auto"/>
          <w:highlight w:val="none"/>
          <w:u w:val="single"/>
          <w:lang w:val="en-US" w:eastAsia="zh-CN"/>
        </w:rPr>
        <w:t>16</w:t>
      </w:r>
      <w:r>
        <w:rPr>
          <w:rFonts w:hint="eastAsia" w:cs="宋体"/>
          <w:color w:val="auto"/>
          <w:highlight w:val="none"/>
          <w:u w:val="single"/>
        </w:rPr>
        <w:t>日至202</w:t>
      </w:r>
      <w:r>
        <w:rPr>
          <w:rFonts w:hint="eastAsia" w:cs="宋体"/>
          <w:color w:val="auto"/>
          <w:highlight w:val="none"/>
          <w:u w:val="single"/>
          <w:lang w:val="en-US" w:eastAsia="zh-CN"/>
        </w:rPr>
        <w:t>5</w:t>
      </w:r>
      <w:r>
        <w:rPr>
          <w:rFonts w:hint="eastAsia" w:cs="宋体"/>
          <w:color w:val="auto"/>
          <w:highlight w:val="none"/>
          <w:u w:val="single"/>
        </w:rPr>
        <w:t>年</w:t>
      </w:r>
      <w:r>
        <w:rPr>
          <w:rFonts w:hint="eastAsia" w:cs="宋体"/>
          <w:color w:val="auto"/>
          <w:highlight w:val="none"/>
          <w:u w:val="single"/>
          <w:lang w:val="en-US" w:eastAsia="zh-CN"/>
        </w:rPr>
        <w:t>04</w:t>
      </w:r>
      <w:r>
        <w:rPr>
          <w:rFonts w:hint="eastAsia" w:cs="宋体"/>
          <w:color w:val="auto"/>
          <w:highlight w:val="none"/>
          <w:u w:val="single"/>
        </w:rPr>
        <w:t>月</w:t>
      </w:r>
      <w:r>
        <w:rPr>
          <w:rFonts w:hint="eastAsia" w:cs="宋体"/>
          <w:color w:val="auto"/>
          <w:highlight w:val="none"/>
          <w:u w:val="single"/>
          <w:lang w:val="en-US" w:eastAsia="zh-CN"/>
        </w:rPr>
        <w:t>23</w:t>
      </w:r>
      <w:r>
        <w:rPr>
          <w:rFonts w:hint="eastAsia" w:cs="宋体"/>
          <w:color w:val="auto"/>
          <w:highlight w:val="none"/>
          <w:u w:val="single"/>
        </w:rPr>
        <w:t>日</w:t>
      </w:r>
      <w:r>
        <w:rPr>
          <w:rFonts w:hint="eastAsia" w:cs="宋体"/>
          <w:color w:val="auto"/>
          <w:highlight w:val="none"/>
        </w:rPr>
        <w:t>，每天上午00:00至12:00，下午12:00至23:59（北京时间，线上获取法定节假日均可，线下获取文件法定节假日除外）</w:t>
      </w:r>
    </w:p>
    <w:p w14:paraId="40EBAD54">
      <w:pPr>
        <w:pStyle w:val="27"/>
        <w:spacing w:before="0" w:beforeAutospacing="0" w:after="0" w:afterAutospacing="0" w:line="400" w:lineRule="exact"/>
        <w:jc w:val="both"/>
        <w:rPr>
          <w:rFonts w:cs="宋体"/>
          <w:color w:val="auto"/>
          <w:highlight w:val="none"/>
        </w:rPr>
      </w:pPr>
      <w:r>
        <w:rPr>
          <w:rFonts w:hint="eastAsia" w:cs="宋体"/>
          <w:color w:val="auto"/>
          <w:highlight w:val="none"/>
        </w:rPr>
        <w:t>    地点（网址）：浙江政府采购云平台（https://www.zcygov.cn/）</w:t>
      </w:r>
    </w:p>
    <w:p w14:paraId="661D0667">
      <w:pPr>
        <w:pStyle w:val="27"/>
        <w:spacing w:before="0" w:beforeAutospacing="0" w:after="0" w:afterAutospacing="0" w:line="400" w:lineRule="exact"/>
        <w:ind w:firstLine="730"/>
        <w:jc w:val="both"/>
        <w:rPr>
          <w:rFonts w:cs="宋体"/>
          <w:color w:val="auto"/>
          <w:highlight w:val="none"/>
        </w:rPr>
      </w:pPr>
      <w:r>
        <w:rPr>
          <w:rFonts w:hint="eastAsia" w:cs="宋体"/>
          <w:color w:val="auto"/>
          <w:highlight w:val="none"/>
        </w:rPr>
        <w:t>方式：供应商登录政采云平台的注册账号后，进入政采云系统“项目采购”模块“获取采购文件”菜单，进行网上获取采购文件。如有疑问请及时咨询网站客服，咨询电话：95763。本采购公告附件中的采购文件仅供阅览使用，供应商应在规定的采购文件提供期限内在政采云平台登录上述供应商注册的账号后获取采购文件。供应商未在规定的采购文件提供期限内或未按上述方式获取采购文件的，其投标将被拒绝，并不得对采购文件提起质疑投诉。</w:t>
      </w:r>
    </w:p>
    <w:p w14:paraId="25EDDF07">
      <w:pPr>
        <w:pStyle w:val="27"/>
        <w:spacing w:before="0" w:beforeAutospacing="0" w:after="0" w:afterAutospacing="0" w:line="400" w:lineRule="exact"/>
        <w:jc w:val="both"/>
        <w:rPr>
          <w:rFonts w:cs="宋体"/>
          <w:color w:val="auto"/>
          <w:highlight w:val="none"/>
        </w:rPr>
      </w:pPr>
      <w:r>
        <w:rPr>
          <w:rFonts w:hint="eastAsia" w:cs="宋体"/>
          <w:color w:val="auto"/>
          <w:highlight w:val="none"/>
        </w:rPr>
        <w:t>    售价（元）：0</w:t>
      </w:r>
    </w:p>
    <w:p w14:paraId="06FF2483">
      <w:pPr>
        <w:pStyle w:val="27"/>
        <w:spacing w:before="0" w:beforeAutospacing="0" w:after="0" w:afterAutospacing="0" w:line="400" w:lineRule="exact"/>
        <w:jc w:val="both"/>
        <w:rPr>
          <w:rStyle w:val="34"/>
          <w:rFonts w:cs="宋体"/>
          <w:color w:val="auto"/>
          <w:highlight w:val="none"/>
        </w:rPr>
      </w:pPr>
    </w:p>
    <w:p w14:paraId="391183D6">
      <w:pPr>
        <w:pStyle w:val="27"/>
        <w:spacing w:before="0" w:beforeAutospacing="0" w:after="0" w:afterAutospacing="0" w:line="400" w:lineRule="exact"/>
        <w:jc w:val="both"/>
        <w:rPr>
          <w:rFonts w:cs="宋体"/>
          <w:color w:val="auto"/>
          <w:highlight w:val="none"/>
        </w:rPr>
      </w:pPr>
      <w:r>
        <w:rPr>
          <w:rStyle w:val="34"/>
          <w:rFonts w:hint="eastAsia" w:cs="宋体"/>
          <w:color w:val="auto"/>
          <w:highlight w:val="none"/>
        </w:rPr>
        <w:t>四、提交投标文件截止时间、开标时间和地点</w:t>
      </w:r>
    </w:p>
    <w:p w14:paraId="28DFC97A">
      <w:pPr>
        <w:pStyle w:val="27"/>
        <w:spacing w:before="0" w:beforeAutospacing="0" w:after="0" w:afterAutospacing="0" w:line="400" w:lineRule="exact"/>
        <w:jc w:val="both"/>
        <w:rPr>
          <w:rFonts w:cs="宋体"/>
          <w:color w:val="auto"/>
          <w:highlight w:val="none"/>
        </w:rPr>
      </w:pPr>
      <w:r>
        <w:rPr>
          <w:rFonts w:hint="eastAsia" w:cs="宋体"/>
          <w:color w:val="auto"/>
          <w:highlight w:val="none"/>
        </w:rPr>
        <w:t>    提交投标文件截止时间：</w:t>
      </w:r>
      <w:r>
        <w:rPr>
          <w:rFonts w:hint="eastAsia" w:cs="宋体"/>
          <w:color w:val="auto"/>
          <w:highlight w:val="none"/>
          <w:u w:val="single"/>
        </w:rPr>
        <w:t>202</w:t>
      </w:r>
      <w:r>
        <w:rPr>
          <w:rFonts w:hint="eastAsia" w:cs="宋体"/>
          <w:color w:val="auto"/>
          <w:highlight w:val="none"/>
          <w:u w:val="single"/>
          <w:lang w:val="en-US" w:eastAsia="zh-CN"/>
        </w:rPr>
        <w:t>5</w:t>
      </w:r>
      <w:r>
        <w:rPr>
          <w:rFonts w:hint="eastAsia" w:cs="宋体"/>
          <w:color w:val="auto"/>
          <w:highlight w:val="none"/>
          <w:u w:val="single"/>
        </w:rPr>
        <w:t>年</w:t>
      </w:r>
      <w:r>
        <w:rPr>
          <w:rFonts w:hint="eastAsia" w:cs="宋体"/>
          <w:color w:val="auto"/>
          <w:highlight w:val="none"/>
          <w:u w:val="single"/>
          <w:lang w:val="en-US" w:eastAsia="zh-CN"/>
        </w:rPr>
        <w:t>05</w:t>
      </w:r>
      <w:r>
        <w:rPr>
          <w:rFonts w:hint="eastAsia" w:cs="宋体"/>
          <w:color w:val="auto"/>
          <w:highlight w:val="none"/>
          <w:u w:val="single"/>
        </w:rPr>
        <w:t>月</w:t>
      </w:r>
      <w:r>
        <w:rPr>
          <w:rFonts w:hint="eastAsia" w:cs="宋体"/>
          <w:color w:val="auto"/>
          <w:highlight w:val="none"/>
          <w:u w:val="single"/>
          <w:lang w:val="en-US" w:eastAsia="zh-CN"/>
        </w:rPr>
        <w:t>08</w:t>
      </w:r>
      <w:r>
        <w:rPr>
          <w:rFonts w:hint="eastAsia" w:cs="宋体"/>
          <w:color w:val="auto"/>
          <w:highlight w:val="none"/>
          <w:u w:val="single"/>
        </w:rPr>
        <w:t>日</w:t>
      </w:r>
      <w:r>
        <w:rPr>
          <w:rFonts w:hint="eastAsia" w:cs="宋体"/>
          <w:color w:val="auto"/>
          <w:highlight w:val="none"/>
          <w:u w:val="single"/>
          <w:lang w:val="en-US" w:eastAsia="zh-CN"/>
        </w:rPr>
        <w:t>09</w:t>
      </w:r>
      <w:r>
        <w:rPr>
          <w:rFonts w:hint="eastAsia" w:cs="宋体"/>
          <w:color w:val="auto"/>
          <w:highlight w:val="none"/>
          <w:u w:val="single"/>
        </w:rPr>
        <w:t>:00</w:t>
      </w:r>
      <w:r>
        <w:rPr>
          <w:rFonts w:hint="eastAsia" w:cs="宋体"/>
          <w:color w:val="auto"/>
          <w:highlight w:val="none"/>
        </w:rPr>
        <w:t>（北京时间）</w:t>
      </w:r>
    </w:p>
    <w:p w14:paraId="79411DAA">
      <w:pPr>
        <w:pStyle w:val="27"/>
        <w:spacing w:before="0" w:beforeAutospacing="0" w:after="0" w:afterAutospacing="0" w:line="400" w:lineRule="exact"/>
        <w:jc w:val="both"/>
        <w:rPr>
          <w:rFonts w:cs="宋体"/>
          <w:color w:val="auto"/>
          <w:highlight w:val="none"/>
        </w:rPr>
      </w:pPr>
      <w:r>
        <w:rPr>
          <w:rFonts w:hint="eastAsia" w:cs="宋体"/>
          <w:color w:val="auto"/>
          <w:highlight w:val="none"/>
        </w:rPr>
        <w:t>    投标地点（网址）：政采云（https://www.zcygov.cn/）</w:t>
      </w:r>
    </w:p>
    <w:p w14:paraId="101D3BEA">
      <w:pPr>
        <w:pStyle w:val="27"/>
        <w:spacing w:before="0" w:beforeAutospacing="0" w:after="0" w:afterAutospacing="0" w:line="400" w:lineRule="exact"/>
        <w:ind w:firstLine="720"/>
        <w:jc w:val="both"/>
        <w:rPr>
          <w:rFonts w:cs="宋体"/>
          <w:color w:val="auto"/>
          <w:highlight w:val="none"/>
        </w:rPr>
      </w:pPr>
      <w:r>
        <w:rPr>
          <w:rFonts w:hint="eastAsia" w:cs="宋体"/>
          <w:color w:val="auto"/>
          <w:highlight w:val="none"/>
        </w:rPr>
        <w:t>开标时间：</w:t>
      </w:r>
      <w:r>
        <w:rPr>
          <w:rFonts w:hint="eastAsia" w:cs="宋体"/>
          <w:color w:val="auto"/>
          <w:highlight w:val="none"/>
          <w:u w:val="single"/>
        </w:rPr>
        <w:t>202</w:t>
      </w:r>
      <w:r>
        <w:rPr>
          <w:rFonts w:hint="eastAsia" w:cs="宋体"/>
          <w:color w:val="auto"/>
          <w:highlight w:val="none"/>
          <w:u w:val="single"/>
          <w:lang w:val="en-US" w:eastAsia="zh-CN"/>
        </w:rPr>
        <w:t>5</w:t>
      </w:r>
      <w:r>
        <w:rPr>
          <w:rFonts w:hint="eastAsia" w:cs="宋体"/>
          <w:color w:val="auto"/>
          <w:highlight w:val="none"/>
          <w:u w:val="single"/>
        </w:rPr>
        <w:t>年</w:t>
      </w:r>
      <w:r>
        <w:rPr>
          <w:rFonts w:hint="eastAsia" w:cs="宋体"/>
          <w:color w:val="auto"/>
          <w:highlight w:val="none"/>
          <w:u w:val="single"/>
          <w:lang w:val="en-US" w:eastAsia="zh-CN"/>
        </w:rPr>
        <w:t>05</w:t>
      </w:r>
      <w:r>
        <w:rPr>
          <w:rFonts w:hint="eastAsia" w:cs="宋体"/>
          <w:color w:val="auto"/>
          <w:highlight w:val="none"/>
          <w:u w:val="single"/>
        </w:rPr>
        <w:t>月</w:t>
      </w:r>
      <w:r>
        <w:rPr>
          <w:rFonts w:hint="eastAsia" w:cs="宋体"/>
          <w:color w:val="auto"/>
          <w:highlight w:val="none"/>
          <w:u w:val="single"/>
          <w:lang w:val="en-US" w:eastAsia="zh-CN"/>
        </w:rPr>
        <w:t>08</w:t>
      </w:r>
      <w:r>
        <w:rPr>
          <w:rFonts w:hint="eastAsia" w:cs="宋体"/>
          <w:color w:val="auto"/>
          <w:highlight w:val="none"/>
          <w:u w:val="single"/>
        </w:rPr>
        <w:t>日</w:t>
      </w:r>
      <w:r>
        <w:rPr>
          <w:rFonts w:hint="eastAsia" w:cs="宋体"/>
          <w:color w:val="auto"/>
          <w:highlight w:val="none"/>
          <w:u w:val="single"/>
          <w:lang w:val="en-US" w:eastAsia="zh-CN"/>
        </w:rPr>
        <w:t>09</w:t>
      </w:r>
      <w:r>
        <w:rPr>
          <w:rFonts w:hint="eastAsia" w:cs="宋体"/>
          <w:color w:val="auto"/>
          <w:highlight w:val="none"/>
          <w:u w:val="single"/>
        </w:rPr>
        <w:t>:00</w:t>
      </w:r>
    </w:p>
    <w:p w14:paraId="0CF85E5D">
      <w:pPr>
        <w:pStyle w:val="27"/>
        <w:spacing w:before="0" w:beforeAutospacing="0" w:after="0" w:afterAutospacing="0" w:line="400" w:lineRule="exact"/>
        <w:ind w:firstLine="720"/>
        <w:jc w:val="both"/>
        <w:rPr>
          <w:rFonts w:cs="宋体"/>
          <w:color w:val="auto"/>
          <w:highlight w:val="none"/>
        </w:rPr>
      </w:pPr>
      <w:r>
        <w:rPr>
          <w:rFonts w:hint="eastAsia" w:cs="宋体"/>
          <w:color w:val="auto"/>
          <w:highlight w:val="none"/>
        </w:rPr>
        <w:t>开标地点（网址）：政采云（https://www.zcygov.cn/）</w:t>
      </w:r>
      <w:r>
        <w:rPr>
          <w:rFonts w:hint="eastAsia" w:cs="宋体"/>
          <w:color w:val="auto"/>
        </w:rPr>
        <w:t>（北仑区（开发区）公共资源交易中心（宁波市北仑区长江路1166号北仑行政大楼B座三楼招投标中心开标室,具体详见现场电子屏）</w:t>
      </w:r>
    </w:p>
    <w:p w14:paraId="276B1ADB">
      <w:pPr>
        <w:pStyle w:val="27"/>
        <w:spacing w:before="0" w:beforeAutospacing="0" w:after="0" w:afterAutospacing="0" w:line="400" w:lineRule="exact"/>
        <w:jc w:val="both"/>
        <w:rPr>
          <w:rStyle w:val="34"/>
          <w:rFonts w:cs="宋体"/>
          <w:color w:val="auto"/>
          <w:highlight w:val="none"/>
        </w:rPr>
      </w:pPr>
    </w:p>
    <w:p w14:paraId="05E14A1C">
      <w:pPr>
        <w:pStyle w:val="27"/>
        <w:spacing w:before="0" w:beforeAutospacing="0" w:after="0" w:afterAutospacing="0" w:line="400" w:lineRule="exact"/>
        <w:jc w:val="both"/>
        <w:rPr>
          <w:rFonts w:cs="宋体"/>
          <w:color w:val="auto"/>
          <w:highlight w:val="none"/>
        </w:rPr>
      </w:pPr>
      <w:r>
        <w:rPr>
          <w:rStyle w:val="34"/>
          <w:rFonts w:hint="eastAsia" w:cs="宋体"/>
          <w:color w:val="auto"/>
          <w:highlight w:val="none"/>
        </w:rPr>
        <w:t>五、公告期限</w:t>
      </w:r>
    </w:p>
    <w:p w14:paraId="570C8843">
      <w:pPr>
        <w:pStyle w:val="27"/>
        <w:spacing w:before="0" w:beforeAutospacing="0" w:after="0" w:afterAutospacing="0" w:line="400" w:lineRule="exact"/>
        <w:jc w:val="both"/>
        <w:rPr>
          <w:rFonts w:cs="宋体"/>
          <w:color w:val="auto"/>
          <w:highlight w:val="none"/>
        </w:rPr>
      </w:pPr>
      <w:r>
        <w:rPr>
          <w:rFonts w:hint="eastAsia" w:cs="宋体"/>
          <w:color w:val="auto"/>
          <w:highlight w:val="none"/>
        </w:rPr>
        <w:t>    自本公告发布之日起5个工作日。</w:t>
      </w:r>
    </w:p>
    <w:p w14:paraId="181DA84D">
      <w:pPr>
        <w:pStyle w:val="27"/>
        <w:spacing w:before="0" w:beforeAutospacing="0" w:after="0" w:afterAutospacing="0" w:line="400" w:lineRule="exact"/>
        <w:jc w:val="both"/>
        <w:rPr>
          <w:rStyle w:val="34"/>
          <w:rFonts w:cs="宋体"/>
          <w:color w:val="auto"/>
          <w:highlight w:val="none"/>
        </w:rPr>
      </w:pPr>
    </w:p>
    <w:p w14:paraId="5D777B27">
      <w:pPr>
        <w:pStyle w:val="27"/>
        <w:spacing w:before="0" w:beforeAutospacing="0" w:after="0" w:afterAutospacing="0" w:line="400" w:lineRule="exact"/>
        <w:jc w:val="both"/>
        <w:rPr>
          <w:rFonts w:cs="宋体"/>
          <w:color w:val="auto"/>
          <w:highlight w:val="none"/>
        </w:rPr>
      </w:pPr>
      <w:r>
        <w:rPr>
          <w:rStyle w:val="34"/>
          <w:rFonts w:hint="eastAsia" w:cs="宋体"/>
          <w:color w:val="auto"/>
          <w:highlight w:val="none"/>
        </w:rPr>
        <w:t>六、其他补充事宜</w:t>
      </w:r>
    </w:p>
    <w:p w14:paraId="044B802E">
      <w:pPr>
        <w:pStyle w:val="27"/>
        <w:keepNext w:val="0"/>
        <w:keepLines w:val="0"/>
        <w:pageBreakBefore w:val="0"/>
        <w:widowControl w:val="0"/>
        <w:kinsoku/>
        <w:wordWrap/>
        <w:overflowPunct/>
        <w:topLinePunct/>
        <w:autoSpaceDE/>
        <w:autoSpaceDN/>
        <w:bidi w:val="0"/>
        <w:adjustRightInd/>
        <w:snapToGrid/>
        <w:spacing w:before="0" w:beforeAutospacing="0" w:after="0" w:afterAutospacing="0" w:line="400" w:lineRule="exact"/>
        <w:ind w:right="0" w:rightChars="0" w:firstLine="480" w:firstLineChars="200"/>
        <w:jc w:val="both"/>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浙江省财政厅关于进一步发挥政府采购政策功能全力推动经济稳进提质的通知》（浙财采监（2022）3号）、《浙江省财政厅关于进一步促进政府采购公平竞争打造最优营商环境的通知》（浙财采监（2021）22号））、《浙江省财政厅关于进一步加大政府采购支持中小企业力度助力扎实稳住经济的通知》（浙财采监（2022）8号）已分别于2022年1月29日、2022年2月1日和2022年7月1日开始实施，此前有关规定与上述文件内容不一致的，按上述文件要求执行。</w:t>
      </w:r>
    </w:p>
    <w:p w14:paraId="7EA163D0">
      <w:pPr>
        <w:pStyle w:val="27"/>
        <w:keepNext w:val="0"/>
        <w:keepLines w:val="0"/>
        <w:pageBreakBefore w:val="0"/>
        <w:widowControl w:val="0"/>
        <w:kinsoku/>
        <w:wordWrap/>
        <w:overflowPunct/>
        <w:topLinePunct/>
        <w:autoSpaceDE/>
        <w:autoSpaceDN/>
        <w:bidi w:val="0"/>
        <w:adjustRightInd/>
        <w:snapToGrid/>
        <w:spacing w:before="0" w:beforeAutospacing="0" w:after="0" w:afterAutospacing="0" w:line="400" w:lineRule="exact"/>
        <w:ind w:right="0" w:rightChars="0" w:firstLine="480" w:firstLineChars="200"/>
        <w:jc w:val="both"/>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68BA4019">
      <w:pPr>
        <w:pStyle w:val="27"/>
        <w:keepNext w:val="0"/>
        <w:keepLines w:val="0"/>
        <w:pageBreakBefore w:val="0"/>
        <w:widowControl w:val="0"/>
        <w:kinsoku/>
        <w:wordWrap/>
        <w:overflowPunct/>
        <w:topLinePunct/>
        <w:autoSpaceDE/>
        <w:autoSpaceDN/>
        <w:bidi w:val="0"/>
        <w:adjustRightInd/>
        <w:snapToGrid/>
        <w:spacing w:before="0" w:beforeAutospacing="0" w:after="0" w:afterAutospacing="0" w:line="400" w:lineRule="exact"/>
        <w:ind w:right="0" w:rightChars="0" w:firstLine="480" w:firstLineChars="200"/>
        <w:jc w:val="both"/>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4239B26A">
      <w:pPr>
        <w:pStyle w:val="27"/>
        <w:keepNext w:val="0"/>
        <w:keepLines w:val="0"/>
        <w:pageBreakBefore w:val="0"/>
        <w:widowControl w:val="0"/>
        <w:kinsoku/>
        <w:wordWrap/>
        <w:overflowPunct/>
        <w:topLinePunct/>
        <w:autoSpaceDE/>
        <w:autoSpaceDN/>
        <w:bidi w:val="0"/>
        <w:adjustRightInd/>
        <w:snapToGrid/>
        <w:spacing w:before="0" w:beforeAutospacing="0" w:after="0" w:afterAutospacing="0" w:line="400" w:lineRule="exact"/>
        <w:ind w:right="0" w:rightChars="0" w:firstLine="480" w:firstLineChars="200"/>
        <w:jc w:val="both"/>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.其他事项：</w:t>
      </w:r>
    </w:p>
    <w:p w14:paraId="20EF9E2C">
      <w:pPr>
        <w:pStyle w:val="27"/>
        <w:keepNext w:val="0"/>
        <w:keepLines w:val="0"/>
        <w:pageBreakBefore w:val="0"/>
        <w:widowControl w:val="0"/>
        <w:kinsoku/>
        <w:wordWrap/>
        <w:overflowPunct/>
        <w:topLinePunct/>
        <w:autoSpaceDE/>
        <w:autoSpaceDN/>
        <w:bidi w:val="0"/>
        <w:adjustRightInd/>
        <w:snapToGrid/>
        <w:spacing w:before="0" w:beforeAutospacing="0" w:after="0" w:afterAutospacing="0" w:line="400" w:lineRule="exact"/>
        <w:ind w:right="0" w:rightChars="0" w:firstLine="480" w:firstLineChars="200"/>
        <w:jc w:val="both"/>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1执行政府采购政策：《政府采购促进中小企业发展管理办法》（财库[2020]46号）；《关于政府采购支持监狱企业发展有关问题的通知》(财库[2014]68号)；《关于促进残疾人就业政府采购政策的通知》（财库[2017]141号）；《关于环境标志产品政府采购实施的意见》（财库〔2006〕90号；《节能产品政府采购实施意见》的通知（财库〔2004〕185号）。</w:t>
      </w:r>
    </w:p>
    <w:p w14:paraId="2D1348A0">
      <w:pPr>
        <w:pStyle w:val="27"/>
        <w:keepNext w:val="0"/>
        <w:keepLines w:val="0"/>
        <w:pageBreakBefore w:val="0"/>
        <w:widowControl w:val="0"/>
        <w:kinsoku/>
        <w:wordWrap/>
        <w:overflowPunct/>
        <w:topLinePunct/>
        <w:autoSpaceDE/>
        <w:autoSpaceDN/>
        <w:bidi w:val="0"/>
        <w:adjustRightInd/>
        <w:snapToGrid/>
        <w:spacing w:before="0" w:beforeAutospacing="0" w:after="0" w:afterAutospacing="0" w:line="400" w:lineRule="exact"/>
        <w:ind w:right="0" w:rightChars="0" w:firstLine="480" w:firstLineChars="200"/>
        <w:jc w:val="both"/>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 xml:space="preserve">.2标前准备：各投标人应在开标前确保成为浙江省政府采购网正式注册入库供应商，并完成CA数字证书办理。因未注册入库、未办理CA数字证书等原因造成无法投标或投标失败等后果由投标人自行承担。（具体操作详见供应商-CA申领操作指南https://help.zcygov.cn/web/site_2/2018/11-29/2452.html）。 </w:t>
      </w:r>
    </w:p>
    <w:p w14:paraId="245DE9A2">
      <w:pPr>
        <w:pStyle w:val="27"/>
        <w:keepNext w:val="0"/>
        <w:keepLines w:val="0"/>
        <w:pageBreakBefore w:val="0"/>
        <w:widowControl w:val="0"/>
        <w:kinsoku/>
        <w:wordWrap/>
        <w:overflowPunct/>
        <w:topLinePunct/>
        <w:autoSpaceDE/>
        <w:autoSpaceDN/>
        <w:bidi w:val="0"/>
        <w:adjustRightInd/>
        <w:snapToGrid/>
        <w:spacing w:before="0" w:beforeAutospacing="0" w:after="0" w:afterAutospacing="0" w:line="400" w:lineRule="exact"/>
        <w:ind w:right="0" w:rightChars="0" w:firstLine="480" w:firstLineChars="200"/>
        <w:jc w:val="both"/>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 xml:space="preserve">.3投标文件制作：（1）按照本项目招标文件和政采云平台的要求编制、加密并递交投标文件。投标人在使用系统进行投标的过程中遇到涉及平台使用的任何问题，可致电政采云平台技术支持热线咨询，联系方式：95763。（2）投标人通过“政采云”平台电子投标工具制作投标文件，电子投标工具请投标人自行前往浙江省政府采购网下载并安装，（下载网址：http://www.zjzfcg.gov.cn/bidClientTemplate/2019-05-27/12946.html），投标文件制作具体流程详见政采云供应商-政府采购项目电子交易操作指南。（3）投标人应于提交投标文件截止时间前将电子投标文件上传到政府采购云平台（https://www.zcygov.cn/）。开标时间后30分钟内投标人登录政府采购云平台https://www.zcygov.cn/，用“项目采购-开标评标”功能成功解密投标文件。若投标人在规定时间内无法解密或解密失败的，视为投标文件撤回。 </w:t>
      </w:r>
    </w:p>
    <w:p w14:paraId="40450185">
      <w:pPr>
        <w:pStyle w:val="27"/>
        <w:keepNext w:val="0"/>
        <w:keepLines w:val="0"/>
        <w:pageBreakBefore w:val="0"/>
        <w:widowControl w:val="0"/>
        <w:kinsoku/>
        <w:wordWrap/>
        <w:overflowPunct/>
        <w:topLinePunct/>
        <w:autoSpaceDE/>
        <w:autoSpaceDN/>
        <w:bidi w:val="0"/>
        <w:adjustRightInd/>
        <w:snapToGrid/>
        <w:spacing w:before="0" w:beforeAutospacing="0" w:after="0" w:afterAutospacing="0" w:line="400" w:lineRule="exact"/>
        <w:ind w:right="0" w:rightChars="0" w:firstLine="480" w:firstLineChars="200"/>
        <w:jc w:val="both"/>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本项目发布媒体：浙江政府采购网（http://zfcg.czt.zj.gov.cn/）、宁波政府采购网（http://www.nbzfcg.cn）</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kern w:val="0"/>
          <w:sz w:val="24"/>
          <w:szCs w:val="24"/>
          <w:highlight w:val="none"/>
          <w:lang w:val="en-US" w:eastAsia="zh-CN" w:bidi="ar-SA"/>
        </w:rPr>
        <w:t>宁波市公共资源交易电子服务系统（https://jyxt.zwb.ningbo.gov.cn:4011）</w:t>
      </w:r>
      <w:r>
        <w:rPr>
          <w:rFonts w:hint="eastAsia" w:ascii="宋体" w:hAnsi="宋体" w:eastAsia="宋体" w:cs="宋体"/>
          <w:color w:val="auto"/>
          <w:sz w:val="24"/>
          <w:szCs w:val="24"/>
          <w:highlight w:val="none"/>
        </w:rPr>
        <w:t>。投标人有义务在采购活动期间浏览上述网站，公布信息视同送达所有潜在投标人，不再采用其它方式传达相关信息，若因未能及时了解到上述网站上发布的相关信息而导致的一切后果自行承担。</w:t>
      </w:r>
    </w:p>
    <w:p w14:paraId="24011B40">
      <w:pPr>
        <w:pStyle w:val="27"/>
        <w:keepNext w:val="0"/>
        <w:keepLines w:val="0"/>
        <w:pageBreakBefore w:val="0"/>
        <w:widowControl w:val="0"/>
        <w:kinsoku/>
        <w:wordWrap/>
        <w:overflowPunct/>
        <w:topLinePunct/>
        <w:autoSpaceDE/>
        <w:autoSpaceDN/>
        <w:bidi w:val="0"/>
        <w:adjustRightInd/>
        <w:snapToGrid/>
        <w:spacing w:before="0" w:beforeAutospacing="0" w:after="0" w:afterAutospacing="0" w:line="400" w:lineRule="exact"/>
        <w:ind w:right="0" w:rightChars="0" w:firstLine="480" w:firstLineChars="200"/>
        <w:jc w:val="both"/>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5单位负责人为同一人或者存在直接控股、管理关系的不同供应商，不得同时参加同一合同项下的政府采购活动。除单一来源采购项目外，为采购项目提供整体设计、规范编制或者项目管理、监理、检测等服务的供应商，不得再参加该采购项目的其他采购活动。</w:t>
      </w:r>
    </w:p>
    <w:p w14:paraId="7EFE9CA9">
      <w:pPr>
        <w:pStyle w:val="27"/>
        <w:spacing w:before="0" w:beforeAutospacing="0" w:after="0" w:afterAutospacing="0" w:line="400" w:lineRule="exact"/>
        <w:jc w:val="both"/>
        <w:rPr>
          <w:rStyle w:val="34"/>
          <w:rFonts w:cs="宋体"/>
          <w:color w:val="auto"/>
          <w:highlight w:val="none"/>
        </w:rPr>
      </w:pPr>
    </w:p>
    <w:p w14:paraId="684D2C30">
      <w:pPr>
        <w:pStyle w:val="27"/>
        <w:spacing w:before="0" w:beforeAutospacing="0" w:after="0" w:afterAutospacing="0" w:line="400" w:lineRule="exact"/>
        <w:jc w:val="both"/>
        <w:rPr>
          <w:rFonts w:cs="宋体"/>
          <w:color w:val="auto"/>
          <w:highlight w:val="none"/>
        </w:rPr>
      </w:pPr>
      <w:r>
        <w:rPr>
          <w:rStyle w:val="34"/>
          <w:rFonts w:hint="eastAsia" w:cs="宋体"/>
          <w:color w:val="auto"/>
          <w:highlight w:val="none"/>
        </w:rPr>
        <w:t>七、对本次采购提出询问、质疑、投诉，请按以下方式联系</w:t>
      </w:r>
    </w:p>
    <w:p w14:paraId="793C390E">
      <w:pPr>
        <w:pStyle w:val="27"/>
        <w:spacing w:before="0" w:beforeAutospacing="0" w:after="0" w:afterAutospacing="0" w:line="400" w:lineRule="exact"/>
        <w:rPr>
          <w:rFonts w:cs="宋体"/>
          <w:color w:val="auto"/>
          <w:highlight w:val="none"/>
        </w:rPr>
      </w:pPr>
      <w:r>
        <w:rPr>
          <w:rFonts w:hint="eastAsia" w:cs="宋体"/>
          <w:color w:val="auto"/>
          <w:highlight w:val="none"/>
        </w:rPr>
        <w:t>    1.采购人信息</w:t>
      </w:r>
    </w:p>
    <w:p w14:paraId="7170BAAA">
      <w:pPr>
        <w:pStyle w:val="27"/>
        <w:spacing w:before="0" w:beforeAutospacing="0" w:after="0" w:afterAutospacing="0" w:line="400" w:lineRule="exact"/>
        <w:ind w:firstLine="720"/>
        <w:rPr>
          <w:rFonts w:hint="eastAsia" w:cs="宋体"/>
          <w:color w:val="auto"/>
          <w:highlight w:val="none"/>
        </w:rPr>
      </w:pPr>
      <w:r>
        <w:rPr>
          <w:rFonts w:hint="eastAsia" w:cs="宋体"/>
          <w:color w:val="auto"/>
          <w:highlight w:val="none"/>
        </w:rPr>
        <w:t>名  称：</w:t>
      </w:r>
      <w:r>
        <w:rPr>
          <w:rFonts w:hint="eastAsia" w:cs="宋体"/>
          <w:color w:val="auto"/>
          <w:highlight w:val="none"/>
          <w:lang w:eastAsia="zh-CN"/>
        </w:rPr>
        <w:t>宁波市北仑区港航管理中心</w:t>
      </w:r>
      <w:r>
        <w:rPr>
          <w:rFonts w:hint="eastAsia" w:cs="宋体"/>
          <w:color w:val="auto"/>
          <w:highlight w:val="none"/>
        </w:rPr>
        <w:t> </w:t>
      </w:r>
    </w:p>
    <w:p w14:paraId="5761A7B4">
      <w:pPr>
        <w:pStyle w:val="27"/>
        <w:spacing w:before="0" w:beforeAutospacing="0" w:after="0" w:afterAutospacing="0" w:line="400" w:lineRule="exact"/>
        <w:ind w:firstLine="720"/>
        <w:rPr>
          <w:rFonts w:hint="eastAsia" w:cs="宋体"/>
          <w:color w:val="auto"/>
          <w:highlight w:val="none"/>
        </w:rPr>
      </w:pPr>
      <w:r>
        <w:rPr>
          <w:rFonts w:hint="eastAsia" w:cs="宋体"/>
          <w:color w:val="auto"/>
          <w:highlight w:val="none"/>
        </w:rPr>
        <w:t>地  址：宁波市北仑区进港路406号保税区金融科技大厦12层</w:t>
      </w:r>
    </w:p>
    <w:p w14:paraId="60DC4B5E">
      <w:pPr>
        <w:pStyle w:val="27"/>
        <w:spacing w:before="0" w:beforeAutospacing="0" w:after="0" w:afterAutospacing="0" w:line="400" w:lineRule="exact"/>
        <w:ind w:firstLine="720"/>
        <w:rPr>
          <w:rFonts w:hint="eastAsia" w:cs="宋体"/>
          <w:color w:val="auto"/>
          <w:highlight w:val="none"/>
        </w:rPr>
      </w:pPr>
      <w:r>
        <w:rPr>
          <w:rFonts w:hint="eastAsia" w:cs="宋体"/>
          <w:color w:val="auto"/>
          <w:highlight w:val="none"/>
        </w:rPr>
        <w:t>传  真：/</w:t>
      </w:r>
    </w:p>
    <w:p w14:paraId="3255B887">
      <w:pPr>
        <w:pStyle w:val="27"/>
        <w:spacing w:before="0" w:beforeAutospacing="0" w:after="0" w:afterAutospacing="0" w:line="400" w:lineRule="exact"/>
        <w:ind w:firstLine="720"/>
        <w:rPr>
          <w:rFonts w:hint="eastAsia" w:cs="宋体"/>
          <w:color w:val="auto"/>
          <w:highlight w:val="none"/>
        </w:rPr>
      </w:pPr>
      <w:r>
        <w:rPr>
          <w:rFonts w:hint="eastAsia" w:cs="宋体"/>
          <w:color w:val="auto"/>
          <w:highlight w:val="none"/>
        </w:rPr>
        <w:t>项目联系人（询问）：</w:t>
      </w:r>
      <w:r>
        <w:rPr>
          <w:rFonts w:hint="eastAsia" w:cs="宋体"/>
          <w:color w:val="auto"/>
          <w:highlight w:val="none"/>
          <w:lang w:val="en-US" w:eastAsia="zh-CN"/>
        </w:rPr>
        <w:t>殷</w:t>
      </w:r>
      <w:r>
        <w:rPr>
          <w:rFonts w:hint="eastAsia" w:cs="宋体"/>
          <w:color w:val="auto"/>
          <w:highlight w:val="none"/>
        </w:rPr>
        <w:t>老师</w:t>
      </w:r>
    </w:p>
    <w:p w14:paraId="1CDE8D3F">
      <w:pPr>
        <w:pStyle w:val="27"/>
        <w:spacing w:before="0" w:beforeAutospacing="0" w:after="0" w:afterAutospacing="0" w:line="400" w:lineRule="exact"/>
        <w:ind w:firstLine="720"/>
        <w:rPr>
          <w:rFonts w:hint="eastAsia" w:cs="宋体"/>
          <w:color w:val="auto"/>
          <w:highlight w:val="none"/>
          <w:lang w:eastAsia="zh-CN"/>
        </w:rPr>
      </w:pPr>
      <w:r>
        <w:rPr>
          <w:rFonts w:hint="eastAsia" w:cs="宋体"/>
          <w:color w:val="auto"/>
          <w:highlight w:val="none"/>
        </w:rPr>
        <w:t>项目联系方式（询问）：</w:t>
      </w:r>
      <w:r>
        <w:rPr>
          <w:rFonts w:hint="default" w:cs="宋体"/>
          <w:color w:val="auto"/>
          <w:highlight w:val="none"/>
        </w:rPr>
        <w:t>0574-</w:t>
      </w:r>
      <w:r>
        <w:rPr>
          <w:rFonts w:hint="eastAsia" w:cs="宋体"/>
          <w:color w:val="auto"/>
          <w:highlight w:val="none"/>
          <w:lang w:val="en-US" w:eastAsia="zh-CN"/>
        </w:rPr>
        <w:t xml:space="preserve">86782825 </w:t>
      </w:r>
    </w:p>
    <w:p w14:paraId="75891150">
      <w:pPr>
        <w:pStyle w:val="27"/>
        <w:spacing w:before="0" w:beforeAutospacing="0" w:after="0" w:afterAutospacing="0" w:line="400" w:lineRule="exact"/>
        <w:ind w:firstLine="720"/>
        <w:rPr>
          <w:rFonts w:hint="eastAsia" w:cs="宋体"/>
          <w:color w:val="auto"/>
          <w:highlight w:val="none"/>
        </w:rPr>
      </w:pPr>
      <w:r>
        <w:rPr>
          <w:rFonts w:hint="eastAsia" w:cs="宋体"/>
          <w:color w:val="auto"/>
          <w:highlight w:val="none"/>
        </w:rPr>
        <w:t>质疑联系人：</w:t>
      </w:r>
      <w:r>
        <w:rPr>
          <w:rFonts w:hint="eastAsia" w:cs="宋体"/>
          <w:color w:val="auto"/>
          <w:highlight w:val="none"/>
          <w:lang w:val="en-US" w:eastAsia="zh-CN"/>
        </w:rPr>
        <w:t>孙</w:t>
      </w:r>
      <w:r>
        <w:rPr>
          <w:rFonts w:hint="eastAsia" w:cs="宋体"/>
          <w:color w:val="auto"/>
          <w:highlight w:val="none"/>
        </w:rPr>
        <w:t>老师</w:t>
      </w:r>
    </w:p>
    <w:p w14:paraId="10689A21">
      <w:pPr>
        <w:pStyle w:val="27"/>
        <w:spacing w:before="0" w:beforeAutospacing="0" w:after="0" w:afterAutospacing="0" w:line="400" w:lineRule="exact"/>
        <w:ind w:firstLine="720"/>
        <w:rPr>
          <w:rFonts w:hint="eastAsia" w:cs="宋体"/>
          <w:color w:val="auto"/>
          <w:highlight w:val="none"/>
        </w:rPr>
      </w:pPr>
      <w:r>
        <w:rPr>
          <w:rFonts w:hint="eastAsia" w:cs="宋体"/>
          <w:color w:val="auto"/>
          <w:highlight w:val="none"/>
        </w:rPr>
        <w:t>质疑联系方式：0574-86782840</w:t>
      </w:r>
    </w:p>
    <w:p w14:paraId="7AC73981">
      <w:pPr>
        <w:pStyle w:val="27"/>
        <w:spacing w:before="0" w:beforeAutospacing="0" w:after="0" w:afterAutospacing="0" w:line="400" w:lineRule="exact"/>
        <w:ind w:firstLine="720"/>
        <w:rPr>
          <w:rFonts w:hint="eastAsia" w:cs="宋体"/>
          <w:color w:val="auto"/>
          <w:highlight w:val="none"/>
        </w:rPr>
      </w:pPr>
      <w:r>
        <w:rPr>
          <w:rFonts w:hint="eastAsia" w:cs="宋体"/>
          <w:color w:val="auto"/>
          <w:highlight w:val="none"/>
        </w:rPr>
        <w:t>    </w:t>
      </w:r>
    </w:p>
    <w:p w14:paraId="46152677">
      <w:pPr>
        <w:pStyle w:val="27"/>
        <w:spacing w:before="0" w:beforeAutospacing="0" w:after="0" w:afterAutospacing="0" w:line="400" w:lineRule="exact"/>
        <w:rPr>
          <w:rFonts w:cs="宋体"/>
          <w:color w:val="auto"/>
          <w:highlight w:val="none"/>
        </w:rPr>
      </w:pPr>
      <w:r>
        <w:rPr>
          <w:rFonts w:hint="eastAsia" w:cs="宋体"/>
          <w:color w:val="auto"/>
          <w:highlight w:val="none"/>
        </w:rPr>
        <w:t>    2.采购代理机构信息</w:t>
      </w:r>
    </w:p>
    <w:p w14:paraId="56BB870E">
      <w:pPr>
        <w:pStyle w:val="27"/>
        <w:spacing w:before="0" w:beforeAutospacing="0" w:after="0" w:afterAutospacing="0" w:line="400" w:lineRule="exact"/>
        <w:rPr>
          <w:rFonts w:cs="宋体"/>
          <w:color w:val="auto"/>
          <w:highlight w:val="none"/>
        </w:rPr>
      </w:pPr>
      <w:r>
        <w:rPr>
          <w:rFonts w:hint="eastAsia" w:cs="宋体"/>
          <w:color w:val="auto"/>
          <w:highlight w:val="none"/>
        </w:rPr>
        <w:t>    名  称：宁波名诚招标代理有限公司</w:t>
      </w:r>
    </w:p>
    <w:p w14:paraId="3500C6BA">
      <w:pPr>
        <w:pStyle w:val="27"/>
        <w:spacing w:before="0" w:beforeAutospacing="0" w:after="0" w:afterAutospacing="0" w:line="400" w:lineRule="exact"/>
        <w:ind w:firstLine="720"/>
        <w:rPr>
          <w:rFonts w:cs="宋体"/>
          <w:color w:val="auto"/>
          <w:spacing w:val="-17"/>
          <w:highlight w:val="none"/>
        </w:rPr>
      </w:pPr>
      <w:r>
        <w:rPr>
          <w:rFonts w:hint="eastAsia" w:cs="宋体"/>
          <w:color w:val="auto"/>
          <w:highlight w:val="none"/>
        </w:rPr>
        <w:t>地  址：</w:t>
      </w:r>
      <w:r>
        <w:rPr>
          <w:rFonts w:hint="eastAsia" w:cs="宋体"/>
          <w:color w:val="auto"/>
          <w:highlight w:val="none"/>
          <w:lang w:eastAsia="zh-CN"/>
        </w:rPr>
        <w:t>宁波市海曙区江汇城496号姚江时代14幢3楼</w:t>
      </w:r>
    </w:p>
    <w:p w14:paraId="40094598">
      <w:pPr>
        <w:pStyle w:val="27"/>
        <w:spacing w:before="0" w:beforeAutospacing="0" w:after="0" w:afterAutospacing="0" w:line="400" w:lineRule="exact"/>
        <w:rPr>
          <w:rFonts w:cs="宋体"/>
          <w:color w:val="auto"/>
          <w:highlight w:val="none"/>
        </w:rPr>
      </w:pPr>
      <w:r>
        <w:rPr>
          <w:rFonts w:hint="eastAsia" w:cs="宋体"/>
          <w:color w:val="auto"/>
          <w:highlight w:val="none"/>
        </w:rPr>
        <w:t>    传  真：/</w:t>
      </w:r>
    </w:p>
    <w:p w14:paraId="6B03670C">
      <w:pPr>
        <w:pStyle w:val="27"/>
        <w:spacing w:before="0" w:beforeAutospacing="0" w:after="0" w:afterAutospacing="0" w:line="400" w:lineRule="exact"/>
        <w:rPr>
          <w:rFonts w:hint="default" w:eastAsia="宋体" w:cs="宋体"/>
          <w:color w:val="auto"/>
          <w:highlight w:val="none"/>
          <w:lang w:val="en-US" w:eastAsia="zh-CN"/>
        </w:rPr>
      </w:pPr>
      <w:r>
        <w:rPr>
          <w:rFonts w:hint="eastAsia" w:cs="宋体"/>
          <w:color w:val="auto"/>
          <w:highlight w:val="none"/>
        </w:rPr>
        <w:t>    项目联系人（询问）：史涛、陈燕</w:t>
      </w:r>
      <w:r>
        <w:rPr>
          <w:rFonts w:hint="eastAsia" w:cs="宋体"/>
          <w:color w:val="auto"/>
          <w:highlight w:val="none"/>
          <w:lang w:eastAsia="zh-CN"/>
        </w:rPr>
        <w:t>、</w:t>
      </w:r>
      <w:r>
        <w:rPr>
          <w:rFonts w:hint="eastAsia" w:cs="宋体"/>
          <w:color w:val="auto"/>
          <w:highlight w:val="none"/>
          <w:lang w:val="en-US" w:eastAsia="zh-CN"/>
        </w:rPr>
        <w:t>陈一浩</w:t>
      </w:r>
    </w:p>
    <w:p w14:paraId="165C219D">
      <w:pPr>
        <w:pStyle w:val="27"/>
        <w:spacing w:before="0" w:beforeAutospacing="0" w:after="0" w:afterAutospacing="0" w:line="400" w:lineRule="exact"/>
        <w:rPr>
          <w:rFonts w:cs="宋体"/>
          <w:color w:val="auto"/>
          <w:highlight w:val="none"/>
        </w:rPr>
      </w:pPr>
      <w:r>
        <w:rPr>
          <w:rFonts w:hint="eastAsia" w:cs="宋体"/>
          <w:color w:val="auto"/>
          <w:highlight w:val="none"/>
        </w:rPr>
        <w:t>    项目联系方式（询问）：0574-87101283</w:t>
      </w:r>
    </w:p>
    <w:p w14:paraId="65987EB9">
      <w:pPr>
        <w:pStyle w:val="27"/>
        <w:spacing w:before="0" w:beforeAutospacing="0" w:after="0" w:afterAutospacing="0" w:line="400" w:lineRule="exact"/>
        <w:rPr>
          <w:rFonts w:cs="宋体"/>
          <w:color w:val="auto"/>
          <w:highlight w:val="none"/>
        </w:rPr>
      </w:pPr>
      <w:r>
        <w:rPr>
          <w:rFonts w:hint="eastAsia" w:cs="宋体"/>
          <w:color w:val="auto"/>
          <w:highlight w:val="none"/>
        </w:rPr>
        <w:t>    质疑联系人：方芳</w:t>
      </w:r>
    </w:p>
    <w:p w14:paraId="064DA0EF">
      <w:pPr>
        <w:pStyle w:val="27"/>
        <w:spacing w:before="0" w:beforeAutospacing="0" w:after="0" w:afterAutospacing="0" w:line="400" w:lineRule="exact"/>
        <w:rPr>
          <w:rFonts w:cs="宋体"/>
          <w:color w:val="auto"/>
          <w:highlight w:val="none"/>
        </w:rPr>
      </w:pPr>
      <w:r>
        <w:rPr>
          <w:rFonts w:hint="eastAsia" w:cs="宋体"/>
          <w:color w:val="auto"/>
          <w:highlight w:val="none"/>
        </w:rPr>
        <w:t>    质疑联系方式：</w:t>
      </w:r>
      <w:r>
        <w:rPr>
          <w:rFonts w:hint="eastAsia" w:cs="宋体"/>
          <w:color w:val="auto"/>
          <w:highlight w:val="none"/>
          <w:lang w:val="en-US" w:eastAsia="zh-CN"/>
        </w:rPr>
        <w:t>13968311598</w:t>
      </w:r>
    </w:p>
    <w:p w14:paraId="1E4915BB">
      <w:pPr>
        <w:pStyle w:val="27"/>
        <w:spacing w:before="0" w:beforeAutospacing="0" w:after="0" w:afterAutospacing="0" w:line="400" w:lineRule="exact"/>
        <w:rPr>
          <w:rFonts w:cs="宋体"/>
          <w:color w:val="auto"/>
          <w:highlight w:val="none"/>
        </w:rPr>
      </w:pPr>
      <w:r>
        <w:rPr>
          <w:rFonts w:hint="eastAsia" w:cs="宋体"/>
          <w:color w:val="auto"/>
          <w:highlight w:val="none"/>
        </w:rPr>
        <w:t>    </w:t>
      </w:r>
    </w:p>
    <w:p w14:paraId="36724195">
      <w:pPr>
        <w:pStyle w:val="27"/>
        <w:spacing w:before="0" w:beforeAutospacing="0" w:after="0" w:afterAutospacing="0" w:line="400" w:lineRule="exact"/>
        <w:rPr>
          <w:rFonts w:cs="宋体"/>
          <w:color w:val="auto"/>
          <w:highlight w:val="none"/>
        </w:rPr>
      </w:pPr>
      <w:r>
        <w:rPr>
          <w:rFonts w:hint="eastAsia" w:cs="宋体"/>
          <w:color w:val="auto"/>
          <w:highlight w:val="none"/>
        </w:rPr>
        <w:t>    3.同级政府采购监督管理部门</w:t>
      </w:r>
    </w:p>
    <w:p w14:paraId="6F6F7D0F">
      <w:pPr>
        <w:pStyle w:val="27"/>
        <w:spacing w:before="0" w:beforeAutospacing="0" w:after="0" w:afterAutospacing="0" w:line="400" w:lineRule="exact"/>
        <w:ind w:firstLine="720"/>
        <w:rPr>
          <w:rFonts w:hint="eastAsia" w:cs="宋体"/>
          <w:color w:val="auto"/>
          <w:highlight w:val="none"/>
        </w:rPr>
      </w:pPr>
      <w:r>
        <w:rPr>
          <w:rFonts w:hint="eastAsia" w:cs="宋体"/>
          <w:color w:val="auto"/>
          <w:highlight w:val="none"/>
        </w:rPr>
        <w:t xml:space="preserve">名称：宁波市北仑区财政局政府采购管理办公室 </w:t>
      </w:r>
    </w:p>
    <w:p w14:paraId="3F00C00C">
      <w:pPr>
        <w:pStyle w:val="27"/>
        <w:spacing w:before="0" w:beforeAutospacing="0" w:after="0" w:afterAutospacing="0" w:line="400" w:lineRule="exact"/>
        <w:ind w:firstLine="720"/>
        <w:rPr>
          <w:rFonts w:hint="eastAsia" w:cs="宋体"/>
          <w:color w:val="auto"/>
          <w:highlight w:val="none"/>
        </w:rPr>
      </w:pPr>
      <w:r>
        <w:rPr>
          <w:rFonts w:hint="eastAsia" w:cs="宋体"/>
          <w:color w:val="auto"/>
          <w:highlight w:val="none"/>
        </w:rPr>
        <w:t xml:space="preserve">地址：宁波市北仑区长江路1166号6楼 </w:t>
      </w:r>
    </w:p>
    <w:p w14:paraId="322F6666">
      <w:pPr>
        <w:pStyle w:val="27"/>
        <w:spacing w:before="0" w:beforeAutospacing="0" w:after="0" w:afterAutospacing="0" w:line="400" w:lineRule="exact"/>
        <w:ind w:firstLine="720"/>
        <w:rPr>
          <w:rFonts w:hint="eastAsia" w:cs="宋体"/>
          <w:color w:val="auto"/>
          <w:highlight w:val="none"/>
        </w:rPr>
      </w:pPr>
      <w:r>
        <w:rPr>
          <w:rFonts w:hint="eastAsia" w:cs="宋体"/>
          <w:color w:val="auto"/>
          <w:highlight w:val="none"/>
        </w:rPr>
        <w:t xml:space="preserve">传真：/ </w:t>
      </w:r>
    </w:p>
    <w:p w14:paraId="1B6235F1">
      <w:pPr>
        <w:pStyle w:val="27"/>
        <w:spacing w:before="0" w:beforeAutospacing="0" w:after="0" w:afterAutospacing="0" w:line="400" w:lineRule="exact"/>
        <w:ind w:firstLine="720"/>
        <w:rPr>
          <w:rFonts w:hint="eastAsia" w:cs="宋体"/>
          <w:color w:val="auto"/>
          <w:highlight w:val="none"/>
        </w:rPr>
      </w:pPr>
      <w:r>
        <w:rPr>
          <w:rFonts w:hint="eastAsia" w:cs="宋体"/>
          <w:color w:val="auto"/>
          <w:highlight w:val="none"/>
        </w:rPr>
        <w:t xml:space="preserve">联系人：严老师 </w:t>
      </w:r>
    </w:p>
    <w:p w14:paraId="55E6D9BB">
      <w:pPr>
        <w:pStyle w:val="27"/>
        <w:spacing w:before="0" w:beforeAutospacing="0" w:after="0" w:afterAutospacing="0" w:line="400" w:lineRule="exact"/>
        <w:ind w:firstLine="720"/>
        <w:rPr>
          <w:rFonts w:hint="eastAsia" w:cs="宋体"/>
          <w:color w:val="auto"/>
          <w:highlight w:val="none"/>
        </w:rPr>
      </w:pPr>
      <w:r>
        <w:rPr>
          <w:rFonts w:hint="eastAsia" w:cs="宋体"/>
          <w:color w:val="auto"/>
          <w:highlight w:val="none"/>
        </w:rPr>
        <w:t>监督投诉电话：0574-89383756</w:t>
      </w:r>
    </w:p>
    <w:p w14:paraId="167F66DB">
      <w:pPr>
        <w:pStyle w:val="27"/>
        <w:spacing w:before="0" w:beforeAutospacing="0" w:after="0" w:afterAutospacing="0" w:line="400" w:lineRule="exact"/>
        <w:rPr>
          <w:rFonts w:cs="宋体"/>
          <w:color w:val="auto"/>
          <w:highlight w:val="none"/>
        </w:rPr>
      </w:pPr>
    </w:p>
    <w:p w14:paraId="32F7AAD7">
      <w:pPr>
        <w:widowControl/>
        <w:spacing w:line="400" w:lineRule="exact"/>
        <w:jc w:val="left"/>
        <w:rPr>
          <w:rFonts w:ascii="宋体" w:hAnsi="宋体" w:cs="宋体"/>
          <w:color w:val="auto"/>
          <w:sz w:val="24"/>
          <w:szCs w:val="24"/>
          <w:highlight w:val="none"/>
        </w:rPr>
      </w:pPr>
      <w:r>
        <w:rPr>
          <w:rFonts w:hint="eastAsia" w:ascii="宋体" w:hAnsi="宋体" w:cs="宋体"/>
          <w:color w:val="auto"/>
          <w:kern w:val="0"/>
          <w:sz w:val="24"/>
          <w:szCs w:val="24"/>
          <w:highlight w:val="none"/>
        </w:rPr>
        <w:t>若对项目采购电子交易系统操作有疑问，可登录政采云（https://www.zcygov.cn/），点击右侧咨询小采，获取采小蜜智能服务管家帮助，或拨打政采云服务热线</w:t>
      </w:r>
      <w:r>
        <w:rPr>
          <w:rFonts w:hint="eastAsia" w:ascii="宋体" w:hAnsi="宋体" w:cs="宋体"/>
          <w:color w:val="auto"/>
          <w:szCs w:val="24"/>
          <w:highlight w:val="none"/>
        </w:rPr>
        <w:t>95763</w:t>
      </w:r>
      <w:r>
        <w:rPr>
          <w:rFonts w:hint="eastAsia" w:ascii="宋体" w:hAnsi="宋体" w:cs="宋体"/>
          <w:color w:val="auto"/>
          <w:kern w:val="0"/>
          <w:sz w:val="24"/>
          <w:szCs w:val="24"/>
          <w:highlight w:val="none"/>
        </w:rPr>
        <w:t>获取热线服务帮助。       </w:t>
      </w:r>
    </w:p>
    <w:p w14:paraId="11115AE4">
      <w:pPr>
        <w:widowControl/>
        <w:spacing w:line="400" w:lineRule="exact"/>
        <w:jc w:val="left"/>
        <w:rPr>
          <w:rFonts w:ascii="宋体" w:hAnsi="宋体" w:cs="宋体"/>
          <w:color w:val="auto"/>
          <w:sz w:val="24"/>
          <w:szCs w:val="24"/>
          <w:highlight w:val="none"/>
        </w:rPr>
      </w:pPr>
      <w:r>
        <w:rPr>
          <w:rFonts w:hint="eastAsia" w:ascii="宋体" w:hAnsi="宋体" w:cs="宋体"/>
          <w:color w:val="auto"/>
          <w:kern w:val="0"/>
          <w:sz w:val="24"/>
          <w:szCs w:val="24"/>
          <w:highlight w:val="none"/>
        </w:rPr>
        <w:t>CA问题联系电话（人工）：汇信CA 400-888-4636；天谷CA 400-087-8198。</w:t>
      </w:r>
    </w:p>
    <w:p w14:paraId="52EB96A6">
      <w:pPr>
        <w:spacing w:line="400" w:lineRule="exact"/>
        <w:ind w:firstLine="5520" w:firstLineChars="2300"/>
        <w:rPr>
          <w:rFonts w:ascii="宋体" w:hAnsi="宋体" w:cs="宋体"/>
          <w:color w:val="auto"/>
          <w:sz w:val="24"/>
          <w:szCs w:val="24"/>
          <w:highlight w:val="none"/>
        </w:rPr>
      </w:pPr>
    </w:p>
    <w:p w14:paraId="20880352">
      <w:pPr>
        <w:spacing w:line="400" w:lineRule="exact"/>
        <w:ind w:firstLine="5520" w:firstLineChars="2300"/>
        <w:rPr>
          <w:rFonts w:ascii="宋体" w:hAnsi="宋体" w:cs="宋体"/>
          <w:color w:val="auto"/>
          <w:sz w:val="24"/>
          <w:szCs w:val="24"/>
          <w:highlight w:val="none"/>
        </w:rPr>
      </w:pPr>
      <w:r>
        <w:rPr>
          <w:rFonts w:hint="eastAsia" w:ascii="宋体" w:hAnsi="宋体" w:cs="宋体"/>
          <w:color w:val="auto"/>
          <w:sz w:val="24"/>
          <w:szCs w:val="24"/>
          <w:highlight w:val="none"/>
        </w:rPr>
        <w:t>发布日期：202</w:t>
      </w:r>
      <w:r>
        <w:rPr>
          <w:rFonts w:hint="eastAsia" w:ascii="宋体" w:hAnsi="宋体" w:cs="宋体"/>
          <w:color w:val="auto"/>
          <w:sz w:val="24"/>
          <w:szCs w:val="24"/>
          <w:highlight w:val="none"/>
          <w:lang w:val="en-US" w:eastAsia="zh-CN"/>
        </w:rPr>
        <w:t>5</w:t>
      </w:r>
      <w:r>
        <w:rPr>
          <w:rFonts w:hint="eastAsia" w:ascii="宋体" w:hAnsi="宋体" w:cs="宋体"/>
          <w:color w:val="auto"/>
          <w:sz w:val="24"/>
          <w:szCs w:val="24"/>
          <w:highlight w:val="none"/>
        </w:rPr>
        <w:t>年</w:t>
      </w:r>
      <w:r>
        <w:rPr>
          <w:rFonts w:hint="eastAsia" w:ascii="宋体" w:hAnsi="宋体" w:cs="宋体"/>
          <w:color w:val="auto"/>
          <w:sz w:val="24"/>
          <w:szCs w:val="24"/>
          <w:highlight w:val="none"/>
          <w:lang w:val="en-US" w:eastAsia="zh-CN"/>
        </w:rPr>
        <w:t>04</w:t>
      </w:r>
      <w:r>
        <w:rPr>
          <w:rFonts w:hint="eastAsia" w:ascii="宋体" w:hAnsi="宋体" w:cs="宋体"/>
          <w:color w:val="auto"/>
          <w:sz w:val="24"/>
          <w:szCs w:val="24"/>
          <w:highlight w:val="none"/>
        </w:rPr>
        <w:t>月</w:t>
      </w:r>
      <w:r>
        <w:rPr>
          <w:rFonts w:hint="eastAsia" w:ascii="宋体" w:hAnsi="宋体" w:cs="宋体"/>
          <w:color w:val="auto"/>
          <w:sz w:val="24"/>
          <w:szCs w:val="24"/>
          <w:highlight w:val="none"/>
          <w:lang w:val="en-US" w:eastAsia="zh-CN"/>
        </w:rPr>
        <w:t>16</w:t>
      </w:r>
      <w:r>
        <w:rPr>
          <w:rFonts w:hint="eastAsia" w:ascii="宋体" w:hAnsi="宋体" w:cs="宋体"/>
          <w:color w:val="auto"/>
          <w:sz w:val="24"/>
          <w:szCs w:val="24"/>
          <w:highlight w:val="none"/>
        </w:rPr>
        <w:t xml:space="preserve">日 </w:t>
      </w:r>
    </w:p>
    <w:p w14:paraId="04979939">
      <w:pPr>
        <w:rPr>
          <w:rFonts w:ascii="宋体" w:hAnsi="宋体" w:cs="宋体"/>
          <w:color w:val="auto"/>
          <w:sz w:val="24"/>
          <w:szCs w:val="24"/>
          <w:highlight w:val="none"/>
        </w:rPr>
      </w:pPr>
      <w:r>
        <w:rPr>
          <w:rFonts w:hint="eastAsia" w:ascii="宋体" w:hAnsi="宋体" w:cs="宋体"/>
          <w:color w:val="auto"/>
          <w:sz w:val="24"/>
          <w:szCs w:val="24"/>
          <w:highlight w:val="none"/>
        </w:rPr>
        <w:br w:type="page"/>
      </w:r>
    </w:p>
    <w:p w14:paraId="14784540">
      <w:pPr>
        <w:jc w:val="center"/>
        <w:outlineLvl w:val="0"/>
        <w:rPr>
          <w:rFonts w:ascii="黑体" w:eastAsia="黑体"/>
          <w:b/>
          <w:color w:val="auto"/>
          <w:sz w:val="32"/>
          <w:highlight w:val="none"/>
        </w:rPr>
      </w:pPr>
      <w:bookmarkStart w:id="2" w:name="_Toc788"/>
      <w:r>
        <w:rPr>
          <w:b/>
          <w:color w:val="auto"/>
          <w:sz w:val="36"/>
          <w:szCs w:val="36"/>
          <w:highlight w:val="none"/>
        </w:rPr>
        <w:t>第</w:t>
      </w:r>
      <w:r>
        <w:rPr>
          <w:rFonts w:hint="eastAsia"/>
          <w:b/>
          <w:color w:val="auto"/>
          <w:sz w:val="36"/>
          <w:szCs w:val="36"/>
          <w:highlight w:val="none"/>
        </w:rPr>
        <w:t>二</w:t>
      </w:r>
      <w:r>
        <w:rPr>
          <w:b/>
          <w:color w:val="auto"/>
          <w:sz w:val="36"/>
          <w:szCs w:val="36"/>
          <w:highlight w:val="none"/>
        </w:rPr>
        <w:t xml:space="preserve">部分  </w:t>
      </w:r>
      <w:r>
        <w:rPr>
          <w:rFonts w:hint="eastAsia"/>
          <w:b/>
          <w:color w:val="auto"/>
          <w:sz w:val="36"/>
          <w:szCs w:val="36"/>
          <w:highlight w:val="none"/>
        </w:rPr>
        <w:t>项目要求</w:t>
      </w:r>
      <w:bookmarkEnd w:id="2"/>
    </w:p>
    <w:p w14:paraId="717E4BC3">
      <w:pPr>
        <w:pStyle w:val="27"/>
        <w:spacing w:before="0" w:beforeAutospacing="0" w:after="0" w:afterAutospacing="0" w:line="400" w:lineRule="exact"/>
        <w:jc w:val="both"/>
        <w:rPr>
          <w:rFonts w:cs="宋体"/>
          <w:b/>
          <w:color w:val="auto"/>
          <w:sz w:val="28"/>
          <w:szCs w:val="28"/>
          <w:highlight w:val="none"/>
        </w:rPr>
      </w:pPr>
    </w:p>
    <w:p w14:paraId="57A18396">
      <w:pPr>
        <w:keepNext/>
        <w:keepLines/>
        <w:spacing w:line="460" w:lineRule="exact"/>
        <w:jc w:val="left"/>
        <w:rPr>
          <w:rFonts w:hint="eastAsia" w:ascii="Calibri" w:hAnsi="Calibri" w:eastAsia="宋体" w:cs="Calibri"/>
          <w:b/>
          <w:bCs/>
          <w:color w:val="auto"/>
          <w:kern w:val="44"/>
          <w:sz w:val="24"/>
          <w:szCs w:val="24"/>
          <w:highlight w:val="none"/>
          <w:shd w:val="clear" w:color="auto" w:fill="FFFFFF"/>
          <w:lang w:eastAsia="zh-CN"/>
        </w:rPr>
      </w:pPr>
      <w:r>
        <w:rPr>
          <w:rFonts w:ascii="Calibri" w:hAnsi="Calibri" w:eastAsia="宋体" w:cs="Calibri"/>
          <w:b/>
          <w:bCs/>
          <w:color w:val="auto"/>
          <w:kern w:val="44"/>
          <w:sz w:val="24"/>
          <w:szCs w:val="24"/>
          <w:highlight w:val="none"/>
          <w:shd w:val="clear" w:color="auto" w:fill="FFFFFF"/>
        </w:rPr>
        <w:t>技术条款要求</w:t>
      </w:r>
      <w:r>
        <w:rPr>
          <w:rFonts w:hint="eastAsia" w:ascii="Calibri" w:hAnsi="Calibri" w:cs="Calibri"/>
          <w:b/>
          <w:bCs/>
          <w:color w:val="auto"/>
          <w:kern w:val="44"/>
          <w:sz w:val="24"/>
          <w:szCs w:val="24"/>
          <w:highlight w:val="none"/>
          <w:shd w:val="clear" w:color="auto" w:fill="FFFFFF"/>
          <w:lang w:eastAsia="zh-CN"/>
        </w:rPr>
        <w:t>（</w:t>
      </w:r>
      <w:r>
        <w:rPr>
          <w:rFonts w:hint="eastAsia" w:ascii="Calibri" w:hAnsi="Calibri" w:cs="Calibri"/>
          <w:b/>
          <w:bCs/>
          <w:color w:val="auto"/>
          <w:kern w:val="44"/>
          <w:sz w:val="24"/>
          <w:szCs w:val="24"/>
          <w:highlight w:val="none"/>
          <w:shd w:val="clear" w:color="auto" w:fill="FFFFFF"/>
          <w:lang w:val="en-US" w:eastAsia="zh-CN"/>
        </w:rPr>
        <w:t>适用标项一、二</w:t>
      </w:r>
      <w:r>
        <w:rPr>
          <w:rFonts w:hint="eastAsia" w:ascii="Calibri" w:hAnsi="Calibri" w:cs="Calibri"/>
          <w:b/>
          <w:bCs/>
          <w:color w:val="auto"/>
          <w:kern w:val="44"/>
          <w:sz w:val="24"/>
          <w:szCs w:val="24"/>
          <w:highlight w:val="none"/>
          <w:shd w:val="clear" w:color="auto" w:fill="FFFFFF"/>
          <w:lang w:eastAsia="zh-CN"/>
        </w:rPr>
        <w:t>）</w:t>
      </w:r>
    </w:p>
    <w:p w14:paraId="3CFCF8F2">
      <w:pPr>
        <w:pageBreakBefore w:val="0"/>
        <w:widowControl w:val="0"/>
        <w:kinsoku/>
        <w:wordWrap/>
        <w:overflowPunct/>
        <w:topLinePunct w:val="0"/>
        <w:autoSpaceDE/>
        <w:autoSpaceDN/>
        <w:bidi w:val="0"/>
        <w:adjustRightInd/>
        <w:snapToGrid w:val="0"/>
        <w:spacing w:line="480" w:lineRule="exact"/>
        <w:textAlignment w:val="auto"/>
        <w:rPr>
          <w:rFonts w:hint="eastAsia" w:ascii="宋体" w:hAnsi="宋体" w:eastAsia="宋体" w:cs="宋体"/>
          <w:b/>
          <w:bCs/>
          <w:i w:val="0"/>
          <w:iCs w:val="0"/>
          <w:color w:val="auto"/>
          <w:sz w:val="24"/>
          <w:szCs w:val="24"/>
          <w:lang w:val="en-US" w:eastAsia="zh-CN"/>
        </w:rPr>
      </w:pPr>
    </w:p>
    <w:p w14:paraId="556D8432">
      <w:pPr>
        <w:pageBreakBefore w:val="0"/>
        <w:widowControl w:val="0"/>
        <w:kinsoku/>
        <w:wordWrap/>
        <w:overflowPunct/>
        <w:topLinePunct w:val="0"/>
        <w:autoSpaceDE/>
        <w:autoSpaceDN/>
        <w:bidi w:val="0"/>
        <w:adjustRightInd/>
        <w:snapToGrid w:val="0"/>
        <w:spacing w:line="480" w:lineRule="exact"/>
        <w:textAlignment w:val="auto"/>
        <w:rPr>
          <w:rFonts w:hint="eastAsia" w:ascii="宋体" w:hAnsi="宋体" w:eastAsia="宋体" w:cs="宋体"/>
          <w:b/>
          <w:bCs/>
          <w:i w:val="0"/>
          <w:iCs w:val="0"/>
          <w:color w:val="auto"/>
          <w:sz w:val="24"/>
          <w:szCs w:val="24"/>
          <w:lang w:val="en-US" w:eastAsia="zh-CN"/>
        </w:rPr>
      </w:pPr>
      <w:r>
        <w:rPr>
          <w:rFonts w:hint="eastAsia" w:ascii="宋体" w:hAnsi="宋体" w:eastAsia="宋体" w:cs="宋体"/>
          <w:b/>
          <w:bCs/>
          <w:i w:val="0"/>
          <w:iCs w:val="0"/>
          <w:color w:val="auto"/>
          <w:sz w:val="24"/>
          <w:szCs w:val="24"/>
          <w:lang w:val="en-US" w:eastAsia="zh-CN"/>
        </w:rPr>
        <w:t>一</w:t>
      </w:r>
      <w:r>
        <w:rPr>
          <w:rFonts w:hint="eastAsia" w:ascii="宋体" w:hAnsi="宋体" w:cs="宋体"/>
          <w:b/>
          <w:bCs/>
          <w:i w:val="0"/>
          <w:iCs w:val="0"/>
          <w:color w:val="auto"/>
          <w:sz w:val="24"/>
          <w:szCs w:val="24"/>
          <w:lang w:val="en-US" w:eastAsia="zh-CN"/>
        </w:rPr>
        <w:t>、</w:t>
      </w:r>
      <w:r>
        <w:rPr>
          <w:rFonts w:hint="eastAsia" w:ascii="宋体" w:hAnsi="宋体" w:eastAsia="宋体" w:cs="宋体"/>
          <w:b/>
          <w:bCs/>
          <w:i w:val="0"/>
          <w:iCs w:val="0"/>
          <w:color w:val="auto"/>
          <w:sz w:val="24"/>
          <w:szCs w:val="24"/>
        </w:rPr>
        <w:t>项目背景</w:t>
      </w:r>
    </w:p>
    <w:p w14:paraId="6F01AF67">
      <w:pPr>
        <w:pStyle w:val="2"/>
        <w:spacing w:before="143" w:beforeLines="50" w:line="480" w:lineRule="exact"/>
        <w:ind w:firstLine="480"/>
        <w:rPr>
          <w:rFonts w:hint="default" w:ascii="宋体" w:hAnsi="宋体" w:eastAsia="宋体" w:cs="宋体"/>
          <w:i w:val="0"/>
          <w:color w:val="auto"/>
          <w:sz w:val="24"/>
          <w:szCs w:val="24"/>
          <w:shd w:val="clear" w:color="auto" w:fill="auto"/>
        </w:rPr>
      </w:pPr>
      <w:r>
        <w:rPr>
          <w:rFonts w:hint="default" w:ascii="宋体" w:hAnsi="宋体" w:eastAsia="宋体" w:cs="宋体"/>
          <w:i w:val="0"/>
          <w:color w:val="auto"/>
          <w:sz w:val="24"/>
          <w:szCs w:val="24"/>
        </w:rPr>
        <w:t>2022年，根据</w:t>
      </w:r>
      <w:r>
        <w:rPr>
          <w:rFonts w:hint="default" w:ascii="宋体" w:hAnsi="宋体" w:eastAsia="宋体" w:cs="宋体"/>
          <w:i w:val="0"/>
          <w:color w:val="auto"/>
          <w:sz w:val="24"/>
          <w:szCs w:val="24"/>
          <w:shd w:val="clear" w:color="auto" w:fill="auto"/>
        </w:rPr>
        <w:t>开发区整合和</w:t>
      </w:r>
      <w:r>
        <w:rPr>
          <w:rFonts w:hint="default" w:ascii="宋体" w:hAnsi="宋体" w:eastAsia="宋体" w:cs="宋体"/>
          <w:i w:val="0"/>
          <w:color w:val="auto"/>
          <w:sz w:val="24"/>
          <w:szCs w:val="24"/>
        </w:rPr>
        <w:t>《市政府专题会议纪要》相关要求，</w:t>
      </w:r>
      <w:r>
        <w:rPr>
          <w:rFonts w:hint="default" w:ascii="宋体" w:hAnsi="宋体" w:eastAsia="宋体" w:cs="宋体"/>
          <w:i w:val="0"/>
          <w:color w:val="auto"/>
          <w:sz w:val="24"/>
          <w:szCs w:val="24"/>
          <w:shd w:val="clear" w:color="auto" w:fill="auto"/>
        </w:rPr>
        <w:t>大榭港区和</w:t>
      </w:r>
      <w:r>
        <w:rPr>
          <w:rFonts w:hint="default" w:ascii="宋体" w:hAnsi="宋体" w:eastAsia="宋体" w:cs="宋体"/>
          <w:i w:val="0"/>
          <w:color w:val="auto"/>
          <w:sz w:val="24"/>
          <w:szCs w:val="24"/>
        </w:rPr>
        <w:t>市直辖港区港口管理职能先后并入北仑区统一管理，港口管辖范围涵盖宁波舟山港北仑、穿山、梅山、大榭等四大核心港区和甬江港区北仑片区。港口管理职能划转后，</w:t>
      </w:r>
      <w:r>
        <w:rPr>
          <w:rFonts w:ascii="宋体" w:hAnsi="宋体" w:eastAsia="宋体" w:cs="宋体"/>
          <w:i w:val="0"/>
          <w:color w:val="auto"/>
          <w:sz w:val="24"/>
          <w:szCs w:val="24"/>
        </w:rPr>
        <w:t>我区港口经营企业由原来的25家</w:t>
      </w:r>
      <w:r>
        <w:rPr>
          <w:rFonts w:hint="default" w:ascii="宋体" w:hAnsi="宋体" w:eastAsia="宋体" w:cs="宋体"/>
          <w:i w:val="0"/>
          <w:color w:val="auto"/>
          <w:sz w:val="24"/>
          <w:szCs w:val="24"/>
          <w:lang w:eastAsia="zh-CN"/>
        </w:rPr>
        <w:t>扩大至</w:t>
      </w:r>
      <w:r>
        <w:rPr>
          <w:rFonts w:ascii="宋体" w:hAnsi="宋体" w:eastAsia="宋体" w:cs="宋体"/>
          <w:i w:val="0"/>
          <w:color w:val="auto"/>
          <w:sz w:val="24"/>
          <w:szCs w:val="24"/>
        </w:rPr>
        <w:t>75家，危险货物码头由原来的20座</w:t>
      </w:r>
      <w:r>
        <w:rPr>
          <w:rFonts w:hint="default" w:ascii="宋体" w:hAnsi="宋体" w:eastAsia="宋体" w:cs="宋体"/>
          <w:i w:val="0"/>
          <w:color w:val="auto"/>
          <w:sz w:val="24"/>
          <w:szCs w:val="24"/>
          <w:lang w:eastAsia="zh-CN"/>
        </w:rPr>
        <w:t>扩大至</w:t>
      </w:r>
      <w:r>
        <w:rPr>
          <w:rFonts w:hint="default" w:ascii="宋体" w:hAnsi="宋体" w:eastAsia="宋体" w:cs="宋体"/>
          <w:i w:val="0"/>
          <w:color w:val="auto"/>
          <w:sz w:val="24"/>
          <w:szCs w:val="24"/>
        </w:rPr>
        <w:t>85</w:t>
      </w:r>
      <w:r>
        <w:rPr>
          <w:rFonts w:ascii="宋体" w:hAnsi="宋体" w:eastAsia="宋体" w:cs="宋体"/>
          <w:i w:val="0"/>
          <w:color w:val="auto"/>
          <w:sz w:val="24"/>
          <w:szCs w:val="24"/>
        </w:rPr>
        <w:t>座，危险货物储罐由原来的26</w:t>
      </w:r>
      <w:r>
        <w:rPr>
          <w:rFonts w:hint="default" w:ascii="宋体" w:hAnsi="宋体" w:eastAsia="宋体" w:cs="宋体"/>
          <w:i w:val="0"/>
          <w:color w:val="auto"/>
          <w:sz w:val="24"/>
          <w:szCs w:val="24"/>
        </w:rPr>
        <w:t>个</w:t>
      </w:r>
      <w:r>
        <w:rPr>
          <w:rFonts w:hint="default" w:ascii="宋体" w:hAnsi="宋体" w:eastAsia="宋体" w:cs="宋体"/>
          <w:i w:val="0"/>
          <w:color w:val="auto"/>
          <w:sz w:val="24"/>
          <w:szCs w:val="24"/>
          <w:lang w:eastAsia="zh-CN"/>
        </w:rPr>
        <w:t>扩大至</w:t>
      </w:r>
      <w:r>
        <w:rPr>
          <w:rFonts w:hint="default" w:ascii="宋体" w:hAnsi="宋体" w:eastAsia="宋体" w:cs="宋体"/>
          <w:i w:val="0"/>
          <w:color w:val="auto"/>
          <w:sz w:val="24"/>
          <w:szCs w:val="24"/>
        </w:rPr>
        <w:t>248个</w:t>
      </w:r>
      <w:r>
        <w:rPr>
          <w:rFonts w:ascii="宋体" w:hAnsi="宋体" w:eastAsia="宋体" w:cs="宋体"/>
          <w:i w:val="0"/>
          <w:color w:val="auto"/>
          <w:sz w:val="24"/>
          <w:szCs w:val="24"/>
        </w:rPr>
        <w:t>、重大危险源由原来的5个</w:t>
      </w:r>
      <w:r>
        <w:rPr>
          <w:rFonts w:hint="default" w:ascii="宋体" w:hAnsi="宋体" w:eastAsia="宋体" w:cs="宋体"/>
          <w:i w:val="0"/>
          <w:color w:val="auto"/>
          <w:sz w:val="24"/>
          <w:szCs w:val="24"/>
          <w:lang w:eastAsia="zh-CN"/>
        </w:rPr>
        <w:t>扩大至</w:t>
      </w:r>
      <w:r>
        <w:rPr>
          <w:rFonts w:hint="default" w:ascii="宋体" w:hAnsi="宋体" w:eastAsia="宋体" w:cs="宋体"/>
          <w:i w:val="0"/>
          <w:color w:val="auto"/>
          <w:sz w:val="24"/>
          <w:szCs w:val="24"/>
        </w:rPr>
        <w:t>34</w:t>
      </w:r>
      <w:r>
        <w:rPr>
          <w:rFonts w:ascii="宋体" w:hAnsi="宋体" w:eastAsia="宋体" w:cs="宋体"/>
          <w:i w:val="0"/>
          <w:color w:val="auto"/>
          <w:sz w:val="24"/>
          <w:szCs w:val="24"/>
        </w:rPr>
        <w:t>个。</w:t>
      </w:r>
      <w:r>
        <w:rPr>
          <w:rFonts w:hint="default" w:ascii="宋体" w:hAnsi="宋体" w:eastAsia="宋体" w:cs="宋体"/>
          <w:i w:val="0"/>
          <w:color w:val="auto"/>
          <w:sz w:val="24"/>
          <w:szCs w:val="24"/>
        </w:rPr>
        <w:t>危险货物储罐总罐容占全市80%、重大危险源数量占全市60%，港口集装箱吞吐量占全市更是接近97%。</w:t>
      </w:r>
    </w:p>
    <w:p w14:paraId="673ADD8D">
      <w:pPr>
        <w:pStyle w:val="2"/>
        <w:pageBreakBefore w:val="0"/>
        <w:widowControl w:val="0"/>
        <w:kinsoku/>
        <w:wordWrap/>
        <w:overflowPunct/>
        <w:topLinePunct w:val="0"/>
        <w:autoSpaceDE/>
        <w:autoSpaceDN/>
        <w:bidi w:val="0"/>
        <w:adjustRightInd/>
        <w:spacing w:before="143" w:beforeLines="50" w:line="480" w:lineRule="exact"/>
        <w:ind w:left="0" w:firstLine="480" w:firstLineChars="200"/>
        <w:textAlignment w:val="auto"/>
        <w:rPr>
          <w:rFonts w:hint="default" w:ascii="宋体" w:hAnsi="宋体" w:eastAsia="宋体" w:cs="宋体"/>
          <w:i w:val="0"/>
          <w:iCs w:val="0"/>
          <w:color w:val="auto"/>
          <w:sz w:val="24"/>
          <w:szCs w:val="24"/>
          <w:lang w:eastAsia="zh-CN"/>
        </w:rPr>
      </w:pPr>
      <w:r>
        <w:rPr>
          <w:rFonts w:hint="default" w:ascii="宋体" w:hAnsi="宋体" w:eastAsia="宋体" w:cs="宋体"/>
          <w:i w:val="0"/>
          <w:color w:val="auto"/>
          <w:sz w:val="24"/>
          <w:szCs w:val="24"/>
          <w:shd w:val="clear" w:color="auto" w:fill="auto"/>
          <w:lang w:val="en-US" w:eastAsia="zh-CN"/>
        </w:rPr>
        <w:t>为贯彻落实省、市“除险保安”工作部署，通过本项目开展，旨在加强储罐安全监管力度，督促企业安全生产主体责任落实，掌握危险货物储罐的安全技术状况，提高港口危险货物重大危险源安全管理水平，降低港口危险货物作业风险，提升行业安全风险整体防控能力。根据《中华人民共和国港口法》、《中华人民共和国安全生产法》、《危险化学品安全管理条例》（国务院令第591号）、《交通运输企业安全生产标准化建设评价管理办法》、《关于加强港口危险货物储罐安全管理的意见》、《交通运输部关于进一步加强危险货物港口作业安全管理的通知》、《浙江省安全生产条例》和《港口危险货物安全管理规定》等法律法规文件要求，北仑区港航管理中心拟通过政府购买服务，引进第三方专业机构对我区港口危险货物储罐开展抽检。储罐抽检主要参照《港口危险货物常压储罐检测工作指南》《在用危险化学品常压储罐检验要求》等标准规范，重点开展储罐检测报告和维护情况复核、储罐抽检。</w:t>
      </w:r>
    </w:p>
    <w:p w14:paraId="12AE60D7">
      <w:pPr>
        <w:pStyle w:val="2"/>
        <w:pageBreakBefore w:val="0"/>
        <w:widowControl w:val="0"/>
        <w:kinsoku/>
        <w:wordWrap/>
        <w:overflowPunct/>
        <w:topLinePunct w:val="0"/>
        <w:autoSpaceDE/>
        <w:autoSpaceDN/>
        <w:bidi w:val="0"/>
        <w:adjustRightInd/>
        <w:spacing w:line="480" w:lineRule="exact"/>
        <w:ind w:left="0" w:firstLine="480" w:firstLineChars="200"/>
        <w:textAlignment w:val="auto"/>
        <w:rPr>
          <w:rFonts w:hint="eastAsia" w:ascii="宋体" w:hAnsi="宋体" w:eastAsia="宋体" w:cs="宋体"/>
          <w:i w:val="0"/>
          <w:iCs w:val="0"/>
          <w:color w:val="auto"/>
          <w:sz w:val="24"/>
          <w:szCs w:val="24"/>
          <w:lang w:eastAsia="zh-CN"/>
        </w:rPr>
      </w:pPr>
    </w:p>
    <w:p w14:paraId="34706829">
      <w:pPr>
        <w:pStyle w:val="2"/>
        <w:pageBreakBefore w:val="0"/>
        <w:widowControl w:val="0"/>
        <w:kinsoku/>
        <w:wordWrap/>
        <w:overflowPunct/>
        <w:topLinePunct w:val="0"/>
        <w:autoSpaceDE/>
        <w:autoSpaceDN/>
        <w:bidi w:val="0"/>
        <w:adjustRightInd/>
        <w:spacing w:line="480" w:lineRule="exact"/>
        <w:textAlignment w:val="auto"/>
        <w:rPr>
          <w:rFonts w:hint="eastAsia" w:ascii="宋体" w:hAnsi="宋体" w:eastAsia="宋体" w:cs="宋体"/>
          <w:b/>
          <w:bCs/>
          <w:i w:val="0"/>
          <w:iCs w:val="0"/>
          <w:color w:val="auto"/>
          <w:sz w:val="24"/>
          <w:szCs w:val="24"/>
          <w:lang w:val="en-US" w:eastAsia="zh-CN"/>
        </w:rPr>
      </w:pPr>
      <w:r>
        <w:rPr>
          <w:rFonts w:hint="eastAsia" w:ascii="宋体" w:hAnsi="宋体" w:eastAsia="宋体" w:cs="宋体"/>
          <w:b/>
          <w:bCs/>
          <w:i w:val="0"/>
          <w:iCs w:val="0"/>
          <w:color w:val="auto"/>
          <w:sz w:val="24"/>
          <w:szCs w:val="24"/>
          <w:lang w:val="en-US" w:eastAsia="zh-CN"/>
        </w:rPr>
        <w:t>二</w:t>
      </w:r>
      <w:r>
        <w:rPr>
          <w:rFonts w:hint="eastAsia" w:ascii="宋体" w:hAnsi="宋体" w:cs="宋体"/>
          <w:b/>
          <w:bCs/>
          <w:i w:val="0"/>
          <w:iCs w:val="0"/>
          <w:color w:val="auto"/>
          <w:sz w:val="24"/>
          <w:szCs w:val="24"/>
          <w:lang w:val="en-US" w:eastAsia="zh-CN"/>
        </w:rPr>
        <w:t>、服务</w:t>
      </w:r>
      <w:r>
        <w:rPr>
          <w:rFonts w:hint="eastAsia" w:ascii="宋体" w:hAnsi="宋体" w:eastAsia="宋体" w:cs="宋体"/>
          <w:b/>
          <w:bCs/>
          <w:i w:val="0"/>
          <w:iCs w:val="0"/>
          <w:color w:val="auto"/>
          <w:sz w:val="24"/>
          <w:szCs w:val="24"/>
          <w:lang w:val="en-US" w:eastAsia="zh-CN"/>
        </w:rPr>
        <w:t>内容</w:t>
      </w:r>
    </w:p>
    <w:p w14:paraId="3ACF435F">
      <w:pPr>
        <w:pStyle w:val="2"/>
        <w:pageBreakBefore w:val="0"/>
        <w:widowControl w:val="0"/>
        <w:kinsoku/>
        <w:wordWrap/>
        <w:overflowPunct/>
        <w:topLinePunct w:val="0"/>
        <w:autoSpaceDE/>
        <w:autoSpaceDN/>
        <w:bidi w:val="0"/>
        <w:adjustRightInd/>
        <w:spacing w:line="480" w:lineRule="exact"/>
        <w:textAlignment w:val="auto"/>
        <w:rPr>
          <w:rFonts w:hint="eastAsia" w:ascii="宋体" w:hAnsi="宋体" w:cs="宋体"/>
          <w:b/>
          <w:bCs/>
          <w:i w:val="0"/>
          <w:iCs w:val="0"/>
          <w:color w:val="auto"/>
          <w:sz w:val="24"/>
          <w:szCs w:val="24"/>
          <w:lang w:val="en-US" w:eastAsia="zh-CN"/>
        </w:rPr>
      </w:pPr>
      <w:r>
        <w:rPr>
          <w:rFonts w:hint="eastAsia" w:ascii="宋体" w:hAnsi="宋体" w:cs="宋体"/>
          <w:b/>
          <w:bCs/>
          <w:i w:val="0"/>
          <w:iCs w:val="0"/>
          <w:color w:val="auto"/>
          <w:sz w:val="24"/>
          <w:szCs w:val="24"/>
          <w:lang w:val="en-US" w:eastAsia="zh-CN"/>
        </w:rPr>
        <w:t>本项目分2个标项，具体服务内容如下：</w:t>
      </w:r>
    </w:p>
    <w:p w14:paraId="79D465A5">
      <w:pPr>
        <w:pageBreakBefore w:val="0"/>
        <w:widowControl w:val="0"/>
        <w:kinsoku/>
        <w:wordWrap/>
        <w:overflowPunct/>
        <w:topLinePunct w:val="0"/>
        <w:autoSpaceDE/>
        <w:autoSpaceDN/>
        <w:bidi w:val="0"/>
        <w:adjustRightInd/>
        <w:spacing w:line="480" w:lineRule="exact"/>
        <w:textAlignment w:val="auto"/>
        <w:rPr>
          <w:rFonts w:hint="eastAsia" w:ascii="宋体" w:hAnsi="宋体" w:cs="宋体"/>
          <w:b/>
          <w:bCs/>
          <w:i w:val="0"/>
          <w:iCs w:val="0"/>
          <w:color w:val="auto"/>
          <w:sz w:val="24"/>
          <w:szCs w:val="24"/>
          <w:lang w:val="en-US" w:eastAsia="zh-CN"/>
        </w:rPr>
      </w:pPr>
      <w:r>
        <w:rPr>
          <w:rFonts w:hint="eastAsia" w:ascii="宋体" w:hAnsi="宋体" w:cs="宋体"/>
          <w:b/>
          <w:bCs/>
          <w:i w:val="0"/>
          <w:iCs w:val="0"/>
          <w:color w:val="auto"/>
          <w:sz w:val="24"/>
          <w:szCs w:val="24"/>
          <w:lang w:val="en-US" w:eastAsia="zh-CN"/>
        </w:rPr>
        <w:br w:type="page"/>
      </w:r>
    </w:p>
    <w:p w14:paraId="49A7F34B">
      <w:pPr>
        <w:pStyle w:val="3"/>
        <w:rPr>
          <w:rFonts w:hint="default"/>
          <w:color w:val="auto"/>
          <w:lang w:val="en-US" w:eastAsia="zh-CN"/>
        </w:rPr>
      </w:pPr>
      <w:bookmarkStart w:id="3" w:name="OLE_LINK1"/>
    </w:p>
    <w:tbl>
      <w:tblPr>
        <w:tblStyle w:val="3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9"/>
        <w:gridCol w:w="6145"/>
        <w:gridCol w:w="1798"/>
      </w:tblGrid>
      <w:tr w14:paraId="562376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6" w:hRule="atLeast"/>
          <w:jc w:val="center"/>
        </w:trPr>
        <w:tc>
          <w:tcPr>
            <w:tcW w:w="909" w:type="dxa"/>
            <w:shd w:val="clear" w:color="auto" w:fill="FFFFFF"/>
            <w:vAlign w:val="center"/>
          </w:tcPr>
          <w:p w14:paraId="6FAA42BC">
            <w:pPr>
              <w:pStyle w:val="2"/>
              <w:pageBreakBefore w:val="0"/>
              <w:widowControl w:val="0"/>
              <w:kinsoku/>
              <w:wordWrap/>
              <w:overflowPunct/>
              <w:topLinePunct w:val="0"/>
              <w:autoSpaceDE/>
              <w:autoSpaceDN/>
              <w:bidi w:val="0"/>
              <w:adjustRightInd/>
              <w:spacing w:line="480" w:lineRule="exact"/>
              <w:jc w:val="center"/>
              <w:textAlignment w:val="auto"/>
              <w:rPr>
                <w:rFonts w:hint="eastAsia" w:ascii="宋体" w:hAnsi="宋体" w:cs="宋体"/>
                <w:i w:val="0"/>
                <w:iCs w:val="0"/>
                <w:color w:val="auto"/>
                <w:sz w:val="24"/>
                <w:szCs w:val="24"/>
                <w:lang w:eastAsia="zh-CN"/>
              </w:rPr>
            </w:pPr>
            <w:r>
              <w:rPr>
                <w:rFonts w:hint="eastAsia" w:ascii="宋体" w:hAnsi="宋体" w:cs="宋体"/>
                <w:i w:val="0"/>
                <w:iCs w:val="0"/>
                <w:color w:val="auto"/>
                <w:sz w:val="24"/>
                <w:szCs w:val="24"/>
                <w:lang w:val="en-US" w:eastAsia="zh-CN"/>
              </w:rPr>
              <w:t>标项</w:t>
            </w:r>
          </w:p>
        </w:tc>
        <w:tc>
          <w:tcPr>
            <w:tcW w:w="6145" w:type="dxa"/>
            <w:shd w:val="clear" w:color="auto" w:fill="FFFFFF"/>
            <w:vAlign w:val="center"/>
          </w:tcPr>
          <w:p w14:paraId="4858397B">
            <w:pPr>
              <w:pStyle w:val="2"/>
              <w:pageBreakBefore w:val="0"/>
              <w:widowControl w:val="0"/>
              <w:kinsoku/>
              <w:wordWrap/>
              <w:overflowPunct/>
              <w:topLinePunct w:val="0"/>
              <w:autoSpaceDE/>
              <w:autoSpaceDN/>
              <w:bidi w:val="0"/>
              <w:adjustRightInd/>
              <w:spacing w:line="480" w:lineRule="exact"/>
              <w:jc w:val="center"/>
              <w:textAlignment w:val="auto"/>
              <w:rPr>
                <w:rFonts w:hint="default" w:ascii="宋体" w:hAnsi="宋体" w:cs="宋体"/>
                <w:i w:val="0"/>
                <w:iCs w:val="0"/>
                <w:color w:val="auto"/>
                <w:sz w:val="24"/>
                <w:szCs w:val="24"/>
                <w:lang w:eastAsia="zh-CN"/>
              </w:rPr>
            </w:pPr>
            <w:r>
              <w:rPr>
                <w:rFonts w:hint="default" w:ascii="宋体" w:hAnsi="宋体" w:cs="宋体"/>
                <w:i w:val="0"/>
                <w:iCs w:val="0"/>
                <w:color w:val="auto"/>
                <w:sz w:val="24"/>
                <w:szCs w:val="24"/>
                <w:lang w:eastAsia="zh-CN"/>
              </w:rPr>
              <w:t>服务</w:t>
            </w:r>
            <w:r>
              <w:rPr>
                <w:rFonts w:hint="eastAsia" w:ascii="宋体" w:hAnsi="宋体" w:cs="宋体"/>
                <w:i w:val="0"/>
                <w:iCs w:val="0"/>
                <w:color w:val="auto"/>
                <w:sz w:val="24"/>
                <w:szCs w:val="24"/>
                <w:lang w:val="en-US" w:eastAsia="zh-CN"/>
              </w:rPr>
              <w:t>内容</w:t>
            </w:r>
          </w:p>
        </w:tc>
        <w:tc>
          <w:tcPr>
            <w:tcW w:w="1798" w:type="dxa"/>
            <w:shd w:val="clear" w:color="auto" w:fill="FFFFFF"/>
            <w:vAlign w:val="center"/>
          </w:tcPr>
          <w:p w14:paraId="4FBA97A6">
            <w:pPr>
              <w:pStyle w:val="2"/>
              <w:pageBreakBefore w:val="0"/>
              <w:widowControl w:val="0"/>
              <w:kinsoku/>
              <w:wordWrap/>
              <w:overflowPunct/>
              <w:topLinePunct w:val="0"/>
              <w:autoSpaceDE/>
              <w:autoSpaceDN/>
              <w:bidi w:val="0"/>
              <w:adjustRightInd/>
              <w:spacing w:line="480" w:lineRule="exact"/>
              <w:jc w:val="center"/>
              <w:textAlignment w:val="auto"/>
              <w:rPr>
                <w:rFonts w:hint="eastAsia" w:ascii="宋体" w:hAnsi="宋体" w:cs="宋体"/>
                <w:i w:val="0"/>
                <w:iCs w:val="0"/>
                <w:color w:val="auto"/>
                <w:sz w:val="24"/>
                <w:szCs w:val="24"/>
                <w:lang w:eastAsia="zh-CN"/>
              </w:rPr>
            </w:pPr>
            <w:r>
              <w:rPr>
                <w:rFonts w:hint="eastAsia" w:ascii="宋体" w:hAnsi="宋体" w:cs="宋体"/>
                <w:i w:val="0"/>
                <w:iCs w:val="0"/>
                <w:color w:val="auto"/>
                <w:sz w:val="24"/>
                <w:szCs w:val="24"/>
                <w:lang w:val="en-US" w:eastAsia="zh-CN"/>
              </w:rPr>
              <w:t>最高限价</w:t>
            </w:r>
            <w:r>
              <w:rPr>
                <w:rFonts w:hint="eastAsia" w:ascii="宋体" w:hAnsi="宋体" w:cs="宋体"/>
                <w:i w:val="0"/>
                <w:iCs w:val="0"/>
                <w:color w:val="auto"/>
                <w:sz w:val="24"/>
                <w:szCs w:val="24"/>
                <w:lang w:eastAsia="zh-CN"/>
              </w:rPr>
              <w:t>（</w:t>
            </w:r>
            <w:r>
              <w:rPr>
                <w:rFonts w:hint="eastAsia" w:ascii="宋体" w:hAnsi="宋体" w:cs="宋体"/>
                <w:i w:val="0"/>
                <w:iCs w:val="0"/>
                <w:color w:val="auto"/>
                <w:sz w:val="24"/>
                <w:szCs w:val="24"/>
                <w:lang w:val="en-US" w:eastAsia="zh-CN"/>
              </w:rPr>
              <w:t>元</w:t>
            </w:r>
            <w:r>
              <w:rPr>
                <w:rFonts w:hint="eastAsia" w:ascii="宋体" w:hAnsi="宋体" w:cs="宋体"/>
                <w:i w:val="0"/>
                <w:iCs w:val="0"/>
                <w:color w:val="auto"/>
                <w:sz w:val="24"/>
                <w:szCs w:val="24"/>
                <w:lang w:eastAsia="zh-CN"/>
              </w:rPr>
              <w:t>）</w:t>
            </w:r>
          </w:p>
        </w:tc>
      </w:tr>
      <w:tr w14:paraId="367E10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atLeast"/>
          <w:jc w:val="center"/>
        </w:trPr>
        <w:tc>
          <w:tcPr>
            <w:tcW w:w="909" w:type="dxa"/>
            <w:shd w:val="clear" w:color="auto" w:fill="FFFFFF"/>
            <w:vAlign w:val="center"/>
          </w:tcPr>
          <w:p w14:paraId="64A9D0FC">
            <w:pPr>
              <w:pStyle w:val="2"/>
              <w:pageBreakBefore w:val="0"/>
              <w:widowControl w:val="0"/>
              <w:kinsoku/>
              <w:wordWrap/>
              <w:overflowPunct/>
              <w:topLinePunct w:val="0"/>
              <w:autoSpaceDE/>
              <w:autoSpaceDN/>
              <w:bidi w:val="0"/>
              <w:adjustRightInd/>
              <w:spacing w:line="480" w:lineRule="exact"/>
              <w:jc w:val="center"/>
              <w:textAlignment w:val="auto"/>
              <w:rPr>
                <w:rFonts w:hint="eastAsia" w:ascii="宋体" w:hAnsi="宋体" w:cs="宋体"/>
                <w:i w:val="0"/>
                <w:iCs w:val="0"/>
                <w:color w:val="auto"/>
                <w:sz w:val="24"/>
                <w:szCs w:val="24"/>
                <w:lang w:val="en-US" w:eastAsia="zh-CN"/>
              </w:rPr>
            </w:pPr>
            <w:r>
              <w:rPr>
                <w:rFonts w:hint="eastAsia" w:ascii="宋体" w:hAnsi="宋体" w:cs="宋体"/>
                <w:i w:val="0"/>
                <w:iCs w:val="0"/>
                <w:color w:val="auto"/>
                <w:sz w:val="24"/>
                <w:szCs w:val="24"/>
                <w:lang w:val="en-US" w:eastAsia="zh-CN"/>
              </w:rPr>
              <w:t>一</w:t>
            </w:r>
          </w:p>
        </w:tc>
        <w:tc>
          <w:tcPr>
            <w:tcW w:w="6145" w:type="dxa"/>
            <w:shd w:val="clear" w:color="auto" w:fill="FFFFFF"/>
            <w:vAlign w:val="center"/>
          </w:tcPr>
          <w:p w14:paraId="669DF328">
            <w:pPr>
              <w:pStyle w:val="2"/>
              <w:pageBreakBefore w:val="0"/>
              <w:widowControl w:val="0"/>
              <w:kinsoku/>
              <w:wordWrap/>
              <w:overflowPunct/>
              <w:topLinePunct w:val="0"/>
              <w:autoSpaceDE/>
              <w:autoSpaceDN/>
              <w:bidi w:val="0"/>
              <w:adjustRightInd/>
              <w:spacing w:line="480" w:lineRule="exact"/>
              <w:textAlignment w:val="auto"/>
              <w:rPr>
                <w:rFonts w:hint="default" w:ascii="宋体" w:hAnsi="宋体" w:cs="宋体"/>
                <w:i w:val="0"/>
                <w:iCs w:val="0"/>
                <w:color w:val="auto"/>
                <w:sz w:val="24"/>
                <w:szCs w:val="24"/>
                <w:lang w:eastAsia="zh-CN"/>
              </w:rPr>
            </w:pPr>
            <w:r>
              <w:rPr>
                <w:rFonts w:hint="default" w:ascii="宋体" w:hAnsi="宋体" w:cs="宋体"/>
                <w:i w:val="0"/>
                <w:iCs w:val="0"/>
                <w:color w:val="auto"/>
                <w:sz w:val="24"/>
                <w:szCs w:val="24"/>
                <w:lang w:eastAsia="zh-CN"/>
              </w:rPr>
              <w:t>对1</w:t>
            </w:r>
            <w:r>
              <w:rPr>
                <w:rFonts w:hint="eastAsia" w:ascii="宋体" w:hAnsi="宋体" w:cs="宋体"/>
                <w:i w:val="0"/>
                <w:iCs w:val="0"/>
                <w:color w:val="auto"/>
                <w:sz w:val="24"/>
                <w:szCs w:val="24"/>
                <w:lang w:val="en-US" w:eastAsia="zh-CN"/>
              </w:rPr>
              <w:t>0</w:t>
            </w:r>
            <w:r>
              <w:rPr>
                <w:rFonts w:hint="default" w:ascii="宋体" w:hAnsi="宋体" w:cs="宋体"/>
                <w:i w:val="0"/>
                <w:iCs w:val="0"/>
                <w:color w:val="auto"/>
                <w:sz w:val="24"/>
                <w:szCs w:val="24"/>
                <w:lang w:eastAsia="zh-CN"/>
              </w:rPr>
              <w:t>台储罐检测报告和维护情况开展复核检查</w:t>
            </w:r>
            <w:r>
              <w:rPr>
                <w:rFonts w:hint="eastAsia" w:ascii="宋体" w:hAnsi="宋体" w:cs="宋体"/>
                <w:i w:val="0"/>
                <w:iCs w:val="0"/>
                <w:color w:val="auto"/>
                <w:sz w:val="24"/>
                <w:szCs w:val="24"/>
                <w:lang w:eastAsia="zh-CN"/>
              </w:rPr>
              <w:t>，</w:t>
            </w:r>
            <w:r>
              <w:rPr>
                <w:rFonts w:hint="default" w:ascii="宋体" w:hAnsi="宋体" w:cs="宋体"/>
                <w:i w:val="0"/>
                <w:iCs w:val="0"/>
                <w:color w:val="auto"/>
                <w:sz w:val="24"/>
                <w:szCs w:val="24"/>
                <w:lang w:eastAsia="zh-CN"/>
              </w:rPr>
              <w:t>对储罐开展抽检（总罐容不少于</w:t>
            </w:r>
            <w:r>
              <w:rPr>
                <w:rFonts w:hint="eastAsia" w:ascii="宋体" w:hAnsi="宋体" w:cs="宋体"/>
                <w:i w:val="0"/>
                <w:iCs w:val="0"/>
                <w:color w:val="auto"/>
                <w:sz w:val="24"/>
                <w:szCs w:val="24"/>
                <w:lang w:val="en-US" w:eastAsia="zh-CN"/>
              </w:rPr>
              <w:t>13</w:t>
            </w:r>
            <w:r>
              <w:rPr>
                <w:rFonts w:hint="default" w:ascii="宋体" w:hAnsi="宋体" w:cs="宋体"/>
                <w:i w:val="0"/>
                <w:iCs w:val="0"/>
                <w:color w:val="auto"/>
                <w:sz w:val="24"/>
                <w:szCs w:val="24"/>
                <w:lang w:eastAsia="zh-CN"/>
              </w:rPr>
              <w:t>万立方，储罐数不少于</w:t>
            </w:r>
            <w:r>
              <w:rPr>
                <w:rFonts w:hint="eastAsia" w:ascii="宋体" w:hAnsi="宋体" w:cs="宋体"/>
                <w:i w:val="0"/>
                <w:iCs w:val="0"/>
                <w:color w:val="auto"/>
                <w:sz w:val="24"/>
                <w:szCs w:val="24"/>
                <w:lang w:val="en-US" w:eastAsia="zh-CN"/>
              </w:rPr>
              <w:t>7</w:t>
            </w:r>
            <w:r>
              <w:rPr>
                <w:rFonts w:hint="default" w:ascii="宋体" w:hAnsi="宋体" w:cs="宋体"/>
                <w:i w:val="0"/>
                <w:iCs w:val="0"/>
                <w:color w:val="auto"/>
                <w:sz w:val="24"/>
                <w:szCs w:val="24"/>
                <w:lang w:eastAsia="zh-CN"/>
              </w:rPr>
              <w:t>台）。</w:t>
            </w:r>
          </w:p>
        </w:tc>
        <w:tc>
          <w:tcPr>
            <w:tcW w:w="1798" w:type="dxa"/>
            <w:shd w:val="clear" w:color="auto" w:fill="FFFFFF"/>
            <w:vAlign w:val="center"/>
          </w:tcPr>
          <w:p w14:paraId="15F3C972">
            <w:pPr>
              <w:pStyle w:val="2"/>
              <w:pageBreakBefore w:val="0"/>
              <w:widowControl w:val="0"/>
              <w:kinsoku/>
              <w:wordWrap/>
              <w:overflowPunct/>
              <w:topLinePunct w:val="0"/>
              <w:autoSpaceDE/>
              <w:autoSpaceDN/>
              <w:bidi w:val="0"/>
              <w:adjustRightInd/>
              <w:spacing w:line="480" w:lineRule="exact"/>
              <w:jc w:val="center"/>
              <w:textAlignment w:val="auto"/>
              <w:rPr>
                <w:rFonts w:hint="default" w:ascii="宋体" w:hAnsi="宋体" w:cs="宋体"/>
                <w:i w:val="0"/>
                <w:iCs w:val="0"/>
                <w:color w:val="auto"/>
                <w:sz w:val="24"/>
                <w:szCs w:val="24"/>
                <w:lang w:val="en-US" w:eastAsia="zh-CN"/>
              </w:rPr>
            </w:pPr>
            <w:r>
              <w:rPr>
                <w:rFonts w:hint="eastAsia" w:ascii="宋体" w:hAnsi="宋体" w:cs="宋体"/>
                <w:i w:val="0"/>
                <w:iCs w:val="0"/>
                <w:color w:val="auto"/>
                <w:sz w:val="24"/>
                <w:szCs w:val="24"/>
                <w:lang w:val="en-US" w:eastAsia="zh-CN"/>
              </w:rPr>
              <w:t>640000元</w:t>
            </w:r>
          </w:p>
        </w:tc>
      </w:tr>
      <w:tr w14:paraId="21C0C2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atLeast"/>
          <w:jc w:val="center"/>
        </w:trPr>
        <w:tc>
          <w:tcPr>
            <w:tcW w:w="909" w:type="dxa"/>
            <w:shd w:val="clear" w:color="auto" w:fill="FFFFFF"/>
            <w:vAlign w:val="center"/>
          </w:tcPr>
          <w:p w14:paraId="0B3A8FD3">
            <w:pPr>
              <w:pStyle w:val="2"/>
              <w:pageBreakBefore w:val="0"/>
              <w:widowControl w:val="0"/>
              <w:kinsoku/>
              <w:wordWrap/>
              <w:overflowPunct/>
              <w:topLinePunct w:val="0"/>
              <w:autoSpaceDE/>
              <w:autoSpaceDN/>
              <w:bidi w:val="0"/>
              <w:adjustRightInd/>
              <w:spacing w:line="480" w:lineRule="exact"/>
              <w:jc w:val="center"/>
              <w:textAlignment w:val="auto"/>
              <w:rPr>
                <w:rFonts w:hint="eastAsia" w:ascii="宋体" w:hAnsi="宋体" w:cs="宋体"/>
                <w:i w:val="0"/>
                <w:iCs w:val="0"/>
                <w:color w:val="auto"/>
                <w:sz w:val="24"/>
                <w:szCs w:val="24"/>
                <w:lang w:val="en-US" w:eastAsia="zh-CN"/>
              </w:rPr>
            </w:pPr>
            <w:r>
              <w:rPr>
                <w:rFonts w:hint="eastAsia" w:ascii="宋体" w:hAnsi="宋体" w:cs="宋体"/>
                <w:i w:val="0"/>
                <w:iCs w:val="0"/>
                <w:color w:val="auto"/>
                <w:sz w:val="24"/>
                <w:szCs w:val="24"/>
                <w:lang w:val="en-US" w:eastAsia="zh-CN"/>
              </w:rPr>
              <w:t>二</w:t>
            </w:r>
          </w:p>
        </w:tc>
        <w:tc>
          <w:tcPr>
            <w:tcW w:w="6145" w:type="dxa"/>
            <w:shd w:val="clear" w:color="auto" w:fill="FFFFFF"/>
            <w:vAlign w:val="center"/>
          </w:tcPr>
          <w:p w14:paraId="3389FA67">
            <w:pPr>
              <w:pStyle w:val="2"/>
              <w:pageBreakBefore w:val="0"/>
              <w:widowControl w:val="0"/>
              <w:kinsoku/>
              <w:wordWrap/>
              <w:overflowPunct/>
              <w:topLinePunct w:val="0"/>
              <w:autoSpaceDE/>
              <w:autoSpaceDN/>
              <w:bidi w:val="0"/>
              <w:adjustRightInd/>
              <w:spacing w:line="480" w:lineRule="exact"/>
              <w:textAlignment w:val="auto"/>
              <w:rPr>
                <w:rFonts w:hint="default" w:ascii="宋体" w:hAnsi="宋体" w:cs="宋体"/>
                <w:i w:val="0"/>
                <w:iCs w:val="0"/>
                <w:color w:val="auto"/>
                <w:sz w:val="24"/>
                <w:szCs w:val="24"/>
                <w:lang w:eastAsia="zh-CN"/>
              </w:rPr>
            </w:pPr>
            <w:r>
              <w:rPr>
                <w:rFonts w:hint="default" w:ascii="宋体" w:hAnsi="宋体" w:cs="宋体"/>
                <w:i w:val="0"/>
                <w:iCs w:val="0"/>
                <w:color w:val="auto"/>
                <w:sz w:val="24"/>
                <w:szCs w:val="24"/>
                <w:lang w:eastAsia="zh-CN"/>
              </w:rPr>
              <w:t>对10台储罐检测报告和维护情况开展复核检查</w:t>
            </w:r>
            <w:r>
              <w:rPr>
                <w:rFonts w:hint="eastAsia" w:ascii="宋体" w:hAnsi="宋体" w:cs="宋体"/>
                <w:i w:val="0"/>
                <w:iCs w:val="0"/>
                <w:color w:val="auto"/>
                <w:sz w:val="24"/>
                <w:szCs w:val="24"/>
                <w:lang w:eastAsia="zh-CN"/>
              </w:rPr>
              <w:t>，</w:t>
            </w:r>
            <w:r>
              <w:rPr>
                <w:rFonts w:hint="default" w:ascii="宋体" w:hAnsi="宋体" w:cs="宋体"/>
                <w:i w:val="0"/>
                <w:iCs w:val="0"/>
                <w:color w:val="auto"/>
                <w:sz w:val="24"/>
                <w:szCs w:val="24"/>
                <w:lang w:eastAsia="zh-CN"/>
              </w:rPr>
              <w:t>对储罐开展抽检（总罐容不少于</w:t>
            </w:r>
            <w:r>
              <w:rPr>
                <w:rFonts w:hint="eastAsia" w:ascii="宋体" w:hAnsi="宋体" w:cs="宋体"/>
                <w:i w:val="0"/>
                <w:iCs w:val="0"/>
                <w:color w:val="auto"/>
                <w:sz w:val="24"/>
                <w:szCs w:val="24"/>
                <w:lang w:val="en-US" w:eastAsia="zh-CN"/>
              </w:rPr>
              <w:t>13</w:t>
            </w:r>
            <w:r>
              <w:rPr>
                <w:rFonts w:hint="default" w:ascii="宋体" w:hAnsi="宋体" w:cs="宋体"/>
                <w:i w:val="0"/>
                <w:iCs w:val="0"/>
                <w:color w:val="auto"/>
                <w:sz w:val="24"/>
                <w:szCs w:val="24"/>
                <w:lang w:eastAsia="zh-CN"/>
              </w:rPr>
              <w:t>万立方，储罐数不少于</w:t>
            </w:r>
            <w:r>
              <w:rPr>
                <w:rFonts w:hint="eastAsia" w:ascii="宋体" w:hAnsi="宋体" w:cs="宋体"/>
                <w:i w:val="0"/>
                <w:iCs w:val="0"/>
                <w:color w:val="auto"/>
                <w:sz w:val="24"/>
                <w:szCs w:val="24"/>
                <w:lang w:val="en-US" w:eastAsia="zh-CN"/>
              </w:rPr>
              <w:t>7</w:t>
            </w:r>
            <w:r>
              <w:rPr>
                <w:rFonts w:hint="default" w:ascii="宋体" w:hAnsi="宋体" w:cs="宋体"/>
                <w:i w:val="0"/>
                <w:iCs w:val="0"/>
                <w:color w:val="auto"/>
                <w:sz w:val="24"/>
                <w:szCs w:val="24"/>
                <w:lang w:eastAsia="zh-CN"/>
              </w:rPr>
              <w:t>台）。</w:t>
            </w:r>
          </w:p>
        </w:tc>
        <w:tc>
          <w:tcPr>
            <w:tcW w:w="1798" w:type="dxa"/>
            <w:shd w:val="clear" w:color="auto" w:fill="FFFFFF"/>
            <w:vAlign w:val="center"/>
          </w:tcPr>
          <w:p w14:paraId="35FCA655">
            <w:pPr>
              <w:pStyle w:val="2"/>
              <w:pageBreakBefore w:val="0"/>
              <w:widowControl w:val="0"/>
              <w:kinsoku/>
              <w:wordWrap/>
              <w:overflowPunct/>
              <w:topLinePunct w:val="0"/>
              <w:autoSpaceDE/>
              <w:autoSpaceDN/>
              <w:bidi w:val="0"/>
              <w:adjustRightInd/>
              <w:spacing w:line="480" w:lineRule="exact"/>
              <w:jc w:val="center"/>
              <w:textAlignment w:val="auto"/>
              <w:rPr>
                <w:rFonts w:hint="eastAsia" w:ascii="宋体" w:hAnsi="宋体" w:cs="宋体"/>
                <w:i w:val="0"/>
                <w:iCs w:val="0"/>
                <w:color w:val="auto"/>
                <w:sz w:val="24"/>
                <w:szCs w:val="24"/>
                <w:lang w:val="en-US" w:eastAsia="zh-CN"/>
              </w:rPr>
            </w:pPr>
            <w:r>
              <w:rPr>
                <w:rFonts w:hint="eastAsia" w:ascii="宋体" w:hAnsi="宋体" w:cs="宋体"/>
                <w:i w:val="0"/>
                <w:iCs w:val="0"/>
                <w:color w:val="auto"/>
                <w:sz w:val="24"/>
                <w:szCs w:val="24"/>
                <w:lang w:val="en-US" w:eastAsia="zh-CN"/>
              </w:rPr>
              <w:t>640000元</w:t>
            </w:r>
          </w:p>
        </w:tc>
      </w:tr>
    </w:tbl>
    <w:p w14:paraId="24DA65B3">
      <w:pPr>
        <w:pStyle w:val="2"/>
        <w:spacing w:line="480" w:lineRule="exact"/>
        <w:ind w:firstLine="0"/>
        <w:rPr>
          <w:rFonts w:hint="default" w:ascii="宋体" w:hAnsi="宋体" w:eastAsia="宋体" w:cs="宋体"/>
          <w:i w:val="0"/>
          <w:color w:val="auto"/>
          <w:kern w:val="2"/>
          <w:sz w:val="24"/>
          <w:szCs w:val="24"/>
        </w:rPr>
      </w:pPr>
      <w:r>
        <w:rPr>
          <w:rFonts w:hint="default" w:ascii="宋体" w:hAnsi="宋体" w:eastAsia="宋体" w:cs="宋体"/>
          <w:i w:val="0"/>
          <w:color w:val="auto"/>
          <w:kern w:val="2"/>
          <w:sz w:val="24"/>
          <w:szCs w:val="24"/>
        </w:rPr>
        <w:t>（一）</w:t>
      </w:r>
      <w:r>
        <w:rPr>
          <w:rFonts w:hint="default" w:ascii="宋体" w:hAnsi="宋体" w:eastAsia="宋体" w:cs="宋体"/>
          <w:i w:val="0"/>
          <w:color w:val="auto"/>
          <w:sz w:val="24"/>
          <w:szCs w:val="24"/>
          <w:lang w:val="en-US" w:eastAsia="zh-CN"/>
        </w:rPr>
        <w:t>储罐抽检</w:t>
      </w:r>
    </w:p>
    <w:p w14:paraId="742A764A">
      <w:pPr>
        <w:pStyle w:val="2"/>
        <w:spacing w:line="480" w:lineRule="exact"/>
        <w:ind w:firstLine="480"/>
        <w:rPr>
          <w:rFonts w:hint="default" w:ascii="宋体" w:hAnsi="宋体" w:eastAsia="宋体" w:cs="宋体"/>
          <w:i w:val="0"/>
          <w:color w:val="auto"/>
          <w:sz w:val="24"/>
          <w:szCs w:val="24"/>
          <w:lang w:val="en-US" w:eastAsia="zh-CN"/>
        </w:rPr>
      </w:pPr>
      <w:r>
        <w:rPr>
          <w:rFonts w:hint="default" w:ascii="宋体" w:hAnsi="宋体" w:eastAsia="宋体" w:cs="宋体"/>
          <w:i w:val="0"/>
          <w:color w:val="auto"/>
          <w:sz w:val="24"/>
          <w:szCs w:val="24"/>
          <w:lang w:val="en-US" w:eastAsia="zh-CN"/>
        </w:rPr>
        <w:t>1.对辖区高危老旧储罐（即投产10年及以上的甲B类储罐或投产20年及以上的非甲B类储罐）的安全生产状况进行抽检；</w:t>
      </w:r>
    </w:p>
    <w:p w14:paraId="069A4CD5">
      <w:pPr>
        <w:pStyle w:val="2"/>
        <w:spacing w:line="480" w:lineRule="exact"/>
        <w:ind w:firstLine="480"/>
        <w:rPr>
          <w:rFonts w:hint="default" w:ascii="宋体" w:hAnsi="宋体" w:eastAsia="宋体" w:cs="宋体"/>
          <w:i w:val="0"/>
          <w:color w:val="auto"/>
          <w:sz w:val="24"/>
          <w:szCs w:val="24"/>
          <w:lang w:val="en-US" w:eastAsia="zh-CN"/>
        </w:rPr>
      </w:pPr>
      <w:r>
        <w:rPr>
          <w:rFonts w:hint="default" w:ascii="宋体" w:hAnsi="宋体" w:eastAsia="宋体" w:cs="宋体"/>
          <w:i w:val="0"/>
          <w:color w:val="auto"/>
          <w:sz w:val="24"/>
          <w:szCs w:val="24"/>
          <w:lang w:val="en-US" w:eastAsia="zh-CN"/>
        </w:rPr>
        <w:t>2.抽检比例为30%</w:t>
      </w:r>
      <w:r>
        <w:rPr>
          <w:rFonts w:hint="eastAsia" w:ascii="宋体" w:hAnsi="宋体" w:cs="宋体"/>
          <w:i w:val="0"/>
          <w:color w:val="auto"/>
          <w:sz w:val="24"/>
          <w:szCs w:val="24"/>
          <w:lang w:val="en-US" w:eastAsia="zh-CN"/>
        </w:rPr>
        <w:t>（分三批次完成）</w:t>
      </w:r>
      <w:r>
        <w:rPr>
          <w:rFonts w:hint="default" w:ascii="宋体" w:hAnsi="宋体" w:eastAsia="宋体" w:cs="宋体"/>
          <w:i w:val="0"/>
          <w:color w:val="auto"/>
          <w:sz w:val="24"/>
          <w:szCs w:val="24"/>
          <w:lang w:val="en-US" w:eastAsia="zh-CN"/>
        </w:rPr>
        <w:t>，每年抽检罐容约</w:t>
      </w:r>
      <w:r>
        <w:rPr>
          <w:rFonts w:hint="eastAsia" w:ascii="宋体" w:hAnsi="宋体" w:cs="宋体"/>
          <w:i w:val="0"/>
          <w:color w:val="auto"/>
          <w:sz w:val="24"/>
          <w:szCs w:val="24"/>
          <w:lang w:val="en-US" w:eastAsia="zh-CN"/>
        </w:rPr>
        <w:t>26</w:t>
      </w:r>
      <w:r>
        <w:rPr>
          <w:rFonts w:hint="default" w:ascii="宋体" w:hAnsi="宋体" w:eastAsia="宋体" w:cs="宋体"/>
          <w:i w:val="0"/>
          <w:color w:val="auto"/>
          <w:sz w:val="24"/>
          <w:szCs w:val="24"/>
          <w:lang w:val="en-US" w:eastAsia="zh-CN"/>
        </w:rPr>
        <w:t>万立方（</w:t>
      </w:r>
      <w:r>
        <w:rPr>
          <w:rFonts w:hint="default" w:ascii="宋体" w:hAnsi="宋体" w:eastAsia="宋体" w:cs="宋体"/>
          <w:i w:val="0"/>
          <w:color w:val="auto"/>
          <w:sz w:val="24"/>
          <w:szCs w:val="24"/>
        </w:rPr>
        <w:t>各</w:t>
      </w:r>
      <w:r>
        <w:rPr>
          <w:rFonts w:hint="eastAsia" w:ascii="宋体" w:hAnsi="宋体" w:eastAsia="宋体" w:cs="宋体"/>
          <w:i w:val="0"/>
          <w:color w:val="auto"/>
          <w:sz w:val="24"/>
          <w:szCs w:val="24"/>
          <w:lang w:val="en-US" w:eastAsia="zh-CN"/>
        </w:rPr>
        <w:t>标项抽检</w:t>
      </w:r>
      <w:r>
        <w:rPr>
          <w:rFonts w:hint="default" w:ascii="宋体" w:hAnsi="宋体" w:eastAsia="宋体" w:cs="宋体"/>
          <w:i w:val="0"/>
          <w:color w:val="auto"/>
          <w:sz w:val="24"/>
          <w:szCs w:val="24"/>
          <w:lang w:val="en-US" w:eastAsia="zh-CN"/>
        </w:rPr>
        <w:t>不少于7台储罐、罐容约</w:t>
      </w:r>
      <w:r>
        <w:rPr>
          <w:rFonts w:hint="eastAsia" w:ascii="宋体" w:hAnsi="宋体" w:cs="宋体"/>
          <w:i w:val="0"/>
          <w:color w:val="auto"/>
          <w:sz w:val="24"/>
          <w:szCs w:val="24"/>
          <w:lang w:val="en-US" w:eastAsia="zh-CN"/>
        </w:rPr>
        <w:t>13</w:t>
      </w:r>
      <w:r>
        <w:rPr>
          <w:rFonts w:hint="default" w:ascii="宋体" w:hAnsi="宋体" w:eastAsia="宋体" w:cs="宋体"/>
          <w:i w:val="0"/>
          <w:color w:val="auto"/>
          <w:sz w:val="24"/>
          <w:szCs w:val="24"/>
          <w:lang w:val="en-US" w:eastAsia="zh-CN"/>
        </w:rPr>
        <w:t>万立方）；</w:t>
      </w:r>
    </w:p>
    <w:bookmarkEnd w:id="3"/>
    <w:p w14:paraId="45BD881B">
      <w:pPr>
        <w:pStyle w:val="2"/>
        <w:spacing w:line="480" w:lineRule="exact"/>
        <w:ind w:firstLine="480"/>
        <w:rPr>
          <w:rFonts w:hint="default" w:ascii="宋体" w:hAnsi="宋体" w:eastAsia="宋体" w:cs="宋体"/>
          <w:i w:val="0"/>
          <w:color w:val="auto"/>
          <w:sz w:val="24"/>
          <w:szCs w:val="24"/>
          <w:lang w:val="en-US" w:eastAsia="zh-CN"/>
        </w:rPr>
      </w:pPr>
      <w:r>
        <w:rPr>
          <w:rFonts w:hint="default" w:ascii="宋体" w:hAnsi="宋体" w:eastAsia="宋体" w:cs="宋体"/>
          <w:i w:val="0"/>
          <w:color w:val="auto"/>
          <w:sz w:val="24"/>
          <w:szCs w:val="24"/>
          <w:lang w:val="en-US" w:eastAsia="zh-CN"/>
        </w:rPr>
        <w:t>3.抽检方式以在线检测为主，同时结合企业年度储罐开罐计划，酌情安排开罐检测；</w:t>
      </w:r>
    </w:p>
    <w:p w14:paraId="3F149522">
      <w:pPr>
        <w:pStyle w:val="2"/>
        <w:spacing w:line="480" w:lineRule="exact"/>
        <w:ind w:firstLine="480"/>
        <w:rPr>
          <w:rFonts w:hint="default" w:ascii="宋体" w:hAnsi="宋体" w:eastAsia="宋体" w:cs="宋体"/>
          <w:i w:val="0"/>
          <w:color w:val="auto"/>
          <w:sz w:val="24"/>
          <w:szCs w:val="24"/>
        </w:rPr>
      </w:pPr>
      <w:r>
        <w:rPr>
          <w:rFonts w:hint="default" w:ascii="宋体" w:hAnsi="宋体" w:eastAsia="宋体" w:cs="宋体"/>
          <w:i w:val="0"/>
          <w:color w:val="auto"/>
          <w:sz w:val="24"/>
          <w:szCs w:val="24"/>
          <w:lang w:val="en-US" w:eastAsia="zh-CN"/>
        </w:rPr>
        <w:t>4.检查内容涵盖交通运输部《港口危险货物常压储罐检测工作指南》定期检测、宁波市交通运输局等3部门《在用危险化学品常压储罐检验要求》定期检验相关内容。</w:t>
      </w:r>
    </w:p>
    <w:p w14:paraId="7B834A9E">
      <w:pPr>
        <w:pStyle w:val="2"/>
        <w:spacing w:line="480" w:lineRule="exact"/>
        <w:ind w:firstLine="0"/>
        <w:rPr>
          <w:rFonts w:hint="default" w:ascii="宋体" w:hAnsi="宋体" w:eastAsia="宋体" w:cs="宋体"/>
          <w:i w:val="0"/>
          <w:color w:val="auto"/>
          <w:kern w:val="2"/>
          <w:sz w:val="24"/>
          <w:szCs w:val="24"/>
        </w:rPr>
      </w:pPr>
      <w:r>
        <w:rPr>
          <w:rFonts w:hint="default" w:ascii="宋体" w:hAnsi="宋体" w:eastAsia="宋体" w:cs="宋体"/>
          <w:i w:val="0"/>
          <w:color w:val="auto"/>
          <w:kern w:val="2"/>
          <w:sz w:val="24"/>
          <w:szCs w:val="24"/>
          <w:lang w:val="en-US" w:eastAsia="zh-CN"/>
        </w:rPr>
        <w:t>（二</w:t>
      </w:r>
      <w:r>
        <w:rPr>
          <w:rFonts w:hint="default" w:ascii="宋体" w:hAnsi="宋体" w:eastAsia="宋体" w:cs="宋体"/>
          <w:i w:val="0"/>
          <w:color w:val="auto"/>
          <w:kern w:val="2"/>
          <w:sz w:val="24"/>
          <w:szCs w:val="24"/>
        </w:rPr>
        <w:t>）</w:t>
      </w:r>
      <w:r>
        <w:rPr>
          <w:rFonts w:hint="default" w:ascii="宋体" w:hAnsi="宋体" w:eastAsia="宋体" w:cs="宋体"/>
          <w:i w:val="0"/>
          <w:color w:val="auto"/>
          <w:sz w:val="24"/>
          <w:szCs w:val="24"/>
          <w:shd w:val="clear" w:color="auto" w:fill="auto"/>
          <w:lang w:val="en-US" w:eastAsia="zh-CN"/>
        </w:rPr>
        <w:t>储罐检测报告和维护情况复核</w:t>
      </w:r>
    </w:p>
    <w:p w14:paraId="6B504C38">
      <w:pPr>
        <w:pStyle w:val="2"/>
        <w:spacing w:line="480" w:lineRule="exact"/>
        <w:ind w:firstLine="480"/>
        <w:rPr>
          <w:rFonts w:hint="default" w:ascii="宋体" w:hAnsi="宋体" w:eastAsia="宋体" w:cs="宋体"/>
          <w:i w:val="0"/>
          <w:color w:val="auto"/>
          <w:sz w:val="24"/>
          <w:szCs w:val="24"/>
          <w:lang w:val="en-US" w:eastAsia="zh-CN"/>
        </w:rPr>
      </w:pPr>
      <w:r>
        <w:rPr>
          <w:rFonts w:hint="default" w:ascii="宋体" w:hAnsi="宋体" w:eastAsia="宋体" w:cs="宋体"/>
          <w:i w:val="0"/>
          <w:color w:val="auto"/>
          <w:kern w:val="2"/>
          <w:sz w:val="24"/>
          <w:szCs w:val="24"/>
        </w:rPr>
        <w:t>1.</w:t>
      </w:r>
      <w:r>
        <w:rPr>
          <w:rFonts w:hint="default" w:ascii="宋体" w:hAnsi="宋体" w:eastAsia="宋体" w:cs="宋体"/>
          <w:i w:val="0"/>
          <w:color w:val="auto"/>
          <w:sz w:val="24"/>
          <w:szCs w:val="24"/>
          <w:lang w:val="en-US" w:eastAsia="zh-CN"/>
        </w:rPr>
        <w:t>储罐检测报告和维护情况复核检查工作必须符合国家法律法规、标准规范等相关要求；</w:t>
      </w:r>
    </w:p>
    <w:p w14:paraId="52D5DEDD">
      <w:pPr>
        <w:pStyle w:val="2"/>
        <w:spacing w:line="480" w:lineRule="exact"/>
        <w:ind w:firstLine="480"/>
        <w:rPr>
          <w:rFonts w:hint="default" w:ascii="宋体" w:hAnsi="宋体" w:eastAsia="宋体" w:cs="宋体"/>
          <w:i w:val="0"/>
          <w:color w:val="auto"/>
          <w:sz w:val="24"/>
          <w:szCs w:val="24"/>
          <w:lang w:val="en-US" w:eastAsia="zh-CN"/>
        </w:rPr>
      </w:pPr>
      <w:r>
        <w:rPr>
          <w:rFonts w:hint="default" w:ascii="宋体" w:hAnsi="宋体" w:eastAsia="宋体" w:cs="宋体"/>
          <w:i w:val="0"/>
          <w:color w:val="auto"/>
          <w:sz w:val="24"/>
          <w:szCs w:val="24"/>
          <w:lang w:val="en-US" w:eastAsia="zh-CN"/>
        </w:rPr>
        <w:t>2.如实记录检查情况及发现的问题，形成问题清单，所提问题必须写明法律法规标准规范具体条文要求；</w:t>
      </w:r>
    </w:p>
    <w:p w14:paraId="08294179">
      <w:pPr>
        <w:pStyle w:val="2"/>
        <w:spacing w:line="480" w:lineRule="exact"/>
        <w:ind w:firstLine="480"/>
        <w:rPr>
          <w:rFonts w:hint="default" w:ascii="宋体" w:hAnsi="宋体" w:eastAsia="宋体" w:cs="宋体"/>
          <w:i w:val="0"/>
          <w:color w:val="auto"/>
          <w:kern w:val="2"/>
          <w:sz w:val="24"/>
          <w:szCs w:val="24"/>
        </w:rPr>
      </w:pPr>
      <w:r>
        <w:rPr>
          <w:rFonts w:hint="default" w:ascii="宋体" w:hAnsi="宋体" w:eastAsia="宋体" w:cs="宋体"/>
          <w:i w:val="0"/>
          <w:color w:val="auto"/>
          <w:sz w:val="24"/>
          <w:szCs w:val="24"/>
          <w:lang w:val="en-US" w:eastAsia="zh-CN"/>
        </w:rPr>
        <w:t>3.检查中发现企业委托的第三方检测机构未按规定实施检测，或检测方法、结论有问题的，应及时向储罐使用单位和北仑区港航中心报告；</w:t>
      </w:r>
    </w:p>
    <w:p w14:paraId="21D3BAE1">
      <w:pPr>
        <w:pStyle w:val="2"/>
        <w:spacing w:line="480" w:lineRule="exact"/>
        <w:ind w:firstLine="480"/>
        <w:rPr>
          <w:rFonts w:hint="default" w:ascii="宋体" w:hAnsi="宋体" w:eastAsia="宋体" w:cs="宋体"/>
          <w:i w:val="0"/>
          <w:color w:val="auto"/>
          <w:kern w:val="2"/>
          <w:sz w:val="24"/>
          <w:szCs w:val="24"/>
        </w:rPr>
      </w:pPr>
      <w:r>
        <w:rPr>
          <w:rFonts w:hint="default" w:ascii="宋体" w:hAnsi="宋体" w:eastAsia="宋体" w:cs="宋体"/>
          <w:i w:val="0"/>
          <w:color w:val="auto"/>
          <w:kern w:val="2"/>
          <w:sz w:val="24"/>
          <w:szCs w:val="24"/>
          <w:lang w:val="en-US" w:eastAsia="zh-CN"/>
        </w:rPr>
        <w:t>4</w:t>
      </w:r>
      <w:r>
        <w:rPr>
          <w:rFonts w:hint="default" w:ascii="宋体" w:hAnsi="宋体" w:eastAsia="宋体" w:cs="宋体"/>
          <w:i w:val="0"/>
          <w:color w:val="auto"/>
          <w:kern w:val="2"/>
          <w:sz w:val="24"/>
          <w:szCs w:val="24"/>
        </w:rPr>
        <w:t>.其他相关工作。</w:t>
      </w:r>
    </w:p>
    <w:p w14:paraId="32A7D749">
      <w:pPr>
        <w:pStyle w:val="2"/>
        <w:spacing w:line="480" w:lineRule="exact"/>
        <w:ind w:firstLine="480"/>
        <w:rPr>
          <w:rFonts w:hint="default" w:ascii="宋体" w:hAnsi="宋体" w:eastAsia="宋体" w:cs="宋体"/>
          <w:i w:val="0"/>
          <w:color w:val="auto"/>
          <w:kern w:val="2"/>
          <w:sz w:val="24"/>
          <w:szCs w:val="24"/>
          <w:lang w:val="en-US" w:eastAsia="zh-CN"/>
        </w:rPr>
      </w:pPr>
    </w:p>
    <w:p w14:paraId="0D1B55E1">
      <w:pPr>
        <w:pStyle w:val="2"/>
        <w:pageBreakBefore w:val="0"/>
        <w:widowControl w:val="0"/>
        <w:kinsoku/>
        <w:wordWrap/>
        <w:overflowPunct/>
        <w:topLinePunct w:val="0"/>
        <w:autoSpaceDE/>
        <w:autoSpaceDN/>
        <w:bidi w:val="0"/>
        <w:adjustRightInd/>
        <w:spacing w:line="480" w:lineRule="exact"/>
        <w:ind w:left="0" w:firstLine="480" w:firstLineChars="200"/>
        <w:textAlignment w:val="auto"/>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rPr>
        <w:t xml:space="preserve"> </w:t>
      </w:r>
    </w:p>
    <w:p w14:paraId="32154543">
      <w:pPr>
        <w:pStyle w:val="2"/>
        <w:pageBreakBefore w:val="0"/>
        <w:widowControl w:val="0"/>
        <w:kinsoku/>
        <w:wordWrap/>
        <w:overflowPunct/>
        <w:topLinePunct w:val="0"/>
        <w:autoSpaceDE/>
        <w:autoSpaceDN/>
        <w:bidi w:val="0"/>
        <w:adjustRightInd/>
        <w:spacing w:line="480" w:lineRule="exact"/>
        <w:textAlignment w:val="auto"/>
        <w:rPr>
          <w:rFonts w:hint="eastAsia" w:ascii="宋体" w:hAnsi="宋体" w:eastAsia="宋体" w:cs="宋体"/>
          <w:b/>
          <w:bCs/>
          <w:i w:val="0"/>
          <w:iCs w:val="0"/>
          <w:color w:val="auto"/>
          <w:sz w:val="24"/>
          <w:szCs w:val="24"/>
          <w:lang w:val="en-US" w:eastAsia="zh-CN"/>
        </w:rPr>
      </w:pPr>
      <w:r>
        <w:rPr>
          <w:rFonts w:hint="eastAsia" w:ascii="宋体" w:hAnsi="宋体" w:eastAsia="宋体" w:cs="宋体"/>
          <w:b/>
          <w:bCs/>
          <w:i w:val="0"/>
          <w:iCs w:val="0"/>
          <w:color w:val="auto"/>
          <w:sz w:val="24"/>
          <w:szCs w:val="24"/>
          <w:lang w:val="en-US" w:eastAsia="zh-CN"/>
        </w:rPr>
        <w:t>三</w:t>
      </w:r>
      <w:r>
        <w:rPr>
          <w:rFonts w:hint="eastAsia" w:ascii="宋体" w:hAnsi="宋体" w:cs="宋体"/>
          <w:b/>
          <w:bCs/>
          <w:i w:val="0"/>
          <w:iCs w:val="0"/>
          <w:color w:val="auto"/>
          <w:sz w:val="24"/>
          <w:szCs w:val="24"/>
          <w:lang w:val="en-US" w:eastAsia="zh-CN"/>
        </w:rPr>
        <w:t>、</w:t>
      </w:r>
      <w:r>
        <w:rPr>
          <w:rFonts w:hint="eastAsia" w:ascii="宋体" w:hAnsi="宋体" w:eastAsia="宋体" w:cs="宋体"/>
          <w:b/>
          <w:bCs/>
          <w:i w:val="0"/>
          <w:iCs w:val="0"/>
          <w:color w:val="auto"/>
          <w:sz w:val="24"/>
          <w:szCs w:val="24"/>
          <w:lang w:val="en-US" w:eastAsia="zh-CN"/>
        </w:rPr>
        <w:t>服务</w:t>
      </w:r>
      <w:r>
        <w:rPr>
          <w:rFonts w:hint="eastAsia" w:ascii="宋体" w:hAnsi="宋体" w:cs="宋体"/>
          <w:b/>
          <w:bCs/>
          <w:i w:val="0"/>
          <w:iCs w:val="0"/>
          <w:color w:val="auto"/>
          <w:sz w:val="24"/>
          <w:szCs w:val="24"/>
          <w:lang w:val="en-US" w:eastAsia="zh-CN"/>
        </w:rPr>
        <w:t>技术</w:t>
      </w:r>
      <w:r>
        <w:rPr>
          <w:rFonts w:hint="eastAsia" w:ascii="宋体" w:hAnsi="宋体" w:eastAsia="宋体" w:cs="宋体"/>
          <w:b/>
          <w:bCs/>
          <w:i w:val="0"/>
          <w:iCs w:val="0"/>
          <w:color w:val="auto"/>
          <w:sz w:val="24"/>
          <w:szCs w:val="24"/>
          <w:lang w:val="en-US" w:eastAsia="zh-CN"/>
        </w:rPr>
        <w:t>要求</w:t>
      </w:r>
    </w:p>
    <w:p w14:paraId="0563ED17">
      <w:pPr>
        <w:pStyle w:val="2"/>
        <w:pageBreakBefore w:val="0"/>
        <w:widowControl w:val="0"/>
        <w:kinsoku/>
        <w:wordWrap/>
        <w:overflowPunct/>
        <w:topLinePunct w:val="0"/>
        <w:autoSpaceDE/>
        <w:autoSpaceDN/>
        <w:bidi w:val="0"/>
        <w:adjustRightInd/>
        <w:spacing w:line="480" w:lineRule="exact"/>
        <w:textAlignment w:val="auto"/>
        <w:rPr>
          <w:rFonts w:hint="default" w:ascii="宋体" w:hAnsi="宋体" w:cs="宋体"/>
          <w:i w:val="0"/>
          <w:iCs w:val="0"/>
          <w:color w:val="auto"/>
          <w:sz w:val="24"/>
          <w:szCs w:val="24"/>
          <w:lang w:eastAsia="zh-CN"/>
        </w:rPr>
      </w:pPr>
      <w:r>
        <w:rPr>
          <w:rFonts w:hint="default" w:ascii="宋体" w:hAnsi="宋体" w:cs="宋体"/>
          <w:i w:val="0"/>
          <w:iCs w:val="0"/>
          <w:color w:val="auto"/>
          <w:sz w:val="24"/>
          <w:szCs w:val="24"/>
          <w:lang w:eastAsia="zh-CN"/>
        </w:rPr>
        <w:t>（一）项目技术需求</w:t>
      </w:r>
    </w:p>
    <w:p w14:paraId="110EE6E3">
      <w:pPr>
        <w:pStyle w:val="2"/>
        <w:pageBreakBefore w:val="0"/>
        <w:widowControl w:val="0"/>
        <w:kinsoku/>
        <w:wordWrap/>
        <w:overflowPunct/>
        <w:topLinePunct w:val="0"/>
        <w:autoSpaceDE/>
        <w:autoSpaceDN/>
        <w:bidi w:val="0"/>
        <w:adjustRightInd/>
        <w:spacing w:line="480" w:lineRule="exact"/>
        <w:ind w:left="0" w:firstLine="480" w:firstLineChars="200"/>
        <w:textAlignment w:val="auto"/>
        <w:rPr>
          <w:rFonts w:hint="default" w:ascii="宋体" w:hAnsi="宋体" w:cs="宋体"/>
          <w:i w:val="0"/>
          <w:iCs w:val="0"/>
          <w:color w:val="auto"/>
          <w:sz w:val="24"/>
          <w:szCs w:val="24"/>
          <w:lang w:eastAsia="zh-CN"/>
        </w:rPr>
      </w:pPr>
      <w:r>
        <w:rPr>
          <w:rFonts w:hint="default" w:ascii="宋体" w:hAnsi="宋体" w:cs="宋体"/>
          <w:i w:val="0"/>
          <w:iCs w:val="0"/>
          <w:color w:val="auto"/>
          <w:sz w:val="24"/>
          <w:szCs w:val="24"/>
          <w:lang w:eastAsia="zh-CN"/>
        </w:rPr>
        <w:t>1、对储罐检测报告和维护情况开展复核检查</w:t>
      </w:r>
    </w:p>
    <w:p w14:paraId="73CE612C">
      <w:pPr>
        <w:pStyle w:val="2"/>
        <w:pageBreakBefore w:val="0"/>
        <w:widowControl w:val="0"/>
        <w:kinsoku/>
        <w:wordWrap/>
        <w:overflowPunct/>
        <w:topLinePunct w:val="0"/>
        <w:autoSpaceDE/>
        <w:autoSpaceDN/>
        <w:bidi w:val="0"/>
        <w:adjustRightInd/>
        <w:spacing w:line="480" w:lineRule="exact"/>
        <w:ind w:left="0" w:firstLine="480" w:firstLineChars="200"/>
        <w:textAlignment w:val="auto"/>
        <w:rPr>
          <w:rFonts w:hint="eastAsia" w:ascii="宋体" w:hAnsi="宋体" w:cs="宋体"/>
          <w:i w:val="0"/>
          <w:iCs w:val="0"/>
          <w:color w:val="auto"/>
          <w:sz w:val="24"/>
          <w:szCs w:val="24"/>
          <w:lang w:eastAsia="zh-CN"/>
        </w:rPr>
      </w:pPr>
      <w:r>
        <w:rPr>
          <w:rFonts w:hint="default" w:ascii="宋体" w:hAnsi="宋体" w:cs="宋体"/>
          <w:i w:val="0"/>
          <w:iCs w:val="0"/>
          <w:color w:val="auto"/>
          <w:sz w:val="24"/>
          <w:szCs w:val="24"/>
          <w:lang w:eastAsia="zh-CN"/>
        </w:rPr>
        <w:t>检测报告检查内容包括：</w:t>
      </w:r>
      <w:r>
        <w:rPr>
          <w:rFonts w:hint="default" w:ascii="宋体" w:hAnsi="宋体" w:cs="宋体"/>
          <w:i w:val="0"/>
          <w:iCs w:val="0"/>
          <w:color w:val="auto"/>
          <w:sz w:val="24"/>
          <w:szCs w:val="24"/>
          <w:lang w:eastAsia="zh-CN"/>
        </w:rPr>
        <w:fldChar w:fldCharType="begin"/>
      </w:r>
      <w:r>
        <w:rPr>
          <w:rFonts w:hint="default" w:ascii="宋体" w:hAnsi="宋体" w:cs="宋体"/>
          <w:i w:val="0"/>
          <w:iCs w:val="0"/>
          <w:color w:val="auto"/>
          <w:sz w:val="24"/>
          <w:szCs w:val="24"/>
          <w:lang w:eastAsia="zh-CN"/>
        </w:rPr>
        <w:instrText xml:space="preserve"> = 1 \* GB3 </w:instrText>
      </w:r>
      <w:r>
        <w:rPr>
          <w:rFonts w:hint="default" w:ascii="宋体" w:hAnsi="宋体" w:cs="宋体"/>
          <w:i w:val="0"/>
          <w:iCs w:val="0"/>
          <w:color w:val="auto"/>
          <w:sz w:val="24"/>
          <w:szCs w:val="24"/>
          <w:lang w:eastAsia="zh-CN"/>
        </w:rPr>
        <w:fldChar w:fldCharType="separate"/>
      </w:r>
      <w:r>
        <w:rPr>
          <w:rFonts w:hint="default" w:ascii="宋体" w:hAnsi="宋体" w:cs="宋体"/>
          <w:i w:val="0"/>
          <w:iCs w:val="0"/>
          <w:color w:val="auto"/>
          <w:sz w:val="24"/>
          <w:szCs w:val="24"/>
          <w:lang w:eastAsia="zh-CN"/>
        </w:rPr>
        <w:t>①</w:t>
      </w:r>
      <w:r>
        <w:rPr>
          <w:rFonts w:hint="default" w:ascii="宋体" w:hAnsi="宋体" w:cs="宋体"/>
          <w:i w:val="0"/>
          <w:iCs w:val="0"/>
          <w:color w:val="auto"/>
          <w:sz w:val="24"/>
          <w:szCs w:val="24"/>
          <w:lang w:eastAsia="zh-CN"/>
        </w:rPr>
        <w:fldChar w:fldCharType="end"/>
      </w:r>
      <w:r>
        <w:rPr>
          <w:rFonts w:hint="default" w:ascii="宋体" w:hAnsi="宋体" w:cs="宋体"/>
          <w:i w:val="0"/>
          <w:iCs w:val="0"/>
          <w:color w:val="auto"/>
          <w:sz w:val="24"/>
          <w:szCs w:val="24"/>
          <w:lang w:eastAsia="zh-CN"/>
        </w:rPr>
        <w:t>报告内容是否全面、检测方法是否适用、检测布点是否合规、检测结论是否可信等；</w:t>
      </w:r>
      <w:r>
        <w:rPr>
          <w:rFonts w:hint="default" w:ascii="宋体" w:hAnsi="宋体" w:cs="宋体"/>
          <w:i w:val="0"/>
          <w:iCs w:val="0"/>
          <w:color w:val="auto"/>
          <w:sz w:val="24"/>
          <w:szCs w:val="24"/>
          <w:lang w:eastAsia="zh-CN"/>
        </w:rPr>
        <w:fldChar w:fldCharType="begin"/>
      </w:r>
      <w:r>
        <w:rPr>
          <w:rFonts w:hint="default" w:ascii="宋体" w:hAnsi="宋体" w:cs="宋体"/>
          <w:i w:val="0"/>
          <w:iCs w:val="0"/>
          <w:color w:val="auto"/>
          <w:sz w:val="24"/>
          <w:szCs w:val="24"/>
          <w:lang w:eastAsia="zh-CN"/>
        </w:rPr>
        <w:instrText xml:space="preserve"> = 2 \* GB3 </w:instrText>
      </w:r>
      <w:r>
        <w:rPr>
          <w:rFonts w:hint="default" w:ascii="宋体" w:hAnsi="宋体" w:cs="宋体"/>
          <w:i w:val="0"/>
          <w:iCs w:val="0"/>
          <w:color w:val="auto"/>
          <w:sz w:val="24"/>
          <w:szCs w:val="24"/>
          <w:lang w:eastAsia="zh-CN"/>
        </w:rPr>
        <w:fldChar w:fldCharType="separate"/>
      </w:r>
      <w:r>
        <w:rPr>
          <w:rFonts w:hint="default" w:ascii="宋体" w:hAnsi="宋体" w:cs="宋体"/>
          <w:i w:val="0"/>
          <w:iCs w:val="0"/>
          <w:color w:val="auto"/>
          <w:sz w:val="24"/>
          <w:szCs w:val="24"/>
          <w:lang w:eastAsia="zh-CN"/>
        </w:rPr>
        <w:t>②</w:t>
      </w:r>
      <w:r>
        <w:rPr>
          <w:rFonts w:hint="default" w:ascii="宋体" w:hAnsi="宋体" w:cs="宋体"/>
          <w:i w:val="0"/>
          <w:iCs w:val="0"/>
          <w:color w:val="auto"/>
          <w:sz w:val="24"/>
          <w:szCs w:val="24"/>
          <w:lang w:eastAsia="zh-CN"/>
        </w:rPr>
        <w:fldChar w:fldCharType="end"/>
      </w:r>
      <w:r>
        <w:rPr>
          <w:rFonts w:hint="default" w:ascii="宋体" w:hAnsi="宋体" w:cs="宋体"/>
          <w:i w:val="0"/>
          <w:iCs w:val="0"/>
          <w:color w:val="auto"/>
          <w:sz w:val="24"/>
          <w:szCs w:val="24"/>
          <w:lang w:eastAsia="zh-CN"/>
        </w:rPr>
        <w:t>维护情况检查内容包括企业是否建立落实“一台一档”、定期检验、年度检查等制度，是否符合《港口危险货物常压储罐检测工作指南》《在用危险化学品常压储罐检验要求》等有关要求；</w:t>
      </w:r>
      <w:r>
        <w:rPr>
          <w:rFonts w:hint="eastAsia" w:ascii="宋体" w:hAnsi="宋体" w:cs="宋体"/>
          <w:i w:val="0"/>
          <w:iCs w:val="0"/>
          <w:color w:val="auto"/>
          <w:sz w:val="24"/>
          <w:szCs w:val="24"/>
          <w:lang w:eastAsia="zh-CN"/>
        </w:rPr>
        <w:t>③</w:t>
      </w:r>
      <w:r>
        <w:rPr>
          <w:rFonts w:hint="default" w:ascii="宋体" w:hAnsi="宋体" w:cs="宋体"/>
          <w:i w:val="0"/>
          <w:iCs w:val="0"/>
          <w:color w:val="auto"/>
          <w:sz w:val="24"/>
          <w:szCs w:val="24"/>
          <w:lang w:eastAsia="zh-CN"/>
        </w:rPr>
        <w:t>企业对储罐检测发现的问题或缺陷是否采取维护措施，维护措施是否符合报告要求等</w:t>
      </w:r>
      <w:r>
        <w:rPr>
          <w:rFonts w:hint="default" w:ascii="宋体" w:hAnsi="宋体" w:cs="宋体"/>
          <w:i w:val="0"/>
          <w:iCs w:val="0"/>
          <w:color w:val="auto"/>
          <w:sz w:val="24"/>
          <w:szCs w:val="24"/>
          <w:lang w:val="en-US" w:eastAsia="zh-CN"/>
        </w:rPr>
        <w:t>；</w:t>
      </w:r>
    </w:p>
    <w:p w14:paraId="70BFADFB">
      <w:pPr>
        <w:pStyle w:val="2"/>
        <w:pageBreakBefore w:val="0"/>
        <w:widowControl w:val="0"/>
        <w:kinsoku/>
        <w:wordWrap/>
        <w:overflowPunct/>
        <w:topLinePunct w:val="0"/>
        <w:autoSpaceDE/>
        <w:autoSpaceDN/>
        <w:bidi w:val="0"/>
        <w:adjustRightInd/>
        <w:spacing w:line="480" w:lineRule="exact"/>
        <w:ind w:left="0" w:firstLine="480" w:firstLineChars="200"/>
        <w:textAlignment w:val="auto"/>
        <w:rPr>
          <w:rFonts w:hint="default" w:ascii="宋体" w:hAnsi="宋体" w:cs="宋体"/>
          <w:i w:val="0"/>
          <w:iCs w:val="0"/>
          <w:color w:val="auto"/>
          <w:sz w:val="24"/>
          <w:szCs w:val="24"/>
          <w:lang w:eastAsia="zh-CN"/>
        </w:rPr>
      </w:pPr>
      <w:r>
        <w:rPr>
          <w:rFonts w:hint="default" w:ascii="宋体" w:hAnsi="宋体" w:cs="宋体"/>
          <w:i w:val="0"/>
          <w:iCs w:val="0"/>
          <w:color w:val="auto"/>
          <w:sz w:val="24"/>
          <w:szCs w:val="24"/>
          <w:lang w:eastAsia="zh-CN"/>
        </w:rPr>
        <w:t>2、对储罐开展抽检</w:t>
      </w:r>
    </w:p>
    <w:p w14:paraId="02CEBF45">
      <w:pPr>
        <w:pStyle w:val="2"/>
        <w:pageBreakBefore w:val="0"/>
        <w:widowControl w:val="0"/>
        <w:kinsoku/>
        <w:wordWrap/>
        <w:overflowPunct/>
        <w:topLinePunct w:val="0"/>
        <w:autoSpaceDE/>
        <w:autoSpaceDN/>
        <w:bidi w:val="0"/>
        <w:adjustRightInd/>
        <w:spacing w:line="480" w:lineRule="exact"/>
        <w:ind w:left="0" w:firstLine="480" w:firstLineChars="200"/>
        <w:textAlignment w:val="auto"/>
        <w:rPr>
          <w:rFonts w:hint="default" w:ascii="宋体" w:hAnsi="宋体" w:cs="宋体"/>
          <w:i w:val="0"/>
          <w:iCs w:val="0"/>
          <w:color w:val="auto"/>
          <w:sz w:val="24"/>
          <w:szCs w:val="24"/>
          <w:lang w:eastAsia="zh-CN"/>
        </w:rPr>
      </w:pPr>
      <w:r>
        <w:rPr>
          <w:rFonts w:hint="default" w:ascii="宋体" w:hAnsi="宋体" w:cs="宋体"/>
          <w:i w:val="0"/>
          <w:iCs w:val="0"/>
          <w:color w:val="auto"/>
          <w:sz w:val="24"/>
          <w:szCs w:val="24"/>
          <w:lang w:eastAsia="zh-CN"/>
        </w:rPr>
        <w:t>从约定企业属于港口部门监管的高危老旧储罐（</w:t>
      </w:r>
      <w:r>
        <w:rPr>
          <w:rFonts w:hint="default" w:ascii="宋体" w:hAnsi="宋体" w:cs="宋体"/>
          <w:i w:val="0"/>
          <w:iCs w:val="0"/>
          <w:color w:val="auto"/>
          <w:sz w:val="24"/>
          <w:szCs w:val="24"/>
          <w:lang w:val="en-US" w:eastAsia="zh-CN"/>
        </w:rPr>
        <w:t>即投产10年及以上的甲B类储罐或投产20年及以上的非甲B类储罐</w:t>
      </w:r>
      <w:r>
        <w:rPr>
          <w:rFonts w:hint="default" w:ascii="宋体" w:hAnsi="宋体" w:cs="宋体"/>
          <w:i w:val="0"/>
          <w:iCs w:val="0"/>
          <w:color w:val="auto"/>
          <w:sz w:val="24"/>
          <w:szCs w:val="24"/>
          <w:lang w:eastAsia="zh-CN"/>
        </w:rPr>
        <w:t>）中抽选储罐进行抽检。项目抽检储罐选取应综合考虑港口危险货物企业性质、储罐类别、储罐分布区域、储罐所在企业定期检测计划等。</w:t>
      </w:r>
    </w:p>
    <w:p w14:paraId="71F9BD42">
      <w:pPr>
        <w:pStyle w:val="2"/>
        <w:pageBreakBefore w:val="0"/>
        <w:widowControl w:val="0"/>
        <w:kinsoku/>
        <w:wordWrap/>
        <w:overflowPunct/>
        <w:topLinePunct w:val="0"/>
        <w:autoSpaceDE/>
        <w:autoSpaceDN/>
        <w:bidi w:val="0"/>
        <w:adjustRightInd/>
        <w:spacing w:line="480" w:lineRule="exact"/>
        <w:ind w:left="0" w:firstLine="480" w:firstLineChars="200"/>
        <w:textAlignment w:val="auto"/>
        <w:rPr>
          <w:rFonts w:hint="default" w:ascii="宋体" w:hAnsi="宋体" w:cs="宋体"/>
          <w:i w:val="0"/>
          <w:iCs w:val="0"/>
          <w:color w:val="auto"/>
          <w:sz w:val="24"/>
          <w:szCs w:val="24"/>
          <w:highlight w:val="none"/>
          <w:u w:val="none"/>
          <w:lang w:eastAsia="zh-CN"/>
        </w:rPr>
      </w:pPr>
      <w:r>
        <w:rPr>
          <w:rFonts w:hint="default" w:ascii="宋体" w:hAnsi="宋体" w:cs="宋体"/>
          <w:i w:val="0"/>
          <w:iCs w:val="0"/>
          <w:color w:val="auto"/>
          <w:sz w:val="24"/>
          <w:szCs w:val="24"/>
          <w:highlight w:val="none"/>
          <w:u w:val="none"/>
          <w:lang w:eastAsia="zh-CN"/>
        </w:rPr>
        <w:t>储罐抽检内容包括资料审查与现场检测：</w:t>
      </w:r>
    </w:p>
    <w:p w14:paraId="7B54B84F">
      <w:pPr>
        <w:pStyle w:val="2"/>
        <w:pageBreakBefore w:val="0"/>
        <w:widowControl w:val="0"/>
        <w:kinsoku/>
        <w:wordWrap/>
        <w:overflowPunct/>
        <w:topLinePunct w:val="0"/>
        <w:autoSpaceDE/>
        <w:autoSpaceDN/>
        <w:bidi w:val="0"/>
        <w:adjustRightInd/>
        <w:spacing w:line="480" w:lineRule="exact"/>
        <w:ind w:left="0" w:firstLine="480" w:firstLineChars="200"/>
        <w:textAlignment w:val="auto"/>
        <w:rPr>
          <w:rFonts w:hint="default" w:ascii="宋体" w:hAnsi="宋体" w:cs="宋体"/>
          <w:i w:val="0"/>
          <w:iCs w:val="0"/>
          <w:color w:val="auto"/>
          <w:sz w:val="24"/>
          <w:szCs w:val="24"/>
          <w:highlight w:val="none"/>
          <w:u w:val="none"/>
          <w:lang w:eastAsia="zh-CN"/>
        </w:rPr>
      </w:pPr>
      <w:r>
        <w:rPr>
          <w:rFonts w:hint="default" w:ascii="宋体" w:hAnsi="宋体" w:cs="宋体"/>
          <w:i w:val="0"/>
          <w:iCs w:val="0"/>
          <w:color w:val="auto"/>
          <w:sz w:val="24"/>
          <w:szCs w:val="24"/>
          <w:highlight w:val="none"/>
          <w:u w:val="none"/>
          <w:lang w:eastAsia="zh-CN"/>
        </w:rPr>
        <w:t>（1）审查资料包括储罐设计、安装、竣工验收及日常检维修、维护资料等。</w:t>
      </w:r>
    </w:p>
    <w:p w14:paraId="168EBB4F">
      <w:pPr>
        <w:pStyle w:val="2"/>
        <w:pageBreakBefore w:val="0"/>
        <w:widowControl w:val="0"/>
        <w:kinsoku/>
        <w:wordWrap/>
        <w:overflowPunct/>
        <w:topLinePunct w:val="0"/>
        <w:autoSpaceDE/>
        <w:autoSpaceDN/>
        <w:bidi w:val="0"/>
        <w:adjustRightInd/>
        <w:spacing w:line="480" w:lineRule="exact"/>
        <w:ind w:left="0" w:firstLine="480" w:firstLineChars="200"/>
        <w:textAlignment w:val="auto"/>
        <w:rPr>
          <w:rFonts w:hint="default" w:ascii="宋体" w:hAnsi="宋体" w:cs="宋体"/>
          <w:i w:val="0"/>
          <w:iCs w:val="0"/>
          <w:color w:val="auto"/>
          <w:sz w:val="24"/>
          <w:szCs w:val="24"/>
          <w:highlight w:val="none"/>
          <w:u w:val="none"/>
          <w:lang w:eastAsia="zh-CN"/>
        </w:rPr>
      </w:pPr>
      <w:r>
        <w:rPr>
          <w:rFonts w:hint="default" w:ascii="宋体" w:hAnsi="宋体" w:cs="宋体"/>
          <w:i w:val="0"/>
          <w:iCs w:val="0"/>
          <w:color w:val="auto"/>
          <w:sz w:val="24"/>
          <w:szCs w:val="24"/>
          <w:highlight w:val="none"/>
          <w:u w:val="none"/>
          <w:lang w:eastAsia="zh-CN"/>
        </w:rPr>
        <w:t>（2）现场检测可以根据实际情况采用在线检测或开罐检测。检测内容包括：宏观检查、罐体腐蚀检测、焊缝无损检测、安全附件检查等。根据储罐使用情况，必要时还可增加材质分析、金相检验、应力测定、真空泄漏检测、充水试验、储罐基础检测、储罐沉降检测、阴极保护检测、防腐层检测、保温层检测等内容。</w:t>
      </w:r>
    </w:p>
    <w:p w14:paraId="281482E1">
      <w:pPr>
        <w:pStyle w:val="2"/>
        <w:pageBreakBefore w:val="0"/>
        <w:widowControl w:val="0"/>
        <w:kinsoku/>
        <w:wordWrap/>
        <w:overflowPunct/>
        <w:topLinePunct w:val="0"/>
        <w:autoSpaceDE/>
        <w:autoSpaceDN/>
        <w:bidi w:val="0"/>
        <w:adjustRightInd/>
        <w:spacing w:line="480" w:lineRule="exact"/>
        <w:textAlignment w:val="auto"/>
        <w:rPr>
          <w:rFonts w:hint="default" w:ascii="宋体" w:hAnsi="宋体" w:cs="宋体"/>
          <w:i w:val="0"/>
          <w:iCs w:val="0"/>
          <w:color w:val="auto"/>
          <w:sz w:val="24"/>
          <w:szCs w:val="24"/>
          <w:lang w:eastAsia="zh-CN"/>
        </w:rPr>
      </w:pPr>
      <w:r>
        <w:rPr>
          <w:rFonts w:hint="default" w:ascii="宋体" w:hAnsi="宋体" w:cs="宋体"/>
          <w:i w:val="0"/>
          <w:iCs w:val="0"/>
          <w:color w:val="auto"/>
          <w:sz w:val="24"/>
          <w:szCs w:val="24"/>
          <w:lang w:eastAsia="zh-CN"/>
        </w:rPr>
        <w:t>（二）项目服务需求</w:t>
      </w:r>
    </w:p>
    <w:p w14:paraId="28786012">
      <w:pPr>
        <w:pStyle w:val="2"/>
        <w:pageBreakBefore w:val="0"/>
        <w:widowControl w:val="0"/>
        <w:kinsoku/>
        <w:wordWrap/>
        <w:overflowPunct/>
        <w:topLinePunct w:val="0"/>
        <w:autoSpaceDE/>
        <w:autoSpaceDN/>
        <w:bidi w:val="0"/>
        <w:adjustRightInd/>
        <w:spacing w:line="480" w:lineRule="exact"/>
        <w:ind w:left="0" w:firstLine="480" w:firstLineChars="200"/>
        <w:textAlignment w:val="auto"/>
        <w:rPr>
          <w:rFonts w:hint="default" w:ascii="宋体" w:hAnsi="宋体" w:cs="宋体"/>
          <w:i w:val="0"/>
          <w:iCs w:val="0"/>
          <w:color w:val="auto"/>
          <w:sz w:val="24"/>
          <w:szCs w:val="24"/>
          <w:lang w:eastAsia="zh-CN"/>
        </w:rPr>
      </w:pPr>
      <w:r>
        <w:rPr>
          <w:rFonts w:hint="default" w:ascii="宋体" w:hAnsi="宋体" w:cs="宋体"/>
          <w:i w:val="0"/>
          <w:iCs w:val="0"/>
          <w:color w:val="auto"/>
          <w:sz w:val="24"/>
          <w:szCs w:val="24"/>
          <w:lang w:eastAsia="zh-CN"/>
        </w:rPr>
        <w:t>1、储罐检测报告和维护情况复核检查的检查范围（企业、储罐</w:t>
      </w:r>
      <w:r>
        <w:rPr>
          <w:rFonts w:hint="eastAsia" w:ascii="宋体" w:hAnsi="宋体" w:cs="宋体"/>
          <w:i w:val="0"/>
          <w:iCs w:val="0"/>
          <w:color w:val="auto"/>
          <w:sz w:val="24"/>
          <w:szCs w:val="24"/>
          <w:lang w:eastAsia="zh-CN"/>
        </w:rPr>
        <w:t>、检查时间</w:t>
      </w:r>
      <w:r>
        <w:rPr>
          <w:rFonts w:hint="default" w:ascii="宋体" w:hAnsi="宋体" w:cs="宋体"/>
          <w:i w:val="0"/>
          <w:iCs w:val="0"/>
          <w:color w:val="auto"/>
          <w:sz w:val="24"/>
          <w:szCs w:val="24"/>
          <w:lang w:eastAsia="zh-CN"/>
        </w:rPr>
        <w:t>等）由</w:t>
      </w:r>
      <w:r>
        <w:rPr>
          <w:rFonts w:hint="eastAsia" w:ascii="宋体" w:hAnsi="宋体" w:cs="宋体"/>
          <w:i w:val="0"/>
          <w:iCs w:val="0"/>
          <w:color w:val="auto"/>
          <w:sz w:val="24"/>
          <w:szCs w:val="24"/>
          <w:lang w:val="en-US" w:eastAsia="zh-CN"/>
        </w:rPr>
        <w:t>北仑区</w:t>
      </w:r>
      <w:r>
        <w:rPr>
          <w:rFonts w:hint="default" w:ascii="宋体" w:hAnsi="宋体" w:cs="宋体"/>
          <w:i w:val="0"/>
          <w:iCs w:val="0"/>
          <w:color w:val="auto"/>
          <w:sz w:val="24"/>
          <w:szCs w:val="24"/>
          <w:lang w:eastAsia="zh-CN"/>
        </w:rPr>
        <w:t>港航管理中心与中标单位协商确定</w:t>
      </w:r>
      <w:r>
        <w:rPr>
          <w:rFonts w:hint="eastAsia" w:ascii="宋体" w:hAnsi="宋体" w:cs="宋体"/>
          <w:i w:val="0"/>
          <w:iCs w:val="0"/>
          <w:color w:val="auto"/>
          <w:sz w:val="24"/>
          <w:szCs w:val="24"/>
          <w:lang w:eastAsia="zh-CN"/>
        </w:rPr>
        <w:t>，每次开展检查前一天应告知</w:t>
      </w:r>
      <w:r>
        <w:rPr>
          <w:rFonts w:hint="eastAsia" w:ascii="宋体" w:hAnsi="宋体" w:cs="宋体"/>
          <w:i w:val="0"/>
          <w:iCs w:val="0"/>
          <w:color w:val="auto"/>
          <w:sz w:val="24"/>
          <w:szCs w:val="24"/>
          <w:lang w:val="en-US" w:eastAsia="zh-CN"/>
        </w:rPr>
        <w:t>北仑区</w:t>
      </w:r>
      <w:r>
        <w:rPr>
          <w:rFonts w:hint="default" w:ascii="宋体" w:hAnsi="宋体" w:cs="宋体"/>
          <w:i w:val="0"/>
          <w:iCs w:val="0"/>
          <w:color w:val="auto"/>
          <w:sz w:val="24"/>
          <w:szCs w:val="24"/>
          <w:lang w:eastAsia="zh-CN"/>
        </w:rPr>
        <w:t>港航管理中心。储罐检测报告和维护情况复核检查工作必须符合国家法律法规、标准规范等相关要求，如实记录检查情况及发现的问题，形成问题清单，所提问题必须写明法律法规标准规范具体条文要求，检查中发现企业委托的第三方检测机构未按规定实施检测，或检测方法、结论有问题的，应及时向储罐使用单位和</w:t>
      </w:r>
      <w:r>
        <w:rPr>
          <w:rFonts w:hint="eastAsia" w:ascii="宋体" w:hAnsi="宋体" w:cs="宋体"/>
          <w:i w:val="0"/>
          <w:iCs w:val="0"/>
          <w:color w:val="auto"/>
          <w:sz w:val="24"/>
          <w:szCs w:val="24"/>
          <w:lang w:val="en-US" w:eastAsia="zh-CN"/>
        </w:rPr>
        <w:t>北仑区</w:t>
      </w:r>
      <w:r>
        <w:rPr>
          <w:rFonts w:hint="default" w:ascii="宋体" w:hAnsi="宋体" w:cs="宋体"/>
          <w:i w:val="0"/>
          <w:iCs w:val="0"/>
          <w:color w:val="auto"/>
          <w:sz w:val="24"/>
          <w:szCs w:val="24"/>
          <w:lang w:eastAsia="zh-CN"/>
        </w:rPr>
        <w:t>港航中心报告。在复核检查工作完成1个月内，形成储罐检测报告和维护情况复核检查报告，每份复核检查报告内容包括但不限于储罐基本信息、储罐检测报告检查情况、储罐维护情况检查情况和问题清单等。</w:t>
      </w:r>
    </w:p>
    <w:p w14:paraId="03820836">
      <w:pPr>
        <w:pStyle w:val="2"/>
        <w:pageBreakBefore w:val="0"/>
        <w:widowControl w:val="0"/>
        <w:kinsoku/>
        <w:wordWrap/>
        <w:overflowPunct/>
        <w:topLinePunct w:val="0"/>
        <w:autoSpaceDE/>
        <w:autoSpaceDN/>
        <w:bidi w:val="0"/>
        <w:adjustRightInd/>
        <w:spacing w:line="480" w:lineRule="exact"/>
        <w:ind w:left="0" w:firstLine="480" w:firstLineChars="200"/>
        <w:textAlignment w:val="auto"/>
        <w:rPr>
          <w:rFonts w:hint="default" w:ascii="宋体" w:hAnsi="宋体" w:cs="宋体"/>
          <w:i w:val="0"/>
          <w:iCs w:val="0"/>
          <w:color w:val="auto"/>
          <w:sz w:val="24"/>
          <w:szCs w:val="24"/>
          <w:lang w:eastAsia="zh-CN"/>
        </w:rPr>
      </w:pPr>
      <w:r>
        <w:rPr>
          <w:rFonts w:hint="default" w:ascii="宋体" w:hAnsi="宋体" w:cs="宋体"/>
          <w:i w:val="0"/>
          <w:iCs w:val="0"/>
          <w:color w:val="auto"/>
          <w:sz w:val="24"/>
          <w:szCs w:val="24"/>
          <w:lang w:eastAsia="zh-CN"/>
        </w:rPr>
        <w:t>2、储罐抽检工作的储罐抽检范围（企业、储罐及检测形式等）由</w:t>
      </w:r>
      <w:r>
        <w:rPr>
          <w:rFonts w:hint="eastAsia" w:ascii="宋体" w:hAnsi="宋体" w:cs="宋体"/>
          <w:i w:val="0"/>
          <w:iCs w:val="0"/>
          <w:color w:val="auto"/>
          <w:sz w:val="24"/>
          <w:szCs w:val="24"/>
          <w:lang w:val="en-US" w:eastAsia="zh-CN"/>
        </w:rPr>
        <w:t>北仑区</w:t>
      </w:r>
      <w:r>
        <w:rPr>
          <w:rFonts w:hint="default" w:ascii="宋体" w:hAnsi="宋体" w:cs="宋体"/>
          <w:i w:val="0"/>
          <w:iCs w:val="0"/>
          <w:color w:val="auto"/>
          <w:sz w:val="24"/>
          <w:szCs w:val="24"/>
          <w:lang w:eastAsia="zh-CN"/>
        </w:rPr>
        <w:t>港航管理中心与中标单位协商确定。储罐抽检工作必须符合《港口危险货物常压储罐检测工作指南》《在用危险化学品常压储罐检验要求》等国家法律法规、标准规范等相关要求，现场检测可以根据实际情况采取在线检测或开罐检测，开展现场检测前应与储罐使用单位签订安全生产管理协议，约定各自安全生产管理职责，如实记录检查情况及发现问题，形成问题清单，在每个储罐抽检工作完成1个月内，形成港口危险货物储罐抽检报告，储罐抽检报告内容包括但不限于储罐检测报告和问题清单等。</w:t>
      </w:r>
    </w:p>
    <w:p w14:paraId="0296217D">
      <w:pPr>
        <w:keepNext w:val="0"/>
        <w:keepLines w:val="0"/>
        <w:pageBreakBefore w:val="0"/>
        <w:widowControl w:val="0"/>
        <w:kinsoku/>
        <w:wordWrap/>
        <w:overflowPunct/>
        <w:topLinePunct w:val="0"/>
        <w:autoSpaceDE/>
        <w:autoSpaceDN/>
        <w:bidi w:val="0"/>
        <w:adjustRightInd/>
        <w:snapToGrid/>
        <w:spacing w:line="590" w:lineRule="exact"/>
        <w:ind w:firstLine="0" w:firstLineChars="0"/>
        <w:textAlignment w:val="auto"/>
        <w:outlineLvl w:val="0"/>
        <w:rPr>
          <w:rFonts w:hint="eastAsia" w:ascii="黑体" w:hAnsi="黑体" w:eastAsia="黑体" w:cs="黑体"/>
          <w:bCs/>
          <w:color w:val="auto"/>
          <w:sz w:val="32"/>
          <w:szCs w:val="32"/>
          <w:lang w:val="en-US" w:eastAsia="zh-CN"/>
        </w:rPr>
      </w:pPr>
    </w:p>
    <w:p w14:paraId="79C9F57E">
      <w:pPr>
        <w:keepNext/>
        <w:keepLines/>
        <w:pageBreakBefore w:val="0"/>
        <w:widowControl w:val="0"/>
        <w:kinsoku/>
        <w:wordWrap/>
        <w:overflowPunct/>
        <w:topLinePunct w:val="0"/>
        <w:autoSpaceDE/>
        <w:autoSpaceDN/>
        <w:bidi w:val="0"/>
        <w:adjustRightInd/>
        <w:snapToGrid/>
        <w:spacing w:line="460" w:lineRule="exact"/>
        <w:ind w:firstLine="0" w:firstLineChars="0"/>
        <w:jc w:val="left"/>
        <w:textAlignment w:val="auto"/>
        <w:outlineLvl w:val="9"/>
        <w:rPr>
          <w:rFonts w:hint="eastAsia" w:ascii="Times New Roman" w:hAnsi="Times New Roman" w:eastAsia="宋体" w:cs="Times New Roman"/>
          <w:b/>
          <w:bCs/>
          <w:color w:val="auto"/>
          <w:sz w:val="24"/>
          <w:szCs w:val="24"/>
          <w:highlight w:val="none"/>
        </w:rPr>
      </w:pPr>
      <w:r>
        <w:rPr>
          <w:rFonts w:hint="eastAsia" w:ascii="Times New Roman" w:hAnsi="Times New Roman" w:eastAsia="宋体" w:cs="Times New Roman"/>
          <w:b/>
          <w:bCs/>
          <w:color w:val="auto"/>
          <w:sz w:val="24"/>
          <w:szCs w:val="24"/>
          <w:highlight w:val="none"/>
          <w:lang w:val="en-US" w:eastAsia="zh-CN"/>
        </w:rPr>
        <w:t>四</w:t>
      </w:r>
      <w:r>
        <w:rPr>
          <w:rFonts w:hint="eastAsia" w:ascii="Times New Roman" w:hAnsi="Times New Roman" w:eastAsia="宋体" w:cs="Times New Roman"/>
          <w:b/>
          <w:bCs/>
          <w:color w:val="auto"/>
          <w:sz w:val="24"/>
          <w:szCs w:val="24"/>
          <w:highlight w:val="none"/>
        </w:rPr>
        <w:t>、项目执行要求</w:t>
      </w:r>
    </w:p>
    <w:p w14:paraId="0908A71E">
      <w:pPr>
        <w:keepNext w:val="0"/>
        <w:keepLines w:val="0"/>
        <w:pageBreakBefore w:val="0"/>
        <w:widowControl w:val="0"/>
        <w:kinsoku/>
        <w:wordWrap/>
        <w:overflowPunct/>
        <w:topLinePunct w:val="0"/>
        <w:autoSpaceDE/>
        <w:autoSpaceDN/>
        <w:bidi w:val="0"/>
        <w:adjustRightInd/>
        <w:snapToGrid/>
        <w:spacing w:line="460" w:lineRule="exact"/>
        <w:ind w:firstLine="0" w:firstLineChars="0"/>
        <w:textAlignment w:val="auto"/>
        <w:rPr>
          <w:rFonts w:hint="eastAsia" w:ascii="Times New Roman" w:hAnsi="Times New Roman" w:eastAsia="宋体" w:cs="Times New Roman"/>
          <w:color w:val="auto"/>
          <w:kern w:val="2"/>
          <w:sz w:val="24"/>
          <w:szCs w:val="24"/>
          <w:highlight w:val="none"/>
        </w:rPr>
      </w:pPr>
      <w:r>
        <w:rPr>
          <w:rFonts w:hint="eastAsia" w:ascii="Times New Roman" w:hAnsi="Times New Roman" w:eastAsia="宋体" w:cs="Times New Roman"/>
          <w:color w:val="auto"/>
          <w:kern w:val="2"/>
          <w:sz w:val="24"/>
          <w:szCs w:val="24"/>
          <w:highlight w:val="none"/>
          <w:lang w:val="en-US" w:eastAsia="zh-CN"/>
        </w:rPr>
        <w:t>（一）</w:t>
      </w:r>
      <w:r>
        <w:rPr>
          <w:rFonts w:hint="eastAsia" w:ascii="Times New Roman" w:hAnsi="Times New Roman" w:eastAsia="宋体" w:cs="Times New Roman"/>
          <w:color w:val="auto"/>
          <w:kern w:val="2"/>
          <w:sz w:val="24"/>
          <w:szCs w:val="24"/>
          <w:highlight w:val="none"/>
        </w:rPr>
        <w:t>项目招标要求</w:t>
      </w:r>
    </w:p>
    <w:p w14:paraId="3CC69F20">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rPr>
          <w:rFonts w:hint="eastAsia" w:ascii="Times New Roman" w:eastAsia="宋体"/>
          <w:color w:val="auto"/>
          <w:sz w:val="24"/>
          <w:szCs w:val="24"/>
          <w:highlight w:val="none"/>
        </w:rPr>
      </w:pPr>
      <w:r>
        <w:rPr>
          <w:rFonts w:hint="eastAsia" w:ascii="Times New Roman" w:eastAsia="宋体"/>
          <w:color w:val="auto"/>
          <w:sz w:val="24"/>
          <w:szCs w:val="24"/>
          <w:highlight w:val="none"/>
        </w:rPr>
        <w:t>项目招标有效期为</w:t>
      </w:r>
      <w:r>
        <w:rPr>
          <w:rFonts w:hint="eastAsia"/>
          <w:color w:val="auto"/>
          <w:sz w:val="24"/>
          <w:szCs w:val="24"/>
          <w:highlight w:val="none"/>
          <w:lang w:val="en-US" w:eastAsia="zh-CN"/>
        </w:rPr>
        <w:t>一</w:t>
      </w:r>
      <w:r>
        <w:rPr>
          <w:rFonts w:hint="eastAsia" w:ascii="Times New Roman" w:eastAsia="宋体"/>
          <w:color w:val="auto"/>
          <w:sz w:val="24"/>
          <w:szCs w:val="24"/>
          <w:highlight w:val="none"/>
        </w:rPr>
        <w:t>年。</w:t>
      </w:r>
    </w:p>
    <w:p w14:paraId="7FBF51A4">
      <w:pPr>
        <w:keepNext w:val="0"/>
        <w:keepLines w:val="0"/>
        <w:pageBreakBefore w:val="0"/>
        <w:widowControl w:val="0"/>
        <w:kinsoku/>
        <w:wordWrap/>
        <w:overflowPunct/>
        <w:topLinePunct w:val="0"/>
        <w:autoSpaceDE/>
        <w:autoSpaceDN/>
        <w:bidi w:val="0"/>
        <w:adjustRightInd/>
        <w:snapToGrid/>
        <w:spacing w:line="460" w:lineRule="exact"/>
        <w:ind w:firstLine="0" w:firstLineChars="0"/>
        <w:textAlignment w:val="auto"/>
        <w:rPr>
          <w:rFonts w:hint="eastAsia" w:ascii="Times New Roman" w:hAnsi="Times New Roman" w:eastAsia="宋体" w:cs="Times New Roman"/>
          <w:color w:val="auto"/>
          <w:sz w:val="24"/>
          <w:szCs w:val="24"/>
          <w:highlight w:val="none"/>
        </w:rPr>
      </w:pPr>
      <w:r>
        <w:rPr>
          <w:rFonts w:hint="eastAsia" w:ascii="Times New Roman" w:hAnsi="Times New Roman" w:eastAsia="宋体" w:cs="Times New Roman"/>
          <w:color w:val="auto"/>
          <w:sz w:val="24"/>
          <w:szCs w:val="24"/>
          <w:highlight w:val="none"/>
          <w:lang w:val="en-US" w:eastAsia="zh-CN"/>
        </w:rPr>
        <w:t>（二）</w:t>
      </w:r>
      <w:r>
        <w:rPr>
          <w:rFonts w:hint="eastAsia" w:ascii="Times New Roman" w:hAnsi="Times New Roman" w:eastAsia="宋体" w:cs="Times New Roman"/>
          <w:color w:val="auto"/>
          <w:sz w:val="24"/>
          <w:szCs w:val="24"/>
          <w:highlight w:val="none"/>
        </w:rPr>
        <w:t>提交成果</w:t>
      </w:r>
    </w:p>
    <w:p w14:paraId="51960AE5">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rPr>
          <w:rFonts w:hint="eastAsia" w:ascii="Times New Roman" w:hAnsi="Times New Roman" w:eastAsia="宋体" w:cs="Times New Roman"/>
          <w:color w:val="auto"/>
          <w:sz w:val="24"/>
          <w:szCs w:val="24"/>
          <w:highlight w:val="none"/>
          <w:lang w:val="en-US" w:eastAsia="zh-CN"/>
        </w:rPr>
      </w:pPr>
      <w:r>
        <w:rPr>
          <w:rFonts w:hint="eastAsia" w:ascii="Times New Roman" w:hAnsi="Times New Roman" w:eastAsia="宋体" w:cs="Times New Roman"/>
          <w:color w:val="auto"/>
          <w:sz w:val="24"/>
          <w:szCs w:val="24"/>
          <w:highlight w:val="none"/>
          <w:lang w:val="en-US" w:eastAsia="zh-CN"/>
        </w:rPr>
        <w:t>1、编制储罐检测和维护情况复核检查报告，形成问题清单，每个储罐检测和维护情况复核检查完成后，对应形成宁波市北仑区港口危险货物储罐检测和维护情况复核检查报告（各个标项合计不少于10份）。</w:t>
      </w:r>
    </w:p>
    <w:p w14:paraId="3FACE0B1">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rPr>
          <w:rFonts w:hint="eastAsia" w:ascii="Times New Roman" w:hAnsi="Times New Roman" w:eastAsia="宋体" w:cs="Times New Roman"/>
          <w:color w:val="auto"/>
          <w:sz w:val="24"/>
          <w:szCs w:val="24"/>
          <w:highlight w:val="none"/>
        </w:rPr>
      </w:pPr>
      <w:r>
        <w:rPr>
          <w:rFonts w:hint="eastAsia" w:ascii="Times New Roman" w:hAnsi="Times New Roman" w:eastAsia="宋体" w:cs="Times New Roman"/>
          <w:color w:val="auto"/>
          <w:sz w:val="24"/>
          <w:szCs w:val="24"/>
          <w:highlight w:val="none"/>
          <w:lang w:val="en-US" w:eastAsia="zh-CN"/>
        </w:rPr>
        <w:t>2、每个储罐抽检完成后，编制宁波市北仑区港口危险货物储罐抽检报告，形成问题清单。</w:t>
      </w:r>
      <w:r>
        <w:rPr>
          <w:rFonts w:hint="eastAsia" w:ascii="Times New Roman" w:hAnsi="Times New Roman" w:eastAsia="宋体" w:cs="Times New Roman"/>
          <w:color w:val="auto"/>
          <w:sz w:val="24"/>
          <w:szCs w:val="24"/>
          <w:highlight w:val="none"/>
          <w:lang w:eastAsia="zh-CN"/>
        </w:rPr>
        <w:t>（</w:t>
      </w:r>
      <w:r>
        <w:rPr>
          <w:rFonts w:hint="eastAsia" w:ascii="Times New Roman" w:hAnsi="Times New Roman" w:eastAsia="宋体" w:cs="Times New Roman"/>
          <w:color w:val="auto"/>
          <w:sz w:val="24"/>
          <w:szCs w:val="24"/>
          <w:highlight w:val="none"/>
          <w:lang w:val="en-US" w:eastAsia="zh-CN"/>
        </w:rPr>
        <w:t>各个标项</w:t>
      </w:r>
      <w:r>
        <w:rPr>
          <w:rFonts w:hint="eastAsia" w:ascii="Times New Roman" w:hAnsi="Times New Roman" w:eastAsia="宋体" w:cs="Times New Roman"/>
          <w:color w:val="auto"/>
          <w:sz w:val="24"/>
          <w:szCs w:val="24"/>
          <w:highlight w:val="none"/>
          <w:lang w:eastAsia="zh-CN"/>
        </w:rPr>
        <w:t>合计不少于</w:t>
      </w:r>
      <w:r>
        <w:rPr>
          <w:rFonts w:hint="eastAsia" w:ascii="Times New Roman" w:hAnsi="Times New Roman" w:eastAsia="宋体" w:cs="Times New Roman"/>
          <w:color w:val="auto"/>
          <w:sz w:val="24"/>
          <w:szCs w:val="24"/>
          <w:highlight w:val="none"/>
          <w:lang w:val="en-US" w:eastAsia="zh-CN"/>
        </w:rPr>
        <w:t>7</w:t>
      </w:r>
      <w:r>
        <w:rPr>
          <w:rFonts w:hint="eastAsia" w:ascii="Times New Roman" w:hAnsi="Times New Roman" w:eastAsia="宋体" w:cs="Times New Roman"/>
          <w:color w:val="auto"/>
          <w:sz w:val="24"/>
          <w:szCs w:val="24"/>
          <w:highlight w:val="none"/>
          <w:lang w:eastAsia="zh-CN"/>
        </w:rPr>
        <w:t>份）</w:t>
      </w:r>
      <w:r>
        <w:rPr>
          <w:rFonts w:hint="eastAsia" w:ascii="Times New Roman" w:hAnsi="Times New Roman" w:eastAsia="宋体" w:cs="Times New Roman"/>
          <w:color w:val="auto"/>
          <w:sz w:val="24"/>
          <w:szCs w:val="24"/>
          <w:highlight w:val="none"/>
          <w:lang w:val="en-US" w:eastAsia="zh-CN"/>
        </w:rPr>
        <w:t>。</w:t>
      </w:r>
    </w:p>
    <w:p w14:paraId="74C70004">
      <w:pPr>
        <w:keepNext/>
        <w:keepLines/>
        <w:spacing w:line="460" w:lineRule="exact"/>
        <w:jc w:val="left"/>
        <w:rPr>
          <w:rFonts w:hint="eastAsia" w:ascii="Calibri" w:hAnsi="Calibri" w:eastAsia="宋体" w:cs="Calibri"/>
          <w:b/>
          <w:bCs/>
          <w:color w:val="auto"/>
          <w:kern w:val="44"/>
          <w:sz w:val="24"/>
          <w:szCs w:val="24"/>
          <w:highlight w:val="none"/>
          <w:shd w:val="clear" w:color="auto" w:fill="FFFFFF"/>
          <w:lang w:val="en-US" w:eastAsia="zh-CN"/>
        </w:rPr>
      </w:pPr>
    </w:p>
    <w:p w14:paraId="2956EA92">
      <w:pPr>
        <w:pStyle w:val="2"/>
        <w:rPr>
          <w:rFonts w:hint="eastAsia"/>
          <w:color w:val="auto"/>
          <w:lang w:val="en-US" w:eastAsia="zh-CN"/>
        </w:rPr>
      </w:pPr>
    </w:p>
    <w:p w14:paraId="50149350">
      <w:pPr>
        <w:keepNext/>
        <w:keepLines/>
        <w:pageBreakBefore w:val="0"/>
        <w:widowControl w:val="0"/>
        <w:kinsoku/>
        <w:wordWrap/>
        <w:overflowPunct/>
        <w:topLinePunct w:val="0"/>
        <w:autoSpaceDE/>
        <w:autoSpaceDN/>
        <w:bidi w:val="0"/>
        <w:adjustRightInd/>
        <w:snapToGrid/>
        <w:spacing w:line="460" w:lineRule="exact"/>
        <w:ind w:firstLine="0" w:firstLineChars="0"/>
        <w:jc w:val="left"/>
        <w:textAlignment w:val="auto"/>
        <w:rPr>
          <w:rFonts w:hint="default" w:ascii="Calibri" w:hAnsi="Calibri" w:eastAsia="宋体" w:cs="Calibri"/>
          <w:b/>
          <w:bCs/>
          <w:color w:val="auto"/>
          <w:kern w:val="44"/>
          <w:sz w:val="24"/>
          <w:szCs w:val="24"/>
          <w:highlight w:val="none"/>
          <w:shd w:val="clear" w:color="auto" w:fill="FFFFFF"/>
          <w:lang w:val="en-US" w:eastAsia="zh-CN"/>
        </w:rPr>
      </w:pPr>
      <w:r>
        <w:rPr>
          <w:rFonts w:hint="eastAsia"/>
          <w:color w:val="auto"/>
          <w:sz w:val="24"/>
          <w:szCs w:val="24"/>
          <w:highlight w:val="none"/>
        </w:rPr>
        <w:t>★</w:t>
      </w:r>
      <w:r>
        <w:rPr>
          <w:rFonts w:hint="eastAsia" w:ascii="Calibri" w:hAnsi="Calibri" w:eastAsia="宋体" w:cs="Calibri"/>
          <w:b/>
          <w:bCs/>
          <w:color w:val="auto"/>
          <w:kern w:val="44"/>
          <w:sz w:val="24"/>
          <w:szCs w:val="24"/>
          <w:highlight w:val="none"/>
          <w:shd w:val="clear" w:color="auto" w:fill="FFFFFF"/>
          <w:lang w:val="en-US" w:eastAsia="zh-CN"/>
        </w:rPr>
        <w:t>商务条款要求</w:t>
      </w:r>
      <w:r>
        <w:rPr>
          <w:rFonts w:hint="eastAsia" w:ascii="Calibri" w:hAnsi="Calibri" w:cs="Calibri"/>
          <w:b/>
          <w:bCs/>
          <w:color w:val="auto"/>
          <w:kern w:val="44"/>
          <w:sz w:val="24"/>
          <w:szCs w:val="24"/>
          <w:highlight w:val="none"/>
          <w:shd w:val="clear" w:color="auto" w:fill="FFFFFF"/>
          <w:lang w:eastAsia="zh-CN"/>
        </w:rPr>
        <w:t>（</w:t>
      </w:r>
      <w:r>
        <w:rPr>
          <w:rFonts w:hint="eastAsia" w:ascii="Calibri" w:hAnsi="Calibri" w:cs="Calibri"/>
          <w:b/>
          <w:bCs/>
          <w:color w:val="auto"/>
          <w:kern w:val="44"/>
          <w:sz w:val="24"/>
          <w:szCs w:val="24"/>
          <w:highlight w:val="none"/>
          <w:shd w:val="clear" w:color="auto" w:fill="FFFFFF"/>
          <w:lang w:val="en-US" w:eastAsia="zh-CN"/>
        </w:rPr>
        <w:t>适用标项一、二</w:t>
      </w:r>
      <w:r>
        <w:rPr>
          <w:rFonts w:hint="eastAsia" w:ascii="Calibri" w:hAnsi="Calibri" w:cs="Calibri"/>
          <w:b/>
          <w:bCs/>
          <w:color w:val="auto"/>
          <w:kern w:val="44"/>
          <w:sz w:val="24"/>
          <w:szCs w:val="24"/>
          <w:highlight w:val="none"/>
          <w:shd w:val="clear" w:color="auto" w:fill="FFFFFF"/>
          <w:lang w:eastAsia="zh-CN"/>
        </w:rPr>
        <w:t>）</w:t>
      </w:r>
    </w:p>
    <w:p w14:paraId="0306B4F2">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rPr>
          <w:rFonts w:hint="eastAsia" w:ascii="宋体" w:hAnsi="宋体" w:cs="宋体"/>
          <w:color w:val="auto"/>
          <w:kern w:val="1"/>
          <w:sz w:val="24"/>
          <w:szCs w:val="24"/>
          <w:highlight w:val="none"/>
        </w:rPr>
      </w:pPr>
      <w:r>
        <w:rPr>
          <w:rFonts w:hint="eastAsia"/>
          <w:color w:val="auto"/>
          <w:sz w:val="24"/>
          <w:szCs w:val="24"/>
          <w:highlight w:val="none"/>
          <w:lang w:val="en-US" w:eastAsia="zh-CN"/>
        </w:rPr>
        <w:t>1、</w:t>
      </w:r>
      <w:r>
        <w:rPr>
          <w:rFonts w:hint="eastAsia" w:ascii="宋体" w:hAnsi="宋体" w:cs="宋体"/>
          <w:color w:val="auto"/>
          <w:sz w:val="24"/>
          <w:szCs w:val="24"/>
          <w:highlight w:val="none"/>
        </w:rPr>
        <w:t>履约保证金</w:t>
      </w:r>
      <w:r>
        <w:rPr>
          <w:rFonts w:hint="eastAsia" w:ascii="宋体" w:hAnsi="宋体" w:cs="宋体"/>
          <w:color w:val="auto"/>
          <w:sz w:val="24"/>
          <w:szCs w:val="24"/>
          <w:highlight w:val="none"/>
          <w:lang w:eastAsia="zh-CN"/>
        </w:rPr>
        <w:t>：</w:t>
      </w:r>
      <w:r>
        <w:rPr>
          <w:rFonts w:hint="eastAsia" w:ascii="宋体" w:hAnsi="宋体" w:cs="宋体"/>
          <w:color w:val="auto"/>
          <w:kern w:val="1"/>
          <w:sz w:val="24"/>
          <w:szCs w:val="24"/>
          <w:highlight w:val="none"/>
        </w:rPr>
        <w:t>不适用</w:t>
      </w:r>
    </w:p>
    <w:p w14:paraId="4C59576E">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rPr>
          <w:rFonts w:hint="eastAsia" w:ascii="宋体" w:hAnsi="宋体" w:cs="宋体"/>
          <w:color w:val="auto"/>
          <w:sz w:val="24"/>
          <w:szCs w:val="24"/>
          <w:highlight w:val="none"/>
          <w:lang w:val="en-US" w:eastAsia="zh-CN"/>
        </w:rPr>
      </w:pPr>
      <w:r>
        <w:rPr>
          <w:rFonts w:hint="eastAsia" w:ascii="宋体" w:hAnsi="宋体" w:cs="宋体"/>
          <w:color w:val="auto"/>
          <w:kern w:val="1"/>
          <w:sz w:val="24"/>
          <w:szCs w:val="24"/>
          <w:highlight w:val="none"/>
          <w:lang w:val="en-US" w:eastAsia="zh-CN"/>
        </w:rPr>
        <w:t>2、</w:t>
      </w:r>
      <w:r>
        <w:rPr>
          <w:rFonts w:hint="eastAsia" w:ascii="宋体" w:hAnsi="宋体" w:cs="宋体"/>
          <w:color w:val="auto"/>
          <w:sz w:val="24"/>
          <w:szCs w:val="24"/>
          <w:highlight w:val="none"/>
          <w:lang w:val="en-US" w:eastAsia="zh-CN"/>
        </w:rPr>
        <w:t>付款方法和条件：合同签订生效并具备实施条件后7个工作日内，采购人支付合同金额的70%；</w:t>
      </w:r>
      <w:r>
        <w:rPr>
          <w:rFonts w:hint="default" w:ascii="宋体" w:hAnsi="宋体" w:cs="宋体"/>
          <w:color w:val="auto"/>
          <w:sz w:val="24"/>
          <w:szCs w:val="24"/>
          <w:highlight w:val="none"/>
          <w:lang w:val="en-US" w:eastAsia="zh-CN"/>
        </w:rPr>
        <w:t>项目</w:t>
      </w:r>
      <w:r>
        <w:rPr>
          <w:rFonts w:hint="eastAsia" w:ascii="宋体" w:hAnsi="宋体" w:cs="宋体"/>
          <w:color w:val="auto"/>
          <w:sz w:val="24"/>
          <w:szCs w:val="24"/>
          <w:highlight w:val="none"/>
          <w:lang w:val="en-US" w:eastAsia="zh-CN"/>
        </w:rPr>
        <w:t>评审</w:t>
      </w:r>
      <w:r>
        <w:rPr>
          <w:rFonts w:hint="default" w:ascii="宋体" w:hAnsi="宋体" w:cs="宋体"/>
          <w:color w:val="auto"/>
          <w:sz w:val="24"/>
          <w:szCs w:val="24"/>
          <w:highlight w:val="none"/>
          <w:lang w:val="en-US" w:eastAsia="zh-CN"/>
        </w:rPr>
        <w:t>验收通过后</w:t>
      </w:r>
      <w:r>
        <w:rPr>
          <w:rFonts w:hint="eastAsia" w:ascii="宋体" w:hAnsi="宋体" w:cs="宋体"/>
          <w:color w:val="auto"/>
          <w:sz w:val="24"/>
          <w:szCs w:val="24"/>
          <w:highlight w:val="none"/>
          <w:lang w:val="en-US" w:eastAsia="zh-CN"/>
        </w:rPr>
        <w:t>7</w:t>
      </w:r>
      <w:r>
        <w:rPr>
          <w:rFonts w:hint="default" w:ascii="宋体" w:hAnsi="宋体" w:cs="宋体"/>
          <w:color w:val="auto"/>
          <w:sz w:val="24"/>
          <w:szCs w:val="24"/>
          <w:highlight w:val="none"/>
          <w:lang w:val="en-US" w:eastAsia="zh-CN"/>
        </w:rPr>
        <w:t>个工作日内，支付剩余</w:t>
      </w:r>
      <w:r>
        <w:rPr>
          <w:rFonts w:hint="eastAsia" w:ascii="宋体" w:hAnsi="宋体" w:cs="宋体"/>
          <w:color w:val="auto"/>
          <w:sz w:val="24"/>
          <w:szCs w:val="24"/>
          <w:highlight w:val="none"/>
          <w:lang w:val="en-US" w:eastAsia="zh-CN"/>
        </w:rPr>
        <w:t>合同</w:t>
      </w:r>
      <w:r>
        <w:rPr>
          <w:rFonts w:hint="default" w:ascii="宋体" w:hAnsi="宋体" w:cs="宋体"/>
          <w:color w:val="auto"/>
          <w:sz w:val="24"/>
          <w:szCs w:val="24"/>
          <w:highlight w:val="none"/>
          <w:lang w:val="en-US" w:eastAsia="zh-CN"/>
        </w:rPr>
        <w:t>款项</w:t>
      </w:r>
      <w:r>
        <w:rPr>
          <w:rFonts w:hint="eastAsia" w:ascii="宋体" w:hAnsi="宋体" w:cs="宋体"/>
          <w:color w:val="auto"/>
          <w:sz w:val="24"/>
          <w:szCs w:val="24"/>
          <w:highlight w:val="none"/>
          <w:lang w:val="en-US" w:eastAsia="zh-CN"/>
        </w:rPr>
        <w:t>。</w:t>
      </w:r>
    </w:p>
    <w:p w14:paraId="30B29982">
      <w:pPr>
        <w:keepNext w:val="0"/>
        <w:keepLines w:val="0"/>
        <w:pageBreakBefore w:val="0"/>
        <w:widowControl w:val="0"/>
        <w:kinsoku/>
        <w:wordWrap/>
        <w:overflowPunct/>
        <w:topLinePunct w:val="0"/>
        <w:autoSpaceDE/>
        <w:autoSpaceDN/>
        <w:bidi w:val="0"/>
        <w:adjustRightInd/>
        <w:snapToGrid/>
        <w:spacing w:line="460" w:lineRule="exact"/>
        <w:ind w:firstLine="480" w:firstLineChars="200"/>
        <w:textAlignment w:val="auto"/>
        <w:rPr>
          <w:rFonts w:hint="eastAsia" w:ascii="宋体" w:hAnsi="宋体" w:cs="宋体"/>
          <w:color w:val="auto"/>
          <w:kern w:val="1"/>
          <w:sz w:val="24"/>
          <w:szCs w:val="24"/>
          <w:highlight w:val="none"/>
          <w:lang w:val="en-US" w:eastAsia="zh-CN"/>
        </w:rPr>
      </w:pPr>
      <w:r>
        <w:rPr>
          <w:rFonts w:hint="eastAsia" w:ascii="宋体" w:hAnsi="宋体" w:cs="宋体"/>
          <w:color w:val="auto"/>
          <w:kern w:val="1"/>
          <w:sz w:val="24"/>
          <w:szCs w:val="24"/>
          <w:highlight w:val="none"/>
          <w:lang w:val="en-US" w:eastAsia="zh-CN"/>
        </w:rPr>
        <w:t>3、</w:t>
      </w:r>
      <w:r>
        <w:rPr>
          <w:rFonts w:hint="eastAsia" w:ascii="宋体" w:hAnsi="宋体" w:eastAsia="宋体" w:cs="宋体"/>
          <w:i w:val="0"/>
          <w:color w:val="auto"/>
          <w:kern w:val="1"/>
          <w:sz w:val="24"/>
          <w:szCs w:val="24"/>
          <w:highlight w:val="none"/>
          <w:lang w:val="en-US" w:eastAsia="zh-CN"/>
        </w:rPr>
        <w:t>完成时间：储罐检测报告和维护情况复核检查工作及储罐抽检工作应于2025年10月底前完成；2025年11月底前，提交项目成果（《宁波市北仑区港口危险货物储罐检测和维护情况复核检查报告》和《宁波市北仑区港口危险货物储罐抽检报告》），并完成项目评审验收。</w:t>
      </w:r>
    </w:p>
    <w:p w14:paraId="25D31D86">
      <w:pPr>
        <w:keepNext w:val="0"/>
        <w:keepLines w:val="0"/>
        <w:pageBreakBefore w:val="0"/>
        <w:widowControl w:val="0"/>
        <w:numPr>
          <w:ilvl w:val="0"/>
          <w:numId w:val="1"/>
        </w:numPr>
        <w:kinsoku/>
        <w:wordWrap/>
        <w:overflowPunct/>
        <w:topLinePunct w:val="0"/>
        <w:autoSpaceDE/>
        <w:autoSpaceDN/>
        <w:bidi w:val="0"/>
        <w:adjustRightInd/>
        <w:snapToGrid/>
        <w:spacing w:line="460" w:lineRule="exact"/>
        <w:ind w:firstLine="480" w:firstLineChars="200"/>
        <w:textAlignment w:val="auto"/>
        <w:rPr>
          <w:rFonts w:hint="default" w:ascii="宋体" w:hAnsi="宋体" w:cs="宋体"/>
          <w:color w:val="auto"/>
          <w:kern w:val="1"/>
          <w:sz w:val="24"/>
          <w:szCs w:val="24"/>
          <w:highlight w:val="none"/>
          <w:lang w:val="en-US" w:eastAsia="zh-CN"/>
        </w:rPr>
      </w:pPr>
      <w:r>
        <w:rPr>
          <w:rFonts w:hint="default" w:ascii="宋体" w:hAnsi="宋体" w:cs="宋体"/>
          <w:color w:val="auto"/>
          <w:kern w:val="1"/>
          <w:sz w:val="24"/>
          <w:szCs w:val="24"/>
          <w:highlight w:val="none"/>
          <w:lang w:val="en-US" w:eastAsia="zh-CN"/>
        </w:rPr>
        <w:t>中标单位</w:t>
      </w:r>
      <w:r>
        <w:rPr>
          <w:rFonts w:hint="eastAsia" w:ascii="宋体" w:hAnsi="宋体" w:cs="宋体"/>
          <w:color w:val="auto"/>
          <w:kern w:val="1"/>
          <w:sz w:val="24"/>
          <w:szCs w:val="24"/>
          <w:highlight w:val="none"/>
          <w:lang w:val="en-US" w:eastAsia="zh-CN"/>
        </w:rPr>
        <w:t>在</w:t>
      </w:r>
      <w:r>
        <w:rPr>
          <w:rFonts w:hint="default" w:ascii="宋体" w:hAnsi="宋体" w:cs="宋体"/>
          <w:color w:val="auto"/>
          <w:kern w:val="1"/>
          <w:sz w:val="24"/>
          <w:szCs w:val="24"/>
          <w:highlight w:val="none"/>
          <w:lang w:val="en-US" w:eastAsia="zh-CN"/>
        </w:rPr>
        <w:t>中标通知书</w:t>
      </w:r>
      <w:r>
        <w:rPr>
          <w:rFonts w:hint="eastAsia" w:ascii="宋体" w:hAnsi="宋体" w:cs="宋体"/>
          <w:color w:val="auto"/>
          <w:kern w:val="1"/>
          <w:sz w:val="24"/>
          <w:szCs w:val="24"/>
          <w:highlight w:val="none"/>
          <w:lang w:val="en-US" w:eastAsia="zh-CN"/>
        </w:rPr>
        <w:t>发出</w:t>
      </w:r>
      <w:r>
        <w:rPr>
          <w:rFonts w:hint="default" w:ascii="宋体" w:hAnsi="宋体" w:cs="宋体"/>
          <w:color w:val="auto"/>
          <w:kern w:val="1"/>
          <w:sz w:val="24"/>
          <w:szCs w:val="24"/>
          <w:highlight w:val="none"/>
          <w:lang w:val="en-US" w:eastAsia="zh-CN"/>
        </w:rPr>
        <w:t>后</w:t>
      </w:r>
      <w:r>
        <w:rPr>
          <w:rFonts w:hint="eastAsia" w:ascii="宋体" w:hAnsi="宋体" w:cs="宋体"/>
          <w:color w:val="auto"/>
          <w:kern w:val="1"/>
          <w:sz w:val="24"/>
          <w:szCs w:val="24"/>
          <w:highlight w:val="none"/>
          <w:lang w:val="en-US" w:eastAsia="zh-CN"/>
        </w:rPr>
        <w:t>30</w:t>
      </w:r>
      <w:r>
        <w:rPr>
          <w:rFonts w:hint="default" w:ascii="宋体" w:hAnsi="宋体" w:cs="宋体"/>
          <w:color w:val="auto"/>
          <w:kern w:val="1"/>
          <w:sz w:val="24"/>
          <w:szCs w:val="24"/>
          <w:highlight w:val="none"/>
          <w:lang w:val="en-US" w:eastAsia="zh-CN"/>
        </w:rPr>
        <w:t>天内与采购</w:t>
      </w:r>
      <w:r>
        <w:rPr>
          <w:rFonts w:hint="eastAsia" w:ascii="宋体" w:hAnsi="宋体" w:cs="宋体"/>
          <w:color w:val="auto"/>
          <w:kern w:val="1"/>
          <w:sz w:val="24"/>
          <w:szCs w:val="24"/>
          <w:highlight w:val="none"/>
          <w:lang w:val="en-US" w:eastAsia="zh-CN"/>
        </w:rPr>
        <w:t>人</w:t>
      </w:r>
      <w:r>
        <w:rPr>
          <w:rFonts w:hint="default" w:ascii="宋体" w:hAnsi="宋体" w:cs="宋体"/>
          <w:color w:val="auto"/>
          <w:kern w:val="1"/>
          <w:sz w:val="24"/>
          <w:szCs w:val="24"/>
          <w:highlight w:val="none"/>
          <w:lang w:val="en-US" w:eastAsia="zh-CN"/>
        </w:rPr>
        <w:t>签订书面合同，逾期不签的视为放弃</w:t>
      </w:r>
      <w:r>
        <w:rPr>
          <w:rFonts w:hint="eastAsia" w:ascii="宋体" w:hAnsi="宋体" w:cs="宋体"/>
          <w:color w:val="auto"/>
          <w:kern w:val="1"/>
          <w:sz w:val="24"/>
          <w:szCs w:val="24"/>
          <w:highlight w:val="none"/>
          <w:lang w:val="en-US" w:eastAsia="zh-CN"/>
        </w:rPr>
        <w:t>中标</w:t>
      </w:r>
      <w:r>
        <w:rPr>
          <w:rFonts w:hint="default" w:ascii="宋体" w:hAnsi="宋体" w:cs="宋体"/>
          <w:color w:val="auto"/>
          <w:kern w:val="1"/>
          <w:sz w:val="24"/>
          <w:szCs w:val="24"/>
          <w:highlight w:val="none"/>
          <w:lang w:val="en-US" w:eastAsia="zh-CN"/>
        </w:rPr>
        <w:t>，采购人可以重新开展政府采购活动</w:t>
      </w:r>
      <w:r>
        <w:rPr>
          <w:rFonts w:hint="eastAsia" w:ascii="宋体" w:hAnsi="宋体" w:cs="宋体"/>
          <w:color w:val="auto"/>
          <w:kern w:val="1"/>
          <w:sz w:val="24"/>
          <w:szCs w:val="24"/>
          <w:highlight w:val="none"/>
          <w:lang w:val="en-US" w:eastAsia="zh-CN"/>
        </w:rPr>
        <w:t>，并将有关情况上报政府采购监管单位处理</w:t>
      </w:r>
      <w:r>
        <w:rPr>
          <w:rFonts w:hint="default" w:ascii="宋体" w:hAnsi="宋体" w:cs="宋体"/>
          <w:color w:val="auto"/>
          <w:kern w:val="1"/>
          <w:sz w:val="24"/>
          <w:szCs w:val="24"/>
          <w:highlight w:val="none"/>
          <w:lang w:val="en-US" w:eastAsia="zh-CN"/>
        </w:rPr>
        <w:t>。</w:t>
      </w:r>
    </w:p>
    <w:p w14:paraId="442E17E5">
      <w:pPr>
        <w:keepNext w:val="0"/>
        <w:keepLines w:val="0"/>
        <w:pageBreakBefore w:val="0"/>
        <w:widowControl w:val="0"/>
        <w:numPr>
          <w:ilvl w:val="0"/>
          <w:numId w:val="0"/>
        </w:numPr>
        <w:kinsoku/>
        <w:wordWrap/>
        <w:overflowPunct/>
        <w:topLinePunct w:val="0"/>
        <w:autoSpaceDE/>
        <w:autoSpaceDN/>
        <w:bidi w:val="0"/>
        <w:adjustRightInd/>
        <w:snapToGrid/>
        <w:spacing w:line="460" w:lineRule="exact"/>
        <w:ind w:firstLine="480" w:firstLineChars="200"/>
        <w:textAlignment w:val="auto"/>
        <w:rPr>
          <w:rFonts w:hint="default" w:eastAsia="宋体"/>
          <w:color w:val="auto"/>
          <w:sz w:val="24"/>
          <w:szCs w:val="24"/>
          <w:highlight w:val="none"/>
          <w:lang w:val="en-US" w:eastAsia="zh-CN"/>
        </w:rPr>
      </w:pPr>
      <w:r>
        <w:rPr>
          <w:rFonts w:hint="eastAsia" w:ascii="宋体" w:hAnsi="宋体" w:cs="宋体"/>
          <w:color w:val="auto"/>
          <w:kern w:val="1"/>
          <w:sz w:val="24"/>
          <w:szCs w:val="24"/>
          <w:highlight w:val="none"/>
          <w:lang w:val="en-US" w:eastAsia="zh-CN"/>
        </w:rPr>
        <w:t>5、</w:t>
      </w:r>
      <w:r>
        <w:rPr>
          <w:rFonts w:hint="eastAsia" w:ascii="宋体" w:hAnsi="宋体" w:cs="宋体"/>
          <w:color w:val="auto"/>
          <w:sz w:val="24"/>
          <w:szCs w:val="24"/>
          <w:highlight w:val="none"/>
        </w:rPr>
        <w:t>在合同执行过程中，中标</w:t>
      </w:r>
      <w:r>
        <w:rPr>
          <w:rFonts w:hint="eastAsia" w:ascii="宋体" w:hAnsi="宋体" w:cs="宋体"/>
          <w:color w:val="auto"/>
          <w:sz w:val="24"/>
          <w:szCs w:val="24"/>
          <w:highlight w:val="none"/>
          <w:lang w:val="en-US" w:eastAsia="zh-CN"/>
        </w:rPr>
        <w:t>供应商</w:t>
      </w:r>
      <w:r>
        <w:rPr>
          <w:rFonts w:hint="eastAsia" w:ascii="宋体" w:hAnsi="宋体" w:cs="宋体"/>
          <w:color w:val="auto"/>
          <w:sz w:val="24"/>
          <w:szCs w:val="24"/>
          <w:highlight w:val="none"/>
        </w:rPr>
        <w:t>应承担由于其行为所造成的任何人身伤害、财产损失或损坏的全部责任，无论何种原因所造成，采购人均不负责。</w:t>
      </w:r>
    </w:p>
    <w:p w14:paraId="2A554D4E">
      <w:pPr>
        <w:rPr>
          <w:b/>
          <w:color w:val="auto"/>
          <w:sz w:val="36"/>
          <w:szCs w:val="36"/>
          <w:highlight w:val="none"/>
        </w:rPr>
      </w:pPr>
      <w:bookmarkStart w:id="4" w:name="_Toc9409"/>
      <w:r>
        <w:rPr>
          <w:b/>
          <w:color w:val="auto"/>
          <w:sz w:val="36"/>
          <w:szCs w:val="36"/>
          <w:highlight w:val="none"/>
        </w:rPr>
        <w:br w:type="page"/>
      </w:r>
    </w:p>
    <w:p w14:paraId="50766610">
      <w:pPr>
        <w:widowControl/>
        <w:spacing w:line="360" w:lineRule="exact"/>
        <w:jc w:val="center"/>
        <w:outlineLvl w:val="0"/>
        <w:rPr>
          <w:b/>
          <w:color w:val="auto"/>
          <w:sz w:val="36"/>
          <w:szCs w:val="36"/>
          <w:highlight w:val="none"/>
        </w:rPr>
      </w:pPr>
      <w:r>
        <w:rPr>
          <w:b/>
          <w:color w:val="auto"/>
          <w:sz w:val="36"/>
          <w:szCs w:val="36"/>
          <w:highlight w:val="none"/>
        </w:rPr>
        <w:t>第</w:t>
      </w:r>
      <w:r>
        <w:rPr>
          <w:rFonts w:hint="eastAsia"/>
          <w:b/>
          <w:color w:val="auto"/>
          <w:sz w:val="36"/>
          <w:szCs w:val="36"/>
          <w:highlight w:val="none"/>
        </w:rPr>
        <w:t>三</w:t>
      </w:r>
      <w:r>
        <w:rPr>
          <w:b/>
          <w:color w:val="auto"/>
          <w:sz w:val="36"/>
          <w:szCs w:val="36"/>
          <w:highlight w:val="none"/>
        </w:rPr>
        <w:t xml:space="preserve">部分  </w:t>
      </w:r>
      <w:r>
        <w:rPr>
          <w:rFonts w:hint="eastAsia"/>
          <w:b/>
          <w:color w:val="auto"/>
          <w:sz w:val="36"/>
          <w:szCs w:val="36"/>
          <w:highlight w:val="none"/>
        </w:rPr>
        <w:t>投标人须知及前附表</w:t>
      </w:r>
      <w:bookmarkEnd w:id="4"/>
    </w:p>
    <w:p w14:paraId="5EB83B4D">
      <w:pPr>
        <w:pStyle w:val="25"/>
        <w:spacing w:before="142" w:beforeLines="50" w:after="142" w:afterLines="50" w:line="400" w:lineRule="exact"/>
        <w:ind w:right="-191" w:rightChars="-91" w:firstLine="482"/>
        <w:jc w:val="center"/>
        <w:rPr>
          <w:i w:val="0"/>
          <w:iCs w:val="0"/>
          <w:color w:val="auto"/>
          <w:sz w:val="24"/>
          <w:szCs w:val="24"/>
          <w:highlight w:val="none"/>
        </w:rPr>
      </w:pPr>
      <w:r>
        <w:rPr>
          <w:rFonts w:hint="eastAsia"/>
          <w:b/>
          <w:i w:val="0"/>
          <w:color w:val="auto"/>
          <w:sz w:val="36"/>
          <w:szCs w:val="36"/>
          <w:highlight w:val="none"/>
        </w:rPr>
        <w:t>前附表</w:t>
      </w:r>
    </w:p>
    <w:tbl>
      <w:tblPr>
        <w:tblStyle w:val="30"/>
        <w:tblW w:w="8763" w:type="dxa"/>
        <w:tblInd w:w="108" w:type="dxa"/>
        <w:tblBorders>
          <w:top w:val="single" w:color="000000" w:sz="12" w:space="0"/>
          <w:left w:val="single" w:color="000000" w:sz="12" w:space="0"/>
          <w:bottom w:val="single" w:color="000000" w:sz="12" w:space="0"/>
          <w:right w:val="single" w:color="000000" w:sz="12" w:space="0"/>
          <w:insideH w:val="none" w:color="auto" w:sz="0" w:space="0"/>
          <w:insideV w:val="single" w:color="000000" w:sz="6" w:space="0"/>
        </w:tblBorders>
        <w:tblLayout w:type="fixed"/>
        <w:tblCellMar>
          <w:top w:w="0" w:type="dxa"/>
          <w:left w:w="108" w:type="dxa"/>
          <w:bottom w:w="0" w:type="dxa"/>
          <w:right w:w="108" w:type="dxa"/>
        </w:tblCellMar>
      </w:tblPr>
      <w:tblGrid>
        <w:gridCol w:w="1440"/>
        <w:gridCol w:w="7323"/>
      </w:tblGrid>
      <w:tr w14:paraId="0EDAAEF7">
        <w:tblPrEx>
          <w:tblBorders>
            <w:top w:val="single" w:color="000000" w:sz="12" w:space="0"/>
            <w:left w:val="single" w:color="000000" w:sz="12" w:space="0"/>
            <w:bottom w:val="single" w:color="000000" w:sz="12" w:space="0"/>
            <w:right w:val="single" w:color="000000" w:sz="12" w:space="0"/>
            <w:insideH w:val="none" w:color="auto" w:sz="0" w:space="0"/>
            <w:insideV w:val="single" w:color="000000" w:sz="6" w:space="0"/>
          </w:tblBorders>
          <w:tblCellMar>
            <w:top w:w="0" w:type="dxa"/>
            <w:left w:w="108" w:type="dxa"/>
            <w:bottom w:w="0" w:type="dxa"/>
            <w:right w:w="108" w:type="dxa"/>
          </w:tblCellMar>
        </w:tblPrEx>
        <w:trPr>
          <w:trHeight w:val="454" w:hRule="atLeast"/>
        </w:trPr>
        <w:tc>
          <w:tcPr>
            <w:tcW w:w="1440" w:type="dxa"/>
            <w:tcBorders>
              <w:top w:val="single" w:color="auto" w:sz="12" w:space="0"/>
              <w:left w:val="single" w:color="auto" w:sz="12" w:space="0"/>
              <w:bottom w:val="single" w:color="000000" w:sz="6" w:space="0"/>
            </w:tcBorders>
            <w:vAlign w:val="center"/>
          </w:tcPr>
          <w:p w14:paraId="65B974A9">
            <w:pPr>
              <w:spacing w:line="360" w:lineRule="exact"/>
              <w:jc w:val="center"/>
              <w:rPr>
                <w:b/>
                <w:bCs/>
                <w:color w:val="auto"/>
                <w:sz w:val="24"/>
                <w:szCs w:val="24"/>
                <w:highlight w:val="none"/>
              </w:rPr>
            </w:pPr>
            <w:r>
              <w:rPr>
                <w:rFonts w:hAnsi="宋体"/>
                <w:b/>
                <w:bCs/>
                <w:color w:val="auto"/>
                <w:sz w:val="24"/>
                <w:szCs w:val="24"/>
                <w:highlight w:val="none"/>
              </w:rPr>
              <w:t>条款号</w:t>
            </w:r>
          </w:p>
        </w:tc>
        <w:tc>
          <w:tcPr>
            <w:tcW w:w="7323" w:type="dxa"/>
            <w:tcBorders>
              <w:top w:val="single" w:color="auto" w:sz="12" w:space="0"/>
              <w:bottom w:val="single" w:color="000000" w:sz="6" w:space="0"/>
              <w:right w:val="single" w:color="auto" w:sz="12" w:space="0"/>
            </w:tcBorders>
            <w:vAlign w:val="center"/>
          </w:tcPr>
          <w:p w14:paraId="39241926">
            <w:pPr>
              <w:spacing w:line="360" w:lineRule="exact"/>
              <w:jc w:val="center"/>
              <w:rPr>
                <w:b/>
                <w:bCs/>
                <w:color w:val="auto"/>
                <w:sz w:val="24"/>
                <w:szCs w:val="24"/>
                <w:highlight w:val="none"/>
              </w:rPr>
            </w:pPr>
            <w:r>
              <w:rPr>
                <w:rFonts w:hAnsi="宋体"/>
                <w:b/>
                <w:bCs/>
                <w:color w:val="auto"/>
                <w:sz w:val="24"/>
                <w:szCs w:val="24"/>
                <w:highlight w:val="none"/>
              </w:rPr>
              <w:t>内</w:t>
            </w:r>
            <w:r>
              <w:rPr>
                <w:b/>
                <w:bCs/>
                <w:color w:val="auto"/>
                <w:sz w:val="24"/>
                <w:szCs w:val="24"/>
                <w:highlight w:val="none"/>
              </w:rPr>
              <w:t xml:space="preserve">       </w:t>
            </w:r>
            <w:r>
              <w:rPr>
                <w:rFonts w:hAnsi="宋体"/>
                <w:b/>
                <w:bCs/>
                <w:color w:val="auto"/>
                <w:sz w:val="24"/>
                <w:szCs w:val="24"/>
                <w:highlight w:val="none"/>
              </w:rPr>
              <w:t>容</w:t>
            </w:r>
          </w:p>
        </w:tc>
      </w:tr>
      <w:tr w14:paraId="799FF661">
        <w:tblPrEx>
          <w:tblBorders>
            <w:top w:val="single" w:color="000000" w:sz="12" w:space="0"/>
            <w:left w:val="single" w:color="000000" w:sz="12" w:space="0"/>
            <w:bottom w:val="single" w:color="000000" w:sz="12" w:space="0"/>
            <w:right w:val="single" w:color="000000" w:sz="12" w:space="0"/>
            <w:insideH w:val="none" w:color="auto" w:sz="0" w:space="0"/>
            <w:insideV w:val="single" w:color="000000" w:sz="6" w:space="0"/>
          </w:tblBorders>
          <w:tblCellMar>
            <w:top w:w="0" w:type="dxa"/>
            <w:left w:w="108" w:type="dxa"/>
            <w:bottom w:w="0" w:type="dxa"/>
            <w:right w:w="108" w:type="dxa"/>
          </w:tblCellMar>
        </w:tblPrEx>
        <w:trPr>
          <w:trHeight w:val="454" w:hRule="atLeast"/>
        </w:trPr>
        <w:tc>
          <w:tcPr>
            <w:tcW w:w="8763" w:type="dxa"/>
            <w:gridSpan w:val="2"/>
            <w:tcBorders>
              <w:top w:val="nil"/>
              <w:left w:val="single" w:color="auto" w:sz="12" w:space="0"/>
              <w:bottom w:val="single" w:color="auto" w:sz="4" w:space="0"/>
              <w:right w:val="single" w:color="auto" w:sz="12" w:space="0"/>
            </w:tcBorders>
            <w:vAlign w:val="center"/>
          </w:tcPr>
          <w:p w14:paraId="6C8DF51B">
            <w:pPr>
              <w:spacing w:line="360" w:lineRule="exact"/>
              <w:jc w:val="center"/>
              <w:rPr>
                <w:b/>
                <w:color w:val="auto"/>
                <w:sz w:val="24"/>
                <w:szCs w:val="24"/>
                <w:highlight w:val="none"/>
              </w:rPr>
            </w:pPr>
            <w:r>
              <w:rPr>
                <w:rFonts w:hAnsi="宋体"/>
                <w:b/>
                <w:color w:val="auto"/>
                <w:sz w:val="24"/>
                <w:szCs w:val="24"/>
                <w:highlight w:val="none"/>
              </w:rPr>
              <w:t>说</w:t>
            </w:r>
            <w:r>
              <w:rPr>
                <w:b/>
                <w:color w:val="auto"/>
                <w:sz w:val="24"/>
                <w:szCs w:val="24"/>
                <w:highlight w:val="none"/>
              </w:rPr>
              <w:t xml:space="preserve">      </w:t>
            </w:r>
            <w:r>
              <w:rPr>
                <w:rFonts w:hAnsi="宋体"/>
                <w:b/>
                <w:color w:val="auto"/>
                <w:sz w:val="24"/>
                <w:szCs w:val="24"/>
                <w:highlight w:val="none"/>
              </w:rPr>
              <w:t>明</w:t>
            </w:r>
          </w:p>
        </w:tc>
      </w:tr>
      <w:tr w14:paraId="3FAEF8C2">
        <w:tblPrEx>
          <w:tblBorders>
            <w:top w:val="single" w:color="000000" w:sz="12" w:space="0"/>
            <w:left w:val="single" w:color="000000" w:sz="12" w:space="0"/>
            <w:bottom w:val="single" w:color="000000" w:sz="12" w:space="0"/>
            <w:right w:val="single" w:color="000000" w:sz="12" w:space="0"/>
            <w:insideH w:val="none" w:color="auto" w:sz="0" w:space="0"/>
            <w:insideV w:val="single" w:color="000000" w:sz="6" w:space="0"/>
          </w:tblBorders>
          <w:tblCellMar>
            <w:top w:w="0" w:type="dxa"/>
            <w:left w:w="108" w:type="dxa"/>
            <w:bottom w:w="0" w:type="dxa"/>
            <w:right w:w="108" w:type="dxa"/>
          </w:tblCellMar>
        </w:tblPrEx>
        <w:trPr>
          <w:trHeight w:val="454" w:hRule="atLeast"/>
        </w:trPr>
        <w:tc>
          <w:tcPr>
            <w:tcW w:w="1440" w:type="dxa"/>
            <w:tcBorders>
              <w:top w:val="single" w:color="auto" w:sz="4" w:space="0"/>
              <w:left w:val="single" w:color="auto" w:sz="12" w:space="0"/>
              <w:bottom w:val="single" w:color="auto" w:sz="4" w:space="0"/>
            </w:tcBorders>
            <w:vAlign w:val="center"/>
          </w:tcPr>
          <w:p w14:paraId="2F2CF5A5">
            <w:pPr>
              <w:spacing w:line="360" w:lineRule="exact"/>
              <w:jc w:val="center"/>
              <w:rPr>
                <w:color w:val="auto"/>
                <w:sz w:val="24"/>
                <w:szCs w:val="24"/>
                <w:highlight w:val="none"/>
              </w:rPr>
            </w:pPr>
            <w:r>
              <w:rPr>
                <w:rFonts w:hint="eastAsia"/>
                <w:color w:val="auto"/>
                <w:sz w:val="24"/>
                <w:szCs w:val="24"/>
                <w:highlight w:val="none"/>
              </w:rPr>
              <w:t>1</w:t>
            </w:r>
          </w:p>
        </w:tc>
        <w:tc>
          <w:tcPr>
            <w:tcW w:w="7323" w:type="dxa"/>
            <w:tcBorders>
              <w:top w:val="single" w:color="auto" w:sz="4" w:space="0"/>
              <w:bottom w:val="single" w:color="auto" w:sz="4" w:space="0"/>
              <w:right w:val="single" w:color="auto" w:sz="12" w:space="0"/>
            </w:tcBorders>
            <w:vAlign w:val="center"/>
          </w:tcPr>
          <w:p w14:paraId="1DD0F2CF">
            <w:pPr>
              <w:spacing w:line="360" w:lineRule="exact"/>
              <w:rPr>
                <w:color w:val="auto"/>
                <w:sz w:val="24"/>
                <w:szCs w:val="24"/>
                <w:highlight w:val="none"/>
                <w:u w:val="single"/>
              </w:rPr>
            </w:pPr>
            <w:r>
              <w:rPr>
                <w:rFonts w:hAnsi="宋体"/>
                <w:color w:val="auto"/>
                <w:sz w:val="24"/>
                <w:szCs w:val="24"/>
                <w:highlight w:val="none"/>
              </w:rPr>
              <w:t>采购人名称：</w:t>
            </w:r>
            <w:r>
              <w:rPr>
                <w:rFonts w:hint="eastAsia"/>
                <w:color w:val="auto"/>
                <w:sz w:val="24"/>
                <w:szCs w:val="24"/>
                <w:highlight w:val="none"/>
                <w:u w:val="single"/>
                <w:lang w:eastAsia="zh-CN"/>
              </w:rPr>
              <w:t>宁波市北仑区港航管理中心</w:t>
            </w:r>
            <w:r>
              <w:rPr>
                <w:color w:val="auto"/>
                <w:sz w:val="24"/>
                <w:szCs w:val="24"/>
                <w:highlight w:val="none"/>
                <w:u w:val="single"/>
              </w:rPr>
              <w:t xml:space="preserve"> </w:t>
            </w:r>
          </w:p>
        </w:tc>
      </w:tr>
      <w:tr w14:paraId="403EC432">
        <w:tblPrEx>
          <w:tblBorders>
            <w:top w:val="single" w:color="000000" w:sz="12" w:space="0"/>
            <w:left w:val="single" w:color="000000" w:sz="12" w:space="0"/>
            <w:bottom w:val="single" w:color="000000" w:sz="12" w:space="0"/>
            <w:right w:val="single" w:color="000000" w:sz="12" w:space="0"/>
            <w:insideH w:val="none" w:color="auto" w:sz="0" w:space="0"/>
            <w:insideV w:val="single" w:color="000000" w:sz="6" w:space="0"/>
          </w:tblBorders>
          <w:tblCellMar>
            <w:top w:w="0" w:type="dxa"/>
            <w:left w:w="108" w:type="dxa"/>
            <w:bottom w:w="0" w:type="dxa"/>
            <w:right w:w="108" w:type="dxa"/>
          </w:tblCellMar>
        </w:tblPrEx>
        <w:trPr>
          <w:trHeight w:val="454" w:hRule="atLeast"/>
        </w:trPr>
        <w:tc>
          <w:tcPr>
            <w:tcW w:w="1440" w:type="dxa"/>
            <w:tcBorders>
              <w:top w:val="single" w:color="auto" w:sz="4" w:space="0"/>
              <w:left w:val="single" w:color="auto" w:sz="12" w:space="0"/>
              <w:bottom w:val="single" w:color="auto" w:sz="4" w:space="0"/>
            </w:tcBorders>
            <w:vAlign w:val="center"/>
          </w:tcPr>
          <w:p w14:paraId="40BD32A2">
            <w:pPr>
              <w:spacing w:line="360" w:lineRule="exact"/>
              <w:jc w:val="center"/>
              <w:rPr>
                <w:color w:val="auto"/>
                <w:sz w:val="24"/>
                <w:szCs w:val="24"/>
                <w:highlight w:val="none"/>
              </w:rPr>
            </w:pPr>
            <w:r>
              <w:rPr>
                <w:rFonts w:hint="eastAsia"/>
                <w:color w:val="auto"/>
                <w:sz w:val="24"/>
                <w:szCs w:val="24"/>
                <w:highlight w:val="none"/>
              </w:rPr>
              <w:t>2</w:t>
            </w:r>
          </w:p>
        </w:tc>
        <w:tc>
          <w:tcPr>
            <w:tcW w:w="7323" w:type="dxa"/>
            <w:tcBorders>
              <w:top w:val="single" w:color="auto" w:sz="4" w:space="0"/>
              <w:bottom w:val="single" w:color="auto" w:sz="4" w:space="0"/>
              <w:right w:val="single" w:color="auto" w:sz="12" w:space="0"/>
            </w:tcBorders>
            <w:vAlign w:val="center"/>
          </w:tcPr>
          <w:p w14:paraId="7D3E1F2A">
            <w:pPr>
              <w:spacing w:line="360" w:lineRule="exact"/>
              <w:rPr>
                <w:color w:val="auto"/>
                <w:sz w:val="24"/>
                <w:szCs w:val="24"/>
                <w:highlight w:val="none"/>
                <w:u w:val="single"/>
              </w:rPr>
            </w:pPr>
            <w:r>
              <w:rPr>
                <w:rFonts w:hAnsi="宋体"/>
                <w:color w:val="auto"/>
                <w:sz w:val="24"/>
                <w:szCs w:val="24"/>
                <w:highlight w:val="none"/>
              </w:rPr>
              <w:t>采购代理名称：</w:t>
            </w:r>
            <w:r>
              <w:rPr>
                <w:rFonts w:hint="eastAsia" w:hAnsi="宋体"/>
                <w:color w:val="auto"/>
                <w:sz w:val="24"/>
                <w:szCs w:val="24"/>
                <w:highlight w:val="none"/>
                <w:u w:val="single"/>
              </w:rPr>
              <w:t>宁波名诚招标代理有限公司</w:t>
            </w:r>
            <w:r>
              <w:rPr>
                <w:color w:val="auto"/>
                <w:sz w:val="24"/>
                <w:szCs w:val="24"/>
                <w:highlight w:val="none"/>
                <w:u w:val="single"/>
              </w:rPr>
              <w:t xml:space="preserve"> </w:t>
            </w:r>
          </w:p>
        </w:tc>
      </w:tr>
      <w:tr w14:paraId="7F4342FA">
        <w:tblPrEx>
          <w:tblBorders>
            <w:top w:val="single" w:color="000000" w:sz="12" w:space="0"/>
            <w:left w:val="single" w:color="000000" w:sz="12" w:space="0"/>
            <w:bottom w:val="single" w:color="000000" w:sz="12" w:space="0"/>
            <w:right w:val="single" w:color="000000" w:sz="12" w:space="0"/>
            <w:insideH w:val="none" w:color="auto" w:sz="0" w:space="0"/>
            <w:insideV w:val="single" w:color="000000" w:sz="6" w:space="0"/>
          </w:tblBorders>
          <w:tblCellMar>
            <w:top w:w="0" w:type="dxa"/>
            <w:left w:w="108" w:type="dxa"/>
            <w:bottom w:w="0" w:type="dxa"/>
            <w:right w:w="108" w:type="dxa"/>
          </w:tblCellMar>
        </w:tblPrEx>
        <w:trPr>
          <w:trHeight w:val="454" w:hRule="atLeast"/>
        </w:trPr>
        <w:tc>
          <w:tcPr>
            <w:tcW w:w="1440" w:type="dxa"/>
            <w:tcBorders>
              <w:top w:val="single" w:color="auto" w:sz="4" w:space="0"/>
              <w:left w:val="single" w:color="auto" w:sz="12" w:space="0"/>
              <w:bottom w:val="single" w:color="auto" w:sz="4" w:space="0"/>
            </w:tcBorders>
            <w:vAlign w:val="center"/>
          </w:tcPr>
          <w:p w14:paraId="363CBA8E">
            <w:pPr>
              <w:spacing w:line="360" w:lineRule="exact"/>
              <w:jc w:val="center"/>
              <w:rPr>
                <w:color w:val="auto"/>
                <w:sz w:val="24"/>
                <w:szCs w:val="24"/>
                <w:highlight w:val="none"/>
              </w:rPr>
            </w:pPr>
            <w:r>
              <w:rPr>
                <w:rFonts w:hint="eastAsia"/>
                <w:color w:val="auto"/>
                <w:sz w:val="24"/>
                <w:szCs w:val="24"/>
                <w:highlight w:val="none"/>
              </w:rPr>
              <w:t>3</w:t>
            </w:r>
          </w:p>
        </w:tc>
        <w:tc>
          <w:tcPr>
            <w:tcW w:w="7323" w:type="dxa"/>
            <w:tcBorders>
              <w:top w:val="single" w:color="auto" w:sz="4" w:space="0"/>
              <w:bottom w:val="single" w:color="auto" w:sz="4" w:space="0"/>
              <w:right w:val="single" w:color="auto" w:sz="12" w:space="0"/>
            </w:tcBorders>
            <w:vAlign w:val="center"/>
          </w:tcPr>
          <w:p w14:paraId="725698C7">
            <w:pPr>
              <w:spacing w:line="360" w:lineRule="exact"/>
              <w:rPr>
                <w:i/>
                <w:color w:val="auto"/>
                <w:sz w:val="24"/>
                <w:szCs w:val="24"/>
                <w:highlight w:val="none"/>
              </w:rPr>
            </w:pPr>
            <w:r>
              <w:rPr>
                <w:rFonts w:hAnsi="宋体"/>
                <w:color w:val="auto"/>
                <w:sz w:val="24"/>
                <w:szCs w:val="24"/>
                <w:highlight w:val="none"/>
              </w:rPr>
              <w:t>合同名称：</w:t>
            </w:r>
            <w:r>
              <w:rPr>
                <w:rFonts w:hint="eastAsia"/>
                <w:color w:val="auto"/>
                <w:sz w:val="24"/>
                <w:szCs w:val="24"/>
                <w:highlight w:val="none"/>
                <w:u w:val="single"/>
                <w:lang w:eastAsia="zh-CN"/>
              </w:rPr>
              <w:t>宁波市北仑区港口危险货物储罐抽检项目</w:t>
            </w:r>
            <w:r>
              <w:rPr>
                <w:rFonts w:hAnsi="宋体"/>
                <w:color w:val="auto"/>
                <w:sz w:val="24"/>
                <w:szCs w:val="24"/>
                <w:highlight w:val="none"/>
                <w:u w:val="single"/>
              </w:rPr>
              <w:t>合同</w:t>
            </w:r>
            <w:r>
              <w:rPr>
                <w:rFonts w:hint="eastAsia" w:hAnsi="宋体"/>
                <w:color w:val="auto"/>
                <w:sz w:val="24"/>
                <w:szCs w:val="24"/>
                <w:highlight w:val="none"/>
                <w:u w:val="single"/>
              </w:rPr>
              <w:t xml:space="preserve"> </w:t>
            </w:r>
          </w:p>
        </w:tc>
      </w:tr>
      <w:tr w14:paraId="6F811BA0">
        <w:tblPrEx>
          <w:tblBorders>
            <w:top w:val="single" w:color="000000" w:sz="12" w:space="0"/>
            <w:left w:val="single" w:color="000000" w:sz="12" w:space="0"/>
            <w:bottom w:val="single" w:color="000000" w:sz="12" w:space="0"/>
            <w:right w:val="single" w:color="000000" w:sz="12" w:space="0"/>
            <w:insideH w:val="none" w:color="auto" w:sz="0" w:space="0"/>
            <w:insideV w:val="single" w:color="000000" w:sz="6" w:space="0"/>
          </w:tblBorders>
          <w:tblCellMar>
            <w:top w:w="0" w:type="dxa"/>
            <w:left w:w="108" w:type="dxa"/>
            <w:bottom w:w="0" w:type="dxa"/>
            <w:right w:w="108" w:type="dxa"/>
          </w:tblCellMar>
        </w:tblPrEx>
        <w:trPr>
          <w:trHeight w:val="454" w:hRule="atLeast"/>
        </w:trPr>
        <w:tc>
          <w:tcPr>
            <w:tcW w:w="1440" w:type="dxa"/>
            <w:vMerge w:val="restart"/>
            <w:tcBorders>
              <w:top w:val="single" w:color="auto" w:sz="4" w:space="0"/>
              <w:left w:val="single" w:color="auto" w:sz="12" w:space="0"/>
            </w:tcBorders>
            <w:vAlign w:val="center"/>
          </w:tcPr>
          <w:p w14:paraId="760A002A">
            <w:pPr>
              <w:spacing w:line="360" w:lineRule="exact"/>
              <w:jc w:val="center"/>
              <w:rPr>
                <w:color w:val="auto"/>
                <w:sz w:val="24"/>
                <w:szCs w:val="24"/>
                <w:highlight w:val="none"/>
              </w:rPr>
            </w:pPr>
            <w:r>
              <w:rPr>
                <w:rFonts w:hint="eastAsia"/>
                <w:color w:val="auto"/>
                <w:sz w:val="24"/>
                <w:szCs w:val="24"/>
                <w:highlight w:val="none"/>
              </w:rPr>
              <w:t>4</w:t>
            </w:r>
          </w:p>
        </w:tc>
        <w:tc>
          <w:tcPr>
            <w:tcW w:w="7323" w:type="dxa"/>
            <w:tcBorders>
              <w:top w:val="single" w:color="auto" w:sz="4" w:space="0"/>
              <w:bottom w:val="single" w:color="auto" w:sz="4" w:space="0"/>
              <w:right w:val="single" w:color="auto" w:sz="12" w:space="0"/>
            </w:tcBorders>
            <w:vAlign w:val="center"/>
          </w:tcPr>
          <w:p w14:paraId="479603FF">
            <w:pPr>
              <w:spacing w:line="360" w:lineRule="exact"/>
              <w:rPr>
                <w:rFonts w:ascii="Calibri" w:hAnsi="宋体"/>
                <w:color w:val="auto"/>
                <w:sz w:val="24"/>
                <w:szCs w:val="24"/>
                <w:highlight w:val="none"/>
              </w:rPr>
            </w:pPr>
            <w:r>
              <w:rPr>
                <w:rFonts w:hint="eastAsia" w:ascii="Calibri" w:hAnsi="宋体"/>
                <w:color w:val="auto"/>
                <w:sz w:val="24"/>
                <w:szCs w:val="24"/>
                <w:highlight w:val="none"/>
              </w:rPr>
              <w:t>其他说明：</w:t>
            </w:r>
          </w:p>
          <w:p w14:paraId="333CB49D">
            <w:pPr>
              <w:spacing w:line="360" w:lineRule="exact"/>
              <w:rPr>
                <w:color w:val="auto"/>
                <w:sz w:val="24"/>
                <w:szCs w:val="24"/>
                <w:highlight w:val="none"/>
                <w:u w:val="single"/>
              </w:rPr>
            </w:pPr>
            <w:r>
              <w:rPr>
                <w:rFonts w:hint="eastAsia"/>
                <w:color w:val="auto"/>
                <w:sz w:val="24"/>
                <w:szCs w:val="24"/>
                <w:highlight w:val="none"/>
                <w:u w:val="single"/>
              </w:rPr>
              <w:t>本项目为非专门面向中小企业采购。</w:t>
            </w:r>
          </w:p>
          <w:p w14:paraId="479D1750">
            <w:pPr>
              <w:pStyle w:val="9"/>
              <w:ind w:firstLine="0"/>
              <w:rPr>
                <w:color w:val="auto"/>
                <w:sz w:val="24"/>
                <w:szCs w:val="24"/>
                <w:highlight w:val="none"/>
                <w:u w:val="single"/>
              </w:rPr>
            </w:pPr>
            <w:r>
              <w:rPr>
                <w:color w:val="auto"/>
                <w:sz w:val="24"/>
                <w:szCs w:val="24"/>
                <w:highlight w:val="none"/>
                <w:u w:val="single"/>
              </w:rPr>
              <w:t>标的：</w:t>
            </w:r>
            <w:r>
              <w:rPr>
                <w:rFonts w:hint="eastAsia"/>
                <w:color w:val="auto"/>
                <w:sz w:val="24"/>
                <w:szCs w:val="24"/>
                <w:highlight w:val="none"/>
                <w:u w:val="single"/>
                <w:lang w:eastAsia="zh-CN"/>
              </w:rPr>
              <w:t>宁波市北仑区港口危险货物储罐抽检</w:t>
            </w:r>
            <w:r>
              <w:rPr>
                <w:rFonts w:hint="eastAsia"/>
                <w:color w:val="auto"/>
                <w:sz w:val="24"/>
                <w:szCs w:val="24"/>
                <w:highlight w:val="none"/>
                <w:u w:val="single"/>
              </w:rPr>
              <w:t>，</w:t>
            </w:r>
            <w:r>
              <w:rPr>
                <w:color w:val="auto"/>
                <w:sz w:val="24"/>
                <w:szCs w:val="24"/>
                <w:highlight w:val="none"/>
                <w:u w:val="single"/>
              </w:rPr>
              <w:t>属于</w:t>
            </w:r>
            <w:r>
              <w:rPr>
                <w:rFonts w:hint="eastAsia"/>
                <w:color w:val="auto"/>
                <w:sz w:val="24"/>
                <w:szCs w:val="24"/>
                <w:highlight w:val="none"/>
                <w:u w:val="single"/>
              </w:rPr>
              <w:t xml:space="preserve">其他未列明行业。  </w:t>
            </w:r>
          </w:p>
        </w:tc>
      </w:tr>
      <w:tr w14:paraId="769C0244">
        <w:tblPrEx>
          <w:tblBorders>
            <w:top w:val="single" w:color="000000" w:sz="12" w:space="0"/>
            <w:left w:val="single" w:color="000000" w:sz="12" w:space="0"/>
            <w:bottom w:val="single" w:color="000000" w:sz="12" w:space="0"/>
            <w:right w:val="single" w:color="000000" w:sz="12" w:space="0"/>
            <w:insideH w:val="none" w:color="auto" w:sz="0" w:space="0"/>
            <w:insideV w:val="single" w:color="000000" w:sz="6" w:space="0"/>
          </w:tblBorders>
          <w:tblCellMar>
            <w:top w:w="0" w:type="dxa"/>
            <w:left w:w="108" w:type="dxa"/>
            <w:bottom w:w="0" w:type="dxa"/>
            <w:right w:w="108" w:type="dxa"/>
          </w:tblCellMar>
        </w:tblPrEx>
        <w:trPr>
          <w:trHeight w:val="454" w:hRule="atLeast"/>
        </w:trPr>
        <w:tc>
          <w:tcPr>
            <w:tcW w:w="1440" w:type="dxa"/>
            <w:vMerge w:val="continue"/>
            <w:tcBorders>
              <w:left w:val="single" w:color="auto" w:sz="12" w:space="0"/>
            </w:tcBorders>
            <w:vAlign w:val="center"/>
          </w:tcPr>
          <w:p w14:paraId="64F75D0E">
            <w:pPr>
              <w:spacing w:line="360" w:lineRule="exact"/>
              <w:jc w:val="center"/>
              <w:rPr>
                <w:color w:val="auto"/>
                <w:sz w:val="24"/>
                <w:szCs w:val="24"/>
                <w:highlight w:val="none"/>
              </w:rPr>
            </w:pPr>
          </w:p>
        </w:tc>
        <w:tc>
          <w:tcPr>
            <w:tcW w:w="7323" w:type="dxa"/>
            <w:tcBorders>
              <w:top w:val="single" w:color="auto" w:sz="4" w:space="0"/>
              <w:bottom w:val="single" w:color="auto" w:sz="4" w:space="0"/>
              <w:right w:val="single" w:color="auto" w:sz="12" w:space="0"/>
            </w:tcBorders>
            <w:vAlign w:val="center"/>
          </w:tcPr>
          <w:p w14:paraId="6620F95F">
            <w:pPr>
              <w:spacing w:line="360" w:lineRule="exact"/>
              <w:rPr>
                <w:rFonts w:hAnsi="宋体"/>
                <w:color w:val="auto"/>
                <w:sz w:val="24"/>
                <w:szCs w:val="24"/>
                <w:highlight w:val="none"/>
              </w:rPr>
            </w:pPr>
            <w:r>
              <w:rPr>
                <w:rFonts w:hint="eastAsia" w:ascii="Calibri" w:hAnsi="宋体"/>
                <w:color w:val="auto"/>
                <w:sz w:val="24"/>
                <w:szCs w:val="24"/>
                <w:highlight w:val="none"/>
                <w:u w:val="single"/>
              </w:rPr>
              <w:t>公益一类事业单位不属于政府购买服务的承接主体，不得参与承接政府购买服务。</w:t>
            </w:r>
          </w:p>
        </w:tc>
      </w:tr>
      <w:tr w14:paraId="7F02D225">
        <w:tblPrEx>
          <w:tblBorders>
            <w:top w:val="single" w:color="000000" w:sz="12" w:space="0"/>
            <w:left w:val="single" w:color="000000" w:sz="12" w:space="0"/>
            <w:bottom w:val="single" w:color="000000" w:sz="12" w:space="0"/>
            <w:right w:val="single" w:color="000000" w:sz="12" w:space="0"/>
            <w:insideH w:val="none" w:color="auto" w:sz="0" w:space="0"/>
            <w:insideV w:val="single" w:color="000000" w:sz="6" w:space="0"/>
          </w:tblBorders>
          <w:tblCellMar>
            <w:top w:w="0" w:type="dxa"/>
            <w:left w:w="108" w:type="dxa"/>
            <w:bottom w:w="0" w:type="dxa"/>
            <w:right w:w="108" w:type="dxa"/>
          </w:tblCellMar>
        </w:tblPrEx>
        <w:trPr>
          <w:trHeight w:val="454" w:hRule="atLeast"/>
        </w:trPr>
        <w:tc>
          <w:tcPr>
            <w:tcW w:w="8763" w:type="dxa"/>
            <w:gridSpan w:val="2"/>
            <w:tcBorders>
              <w:top w:val="single" w:color="auto" w:sz="4" w:space="0"/>
              <w:left w:val="single" w:color="auto" w:sz="12" w:space="0"/>
              <w:bottom w:val="single" w:color="auto" w:sz="4" w:space="0"/>
              <w:right w:val="single" w:color="auto" w:sz="12" w:space="0"/>
            </w:tcBorders>
            <w:vAlign w:val="center"/>
          </w:tcPr>
          <w:p w14:paraId="7E1CB2CE">
            <w:pPr>
              <w:spacing w:line="360" w:lineRule="exact"/>
              <w:jc w:val="center"/>
              <w:rPr>
                <w:b/>
                <w:color w:val="auto"/>
                <w:sz w:val="24"/>
                <w:szCs w:val="24"/>
                <w:highlight w:val="none"/>
              </w:rPr>
            </w:pPr>
            <w:r>
              <w:rPr>
                <w:rFonts w:hAnsi="宋体"/>
                <w:b/>
                <w:color w:val="auto"/>
                <w:sz w:val="24"/>
                <w:szCs w:val="24"/>
                <w:highlight w:val="none"/>
              </w:rPr>
              <w:t>投</w:t>
            </w:r>
            <w:r>
              <w:rPr>
                <w:b/>
                <w:color w:val="auto"/>
                <w:sz w:val="24"/>
                <w:szCs w:val="24"/>
                <w:highlight w:val="none"/>
              </w:rPr>
              <w:t xml:space="preserve"> </w:t>
            </w:r>
            <w:r>
              <w:rPr>
                <w:rFonts w:hAnsi="宋体"/>
                <w:b/>
                <w:color w:val="auto"/>
                <w:sz w:val="24"/>
                <w:szCs w:val="24"/>
                <w:highlight w:val="none"/>
              </w:rPr>
              <w:t>标</w:t>
            </w:r>
            <w:r>
              <w:rPr>
                <w:b/>
                <w:color w:val="auto"/>
                <w:sz w:val="24"/>
                <w:szCs w:val="24"/>
                <w:highlight w:val="none"/>
              </w:rPr>
              <w:t xml:space="preserve"> </w:t>
            </w:r>
            <w:r>
              <w:rPr>
                <w:rFonts w:hAnsi="宋体"/>
                <w:b/>
                <w:color w:val="auto"/>
                <w:sz w:val="24"/>
                <w:szCs w:val="24"/>
                <w:highlight w:val="none"/>
              </w:rPr>
              <w:t>报</w:t>
            </w:r>
            <w:r>
              <w:rPr>
                <w:b/>
                <w:color w:val="auto"/>
                <w:sz w:val="24"/>
                <w:szCs w:val="24"/>
                <w:highlight w:val="none"/>
              </w:rPr>
              <w:t xml:space="preserve"> </w:t>
            </w:r>
            <w:r>
              <w:rPr>
                <w:rFonts w:hAnsi="宋体"/>
                <w:b/>
                <w:color w:val="auto"/>
                <w:sz w:val="24"/>
                <w:szCs w:val="24"/>
                <w:highlight w:val="none"/>
              </w:rPr>
              <w:t>价</w:t>
            </w:r>
            <w:r>
              <w:rPr>
                <w:b/>
                <w:color w:val="auto"/>
                <w:sz w:val="24"/>
                <w:szCs w:val="24"/>
                <w:highlight w:val="none"/>
              </w:rPr>
              <w:t xml:space="preserve"> </w:t>
            </w:r>
            <w:r>
              <w:rPr>
                <w:rFonts w:hAnsi="宋体"/>
                <w:b/>
                <w:color w:val="auto"/>
                <w:sz w:val="24"/>
                <w:szCs w:val="24"/>
                <w:highlight w:val="none"/>
              </w:rPr>
              <w:t>和</w:t>
            </w:r>
            <w:r>
              <w:rPr>
                <w:b/>
                <w:color w:val="auto"/>
                <w:sz w:val="24"/>
                <w:szCs w:val="24"/>
                <w:highlight w:val="none"/>
              </w:rPr>
              <w:t xml:space="preserve"> </w:t>
            </w:r>
            <w:r>
              <w:rPr>
                <w:rFonts w:hAnsi="宋体"/>
                <w:b/>
                <w:color w:val="auto"/>
                <w:sz w:val="24"/>
                <w:szCs w:val="24"/>
                <w:highlight w:val="none"/>
              </w:rPr>
              <w:t>货</w:t>
            </w:r>
            <w:r>
              <w:rPr>
                <w:b/>
                <w:color w:val="auto"/>
                <w:sz w:val="24"/>
                <w:szCs w:val="24"/>
                <w:highlight w:val="none"/>
              </w:rPr>
              <w:t xml:space="preserve"> </w:t>
            </w:r>
            <w:r>
              <w:rPr>
                <w:rFonts w:hAnsi="宋体"/>
                <w:b/>
                <w:color w:val="auto"/>
                <w:sz w:val="24"/>
                <w:szCs w:val="24"/>
                <w:highlight w:val="none"/>
              </w:rPr>
              <w:t>币</w:t>
            </w:r>
          </w:p>
        </w:tc>
      </w:tr>
      <w:tr w14:paraId="71D60ADC">
        <w:tblPrEx>
          <w:tblBorders>
            <w:top w:val="single" w:color="000000" w:sz="12" w:space="0"/>
            <w:left w:val="single" w:color="000000" w:sz="12" w:space="0"/>
            <w:bottom w:val="single" w:color="000000" w:sz="12" w:space="0"/>
            <w:right w:val="single" w:color="000000" w:sz="12" w:space="0"/>
            <w:insideH w:val="none" w:color="auto" w:sz="0" w:space="0"/>
            <w:insideV w:val="single" w:color="000000" w:sz="6" w:space="0"/>
          </w:tblBorders>
          <w:tblCellMar>
            <w:top w:w="0" w:type="dxa"/>
            <w:left w:w="108" w:type="dxa"/>
            <w:bottom w:w="0" w:type="dxa"/>
            <w:right w:w="108" w:type="dxa"/>
          </w:tblCellMar>
        </w:tblPrEx>
        <w:trPr>
          <w:trHeight w:val="454" w:hRule="atLeast"/>
        </w:trPr>
        <w:tc>
          <w:tcPr>
            <w:tcW w:w="1440" w:type="dxa"/>
            <w:tcBorders>
              <w:top w:val="single" w:color="auto" w:sz="4" w:space="0"/>
              <w:left w:val="single" w:color="auto" w:sz="12" w:space="0"/>
            </w:tcBorders>
            <w:vAlign w:val="center"/>
          </w:tcPr>
          <w:p w14:paraId="01F5023C">
            <w:pPr>
              <w:spacing w:line="360" w:lineRule="exact"/>
              <w:jc w:val="center"/>
              <w:rPr>
                <w:color w:val="auto"/>
                <w:sz w:val="24"/>
                <w:szCs w:val="24"/>
                <w:highlight w:val="none"/>
              </w:rPr>
            </w:pPr>
            <w:r>
              <w:rPr>
                <w:rFonts w:hint="eastAsia"/>
                <w:color w:val="auto"/>
                <w:sz w:val="24"/>
                <w:szCs w:val="24"/>
                <w:highlight w:val="none"/>
              </w:rPr>
              <w:t>★5</w:t>
            </w:r>
          </w:p>
        </w:tc>
        <w:tc>
          <w:tcPr>
            <w:tcW w:w="7323" w:type="dxa"/>
            <w:tcBorders>
              <w:top w:val="single" w:color="auto" w:sz="4" w:space="0"/>
              <w:bottom w:val="single" w:color="auto" w:sz="4" w:space="0"/>
              <w:right w:val="single" w:color="auto" w:sz="12" w:space="0"/>
            </w:tcBorders>
            <w:vAlign w:val="center"/>
          </w:tcPr>
          <w:p w14:paraId="61E9D258">
            <w:pPr>
              <w:spacing w:line="360" w:lineRule="exact"/>
              <w:rPr>
                <w:color w:val="auto"/>
                <w:sz w:val="24"/>
                <w:szCs w:val="24"/>
                <w:highlight w:val="none"/>
                <w:u w:val="single"/>
              </w:rPr>
            </w:pPr>
            <w:r>
              <w:rPr>
                <w:rFonts w:hAnsi="宋体"/>
                <w:color w:val="auto"/>
                <w:sz w:val="24"/>
                <w:szCs w:val="24"/>
                <w:highlight w:val="none"/>
              </w:rPr>
              <w:t>投标报价：</w:t>
            </w:r>
            <w:r>
              <w:rPr>
                <w:color w:val="auto"/>
                <w:sz w:val="24"/>
                <w:szCs w:val="24"/>
                <w:highlight w:val="none"/>
                <w:u w:val="single"/>
              </w:rPr>
              <w:t>报价中包含</w:t>
            </w:r>
            <w:r>
              <w:rPr>
                <w:rFonts w:hint="eastAsia"/>
                <w:color w:val="auto"/>
                <w:sz w:val="24"/>
                <w:szCs w:val="24"/>
                <w:highlight w:val="none"/>
                <w:u w:val="single"/>
              </w:rPr>
              <w:t>招标</w:t>
            </w:r>
            <w:r>
              <w:rPr>
                <w:color w:val="auto"/>
                <w:sz w:val="24"/>
                <w:szCs w:val="24"/>
                <w:highlight w:val="none"/>
                <w:u w:val="single"/>
              </w:rPr>
              <w:t>文件“第</w:t>
            </w:r>
            <w:r>
              <w:rPr>
                <w:rFonts w:hint="eastAsia"/>
                <w:color w:val="auto"/>
                <w:sz w:val="24"/>
                <w:szCs w:val="24"/>
                <w:highlight w:val="none"/>
                <w:u w:val="single"/>
              </w:rPr>
              <w:t>二</w:t>
            </w:r>
            <w:r>
              <w:rPr>
                <w:color w:val="auto"/>
                <w:sz w:val="24"/>
                <w:szCs w:val="24"/>
                <w:highlight w:val="none"/>
                <w:u w:val="single"/>
              </w:rPr>
              <w:t>部分</w:t>
            </w:r>
            <w:r>
              <w:rPr>
                <w:rFonts w:hint="eastAsia"/>
                <w:color w:val="auto"/>
                <w:sz w:val="24"/>
                <w:szCs w:val="24"/>
                <w:highlight w:val="none"/>
                <w:u w:val="single"/>
              </w:rPr>
              <w:t xml:space="preserve"> </w:t>
            </w:r>
            <w:r>
              <w:rPr>
                <w:color w:val="auto"/>
                <w:sz w:val="24"/>
                <w:szCs w:val="24"/>
                <w:highlight w:val="none"/>
                <w:u w:val="single"/>
              </w:rPr>
              <w:t>项目要求”中要求的一切费用。本项目采购预算（或最高限价）详见</w:t>
            </w:r>
            <w:r>
              <w:rPr>
                <w:rFonts w:hint="eastAsia"/>
                <w:color w:val="auto"/>
                <w:sz w:val="24"/>
                <w:szCs w:val="24"/>
                <w:highlight w:val="none"/>
                <w:u w:val="single"/>
              </w:rPr>
              <w:t>招标公告</w:t>
            </w:r>
            <w:r>
              <w:rPr>
                <w:color w:val="auto"/>
                <w:sz w:val="24"/>
                <w:szCs w:val="24"/>
                <w:highlight w:val="none"/>
                <w:u w:val="single"/>
              </w:rPr>
              <w:t>，投标报价超过预算（或最高限价）的作无效标处理。</w:t>
            </w:r>
          </w:p>
        </w:tc>
      </w:tr>
      <w:tr w14:paraId="7FE9F729">
        <w:tblPrEx>
          <w:tblBorders>
            <w:top w:val="single" w:color="000000" w:sz="12" w:space="0"/>
            <w:left w:val="single" w:color="000000" w:sz="12" w:space="0"/>
            <w:bottom w:val="single" w:color="000000" w:sz="12" w:space="0"/>
            <w:right w:val="single" w:color="000000" w:sz="12" w:space="0"/>
            <w:insideH w:val="none" w:color="auto" w:sz="0" w:space="0"/>
            <w:insideV w:val="single" w:color="000000" w:sz="6" w:space="0"/>
          </w:tblBorders>
          <w:tblCellMar>
            <w:top w:w="0" w:type="dxa"/>
            <w:left w:w="108" w:type="dxa"/>
            <w:bottom w:w="0" w:type="dxa"/>
            <w:right w:w="108" w:type="dxa"/>
          </w:tblCellMar>
        </w:tblPrEx>
        <w:trPr>
          <w:trHeight w:val="454" w:hRule="atLeast"/>
        </w:trPr>
        <w:tc>
          <w:tcPr>
            <w:tcW w:w="1440" w:type="dxa"/>
            <w:tcBorders>
              <w:top w:val="single" w:color="auto" w:sz="4" w:space="0"/>
              <w:left w:val="single" w:color="auto" w:sz="12" w:space="0"/>
              <w:bottom w:val="single" w:color="auto" w:sz="4" w:space="0"/>
            </w:tcBorders>
            <w:vAlign w:val="center"/>
          </w:tcPr>
          <w:p w14:paraId="2B5F5CF6">
            <w:pPr>
              <w:spacing w:line="360" w:lineRule="exact"/>
              <w:jc w:val="center"/>
              <w:rPr>
                <w:color w:val="auto"/>
                <w:sz w:val="24"/>
                <w:szCs w:val="24"/>
                <w:highlight w:val="none"/>
              </w:rPr>
            </w:pPr>
            <w:r>
              <w:rPr>
                <w:rFonts w:hint="eastAsia"/>
                <w:color w:val="auto"/>
                <w:sz w:val="24"/>
                <w:szCs w:val="24"/>
                <w:highlight w:val="none"/>
              </w:rPr>
              <w:t>6</w:t>
            </w:r>
          </w:p>
        </w:tc>
        <w:tc>
          <w:tcPr>
            <w:tcW w:w="7323" w:type="dxa"/>
            <w:tcBorders>
              <w:top w:val="single" w:color="auto" w:sz="4" w:space="0"/>
              <w:bottom w:val="single" w:color="auto" w:sz="4" w:space="0"/>
              <w:right w:val="single" w:color="auto" w:sz="12" w:space="0"/>
            </w:tcBorders>
            <w:vAlign w:val="center"/>
          </w:tcPr>
          <w:p w14:paraId="07E91C84">
            <w:pPr>
              <w:spacing w:line="360" w:lineRule="exact"/>
              <w:rPr>
                <w:color w:val="auto"/>
                <w:sz w:val="24"/>
                <w:szCs w:val="24"/>
                <w:highlight w:val="none"/>
              </w:rPr>
            </w:pPr>
            <w:r>
              <w:rPr>
                <w:rFonts w:hAnsi="宋体"/>
                <w:color w:val="auto"/>
                <w:sz w:val="24"/>
                <w:szCs w:val="24"/>
                <w:highlight w:val="none"/>
              </w:rPr>
              <w:t>投标货币：</w:t>
            </w:r>
            <w:r>
              <w:rPr>
                <w:rFonts w:hAnsi="宋体"/>
                <w:color w:val="auto"/>
                <w:sz w:val="24"/>
                <w:szCs w:val="24"/>
                <w:highlight w:val="none"/>
                <w:u w:val="single"/>
              </w:rPr>
              <w:t>人民币</w:t>
            </w:r>
            <w:r>
              <w:rPr>
                <w:i/>
                <w:color w:val="auto"/>
                <w:sz w:val="24"/>
                <w:szCs w:val="24"/>
                <w:highlight w:val="none"/>
              </w:rPr>
              <w:t xml:space="preserve"> </w:t>
            </w:r>
          </w:p>
        </w:tc>
      </w:tr>
      <w:tr w14:paraId="6BC276FD">
        <w:tblPrEx>
          <w:tblBorders>
            <w:top w:val="single" w:color="000000" w:sz="12" w:space="0"/>
            <w:left w:val="single" w:color="000000" w:sz="12" w:space="0"/>
            <w:bottom w:val="single" w:color="000000" w:sz="12" w:space="0"/>
            <w:right w:val="single" w:color="000000" w:sz="12" w:space="0"/>
            <w:insideH w:val="none" w:color="auto" w:sz="0" w:space="0"/>
            <w:insideV w:val="single" w:color="000000" w:sz="6" w:space="0"/>
          </w:tblBorders>
          <w:tblCellMar>
            <w:top w:w="0" w:type="dxa"/>
            <w:left w:w="108" w:type="dxa"/>
            <w:bottom w:w="0" w:type="dxa"/>
            <w:right w:w="108" w:type="dxa"/>
          </w:tblCellMar>
        </w:tblPrEx>
        <w:trPr>
          <w:trHeight w:val="454" w:hRule="atLeast"/>
        </w:trPr>
        <w:tc>
          <w:tcPr>
            <w:tcW w:w="8763" w:type="dxa"/>
            <w:gridSpan w:val="2"/>
            <w:tcBorders>
              <w:top w:val="single" w:color="auto" w:sz="4" w:space="0"/>
              <w:left w:val="single" w:color="auto" w:sz="12" w:space="0"/>
              <w:bottom w:val="single" w:color="auto" w:sz="4" w:space="0"/>
              <w:right w:val="single" w:color="auto" w:sz="12" w:space="0"/>
            </w:tcBorders>
            <w:vAlign w:val="center"/>
          </w:tcPr>
          <w:p w14:paraId="6A6DD9D7">
            <w:pPr>
              <w:spacing w:line="360" w:lineRule="exact"/>
              <w:jc w:val="center"/>
              <w:rPr>
                <w:b/>
                <w:color w:val="auto"/>
                <w:sz w:val="24"/>
                <w:szCs w:val="24"/>
                <w:highlight w:val="none"/>
              </w:rPr>
            </w:pPr>
            <w:r>
              <w:rPr>
                <w:rFonts w:hAnsi="宋体"/>
                <w:b/>
                <w:color w:val="auto"/>
                <w:sz w:val="24"/>
                <w:szCs w:val="24"/>
                <w:highlight w:val="none"/>
              </w:rPr>
              <w:t>投</w:t>
            </w:r>
            <w:r>
              <w:rPr>
                <w:b/>
                <w:color w:val="auto"/>
                <w:sz w:val="24"/>
                <w:szCs w:val="24"/>
                <w:highlight w:val="none"/>
              </w:rPr>
              <w:t xml:space="preserve"> </w:t>
            </w:r>
            <w:r>
              <w:rPr>
                <w:rFonts w:hAnsi="宋体"/>
                <w:b/>
                <w:color w:val="auto"/>
                <w:sz w:val="24"/>
                <w:szCs w:val="24"/>
                <w:highlight w:val="none"/>
              </w:rPr>
              <w:t>标</w:t>
            </w:r>
            <w:r>
              <w:rPr>
                <w:b/>
                <w:color w:val="auto"/>
                <w:sz w:val="24"/>
                <w:szCs w:val="24"/>
                <w:highlight w:val="none"/>
              </w:rPr>
              <w:t xml:space="preserve"> </w:t>
            </w:r>
            <w:r>
              <w:rPr>
                <w:rFonts w:hAnsi="宋体"/>
                <w:b/>
                <w:color w:val="auto"/>
                <w:sz w:val="24"/>
                <w:szCs w:val="24"/>
                <w:highlight w:val="none"/>
              </w:rPr>
              <w:t>文</w:t>
            </w:r>
            <w:r>
              <w:rPr>
                <w:b/>
                <w:color w:val="auto"/>
                <w:sz w:val="24"/>
                <w:szCs w:val="24"/>
                <w:highlight w:val="none"/>
              </w:rPr>
              <w:t xml:space="preserve"> </w:t>
            </w:r>
            <w:r>
              <w:rPr>
                <w:rFonts w:hAnsi="宋体"/>
                <w:b/>
                <w:color w:val="auto"/>
                <w:sz w:val="24"/>
                <w:szCs w:val="24"/>
                <w:highlight w:val="none"/>
              </w:rPr>
              <w:t>件</w:t>
            </w:r>
            <w:r>
              <w:rPr>
                <w:b/>
                <w:color w:val="auto"/>
                <w:sz w:val="24"/>
                <w:szCs w:val="24"/>
                <w:highlight w:val="none"/>
              </w:rPr>
              <w:t xml:space="preserve"> </w:t>
            </w:r>
            <w:r>
              <w:rPr>
                <w:rFonts w:hAnsi="宋体"/>
                <w:b/>
                <w:color w:val="auto"/>
                <w:sz w:val="24"/>
                <w:szCs w:val="24"/>
                <w:highlight w:val="none"/>
              </w:rPr>
              <w:t>的</w:t>
            </w:r>
            <w:r>
              <w:rPr>
                <w:b/>
                <w:color w:val="auto"/>
                <w:sz w:val="24"/>
                <w:szCs w:val="24"/>
                <w:highlight w:val="none"/>
              </w:rPr>
              <w:t xml:space="preserve"> </w:t>
            </w:r>
            <w:r>
              <w:rPr>
                <w:rFonts w:hAnsi="宋体"/>
                <w:b/>
                <w:color w:val="auto"/>
                <w:sz w:val="24"/>
                <w:szCs w:val="24"/>
                <w:highlight w:val="none"/>
              </w:rPr>
              <w:t>编</w:t>
            </w:r>
            <w:r>
              <w:rPr>
                <w:b/>
                <w:color w:val="auto"/>
                <w:sz w:val="24"/>
                <w:szCs w:val="24"/>
                <w:highlight w:val="none"/>
              </w:rPr>
              <w:t xml:space="preserve"> </w:t>
            </w:r>
            <w:r>
              <w:rPr>
                <w:rFonts w:hAnsi="宋体"/>
                <w:b/>
                <w:color w:val="auto"/>
                <w:sz w:val="24"/>
                <w:szCs w:val="24"/>
                <w:highlight w:val="none"/>
              </w:rPr>
              <w:t>制</w:t>
            </w:r>
            <w:r>
              <w:rPr>
                <w:b/>
                <w:color w:val="auto"/>
                <w:sz w:val="24"/>
                <w:szCs w:val="24"/>
                <w:highlight w:val="none"/>
              </w:rPr>
              <w:t xml:space="preserve"> </w:t>
            </w:r>
            <w:r>
              <w:rPr>
                <w:rFonts w:hAnsi="宋体"/>
                <w:b/>
                <w:color w:val="auto"/>
                <w:sz w:val="24"/>
                <w:szCs w:val="24"/>
                <w:highlight w:val="none"/>
              </w:rPr>
              <w:t>和</w:t>
            </w:r>
            <w:r>
              <w:rPr>
                <w:b/>
                <w:color w:val="auto"/>
                <w:sz w:val="24"/>
                <w:szCs w:val="24"/>
                <w:highlight w:val="none"/>
              </w:rPr>
              <w:t xml:space="preserve"> </w:t>
            </w:r>
            <w:r>
              <w:rPr>
                <w:rFonts w:hAnsi="宋体"/>
                <w:b/>
                <w:color w:val="auto"/>
                <w:sz w:val="24"/>
                <w:szCs w:val="24"/>
                <w:highlight w:val="none"/>
              </w:rPr>
              <w:t>递</w:t>
            </w:r>
            <w:r>
              <w:rPr>
                <w:b/>
                <w:color w:val="auto"/>
                <w:sz w:val="24"/>
                <w:szCs w:val="24"/>
                <w:highlight w:val="none"/>
              </w:rPr>
              <w:t xml:space="preserve"> </w:t>
            </w:r>
            <w:r>
              <w:rPr>
                <w:rFonts w:hAnsi="宋体"/>
                <w:b/>
                <w:color w:val="auto"/>
                <w:sz w:val="24"/>
                <w:szCs w:val="24"/>
                <w:highlight w:val="none"/>
              </w:rPr>
              <w:t>交</w:t>
            </w:r>
          </w:p>
        </w:tc>
      </w:tr>
      <w:tr w14:paraId="48BC68A2">
        <w:tblPrEx>
          <w:tblBorders>
            <w:top w:val="single" w:color="000000" w:sz="12" w:space="0"/>
            <w:left w:val="single" w:color="000000" w:sz="12" w:space="0"/>
            <w:bottom w:val="single" w:color="000000" w:sz="12" w:space="0"/>
            <w:right w:val="single" w:color="000000" w:sz="12" w:space="0"/>
            <w:insideH w:val="none" w:color="auto" w:sz="0" w:space="0"/>
            <w:insideV w:val="single" w:color="000000" w:sz="6" w:space="0"/>
          </w:tblBorders>
          <w:tblCellMar>
            <w:top w:w="0" w:type="dxa"/>
            <w:left w:w="108" w:type="dxa"/>
            <w:bottom w:w="0" w:type="dxa"/>
            <w:right w:w="108" w:type="dxa"/>
          </w:tblCellMar>
        </w:tblPrEx>
        <w:trPr>
          <w:trHeight w:val="454" w:hRule="atLeast"/>
        </w:trPr>
        <w:tc>
          <w:tcPr>
            <w:tcW w:w="1440" w:type="dxa"/>
            <w:tcBorders>
              <w:top w:val="single" w:color="auto" w:sz="4" w:space="0"/>
              <w:left w:val="single" w:color="auto" w:sz="12" w:space="0"/>
              <w:bottom w:val="single" w:color="auto" w:sz="4" w:space="0"/>
            </w:tcBorders>
            <w:vAlign w:val="center"/>
          </w:tcPr>
          <w:p w14:paraId="79C677AE">
            <w:pPr>
              <w:spacing w:line="360" w:lineRule="exact"/>
              <w:jc w:val="center"/>
              <w:rPr>
                <w:color w:val="auto"/>
                <w:sz w:val="24"/>
                <w:szCs w:val="24"/>
                <w:highlight w:val="none"/>
              </w:rPr>
            </w:pPr>
            <w:r>
              <w:rPr>
                <w:rFonts w:hint="eastAsia" w:ascii="宋体" w:hAnsi="宋体" w:cs="宋体"/>
                <w:color w:val="auto"/>
                <w:sz w:val="24"/>
                <w:szCs w:val="24"/>
                <w:highlight w:val="none"/>
              </w:rPr>
              <w:t>★</w:t>
            </w:r>
            <w:r>
              <w:rPr>
                <w:rFonts w:hint="eastAsia"/>
                <w:color w:val="auto"/>
                <w:sz w:val="24"/>
                <w:szCs w:val="24"/>
                <w:highlight w:val="none"/>
              </w:rPr>
              <w:t>7</w:t>
            </w:r>
          </w:p>
        </w:tc>
        <w:tc>
          <w:tcPr>
            <w:tcW w:w="7323" w:type="dxa"/>
            <w:tcBorders>
              <w:top w:val="single" w:color="auto" w:sz="4" w:space="0"/>
              <w:bottom w:val="single" w:color="auto" w:sz="4" w:space="0"/>
              <w:right w:val="single" w:color="auto" w:sz="12" w:space="0"/>
            </w:tcBorders>
            <w:vAlign w:val="center"/>
          </w:tcPr>
          <w:p w14:paraId="0C73C64D">
            <w:pPr>
              <w:spacing w:line="360" w:lineRule="exact"/>
              <w:ind w:left="38" w:leftChars="18"/>
              <w:rPr>
                <w:color w:val="auto"/>
                <w:sz w:val="24"/>
                <w:szCs w:val="24"/>
                <w:highlight w:val="none"/>
              </w:rPr>
            </w:pPr>
            <w:r>
              <w:rPr>
                <w:rFonts w:hAnsi="宋体"/>
                <w:color w:val="auto"/>
                <w:sz w:val="24"/>
                <w:szCs w:val="24"/>
                <w:highlight w:val="none"/>
              </w:rPr>
              <w:t>资格标准：</w:t>
            </w:r>
            <w:r>
              <w:rPr>
                <w:rFonts w:hint="eastAsia"/>
                <w:color w:val="auto"/>
                <w:sz w:val="24"/>
                <w:szCs w:val="24"/>
                <w:highlight w:val="none"/>
                <w:u w:val="single"/>
              </w:rPr>
              <w:t xml:space="preserve">详见《招标公告》第2条 </w:t>
            </w:r>
          </w:p>
        </w:tc>
      </w:tr>
      <w:tr w14:paraId="4AECEBE2">
        <w:tblPrEx>
          <w:tblBorders>
            <w:top w:val="single" w:color="000000" w:sz="12" w:space="0"/>
            <w:left w:val="single" w:color="000000" w:sz="12" w:space="0"/>
            <w:bottom w:val="single" w:color="000000" w:sz="12" w:space="0"/>
            <w:right w:val="single" w:color="000000" w:sz="12" w:space="0"/>
            <w:insideH w:val="none" w:color="auto" w:sz="0" w:space="0"/>
            <w:insideV w:val="single" w:color="000000" w:sz="6" w:space="0"/>
          </w:tblBorders>
          <w:tblCellMar>
            <w:top w:w="0" w:type="dxa"/>
            <w:left w:w="108" w:type="dxa"/>
            <w:bottom w:w="0" w:type="dxa"/>
            <w:right w:w="108" w:type="dxa"/>
          </w:tblCellMar>
        </w:tblPrEx>
        <w:trPr>
          <w:trHeight w:val="454" w:hRule="atLeast"/>
        </w:trPr>
        <w:tc>
          <w:tcPr>
            <w:tcW w:w="1440" w:type="dxa"/>
            <w:vMerge w:val="restart"/>
            <w:tcBorders>
              <w:top w:val="single" w:color="auto" w:sz="4" w:space="0"/>
              <w:left w:val="single" w:color="auto" w:sz="12" w:space="0"/>
            </w:tcBorders>
            <w:vAlign w:val="center"/>
          </w:tcPr>
          <w:p w14:paraId="704BC73A">
            <w:pPr>
              <w:spacing w:line="360" w:lineRule="exact"/>
              <w:jc w:val="center"/>
              <w:rPr>
                <w:color w:val="auto"/>
                <w:sz w:val="24"/>
                <w:szCs w:val="24"/>
                <w:highlight w:val="none"/>
              </w:rPr>
            </w:pPr>
            <w:r>
              <w:rPr>
                <w:rFonts w:hint="eastAsia"/>
                <w:color w:val="auto"/>
                <w:sz w:val="24"/>
                <w:szCs w:val="24"/>
                <w:highlight w:val="none"/>
              </w:rPr>
              <w:t>8</w:t>
            </w:r>
          </w:p>
        </w:tc>
        <w:tc>
          <w:tcPr>
            <w:tcW w:w="7323" w:type="dxa"/>
            <w:tcBorders>
              <w:top w:val="single" w:color="auto" w:sz="4" w:space="0"/>
              <w:bottom w:val="single" w:color="auto" w:sz="4" w:space="0"/>
              <w:right w:val="single" w:color="auto" w:sz="12" w:space="0"/>
            </w:tcBorders>
            <w:vAlign w:val="center"/>
          </w:tcPr>
          <w:p w14:paraId="4338FEF5">
            <w:pPr>
              <w:spacing w:line="360" w:lineRule="exact"/>
              <w:rPr>
                <w:b/>
                <w:color w:val="auto"/>
                <w:sz w:val="24"/>
                <w:szCs w:val="24"/>
                <w:highlight w:val="none"/>
                <w:u w:val="single"/>
              </w:rPr>
            </w:pPr>
            <w:r>
              <w:rPr>
                <w:rFonts w:hint="eastAsia" w:hAnsi="宋体"/>
                <w:color w:val="auto"/>
                <w:sz w:val="24"/>
                <w:highlight w:val="none"/>
              </w:rPr>
              <w:t>投标文件的组成：</w:t>
            </w:r>
            <w:r>
              <w:rPr>
                <w:rFonts w:hint="eastAsia" w:ascii="宋体" w:hAnsi="宋体" w:cs="宋体"/>
                <w:color w:val="auto"/>
                <w:sz w:val="24"/>
                <w:szCs w:val="24"/>
                <w:highlight w:val="none"/>
              </w:rPr>
              <w:t>★</w:t>
            </w:r>
            <w:r>
              <w:rPr>
                <w:rFonts w:hint="eastAsia" w:hAnsi="宋体"/>
                <w:color w:val="auto"/>
                <w:sz w:val="24"/>
                <w:highlight w:val="none"/>
                <w:u w:val="single"/>
              </w:rPr>
              <w:t>按《供应商须知》第7条规定</w:t>
            </w:r>
          </w:p>
        </w:tc>
      </w:tr>
      <w:tr w14:paraId="33974BE9">
        <w:tblPrEx>
          <w:tblBorders>
            <w:top w:val="single" w:color="000000" w:sz="12" w:space="0"/>
            <w:left w:val="single" w:color="000000" w:sz="12" w:space="0"/>
            <w:bottom w:val="single" w:color="000000" w:sz="12" w:space="0"/>
            <w:right w:val="single" w:color="000000" w:sz="12" w:space="0"/>
            <w:insideH w:val="none" w:color="auto" w:sz="0" w:space="0"/>
            <w:insideV w:val="single" w:color="000000" w:sz="6" w:space="0"/>
          </w:tblBorders>
          <w:tblCellMar>
            <w:top w:w="0" w:type="dxa"/>
            <w:left w:w="108" w:type="dxa"/>
            <w:bottom w:w="0" w:type="dxa"/>
            <w:right w:w="108" w:type="dxa"/>
          </w:tblCellMar>
        </w:tblPrEx>
        <w:trPr>
          <w:trHeight w:val="454" w:hRule="atLeast"/>
        </w:trPr>
        <w:tc>
          <w:tcPr>
            <w:tcW w:w="1440" w:type="dxa"/>
            <w:vMerge w:val="continue"/>
            <w:tcBorders>
              <w:left w:val="single" w:color="auto" w:sz="12" w:space="0"/>
            </w:tcBorders>
            <w:vAlign w:val="center"/>
          </w:tcPr>
          <w:p w14:paraId="21B26CE4">
            <w:pPr>
              <w:spacing w:line="360" w:lineRule="exact"/>
              <w:jc w:val="center"/>
              <w:rPr>
                <w:rFonts w:ascii="宋体" w:hAnsi="宋体" w:cs="宋体"/>
                <w:color w:val="auto"/>
                <w:sz w:val="24"/>
                <w:szCs w:val="24"/>
                <w:highlight w:val="none"/>
              </w:rPr>
            </w:pPr>
          </w:p>
        </w:tc>
        <w:tc>
          <w:tcPr>
            <w:tcW w:w="7323" w:type="dxa"/>
            <w:tcBorders>
              <w:top w:val="single" w:color="auto" w:sz="4" w:space="0"/>
              <w:bottom w:val="single" w:color="auto" w:sz="4" w:space="0"/>
              <w:right w:val="single" w:color="auto" w:sz="12" w:space="0"/>
            </w:tcBorders>
            <w:vAlign w:val="center"/>
          </w:tcPr>
          <w:p w14:paraId="391D1F68">
            <w:pPr>
              <w:spacing w:line="360" w:lineRule="exact"/>
              <w:rPr>
                <w:rFonts w:hAnsi="宋体"/>
                <w:color w:val="auto"/>
                <w:sz w:val="24"/>
                <w:highlight w:val="none"/>
              </w:rPr>
            </w:pPr>
            <w:r>
              <w:rPr>
                <w:rFonts w:hint="eastAsia" w:hAnsi="宋体"/>
                <w:color w:val="auto"/>
                <w:sz w:val="24"/>
                <w:highlight w:val="none"/>
              </w:rPr>
              <w:t>投标文件的份数：</w:t>
            </w:r>
            <w:r>
              <w:rPr>
                <w:rFonts w:hint="eastAsia" w:ascii="宋体" w:hAnsi="宋体" w:cs="宋体"/>
                <w:color w:val="auto"/>
                <w:sz w:val="24"/>
                <w:szCs w:val="24"/>
                <w:highlight w:val="none"/>
              </w:rPr>
              <w:t>★</w:t>
            </w:r>
            <w:r>
              <w:rPr>
                <w:rFonts w:hint="eastAsia" w:hAnsi="宋体"/>
                <w:b/>
                <w:color w:val="auto"/>
                <w:sz w:val="24"/>
                <w:highlight w:val="none"/>
                <w:u w:val="single"/>
              </w:rPr>
              <w:t>上传到政采云平台的电子投标文件1份</w:t>
            </w:r>
          </w:p>
        </w:tc>
      </w:tr>
      <w:tr w14:paraId="5A449710">
        <w:tblPrEx>
          <w:tblBorders>
            <w:top w:val="single" w:color="000000" w:sz="12" w:space="0"/>
            <w:left w:val="single" w:color="000000" w:sz="12" w:space="0"/>
            <w:bottom w:val="single" w:color="000000" w:sz="12" w:space="0"/>
            <w:right w:val="single" w:color="000000" w:sz="12" w:space="0"/>
            <w:insideH w:val="none" w:color="auto" w:sz="0" w:space="0"/>
            <w:insideV w:val="single" w:color="000000" w:sz="6" w:space="0"/>
          </w:tblBorders>
          <w:tblCellMar>
            <w:top w:w="0" w:type="dxa"/>
            <w:left w:w="108" w:type="dxa"/>
            <w:bottom w:w="0" w:type="dxa"/>
            <w:right w:w="108" w:type="dxa"/>
          </w:tblCellMar>
        </w:tblPrEx>
        <w:trPr>
          <w:trHeight w:val="454" w:hRule="atLeast"/>
        </w:trPr>
        <w:tc>
          <w:tcPr>
            <w:tcW w:w="1440" w:type="dxa"/>
            <w:vMerge w:val="continue"/>
            <w:tcBorders>
              <w:left w:val="single" w:color="auto" w:sz="12" w:space="0"/>
              <w:bottom w:val="single" w:color="auto" w:sz="4" w:space="0"/>
            </w:tcBorders>
            <w:vAlign w:val="center"/>
          </w:tcPr>
          <w:p w14:paraId="0D5253DC">
            <w:pPr>
              <w:spacing w:line="360" w:lineRule="exact"/>
              <w:jc w:val="center"/>
              <w:rPr>
                <w:rFonts w:ascii="宋体" w:hAnsi="宋体" w:cs="宋体"/>
                <w:color w:val="auto"/>
                <w:sz w:val="24"/>
                <w:szCs w:val="24"/>
                <w:highlight w:val="none"/>
              </w:rPr>
            </w:pPr>
          </w:p>
        </w:tc>
        <w:tc>
          <w:tcPr>
            <w:tcW w:w="7323" w:type="dxa"/>
            <w:tcBorders>
              <w:top w:val="single" w:color="auto" w:sz="4" w:space="0"/>
              <w:bottom w:val="single" w:color="auto" w:sz="4" w:space="0"/>
              <w:right w:val="single" w:color="auto" w:sz="12" w:space="0"/>
            </w:tcBorders>
            <w:vAlign w:val="center"/>
          </w:tcPr>
          <w:p w14:paraId="6FBD796E">
            <w:pPr>
              <w:spacing w:line="360" w:lineRule="exact"/>
              <w:rPr>
                <w:rFonts w:hAnsi="宋体"/>
                <w:color w:val="auto"/>
                <w:sz w:val="24"/>
                <w:highlight w:val="none"/>
              </w:rPr>
            </w:pPr>
            <w:r>
              <w:rPr>
                <w:rFonts w:hint="eastAsia" w:hAnsi="宋体"/>
                <w:bCs/>
                <w:color w:val="auto"/>
                <w:sz w:val="24"/>
                <w:highlight w:val="none"/>
                <w:u w:val="single"/>
              </w:rPr>
              <w:t>供应商可提供电子备份投标文件1份（备份投标文件于截止时间前送到或邮寄到开标地点，备份文件用于异常情况处理，不做强制性要求）</w:t>
            </w:r>
          </w:p>
        </w:tc>
      </w:tr>
      <w:tr w14:paraId="4BC1D27F">
        <w:tblPrEx>
          <w:tblBorders>
            <w:top w:val="single" w:color="000000" w:sz="12" w:space="0"/>
            <w:left w:val="single" w:color="000000" w:sz="12" w:space="0"/>
            <w:bottom w:val="single" w:color="000000" w:sz="12" w:space="0"/>
            <w:right w:val="single" w:color="000000" w:sz="12" w:space="0"/>
            <w:insideH w:val="none" w:color="auto" w:sz="0" w:space="0"/>
            <w:insideV w:val="single" w:color="000000" w:sz="6" w:space="0"/>
          </w:tblBorders>
          <w:tblCellMar>
            <w:top w:w="0" w:type="dxa"/>
            <w:left w:w="108" w:type="dxa"/>
            <w:bottom w:w="0" w:type="dxa"/>
            <w:right w:w="108" w:type="dxa"/>
          </w:tblCellMar>
        </w:tblPrEx>
        <w:trPr>
          <w:trHeight w:val="454" w:hRule="atLeast"/>
        </w:trPr>
        <w:tc>
          <w:tcPr>
            <w:tcW w:w="1440" w:type="dxa"/>
            <w:tcBorders>
              <w:top w:val="single" w:color="auto" w:sz="4" w:space="0"/>
              <w:left w:val="single" w:color="auto" w:sz="12" w:space="0"/>
              <w:bottom w:val="single" w:color="000000" w:sz="6" w:space="0"/>
            </w:tcBorders>
            <w:vAlign w:val="center"/>
          </w:tcPr>
          <w:p w14:paraId="17A6D106">
            <w:pPr>
              <w:spacing w:line="360" w:lineRule="exact"/>
              <w:jc w:val="center"/>
              <w:rPr>
                <w:color w:val="auto"/>
                <w:sz w:val="24"/>
                <w:szCs w:val="24"/>
                <w:highlight w:val="none"/>
              </w:rPr>
            </w:pPr>
            <w:r>
              <w:rPr>
                <w:rFonts w:hint="eastAsia"/>
                <w:color w:val="auto"/>
                <w:sz w:val="24"/>
                <w:szCs w:val="24"/>
                <w:highlight w:val="none"/>
              </w:rPr>
              <w:t>9</w:t>
            </w:r>
          </w:p>
        </w:tc>
        <w:tc>
          <w:tcPr>
            <w:tcW w:w="7323" w:type="dxa"/>
            <w:tcBorders>
              <w:top w:val="single" w:color="auto" w:sz="4" w:space="0"/>
              <w:bottom w:val="single" w:color="000000" w:sz="6" w:space="0"/>
              <w:right w:val="single" w:color="auto" w:sz="12" w:space="0"/>
            </w:tcBorders>
            <w:vAlign w:val="center"/>
          </w:tcPr>
          <w:p w14:paraId="1904293C">
            <w:pPr>
              <w:spacing w:line="360" w:lineRule="exact"/>
              <w:rPr>
                <w:color w:val="auto"/>
                <w:sz w:val="24"/>
                <w:szCs w:val="24"/>
                <w:highlight w:val="none"/>
                <w:u w:val="single"/>
              </w:rPr>
            </w:pPr>
            <w:r>
              <w:rPr>
                <w:rFonts w:hAnsi="宋体"/>
                <w:color w:val="auto"/>
                <w:sz w:val="24"/>
                <w:szCs w:val="24"/>
                <w:highlight w:val="none"/>
              </w:rPr>
              <w:t>投标保证金：</w:t>
            </w:r>
            <w:r>
              <w:rPr>
                <w:rFonts w:hint="eastAsia" w:hAnsi="宋体"/>
                <w:color w:val="auto"/>
                <w:sz w:val="24"/>
                <w:szCs w:val="24"/>
                <w:highlight w:val="none"/>
                <w:u w:val="single"/>
              </w:rPr>
              <w:t xml:space="preserve">不收取 </w:t>
            </w:r>
          </w:p>
        </w:tc>
      </w:tr>
      <w:tr w14:paraId="5C181DC3">
        <w:tblPrEx>
          <w:tblBorders>
            <w:top w:val="single" w:color="000000" w:sz="12" w:space="0"/>
            <w:left w:val="single" w:color="000000" w:sz="12" w:space="0"/>
            <w:bottom w:val="single" w:color="000000" w:sz="12" w:space="0"/>
            <w:right w:val="single" w:color="000000" w:sz="12" w:space="0"/>
            <w:insideH w:val="none" w:color="auto" w:sz="0" w:space="0"/>
            <w:insideV w:val="single" w:color="000000" w:sz="6" w:space="0"/>
          </w:tblBorders>
          <w:tblCellMar>
            <w:top w:w="0" w:type="dxa"/>
            <w:left w:w="108" w:type="dxa"/>
            <w:bottom w:w="0" w:type="dxa"/>
            <w:right w:w="108" w:type="dxa"/>
          </w:tblCellMar>
        </w:tblPrEx>
        <w:trPr>
          <w:trHeight w:val="454" w:hRule="atLeast"/>
        </w:trPr>
        <w:tc>
          <w:tcPr>
            <w:tcW w:w="1440" w:type="dxa"/>
            <w:tcBorders>
              <w:top w:val="single" w:color="auto" w:sz="4" w:space="0"/>
              <w:left w:val="single" w:color="auto" w:sz="12" w:space="0"/>
              <w:bottom w:val="single" w:color="auto" w:sz="4" w:space="0"/>
              <w:right w:val="single" w:color="auto" w:sz="4" w:space="0"/>
            </w:tcBorders>
            <w:vAlign w:val="center"/>
          </w:tcPr>
          <w:p w14:paraId="06A57515">
            <w:pPr>
              <w:spacing w:line="360" w:lineRule="exact"/>
              <w:jc w:val="center"/>
              <w:rPr>
                <w:color w:val="auto"/>
                <w:sz w:val="24"/>
                <w:szCs w:val="24"/>
                <w:highlight w:val="none"/>
              </w:rPr>
            </w:pPr>
            <w:r>
              <w:rPr>
                <w:rFonts w:hint="eastAsia" w:ascii="宋体" w:hAnsi="宋体" w:cs="宋体"/>
                <w:color w:val="auto"/>
                <w:sz w:val="24"/>
                <w:szCs w:val="24"/>
                <w:highlight w:val="none"/>
              </w:rPr>
              <w:t>★</w:t>
            </w:r>
            <w:r>
              <w:rPr>
                <w:color w:val="auto"/>
                <w:sz w:val="24"/>
                <w:szCs w:val="24"/>
                <w:highlight w:val="none"/>
              </w:rPr>
              <w:t>1</w:t>
            </w:r>
            <w:r>
              <w:rPr>
                <w:rFonts w:hint="eastAsia"/>
                <w:color w:val="auto"/>
                <w:sz w:val="24"/>
                <w:szCs w:val="24"/>
                <w:highlight w:val="none"/>
              </w:rPr>
              <w:t>0</w:t>
            </w:r>
          </w:p>
        </w:tc>
        <w:tc>
          <w:tcPr>
            <w:tcW w:w="7323" w:type="dxa"/>
            <w:tcBorders>
              <w:top w:val="single" w:color="auto" w:sz="4" w:space="0"/>
              <w:left w:val="single" w:color="auto" w:sz="4" w:space="0"/>
              <w:bottom w:val="single" w:color="auto" w:sz="4" w:space="0"/>
              <w:right w:val="single" w:color="auto" w:sz="12" w:space="0"/>
            </w:tcBorders>
            <w:vAlign w:val="center"/>
          </w:tcPr>
          <w:p w14:paraId="2F098340">
            <w:pPr>
              <w:spacing w:line="360" w:lineRule="exact"/>
              <w:rPr>
                <w:i/>
                <w:color w:val="auto"/>
                <w:sz w:val="24"/>
                <w:szCs w:val="24"/>
                <w:highlight w:val="none"/>
              </w:rPr>
            </w:pPr>
            <w:r>
              <w:rPr>
                <w:rFonts w:hAnsi="宋体"/>
                <w:color w:val="auto"/>
                <w:sz w:val="24"/>
                <w:szCs w:val="24"/>
                <w:highlight w:val="none"/>
              </w:rPr>
              <w:t>投标有效期：</w:t>
            </w:r>
            <w:r>
              <w:rPr>
                <w:rFonts w:hint="eastAsia" w:hAnsi="宋体"/>
                <w:color w:val="auto"/>
                <w:sz w:val="24"/>
                <w:szCs w:val="24"/>
                <w:highlight w:val="none"/>
              </w:rPr>
              <w:t>开标之日起</w:t>
            </w:r>
            <w:r>
              <w:rPr>
                <w:color w:val="auto"/>
                <w:sz w:val="24"/>
                <w:szCs w:val="24"/>
                <w:highlight w:val="none"/>
                <w:u w:val="single"/>
              </w:rPr>
              <w:t xml:space="preserve">  90  </w:t>
            </w:r>
            <w:r>
              <w:rPr>
                <w:rFonts w:hAnsi="宋体"/>
                <w:color w:val="auto"/>
                <w:sz w:val="24"/>
                <w:szCs w:val="24"/>
                <w:highlight w:val="none"/>
              </w:rPr>
              <w:t>天</w:t>
            </w:r>
          </w:p>
        </w:tc>
      </w:tr>
      <w:tr w14:paraId="5F9D3D18">
        <w:tblPrEx>
          <w:tblBorders>
            <w:top w:val="single" w:color="000000" w:sz="12" w:space="0"/>
            <w:left w:val="single" w:color="000000" w:sz="12" w:space="0"/>
            <w:bottom w:val="single" w:color="000000" w:sz="12" w:space="0"/>
            <w:right w:val="single" w:color="000000" w:sz="12" w:space="0"/>
            <w:insideH w:val="none" w:color="auto" w:sz="0" w:space="0"/>
            <w:insideV w:val="single" w:color="000000" w:sz="6" w:space="0"/>
          </w:tblBorders>
          <w:tblCellMar>
            <w:top w:w="0" w:type="dxa"/>
            <w:left w:w="108" w:type="dxa"/>
            <w:bottom w:w="0" w:type="dxa"/>
            <w:right w:w="108" w:type="dxa"/>
          </w:tblCellMar>
        </w:tblPrEx>
        <w:trPr>
          <w:trHeight w:val="454" w:hRule="atLeast"/>
        </w:trPr>
        <w:tc>
          <w:tcPr>
            <w:tcW w:w="8763" w:type="dxa"/>
            <w:gridSpan w:val="2"/>
            <w:tcBorders>
              <w:top w:val="single" w:color="auto" w:sz="4" w:space="0"/>
              <w:left w:val="single" w:color="auto" w:sz="12" w:space="0"/>
              <w:bottom w:val="single" w:color="auto" w:sz="4" w:space="0"/>
              <w:right w:val="single" w:color="auto" w:sz="12" w:space="0"/>
            </w:tcBorders>
            <w:vAlign w:val="center"/>
          </w:tcPr>
          <w:p w14:paraId="168554D0">
            <w:pPr>
              <w:spacing w:line="360" w:lineRule="exact"/>
              <w:jc w:val="center"/>
              <w:rPr>
                <w:b/>
                <w:color w:val="auto"/>
                <w:sz w:val="24"/>
                <w:szCs w:val="24"/>
                <w:highlight w:val="none"/>
              </w:rPr>
            </w:pPr>
            <w:r>
              <w:rPr>
                <w:b/>
                <w:color w:val="auto"/>
                <w:sz w:val="24"/>
                <w:szCs w:val="24"/>
                <w:highlight w:val="none"/>
              </w:rPr>
              <w:t>授   予   合   同</w:t>
            </w:r>
          </w:p>
        </w:tc>
      </w:tr>
      <w:tr w14:paraId="2A186A41">
        <w:tblPrEx>
          <w:tblBorders>
            <w:top w:val="single" w:color="000000" w:sz="12" w:space="0"/>
            <w:left w:val="single" w:color="000000" w:sz="12" w:space="0"/>
            <w:bottom w:val="single" w:color="000000" w:sz="12" w:space="0"/>
            <w:right w:val="single" w:color="000000" w:sz="12" w:space="0"/>
            <w:insideH w:val="none" w:color="auto" w:sz="0" w:space="0"/>
            <w:insideV w:val="single" w:color="000000" w:sz="6" w:space="0"/>
          </w:tblBorders>
          <w:tblCellMar>
            <w:top w:w="0" w:type="dxa"/>
            <w:left w:w="108" w:type="dxa"/>
            <w:bottom w:w="0" w:type="dxa"/>
            <w:right w:w="108" w:type="dxa"/>
          </w:tblCellMar>
        </w:tblPrEx>
        <w:trPr>
          <w:trHeight w:val="454" w:hRule="atLeast"/>
        </w:trPr>
        <w:tc>
          <w:tcPr>
            <w:tcW w:w="1440" w:type="dxa"/>
            <w:tcBorders>
              <w:top w:val="single" w:color="auto" w:sz="4" w:space="0"/>
              <w:left w:val="single" w:color="auto" w:sz="12" w:space="0"/>
              <w:bottom w:val="single" w:color="auto" w:sz="4" w:space="0"/>
            </w:tcBorders>
            <w:vAlign w:val="center"/>
          </w:tcPr>
          <w:p w14:paraId="6D2B2113">
            <w:pPr>
              <w:spacing w:line="360" w:lineRule="exact"/>
              <w:jc w:val="center"/>
              <w:rPr>
                <w:color w:val="auto"/>
                <w:sz w:val="24"/>
                <w:szCs w:val="24"/>
                <w:highlight w:val="none"/>
              </w:rPr>
            </w:pPr>
            <w:r>
              <w:rPr>
                <w:rFonts w:hint="eastAsia"/>
                <w:color w:val="auto"/>
                <w:sz w:val="24"/>
                <w:szCs w:val="24"/>
                <w:highlight w:val="none"/>
              </w:rPr>
              <w:t>11</w:t>
            </w:r>
          </w:p>
        </w:tc>
        <w:tc>
          <w:tcPr>
            <w:tcW w:w="7323" w:type="dxa"/>
            <w:tcBorders>
              <w:top w:val="single" w:color="auto" w:sz="4" w:space="0"/>
              <w:bottom w:val="single" w:color="auto" w:sz="4" w:space="0"/>
              <w:right w:val="single" w:color="auto" w:sz="12" w:space="0"/>
            </w:tcBorders>
            <w:vAlign w:val="center"/>
          </w:tcPr>
          <w:p w14:paraId="00DD9B0C">
            <w:pPr>
              <w:spacing w:line="360" w:lineRule="exact"/>
              <w:rPr>
                <w:i/>
                <w:color w:val="auto"/>
                <w:sz w:val="24"/>
                <w:szCs w:val="24"/>
                <w:highlight w:val="none"/>
              </w:rPr>
            </w:pPr>
            <w:r>
              <w:rPr>
                <w:color w:val="auto"/>
                <w:sz w:val="24"/>
                <w:szCs w:val="24"/>
                <w:highlight w:val="none"/>
              </w:rPr>
              <w:t>按照政府采购管理办公室</w:t>
            </w:r>
            <w:r>
              <w:rPr>
                <w:rFonts w:hint="eastAsia"/>
                <w:color w:val="auto"/>
                <w:sz w:val="24"/>
                <w:szCs w:val="24"/>
                <w:highlight w:val="none"/>
              </w:rPr>
              <w:t>的规定</w:t>
            </w:r>
            <w:r>
              <w:rPr>
                <w:color w:val="auto"/>
                <w:sz w:val="24"/>
                <w:szCs w:val="24"/>
                <w:highlight w:val="none"/>
              </w:rPr>
              <w:t>、</w:t>
            </w:r>
            <w:r>
              <w:rPr>
                <w:rFonts w:hint="eastAsia"/>
                <w:color w:val="auto"/>
                <w:sz w:val="24"/>
                <w:szCs w:val="24"/>
                <w:highlight w:val="none"/>
              </w:rPr>
              <w:t>招标文件</w:t>
            </w:r>
            <w:r>
              <w:rPr>
                <w:color w:val="auto"/>
                <w:sz w:val="24"/>
                <w:szCs w:val="24"/>
                <w:highlight w:val="none"/>
              </w:rPr>
              <w:t>、中标</w:t>
            </w:r>
            <w:r>
              <w:rPr>
                <w:rFonts w:hint="eastAsia"/>
                <w:color w:val="auto"/>
                <w:sz w:val="24"/>
                <w:szCs w:val="24"/>
                <w:highlight w:val="none"/>
              </w:rPr>
              <w:t>供应商</w:t>
            </w:r>
            <w:r>
              <w:rPr>
                <w:color w:val="auto"/>
                <w:sz w:val="24"/>
                <w:szCs w:val="24"/>
                <w:highlight w:val="none"/>
              </w:rPr>
              <w:t>的投标</w:t>
            </w:r>
            <w:r>
              <w:rPr>
                <w:rFonts w:hint="eastAsia"/>
                <w:color w:val="auto"/>
                <w:sz w:val="24"/>
                <w:szCs w:val="24"/>
                <w:highlight w:val="none"/>
              </w:rPr>
              <w:t>文件</w:t>
            </w:r>
            <w:r>
              <w:rPr>
                <w:color w:val="auto"/>
                <w:sz w:val="24"/>
                <w:szCs w:val="24"/>
                <w:highlight w:val="none"/>
              </w:rPr>
              <w:t>、中标通知书确定的</w:t>
            </w:r>
            <w:r>
              <w:rPr>
                <w:rFonts w:hint="eastAsia"/>
                <w:color w:val="auto"/>
                <w:sz w:val="24"/>
                <w:szCs w:val="24"/>
                <w:highlight w:val="none"/>
              </w:rPr>
              <w:t>内容</w:t>
            </w:r>
            <w:r>
              <w:rPr>
                <w:color w:val="auto"/>
                <w:sz w:val="24"/>
                <w:szCs w:val="24"/>
                <w:highlight w:val="none"/>
              </w:rPr>
              <w:t>签订合同。</w:t>
            </w:r>
          </w:p>
        </w:tc>
      </w:tr>
      <w:tr w14:paraId="11B410D4">
        <w:tblPrEx>
          <w:tblBorders>
            <w:top w:val="single" w:color="000000" w:sz="12" w:space="0"/>
            <w:left w:val="single" w:color="000000" w:sz="12" w:space="0"/>
            <w:bottom w:val="single" w:color="000000" w:sz="12" w:space="0"/>
            <w:right w:val="single" w:color="000000" w:sz="12" w:space="0"/>
            <w:insideH w:val="none" w:color="auto" w:sz="0" w:space="0"/>
            <w:insideV w:val="single" w:color="000000" w:sz="6" w:space="0"/>
          </w:tblBorders>
          <w:tblCellMar>
            <w:top w:w="0" w:type="dxa"/>
            <w:left w:w="108" w:type="dxa"/>
            <w:bottom w:w="0" w:type="dxa"/>
            <w:right w:w="108" w:type="dxa"/>
          </w:tblCellMar>
        </w:tblPrEx>
        <w:trPr>
          <w:trHeight w:val="454" w:hRule="atLeast"/>
        </w:trPr>
        <w:tc>
          <w:tcPr>
            <w:tcW w:w="8763" w:type="dxa"/>
            <w:gridSpan w:val="2"/>
            <w:tcBorders>
              <w:top w:val="single" w:color="auto" w:sz="4" w:space="0"/>
              <w:left w:val="single" w:color="auto" w:sz="12" w:space="0"/>
              <w:bottom w:val="single" w:color="auto" w:sz="4" w:space="0"/>
              <w:right w:val="single" w:color="auto" w:sz="12" w:space="0"/>
            </w:tcBorders>
            <w:vAlign w:val="center"/>
          </w:tcPr>
          <w:p w14:paraId="431B071F">
            <w:pPr>
              <w:spacing w:line="400" w:lineRule="exact"/>
              <w:jc w:val="center"/>
              <w:rPr>
                <w:color w:val="auto"/>
                <w:sz w:val="24"/>
                <w:szCs w:val="24"/>
                <w:highlight w:val="none"/>
              </w:rPr>
            </w:pPr>
            <w:r>
              <w:rPr>
                <w:rFonts w:hint="eastAsia"/>
                <w:b/>
                <w:color w:val="auto"/>
                <w:sz w:val="24"/>
                <w:szCs w:val="24"/>
                <w:highlight w:val="none"/>
              </w:rPr>
              <w:t>发布本次招标公告、中标公告的媒体</w:t>
            </w:r>
          </w:p>
        </w:tc>
      </w:tr>
      <w:tr w14:paraId="5235A5AF">
        <w:tblPrEx>
          <w:tblBorders>
            <w:top w:val="single" w:color="000000" w:sz="12" w:space="0"/>
            <w:left w:val="single" w:color="000000" w:sz="12" w:space="0"/>
            <w:bottom w:val="single" w:color="000000" w:sz="12" w:space="0"/>
            <w:right w:val="single" w:color="000000" w:sz="12" w:space="0"/>
            <w:insideH w:val="none" w:color="auto" w:sz="0" w:space="0"/>
            <w:insideV w:val="single" w:color="000000" w:sz="6" w:space="0"/>
          </w:tblBorders>
          <w:tblCellMar>
            <w:top w:w="0" w:type="dxa"/>
            <w:left w:w="108" w:type="dxa"/>
            <w:bottom w:w="0" w:type="dxa"/>
            <w:right w:w="108" w:type="dxa"/>
          </w:tblCellMar>
        </w:tblPrEx>
        <w:trPr>
          <w:trHeight w:val="454" w:hRule="atLeast"/>
        </w:trPr>
        <w:tc>
          <w:tcPr>
            <w:tcW w:w="1440" w:type="dxa"/>
            <w:tcBorders>
              <w:top w:val="single" w:color="auto" w:sz="4" w:space="0"/>
              <w:left w:val="single" w:color="auto" w:sz="12" w:space="0"/>
              <w:bottom w:val="single" w:color="auto" w:sz="4" w:space="0"/>
            </w:tcBorders>
            <w:vAlign w:val="center"/>
          </w:tcPr>
          <w:p w14:paraId="7A75D0BC">
            <w:pPr>
              <w:spacing w:line="400" w:lineRule="exact"/>
              <w:jc w:val="center"/>
              <w:rPr>
                <w:color w:val="auto"/>
                <w:sz w:val="24"/>
                <w:szCs w:val="24"/>
                <w:highlight w:val="none"/>
              </w:rPr>
            </w:pPr>
            <w:r>
              <w:rPr>
                <w:rFonts w:hint="eastAsia"/>
                <w:color w:val="auto"/>
                <w:sz w:val="24"/>
                <w:szCs w:val="24"/>
                <w:highlight w:val="none"/>
              </w:rPr>
              <w:t>12</w:t>
            </w:r>
          </w:p>
        </w:tc>
        <w:tc>
          <w:tcPr>
            <w:tcW w:w="7323" w:type="dxa"/>
            <w:tcBorders>
              <w:top w:val="single" w:color="auto" w:sz="4" w:space="0"/>
              <w:bottom w:val="single" w:color="auto" w:sz="4" w:space="0"/>
              <w:right w:val="single" w:color="auto" w:sz="12" w:space="0"/>
            </w:tcBorders>
            <w:vAlign w:val="center"/>
          </w:tcPr>
          <w:p w14:paraId="725CF676">
            <w:pPr>
              <w:spacing w:line="360" w:lineRule="exact"/>
              <w:rPr>
                <w:color w:val="auto"/>
                <w:sz w:val="24"/>
                <w:szCs w:val="24"/>
                <w:highlight w:val="none"/>
              </w:rPr>
            </w:pPr>
            <w:r>
              <w:rPr>
                <w:rFonts w:hint="eastAsia"/>
                <w:color w:val="auto"/>
                <w:sz w:val="24"/>
                <w:szCs w:val="24"/>
                <w:highlight w:val="none"/>
              </w:rPr>
              <w:t>浙江政府采购网</w:t>
            </w:r>
          </w:p>
          <w:p w14:paraId="105C8D6F">
            <w:pPr>
              <w:spacing w:line="360" w:lineRule="exact"/>
              <w:rPr>
                <w:rFonts w:hint="eastAsia"/>
                <w:color w:val="auto"/>
                <w:sz w:val="24"/>
                <w:szCs w:val="24"/>
                <w:highlight w:val="none"/>
              </w:rPr>
            </w:pPr>
            <w:r>
              <w:rPr>
                <w:rFonts w:hint="eastAsia"/>
                <w:color w:val="auto"/>
                <w:sz w:val="24"/>
                <w:szCs w:val="24"/>
                <w:highlight w:val="none"/>
              </w:rPr>
              <w:t>宁波政府采购网（政采云）</w:t>
            </w:r>
          </w:p>
          <w:p w14:paraId="2903ACA3">
            <w:pPr>
              <w:spacing w:line="360" w:lineRule="exact"/>
              <w:rPr>
                <w:color w:val="auto"/>
                <w:sz w:val="24"/>
                <w:szCs w:val="24"/>
                <w:highlight w:val="none"/>
              </w:rPr>
            </w:pPr>
            <w:r>
              <w:rPr>
                <w:rFonts w:hint="eastAsia" w:ascii="Times New Roman" w:hAnsi="Times New Roman" w:eastAsia="宋体" w:cs="Times New Roman"/>
                <w:color w:val="auto"/>
                <w:sz w:val="24"/>
                <w:szCs w:val="24"/>
                <w:highlight w:val="none"/>
              </w:rPr>
              <w:t>宁波市公共资源交易电子服务系统</w:t>
            </w:r>
          </w:p>
        </w:tc>
      </w:tr>
      <w:tr w14:paraId="7E59E2F5">
        <w:tblPrEx>
          <w:tblBorders>
            <w:top w:val="single" w:color="000000" w:sz="12" w:space="0"/>
            <w:left w:val="single" w:color="000000" w:sz="12" w:space="0"/>
            <w:bottom w:val="single" w:color="000000" w:sz="12" w:space="0"/>
            <w:right w:val="single" w:color="000000" w:sz="12" w:space="0"/>
            <w:insideH w:val="none" w:color="auto" w:sz="0" w:space="0"/>
            <w:insideV w:val="single" w:color="000000" w:sz="6" w:space="0"/>
          </w:tblBorders>
          <w:tblCellMar>
            <w:top w:w="0" w:type="dxa"/>
            <w:left w:w="108" w:type="dxa"/>
            <w:bottom w:w="0" w:type="dxa"/>
            <w:right w:w="108" w:type="dxa"/>
          </w:tblCellMar>
        </w:tblPrEx>
        <w:trPr>
          <w:trHeight w:val="454" w:hRule="atLeast"/>
        </w:trPr>
        <w:tc>
          <w:tcPr>
            <w:tcW w:w="8763" w:type="dxa"/>
            <w:gridSpan w:val="2"/>
            <w:tcBorders>
              <w:top w:val="single" w:color="auto" w:sz="4" w:space="0"/>
              <w:left w:val="single" w:color="auto" w:sz="12" w:space="0"/>
              <w:bottom w:val="single" w:color="auto" w:sz="4" w:space="0"/>
              <w:right w:val="single" w:color="auto" w:sz="12" w:space="0"/>
            </w:tcBorders>
            <w:vAlign w:val="center"/>
          </w:tcPr>
          <w:p w14:paraId="67B13517">
            <w:pPr>
              <w:jc w:val="center"/>
              <w:rPr>
                <w:color w:val="auto"/>
                <w:sz w:val="24"/>
                <w:szCs w:val="24"/>
                <w:highlight w:val="none"/>
              </w:rPr>
            </w:pPr>
            <w:r>
              <w:rPr>
                <w:b/>
                <w:color w:val="auto"/>
                <w:sz w:val="24"/>
                <w:szCs w:val="24"/>
                <w:highlight w:val="none"/>
              </w:rPr>
              <w:t>中  标  服  务  费</w:t>
            </w:r>
          </w:p>
        </w:tc>
      </w:tr>
      <w:tr w14:paraId="3A8CBFCB">
        <w:tblPrEx>
          <w:tblBorders>
            <w:top w:val="single" w:color="000000" w:sz="12" w:space="0"/>
            <w:left w:val="single" w:color="000000" w:sz="12" w:space="0"/>
            <w:bottom w:val="single" w:color="000000" w:sz="12" w:space="0"/>
            <w:right w:val="single" w:color="000000" w:sz="12" w:space="0"/>
            <w:insideH w:val="none" w:color="auto" w:sz="0" w:space="0"/>
            <w:insideV w:val="single" w:color="000000" w:sz="6" w:space="0"/>
          </w:tblBorders>
          <w:tblCellMar>
            <w:top w:w="0" w:type="dxa"/>
            <w:left w:w="108" w:type="dxa"/>
            <w:bottom w:w="0" w:type="dxa"/>
            <w:right w:w="108" w:type="dxa"/>
          </w:tblCellMar>
        </w:tblPrEx>
        <w:trPr>
          <w:trHeight w:val="454" w:hRule="atLeast"/>
        </w:trPr>
        <w:tc>
          <w:tcPr>
            <w:tcW w:w="8763" w:type="dxa"/>
            <w:gridSpan w:val="2"/>
            <w:tcBorders>
              <w:top w:val="single" w:color="auto" w:sz="4" w:space="0"/>
              <w:left w:val="single" w:color="auto" w:sz="12" w:space="0"/>
              <w:bottom w:val="single" w:color="auto" w:sz="4" w:space="0"/>
              <w:right w:val="single" w:color="auto" w:sz="12" w:space="0"/>
            </w:tcBorders>
            <w:vAlign w:val="center"/>
          </w:tcPr>
          <w:p w14:paraId="507A1389">
            <w:pPr>
              <w:spacing w:line="360" w:lineRule="exact"/>
              <w:rPr>
                <w:color w:val="auto"/>
                <w:sz w:val="24"/>
                <w:szCs w:val="24"/>
                <w:highlight w:val="none"/>
              </w:rPr>
            </w:pPr>
            <w:r>
              <w:rPr>
                <w:rFonts w:hint="eastAsia"/>
                <w:color w:val="auto"/>
                <w:sz w:val="24"/>
                <w:szCs w:val="24"/>
                <w:highlight w:val="none"/>
              </w:rPr>
              <w:t>1.本</w:t>
            </w:r>
            <w:r>
              <w:rPr>
                <w:rFonts w:hint="eastAsia" w:ascii="宋体" w:hAnsi="宋体" w:cs="宋体"/>
                <w:color w:val="auto"/>
                <w:sz w:val="24"/>
                <w:szCs w:val="24"/>
                <w:highlight w:val="none"/>
              </w:rPr>
              <w:t>采购代理公司</w:t>
            </w:r>
            <w:r>
              <w:rPr>
                <w:rFonts w:hint="eastAsia"/>
                <w:color w:val="auto"/>
                <w:sz w:val="24"/>
                <w:szCs w:val="24"/>
                <w:highlight w:val="none"/>
              </w:rPr>
              <w:t>参照国家发改委发改办价格[2003]857号通知和原国家计委计价格[2002]1980号文件规定的服务</w:t>
            </w:r>
            <w:r>
              <w:rPr>
                <w:rFonts w:hint="eastAsia"/>
                <w:color w:val="auto"/>
                <w:sz w:val="24"/>
                <w:szCs w:val="24"/>
                <w:highlight w:val="none"/>
                <w:lang w:val="en-US" w:eastAsia="zh-CN"/>
              </w:rPr>
              <w:t>项目</w:t>
            </w:r>
            <w:r>
              <w:rPr>
                <w:rFonts w:hint="eastAsia"/>
                <w:color w:val="auto"/>
                <w:sz w:val="24"/>
                <w:szCs w:val="24"/>
                <w:highlight w:val="none"/>
              </w:rPr>
              <w:t>招标费率标准</w:t>
            </w:r>
            <w:r>
              <w:rPr>
                <w:rFonts w:hint="eastAsia"/>
                <w:color w:val="auto"/>
                <w:sz w:val="24"/>
                <w:szCs w:val="24"/>
                <w:highlight w:val="none"/>
                <w:lang w:val="en-US" w:eastAsia="zh-CN"/>
              </w:rPr>
              <w:t>下浮20%</w:t>
            </w:r>
            <w:r>
              <w:rPr>
                <w:rFonts w:hint="eastAsia"/>
                <w:color w:val="auto"/>
                <w:sz w:val="24"/>
                <w:szCs w:val="24"/>
                <w:highlight w:val="none"/>
              </w:rPr>
              <w:t>，向</w:t>
            </w:r>
            <w:r>
              <w:rPr>
                <w:rFonts w:hint="eastAsia"/>
                <w:color w:val="auto"/>
                <w:sz w:val="24"/>
                <w:szCs w:val="24"/>
                <w:highlight w:val="none"/>
                <w:lang w:val="en-US" w:eastAsia="zh-CN"/>
              </w:rPr>
              <w:t>每个标项的</w:t>
            </w:r>
            <w:r>
              <w:rPr>
                <w:rFonts w:hint="eastAsia"/>
                <w:color w:val="auto"/>
                <w:sz w:val="24"/>
                <w:szCs w:val="24"/>
                <w:highlight w:val="none"/>
              </w:rPr>
              <w:t>中标供应商</w:t>
            </w:r>
            <w:r>
              <w:rPr>
                <w:rFonts w:hint="eastAsia"/>
                <w:color w:val="auto"/>
                <w:sz w:val="24"/>
                <w:szCs w:val="24"/>
                <w:highlight w:val="none"/>
                <w:lang w:val="en-US" w:eastAsia="zh-CN"/>
              </w:rPr>
              <w:t>各</w:t>
            </w:r>
            <w:r>
              <w:rPr>
                <w:rFonts w:hint="eastAsia"/>
                <w:color w:val="auto"/>
                <w:sz w:val="24"/>
                <w:szCs w:val="24"/>
                <w:highlight w:val="none"/>
              </w:rPr>
              <w:t>收取中标服务费</w:t>
            </w:r>
            <w:r>
              <w:rPr>
                <w:rFonts w:hint="eastAsia"/>
                <w:color w:val="auto"/>
                <w:sz w:val="24"/>
                <w:szCs w:val="24"/>
                <w:highlight w:val="none"/>
                <w:lang w:val="en-US" w:eastAsia="zh-CN"/>
              </w:rPr>
              <w:t>6960元</w:t>
            </w:r>
            <w:r>
              <w:rPr>
                <w:rFonts w:hint="eastAsia"/>
                <w:color w:val="auto"/>
                <w:sz w:val="24"/>
                <w:szCs w:val="24"/>
                <w:highlight w:val="none"/>
              </w:rPr>
              <w:t>。</w:t>
            </w:r>
          </w:p>
          <w:p w14:paraId="0F8A14F8">
            <w:pPr>
              <w:spacing w:line="360" w:lineRule="exact"/>
              <w:rPr>
                <w:color w:val="auto"/>
                <w:sz w:val="24"/>
                <w:szCs w:val="24"/>
                <w:highlight w:val="none"/>
              </w:rPr>
            </w:pPr>
            <w:r>
              <w:rPr>
                <w:rFonts w:hint="eastAsia"/>
                <w:color w:val="auto"/>
                <w:sz w:val="24"/>
                <w:szCs w:val="24"/>
                <w:highlight w:val="none"/>
              </w:rPr>
              <w:t>2.中标供应商应在中标通知书发出后5个工作日内支付中标服务费。</w:t>
            </w:r>
          </w:p>
          <w:p w14:paraId="4E1495A5">
            <w:pPr>
              <w:spacing w:line="360" w:lineRule="exact"/>
              <w:rPr>
                <w:color w:val="auto"/>
                <w:sz w:val="24"/>
                <w:szCs w:val="24"/>
                <w:highlight w:val="none"/>
              </w:rPr>
            </w:pPr>
            <w:r>
              <w:rPr>
                <w:rFonts w:hint="eastAsia"/>
                <w:color w:val="auto"/>
                <w:sz w:val="24"/>
                <w:szCs w:val="24"/>
                <w:highlight w:val="none"/>
              </w:rPr>
              <w:t>3.中标服务费只收现金、银行票汇款、电汇款。</w:t>
            </w:r>
          </w:p>
          <w:p w14:paraId="7023DEE2">
            <w:pPr>
              <w:spacing w:line="400" w:lineRule="exact"/>
              <w:rPr>
                <w:color w:val="auto"/>
                <w:sz w:val="24"/>
                <w:szCs w:val="24"/>
                <w:highlight w:val="none"/>
              </w:rPr>
            </w:pPr>
            <w:r>
              <w:rPr>
                <w:rFonts w:hint="eastAsia"/>
                <w:color w:val="auto"/>
                <w:sz w:val="24"/>
                <w:szCs w:val="24"/>
                <w:highlight w:val="none"/>
              </w:rPr>
              <w:t>（户名：宁波名诚招标代理有限公司，开户银行：</w:t>
            </w:r>
            <w:r>
              <w:rPr>
                <w:rFonts w:hint="eastAsia"/>
                <w:color w:val="auto"/>
                <w:sz w:val="24"/>
                <w:szCs w:val="24"/>
                <w:highlight w:val="none"/>
                <w:lang w:val="en-US" w:eastAsia="zh-CN"/>
              </w:rPr>
              <w:t>中国工商银行宁波市鼓楼支行</w:t>
            </w:r>
            <w:r>
              <w:rPr>
                <w:rFonts w:hint="eastAsia"/>
                <w:color w:val="auto"/>
                <w:sz w:val="24"/>
                <w:szCs w:val="24"/>
                <w:highlight w:val="none"/>
              </w:rPr>
              <w:t>，账号：3901110019200459750）。</w:t>
            </w:r>
          </w:p>
        </w:tc>
      </w:tr>
      <w:tr w14:paraId="081340A6">
        <w:tblPrEx>
          <w:tblBorders>
            <w:top w:val="single" w:color="000000" w:sz="12" w:space="0"/>
            <w:left w:val="single" w:color="000000" w:sz="12" w:space="0"/>
            <w:bottom w:val="single" w:color="000000" w:sz="12" w:space="0"/>
            <w:right w:val="single" w:color="000000" w:sz="12" w:space="0"/>
            <w:insideH w:val="none" w:color="auto" w:sz="0" w:space="0"/>
            <w:insideV w:val="single" w:color="000000" w:sz="6" w:space="0"/>
          </w:tblBorders>
          <w:tblCellMar>
            <w:top w:w="0" w:type="dxa"/>
            <w:left w:w="108" w:type="dxa"/>
            <w:bottom w:w="0" w:type="dxa"/>
            <w:right w:w="108" w:type="dxa"/>
          </w:tblCellMar>
        </w:tblPrEx>
        <w:trPr>
          <w:trHeight w:val="454" w:hRule="atLeast"/>
        </w:trPr>
        <w:tc>
          <w:tcPr>
            <w:tcW w:w="8763" w:type="dxa"/>
            <w:gridSpan w:val="2"/>
            <w:tcBorders>
              <w:top w:val="single" w:color="auto" w:sz="4" w:space="0"/>
              <w:left w:val="single" w:color="auto" w:sz="12" w:space="0"/>
              <w:bottom w:val="single" w:color="auto" w:sz="4" w:space="0"/>
              <w:right w:val="single" w:color="auto" w:sz="12" w:space="0"/>
            </w:tcBorders>
            <w:vAlign w:val="center"/>
          </w:tcPr>
          <w:p w14:paraId="00AC4AD8">
            <w:pPr>
              <w:spacing w:line="400" w:lineRule="exact"/>
              <w:jc w:val="center"/>
              <w:rPr>
                <w:rFonts w:hint="eastAsia"/>
                <w:color w:val="auto"/>
                <w:sz w:val="24"/>
                <w:szCs w:val="24"/>
                <w:highlight w:val="none"/>
              </w:rPr>
            </w:pPr>
            <w:r>
              <w:rPr>
                <w:rFonts w:hint="eastAsia"/>
                <w:b/>
                <w:color w:val="auto"/>
                <w:sz w:val="24"/>
                <w:szCs w:val="24"/>
              </w:rPr>
              <w:t>北仑区政策支持</w:t>
            </w:r>
          </w:p>
        </w:tc>
      </w:tr>
      <w:tr w14:paraId="52404BDD">
        <w:tblPrEx>
          <w:tblBorders>
            <w:top w:val="single" w:color="000000" w:sz="12" w:space="0"/>
            <w:left w:val="single" w:color="000000" w:sz="12" w:space="0"/>
            <w:bottom w:val="single" w:color="000000" w:sz="12" w:space="0"/>
            <w:right w:val="single" w:color="000000" w:sz="12" w:space="0"/>
            <w:insideH w:val="none" w:color="auto" w:sz="0" w:space="0"/>
            <w:insideV w:val="single" w:color="000000" w:sz="6" w:space="0"/>
          </w:tblBorders>
          <w:tblCellMar>
            <w:top w:w="0" w:type="dxa"/>
            <w:left w:w="108" w:type="dxa"/>
            <w:bottom w:w="0" w:type="dxa"/>
            <w:right w:w="108" w:type="dxa"/>
          </w:tblCellMar>
        </w:tblPrEx>
        <w:trPr>
          <w:trHeight w:val="454" w:hRule="atLeast"/>
        </w:trPr>
        <w:tc>
          <w:tcPr>
            <w:tcW w:w="8763" w:type="dxa"/>
            <w:gridSpan w:val="2"/>
            <w:tcBorders>
              <w:top w:val="single" w:color="auto" w:sz="4" w:space="0"/>
              <w:left w:val="single" w:color="auto" w:sz="12" w:space="0"/>
              <w:bottom w:val="single" w:color="auto" w:sz="12" w:space="0"/>
              <w:right w:val="single" w:color="auto" w:sz="12" w:space="0"/>
            </w:tcBorders>
            <w:shd w:val="clear" w:color="auto" w:fill="auto"/>
            <w:vAlign w:val="center"/>
          </w:tcPr>
          <w:p w14:paraId="45A95E8C">
            <w:pPr>
              <w:spacing w:line="360" w:lineRule="exact"/>
              <w:rPr>
                <w:rFonts w:hint="eastAsia" w:ascii="Times New Roman" w:hAnsi="Times New Roman" w:eastAsia="宋体" w:cs="Times New Roman"/>
                <w:color w:val="auto"/>
                <w:kern w:val="2"/>
                <w:sz w:val="24"/>
                <w:szCs w:val="24"/>
                <w:lang w:val="en-US" w:eastAsia="zh-CN" w:bidi="ar-SA"/>
              </w:rPr>
            </w:pPr>
            <w:r>
              <w:rPr>
                <w:rFonts w:hint="eastAsia"/>
                <w:color w:val="auto"/>
                <w:sz w:val="24"/>
                <w:szCs w:val="24"/>
              </w:rPr>
              <w:t>中小企业信用融资“供应商中标后也可在“政采云”平台申请政采贷：操作路径：登录政采云平台 - 金融服务中心”【融资服务】，可在热门申请中选择产品直接申请，也可点击云智贷匹配适合产品进行申请，或者在可申请项目中根据该项目进行申请。</w:t>
            </w:r>
          </w:p>
        </w:tc>
      </w:tr>
    </w:tbl>
    <w:p w14:paraId="39F3F73D">
      <w:pPr>
        <w:spacing w:line="400" w:lineRule="exact"/>
        <w:ind w:left="1355" w:hanging="1355" w:hangingChars="375"/>
        <w:jc w:val="center"/>
        <w:rPr>
          <w:b/>
          <w:color w:val="auto"/>
          <w:sz w:val="36"/>
          <w:szCs w:val="36"/>
          <w:highlight w:val="none"/>
        </w:rPr>
      </w:pPr>
    </w:p>
    <w:p w14:paraId="56D86730">
      <w:pPr>
        <w:spacing w:line="400" w:lineRule="exact"/>
        <w:rPr>
          <w:b/>
          <w:color w:val="auto"/>
          <w:sz w:val="36"/>
          <w:szCs w:val="36"/>
          <w:highlight w:val="none"/>
        </w:rPr>
      </w:pPr>
    </w:p>
    <w:p w14:paraId="59BCA2EF">
      <w:pPr>
        <w:spacing w:line="400" w:lineRule="exact"/>
        <w:ind w:left="1355" w:hanging="1355" w:hangingChars="375"/>
        <w:jc w:val="center"/>
        <w:rPr>
          <w:b/>
          <w:color w:val="auto"/>
          <w:sz w:val="36"/>
          <w:szCs w:val="36"/>
          <w:highlight w:val="none"/>
        </w:rPr>
      </w:pPr>
      <w:r>
        <w:rPr>
          <w:rFonts w:hint="eastAsia"/>
          <w:b/>
          <w:color w:val="auto"/>
          <w:sz w:val="36"/>
          <w:szCs w:val="36"/>
          <w:highlight w:val="none"/>
        </w:rPr>
        <w:t>投标人须知</w:t>
      </w:r>
    </w:p>
    <w:p w14:paraId="4B16E57F">
      <w:pPr>
        <w:spacing w:line="400" w:lineRule="exact"/>
        <w:jc w:val="center"/>
        <w:rPr>
          <w:rFonts w:eastAsia="方正书宋简体"/>
          <w:color w:val="auto"/>
          <w:highlight w:val="none"/>
        </w:rPr>
      </w:pPr>
    </w:p>
    <w:p w14:paraId="3115C0BB">
      <w:pPr>
        <w:spacing w:line="360" w:lineRule="exact"/>
        <w:ind w:right="-506" w:rightChars="-241"/>
        <w:jc w:val="center"/>
        <w:rPr>
          <w:rFonts w:hAnsi="宋体"/>
          <w:b/>
          <w:color w:val="auto"/>
          <w:sz w:val="24"/>
          <w:szCs w:val="24"/>
          <w:highlight w:val="none"/>
        </w:rPr>
      </w:pPr>
      <w:r>
        <w:rPr>
          <w:b/>
          <w:color w:val="auto"/>
          <w:sz w:val="24"/>
          <w:szCs w:val="24"/>
          <w:highlight w:val="none"/>
        </w:rPr>
        <w:t xml:space="preserve">A  </w:t>
      </w:r>
      <w:r>
        <w:rPr>
          <w:rFonts w:hAnsi="宋体"/>
          <w:b/>
          <w:color w:val="auto"/>
          <w:sz w:val="24"/>
          <w:szCs w:val="24"/>
          <w:highlight w:val="none"/>
        </w:rPr>
        <w:t>投标人</w:t>
      </w:r>
    </w:p>
    <w:p w14:paraId="6172ECD6">
      <w:pPr>
        <w:spacing w:line="400" w:lineRule="exact"/>
        <w:jc w:val="center"/>
        <w:rPr>
          <w:rFonts w:eastAsia="方正书宋简体"/>
          <w:color w:val="auto"/>
          <w:highlight w:val="none"/>
        </w:rPr>
      </w:pPr>
    </w:p>
    <w:p w14:paraId="365B6473">
      <w:pPr>
        <w:spacing w:line="360" w:lineRule="exact"/>
        <w:ind w:right="-506" w:rightChars="-241"/>
        <w:rPr>
          <w:color w:val="auto"/>
          <w:sz w:val="24"/>
          <w:szCs w:val="24"/>
          <w:highlight w:val="none"/>
        </w:rPr>
      </w:pPr>
      <w:r>
        <w:rPr>
          <w:b/>
          <w:color w:val="auto"/>
          <w:sz w:val="24"/>
          <w:szCs w:val="24"/>
          <w:highlight w:val="none"/>
        </w:rPr>
        <w:t xml:space="preserve">1.   </w:t>
      </w:r>
      <w:r>
        <w:rPr>
          <w:rFonts w:hAnsi="宋体"/>
          <w:b/>
          <w:color w:val="auto"/>
          <w:sz w:val="24"/>
          <w:szCs w:val="24"/>
          <w:highlight w:val="none"/>
        </w:rPr>
        <w:t>合格的投标人</w:t>
      </w:r>
    </w:p>
    <w:p w14:paraId="1CDB441A">
      <w:pPr>
        <w:spacing w:line="360" w:lineRule="exact"/>
        <w:ind w:right="-506" w:rightChars="-241"/>
        <w:rPr>
          <w:rFonts w:hAnsi="宋体"/>
          <w:color w:val="auto"/>
          <w:sz w:val="24"/>
          <w:szCs w:val="24"/>
          <w:highlight w:val="none"/>
        </w:rPr>
      </w:pPr>
      <w:r>
        <w:rPr>
          <w:b/>
          <w:color w:val="auto"/>
          <w:sz w:val="24"/>
          <w:szCs w:val="24"/>
          <w:highlight w:val="none"/>
        </w:rPr>
        <w:t xml:space="preserve">1.1  </w:t>
      </w:r>
      <w:r>
        <w:rPr>
          <w:rFonts w:hAnsi="宋体"/>
          <w:color w:val="auto"/>
          <w:sz w:val="24"/>
          <w:szCs w:val="24"/>
          <w:highlight w:val="none"/>
        </w:rPr>
        <w:t>合格的投标人应该是：</w:t>
      </w:r>
      <w:r>
        <w:rPr>
          <w:rFonts w:hint="eastAsia" w:hAnsi="宋体"/>
          <w:color w:val="auto"/>
          <w:sz w:val="24"/>
          <w:szCs w:val="24"/>
          <w:highlight w:val="none"/>
        </w:rPr>
        <w:t xml:space="preserve">符合《中华人民共和国政府采购法》第二十二条规定的供应商资格条件； </w:t>
      </w:r>
    </w:p>
    <w:p w14:paraId="1994D852">
      <w:pPr>
        <w:spacing w:line="360" w:lineRule="exact"/>
        <w:ind w:firstLine="240" w:firstLineChars="100"/>
        <w:rPr>
          <w:rFonts w:hAnsi="宋体"/>
          <w:color w:val="auto"/>
          <w:sz w:val="24"/>
          <w:szCs w:val="24"/>
          <w:highlight w:val="none"/>
        </w:rPr>
      </w:pPr>
      <w:r>
        <w:rPr>
          <w:rFonts w:hint="eastAsia" w:hAnsi="宋体"/>
          <w:color w:val="auto"/>
          <w:sz w:val="24"/>
          <w:szCs w:val="24"/>
          <w:highlight w:val="none"/>
        </w:rPr>
        <w:t>（1）具有独立承担民事责任的能力；</w:t>
      </w:r>
    </w:p>
    <w:p w14:paraId="7E50D1C8">
      <w:pPr>
        <w:spacing w:line="360" w:lineRule="exact"/>
        <w:ind w:firstLine="240" w:firstLineChars="100"/>
        <w:rPr>
          <w:rFonts w:hAnsi="宋体"/>
          <w:color w:val="auto"/>
          <w:sz w:val="24"/>
          <w:szCs w:val="24"/>
          <w:highlight w:val="none"/>
        </w:rPr>
      </w:pPr>
      <w:r>
        <w:rPr>
          <w:rFonts w:hint="eastAsia" w:hAnsi="宋体"/>
          <w:color w:val="auto"/>
          <w:sz w:val="24"/>
          <w:szCs w:val="24"/>
          <w:highlight w:val="none"/>
        </w:rPr>
        <w:t>（2）具有良好的商业信誉和健全的财务会计制度；</w:t>
      </w:r>
    </w:p>
    <w:p w14:paraId="18E50145">
      <w:pPr>
        <w:spacing w:line="360" w:lineRule="exact"/>
        <w:ind w:firstLine="240" w:firstLineChars="100"/>
        <w:rPr>
          <w:rFonts w:hAnsi="宋体"/>
          <w:color w:val="auto"/>
          <w:sz w:val="24"/>
          <w:szCs w:val="24"/>
          <w:highlight w:val="none"/>
        </w:rPr>
      </w:pPr>
      <w:r>
        <w:rPr>
          <w:rFonts w:hint="eastAsia" w:hAnsi="宋体"/>
          <w:color w:val="auto"/>
          <w:sz w:val="24"/>
          <w:szCs w:val="24"/>
          <w:highlight w:val="none"/>
        </w:rPr>
        <w:t>（3）具有履行合同所必需的设备和专业技术能力；</w:t>
      </w:r>
    </w:p>
    <w:p w14:paraId="63EA606E">
      <w:pPr>
        <w:spacing w:line="360" w:lineRule="exact"/>
        <w:ind w:firstLine="240" w:firstLineChars="100"/>
        <w:rPr>
          <w:rFonts w:hAnsi="宋体"/>
          <w:color w:val="auto"/>
          <w:sz w:val="24"/>
          <w:szCs w:val="24"/>
          <w:highlight w:val="none"/>
        </w:rPr>
      </w:pPr>
      <w:r>
        <w:rPr>
          <w:rFonts w:hint="eastAsia" w:hAnsi="宋体"/>
          <w:color w:val="auto"/>
          <w:sz w:val="24"/>
          <w:szCs w:val="24"/>
          <w:highlight w:val="none"/>
        </w:rPr>
        <w:t>（4）有依法缴纳税收和社会保障资金的良好记录；</w:t>
      </w:r>
    </w:p>
    <w:p w14:paraId="71103151">
      <w:pPr>
        <w:spacing w:line="360" w:lineRule="exact"/>
        <w:ind w:firstLine="240" w:firstLineChars="100"/>
        <w:rPr>
          <w:rFonts w:hint="eastAsia" w:hAnsi="宋体" w:eastAsia="宋体"/>
          <w:color w:val="auto"/>
          <w:sz w:val="24"/>
          <w:szCs w:val="24"/>
          <w:highlight w:val="none"/>
          <w:lang w:eastAsia="zh-CN"/>
        </w:rPr>
      </w:pPr>
      <w:r>
        <w:rPr>
          <w:rFonts w:hint="eastAsia" w:hAnsi="宋体"/>
          <w:color w:val="auto"/>
          <w:sz w:val="24"/>
          <w:szCs w:val="24"/>
          <w:highlight w:val="none"/>
        </w:rPr>
        <w:t>（5）参加政府采购活动前三年内，在经营活动中没有重大违法记录</w:t>
      </w:r>
      <w:r>
        <w:rPr>
          <w:rFonts w:hint="eastAsia" w:hAnsi="宋体"/>
          <w:color w:val="auto"/>
          <w:sz w:val="24"/>
          <w:szCs w:val="24"/>
          <w:highlight w:val="none"/>
          <w:lang w:eastAsia="zh-CN"/>
        </w:rPr>
        <w:t>；</w:t>
      </w:r>
    </w:p>
    <w:p w14:paraId="392A5955">
      <w:pPr>
        <w:spacing w:line="360" w:lineRule="exact"/>
        <w:ind w:firstLine="240" w:firstLineChars="100"/>
        <w:rPr>
          <w:rFonts w:hAnsi="宋体"/>
          <w:color w:val="auto"/>
          <w:sz w:val="24"/>
          <w:szCs w:val="24"/>
          <w:highlight w:val="none"/>
        </w:rPr>
      </w:pPr>
      <w:r>
        <w:rPr>
          <w:rFonts w:hint="eastAsia" w:hAnsi="宋体"/>
          <w:color w:val="auto"/>
          <w:sz w:val="24"/>
          <w:szCs w:val="24"/>
          <w:highlight w:val="none"/>
        </w:rPr>
        <w:t>（6）法律、行政法规规定的其他条件。</w:t>
      </w:r>
    </w:p>
    <w:p w14:paraId="4789AA0C">
      <w:pPr>
        <w:spacing w:line="360" w:lineRule="exact"/>
        <w:ind w:right="-506" w:rightChars="-241"/>
        <w:rPr>
          <w:rFonts w:hAnsi="宋体"/>
          <w:color w:val="auto"/>
          <w:sz w:val="24"/>
          <w:szCs w:val="24"/>
          <w:highlight w:val="none"/>
        </w:rPr>
      </w:pPr>
      <w:r>
        <w:rPr>
          <w:rFonts w:hint="eastAsia"/>
          <w:b/>
          <w:color w:val="auto"/>
          <w:sz w:val="24"/>
          <w:szCs w:val="24"/>
          <w:highlight w:val="none"/>
        </w:rPr>
        <w:t xml:space="preserve">1.2 </w:t>
      </w:r>
      <w:r>
        <w:rPr>
          <w:rFonts w:hint="eastAsia" w:hAnsi="宋体"/>
          <w:color w:val="auto"/>
          <w:sz w:val="24"/>
          <w:szCs w:val="24"/>
          <w:highlight w:val="none"/>
        </w:rPr>
        <w:t>单位负责人为同一人或者存在直接控股、管理关系的不同供应商，不得同时参加同一合同项下的政府采购活动。除单一来源采购项目外，为采购项目提供整体设计、规范编制或者项目管理、监理、检测等服务的供应商，不得再参加该采购项目的其他采购活动。</w:t>
      </w:r>
    </w:p>
    <w:p w14:paraId="5E9363F2">
      <w:pPr>
        <w:spacing w:line="360" w:lineRule="exact"/>
        <w:ind w:right="-506" w:rightChars="-241"/>
        <w:rPr>
          <w:rFonts w:hAnsi="宋体"/>
          <w:color w:val="auto"/>
          <w:sz w:val="24"/>
          <w:szCs w:val="24"/>
          <w:highlight w:val="none"/>
        </w:rPr>
      </w:pPr>
      <w:r>
        <w:rPr>
          <w:b/>
          <w:color w:val="auto"/>
          <w:sz w:val="24"/>
          <w:szCs w:val="24"/>
          <w:highlight w:val="none"/>
        </w:rPr>
        <w:t>1.</w:t>
      </w:r>
      <w:r>
        <w:rPr>
          <w:rFonts w:hint="eastAsia"/>
          <w:b/>
          <w:color w:val="auto"/>
          <w:sz w:val="24"/>
          <w:szCs w:val="24"/>
          <w:highlight w:val="none"/>
        </w:rPr>
        <w:t>3</w:t>
      </w:r>
      <w:r>
        <w:rPr>
          <w:color w:val="auto"/>
          <w:sz w:val="24"/>
          <w:szCs w:val="24"/>
          <w:highlight w:val="none"/>
        </w:rPr>
        <w:t xml:space="preserve"> </w:t>
      </w:r>
      <w:r>
        <w:rPr>
          <w:rFonts w:hint="eastAsia"/>
          <w:color w:val="auto"/>
          <w:sz w:val="24"/>
          <w:szCs w:val="24"/>
          <w:highlight w:val="none"/>
        </w:rPr>
        <w:t xml:space="preserve"> </w:t>
      </w:r>
      <w:r>
        <w:rPr>
          <w:rFonts w:hAnsi="宋体"/>
          <w:color w:val="auto"/>
          <w:sz w:val="24"/>
          <w:szCs w:val="24"/>
          <w:highlight w:val="none"/>
        </w:rPr>
        <w:t>符合本</w:t>
      </w:r>
      <w:r>
        <w:rPr>
          <w:rFonts w:hint="eastAsia" w:hAnsi="宋体"/>
          <w:color w:val="auto"/>
          <w:sz w:val="24"/>
          <w:szCs w:val="24"/>
          <w:highlight w:val="none"/>
        </w:rPr>
        <w:t>招标公告</w:t>
      </w:r>
      <w:r>
        <w:rPr>
          <w:rFonts w:hAnsi="宋体"/>
          <w:color w:val="auto"/>
          <w:sz w:val="24"/>
          <w:szCs w:val="24"/>
          <w:highlight w:val="none"/>
        </w:rPr>
        <w:t>规定的其他</w:t>
      </w:r>
      <w:r>
        <w:rPr>
          <w:rFonts w:hint="eastAsia" w:hAnsi="宋体"/>
          <w:color w:val="auto"/>
          <w:sz w:val="24"/>
          <w:szCs w:val="24"/>
          <w:highlight w:val="none"/>
        </w:rPr>
        <w:t>资格</w:t>
      </w:r>
      <w:r>
        <w:rPr>
          <w:rFonts w:hAnsi="宋体"/>
          <w:color w:val="auto"/>
          <w:sz w:val="24"/>
          <w:szCs w:val="24"/>
          <w:highlight w:val="none"/>
        </w:rPr>
        <w:t>要求。</w:t>
      </w:r>
    </w:p>
    <w:p w14:paraId="655EBFF7">
      <w:pPr>
        <w:spacing w:line="360" w:lineRule="exact"/>
        <w:ind w:right="-506" w:rightChars="-241"/>
        <w:rPr>
          <w:rFonts w:hint="default" w:ascii="Times New Roman" w:hAnsi="宋体" w:eastAsia="宋体" w:cs="Times New Roman"/>
          <w:color w:val="auto"/>
          <w:sz w:val="24"/>
          <w:szCs w:val="24"/>
          <w:highlight w:val="none"/>
          <w:lang w:val="en-US" w:eastAsia="zh-CN"/>
        </w:rPr>
      </w:pPr>
      <w:r>
        <w:rPr>
          <w:rFonts w:hint="eastAsia" w:ascii="Times New Roman" w:hAnsi="Times New Roman" w:eastAsia="宋体" w:cs="Times New Roman"/>
          <w:b/>
          <w:color w:val="auto"/>
          <w:sz w:val="24"/>
          <w:szCs w:val="24"/>
          <w:highlight w:val="none"/>
          <w:lang w:val="en-US" w:eastAsia="zh-CN"/>
        </w:rPr>
        <w:t>1.4</w:t>
      </w:r>
      <w:r>
        <w:rPr>
          <w:rFonts w:hint="eastAsia" w:hAnsi="宋体"/>
          <w:color w:val="auto"/>
          <w:sz w:val="24"/>
          <w:szCs w:val="24"/>
          <w:highlight w:val="none"/>
          <w:lang w:val="en-US" w:eastAsia="zh-CN"/>
        </w:rPr>
        <w:t xml:space="preserve">  </w:t>
      </w:r>
      <w:r>
        <w:rPr>
          <w:rFonts w:hint="eastAsia" w:ascii="Times New Roman" w:hAnsi="宋体" w:eastAsia="宋体" w:cs="Times New Roman"/>
          <w:color w:val="auto"/>
          <w:sz w:val="24"/>
          <w:szCs w:val="24"/>
          <w:highlight w:val="none"/>
        </w:rPr>
        <w:t>除银行、保险、石油石化、电力、电信等特殊行业外，法人的分支机构由于不能独立承担民事责任，不能以分支机构的身份参加政府采购，只能以法人身份参加。</w:t>
      </w:r>
    </w:p>
    <w:p w14:paraId="235D0213">
      <w:pPr>
        <w:spacing w:line="360" w:lineRule="exact"/>
        <w:ind w:right="-506" w:rightChars="-241"/>
        <w:rPr>
          <w:color w:val="auto"/>
          <w:sz w:val="24"/>
          <w:szCs w:val="24"/>
          <w:highlight w:val="none"/>
        </w:rPr>
      </w:pPr>
    </w:p>
    <w:p w14:paraId="42CB450F">
      <w:pPr>
        <w:spacing w:line="360" w:lineRule="exact"/>
        <w:ind w:right="-506" w:rightChars="-241"/>
        <w:rPr>
          <w:color w:val="auto"/>
          <w:sz w:val="24"/>
          <w:szCs w:val="24"/>
          <w:highlight w:val="none"/>
        </w:rPr>
      </w:pPr>
      <w:r>
        <w:rPr>
          <w:b/>
          <w:color w:val="auto"/>
          <w:sz w:val="24"/>
          <w:szCs w:val="24"/>
          <w:highlight w:val="none"/>
        </w:rPr>
        <w:t>2.</w:t>
      </w:r>
      <w:r>
        <w:rPr>
          <w:color w:val="auto"/>
          <w:sz w:val="24"/>
          <w:szCs w:val="24"/>
          <w:highlight w:val="none"/>
        </w:rPr>
        <w:t xml:space="preserve">  </w:t>
      </w:r>
      <w:r>
        <w:rPr>
          <w:rFonts w:hAnsi="宋体"/>
          <w:b/>
          <w:color w:val="auto"/>
          <w:sz w:val="24"/>
          <w:szCs w:val="24"/>
          <w:highlight w:val="none"/>
        </w:rPr>
        <w:t>投标人代表</w:t>
      </w:r>
    </w:p>
    <w:p w14:paraId="0E7BEBA3">
      <w:pPr>
        <w:spacing w:line="360" w:lineRule="exact"/>
        <w:ind w:right="-506" w:rightChars="-241"/>
        <w:rPr>
          <w:rFonts w:hAnsi="宋体"/>
          <w:color w:val="auto"/>
          <w:sz w:val="24"/>
          <w:szCs w:val="24"/>
          <w:highlight w:val="none"/>
        </w:rPr>
      </w:pPr>
      <w:r>
        <w:rPr>
          <w:b/>
          <w:color w:val="auto"/>
          <w:sz w:val="24"/>
          <w:szCs w:val="24"/>
          <w:highlight w:val="none"/>
        </w:rPr>
        <w:t>2.</w:t>
      </w:r>
      <w:r>
        <w:rPr>
          <w:rFonts w:hint="eastAsia"/>
          <w:b/>
          <w:color w:val="auto"/>
          <w:sz w:val="24"/>
          <w:szCs w:val="24"/>
          <w:highlight w:val="none"/>
        </w:rPr>
        <w:t>1</w:t>
      </w:r>
      <w:r>
        <w:rPr>
          <w:b/>
          <w:color w:val="auto"/>
          <w:sz w:val="24"/>
          <w:szCs w:val="24"/>
          <w:highlight w:val="none"/>
        </w:rPr>
        <w:t xml:space="preserve"> </w:t>
      </w:r>
      <w:r>
        <w:rPr>
          <w:rFonts w:hAnsi="宋体"/>
          <w:color w:val="auto"/>
          <w:sz w:val="24"/>
          <w:szCs w:val="24"/>
          <w:highlight w:val="none"/>
        </w:rPr>
        <w:t>若投标人代表是法定代表人，则</w:t>
      </w:r>
      <w:r>
        <w:rPr>
          <w:rFonts w:hint="eastAsia" w:hAnsi="宋体"/>
          <w:color w:val="auto"/>
          <w:sz w:val="24"/>
          <w:szCs w:val="24"/>
          <w:highlight w:val="none"/>
        </w:rPr>
        <w:t>提供法定代表人身份证明</w:t>
      </w:r>
      <w:r>
        <w:rPr>
          <w:rFonts w:hAnsi="宋体"/>
          <w:color w:val="auto"/>
          <w:sz w:val="24"/>
          <w:szCs w:val="24"/>
          <w:highlight w:val="none"/>
        </w:rPr>
        <w:t>。</w:t>
      </w:r>
    </w:p>
    <w:p w14:paraId="06CA2232">
      <w:pPr>
        <w:spacing w:line="360" w:lineRule="exact"/>
        <w:ind w:right="-506" w:rightChars="-241"/>
        <w:rPr>
          <w:color w:val="auto"/>
          <w:sz w:val="24"/>
          <w:szCs w:val="24"/>
          <w:highlight w:val="none"/>
        </w:rPr>
      </w:pPr>
      <w:r>
        <w:rPr>
          <w:b/>
          <w:color w:val="auto"/>
          <w:sz w:val="24"/>
          <w:szCs w:val="24"/>
          <w:highlight w:val="none"/>
        </w:rPr>
        <w:t>2.</w:t>
      </w:r>
      <w:r>
        <w:rPr>
          <w:rFonts w:hint="eastAsia"/>
          <w:b/>
          <w:color w:val="auto"/>
          <w:sz w:val="24"/>
          <w:szCs w:val="24"/>
          <w:highlight w:val="none"/>
        </w:rPr>
        <w:t>2</w:t>
      </w:r>
      <w:r>
        <w:rPr>
          <w:color w:val="auto"/>
          <w:sz w:val="24"/>
          <w:szCs w:val="24"/>
          <w:highlight w:val="none"/>
        </w:rPr>
        <w:t xml:space="preserve"> </w:t>
      </w:r>
      <w:r>
        <w:rPr>
          <w:rFonts w:hAnsi="宋体"/>
          <w:color w:val="auto"/>
          <w:sz w:val="24"/>
          <w:szCs w:val="24"/>
          <w:highlight w:val="none"/>
        </w:rPr>
        <w:t>若投标人代表不是法定代表人，须持有《法定代表人授权书》或《组织授权书》（适用非法人的其它组织）</w:t>
      </w:r>
      <w:r>
        <w:rPr>
          <w:rFonts w:hint="eastAsia" w:hAnsi="宋体"/>
          <w:color w:val="auto"/>
          <w:sz w:val="24"/>
          <w:szCs w:val="24"/>
          <w:highlight w:val="none"/>
        </w:rPr>
        <w:t>。</w:t>
      </w:r>
    </w:p>
    <w:p w14:paraId="13675D99">
      <w:pPr>
        <w:spacing w:line="360" w:lineRule="exact"/>
        <w:ind w:right="-506" w:rightChars="-241"/>
        <w:rPr>
          <w:color w:val="auto"/>
          <w:sz w:val="24"/>
          <w:szCs w:val="24"/>
          <w:highlight w:val="none"/>
        </w:rPr>
      </w:pPr>
    </w:p>
    <w:p w14:paraId="3ABA8CB2">
      <w:pPr>
        <w:spacing w:line="360" w:lineRule="exact"/>
        <w:ind w:right="-506" w:rightChars="-241"/>
        <w:rPr>
          <w:b/>
          <w:color w:val="auto"/>
          <w:sz w:val="24"/>
          <w:szCs w:val="24"/>
          <w:highlight w:val="none"/>
        </w:rPr>
      </w:pPr>
      <w:r>
        <w:rPr>
          <w:b/>
          <w:color w:val="auto"/>
          <w:sz w:val="24"/>
          <w:szCs w:val="24"/>
          <w:highlight w:val="none"/>
        </w:rPr>
        <w:t>3.</w:t>
      </w:r>
      <w:r>
        <w:rPr>
          <w:color w:val="auto"/>
          <w:sz w:val="24"/>
          <w:szCs w:val="24"/>
          <w:highlight w:val="none"/>
        </w:rPr>
        <w:t xml:space="preserve"> </w:t>
      </w:r>
      <w:r>
        <w:rPr>
          <w:b/>
          <w:color w:val="auto"/>
          <w:sz w:val="24"/>
          <w:szCs w:val="24"/>
          <w:highlight w:val="none"/>
        </w:rPr>
        <w:t xml:space="preserve"> </w:t>
      </w:r>
      <w:r>
        <w:rPr>
          <w:rFonts w:hint="eastAsia" w:hAnsi="宋体"/>
          <w:b/>
          <w:color w:val="auto"/>
          <w:sz w:val="24"/>
          <w:szCs w:val="24"/>
          <w:highlight w:val="none"/>
        </w:rPr>
        <w:t>其他说明</w:t>
      </w:r>
    </w:p>
    <w:p w14:paraId="08772897">
      <w:pPr>
        <w:spacing w:line="360" w:lineRule="exact"/>
        <w:ind w:right="-506" w:rightChars="-241"/>
        <w:rPr>
          <w:rFonts w:hAnsi="宋体"/>
          <w:color w:val="auto"/>
          <w:sz w:val="24"/>
          <w:szCs w:val="24"/>
          <w:highlight w:val="none"/>
        </w:rPr>
      </w:pPr>
      <w:r>
        <w:rPr>
          <w:b/>
          <w:color w:val="auto"/>
          <w:sz w:val="24"/>
          <w:szCs w:val="24"/>
          <w:highlight w:val="none"/>
        </w:rPr>
        <w:t>3.1</w:t>
      </w:r>
      <w:r>
        <w:rPr>
          <w:color w:val="auto"/>
          <w:sz w:val="24"/>
          <w:szCs w:val="24"/>
          <w:highlight w:val="none"/>
        </w:rPr>
        <w:t xml:space="preserve">  </w:t>
      </w:r>
      <w:r>
        <w:rPr>
          <w:rFonts w:hAnsi="宋体"/>
          <w:color w:val="auto"/>
          <w:sz w:val="24"/>
          <w:szCs w:val="24"/>
          <w:highlight w:val="none"/>
        </w:rPr>
        <w:t>不论招标的结果如何，投标人自行承担其参加本次投标有关的全部费用。</w:t>
      </w:r>
    </w:p>
    <w:p w14:paraId="2C0E4840">
      <w:pPr>
        <w:pStyle w:val="41"/>
        <w:rPr>
          <w:color w:val="auto"/>
          <w:highlight w:val="none"/>
        </w:rPr>
      </w:pPr>
    </w:p>
    <w:p w14:paraId="771D5F37">
      <w:pPr>
        <w:spacing w:line="400" w:lineRule="exact"/>
        <w:jc w:val="center"/>
        <w:rPr>
          <w:rFonts w:eastAsia="方正书宋简体"/>
          <w:color w:val="auto"/>
          <w:highlight w:val="none"/>
        </w:rPr>
      </w:pPr>
    </w:p>
    <w:p w14:paraId="113680AE">
      <w:pPr>
        <w:spacing w:line="360" w:lineRule="exact"/>
        <w:ind w:right="-506" w:rightChars="-241"/>
        <w:jc w:val="center"/>
        <w:rPr>
          <w:b/>
          <w:color w:val="auto"/>
          <w:sz w:val="24"/>
          <w:szCs w:val="24"/>
          <w:highlight w:val="none"/>
        </w:rPr>
      </w:pPr>
      <w:r>
        <w:rPr>
          <w:b/>
          <w:color w:val="auto"/>
          <w:sz w:val="24"/>
          <w:szCs w:val="24"/>
          <w:highlight w:val="none"/>
        </w:rPr>
        <w:t xml:space="preserve">B  </w:t>
      </w:r>
      <w:r>
        <w:rPr>
          <w:rFonts w:hAnsi="宋体"/>
          <w:b/>
          <w:color w:val="auto"/>
          <w:sz w:val="24"/>
          <w:szCs w:val="24"/>
          <w:highlight w:val="none"/>
        </w:rPr>
        <w:t>招标文件</w:t>
      </w:r>
    </w:p>
    <w:p w14:paraId="484BBF59">
      <w:pPr>
        <w:spacing w:line="360" w:lineRule="exact"/>
        <w:ind w:right="-506" w:rightChars="-241"/>
        <w:rPr>
          <w:color w:val="auto"/>
          <w:sz w:val="24"/>
          <w:szCs w:val="24"/>
          <w:highlight w:val="none"/>
        </w:rPr>
      </w:pPr>
      <w:r>
        <w:rPr>
          <w:b/>
          <w:color w:val="auto"/>
          <w:sz w:val="24"/>
          <w:szCs w:val="24"/>
          <w:highlight w:val="none"/>
        </w:rPr>
        <w:t>4.</w:t>
      </w:r>
      <w:r>
        <w:rPr>
          <w:color w:val="auto"/>
          <w:sz w:val="24"/>
          <w:szCs w:val="24"/>
          <w:highlight w:val="none"/>
        </w:rPr>
        <w:t xml:space="preserve">  </w:t>
      </w:r>
      <w:r>
        <w:rPr>
          <w:rFonts w:hAnsi="宋体"/>
          <w:b/>
          <w:color w:val="auto"/>
          <w:sz w:val="24"/>
          <w:szCs w:val="24"/>
          <w:highlight w:val="none"/>
        </w:rPr>
        <w:t>招标文件的构成</w:t>
      </w:r>
    </w:p>
    <w:p w14:paraId="6D9DE2E2">
      <w:pPr>
        <w:spacing w:line="360" w:lineRule="exact"/>
        <w:ind w:right="-506" w:rightChars="-241"/>
        <w:rPr>
          <w:color w:val="auto"/>
          <w:sz w:val="24"/>
          <w:szCs w:val="24"/>
          <w:highlight w:val="none"/>
        </w:rPr>
      </w:pPr>
      <w:r>
        <w:rPr>
          <w:b/>
          <w:color w:val="auto"/>
          <w:sz w:val="24"/>
          <w:szCs w:val="24"/>
          <w:highlight w:val="none"/>
        </w:rPr>
        <w:t>4.1</w:t>
      </w:r>
      <w:r>
        <w:rPr>
          <w:color w:val="auto"/>
          <w:sz w:val="24"/>
          <w:szCs w:val="24"/>
          <w:highlight w:val="none"/>
        </w:rPr>
        <w:t xml:space="preserve"> </w:t>
      </w:r>
      <w:r>
        <w:rPr>
          <w:rFonts w:hAnsi="宋体"/>
          <w:color w:val="auto"/>
          <w:sz w:val="24"/>
          <w:szCs w:val="24"/>
          <w:highlight w:val="none"/>
        </w:rPr>
        <w:t>招标文件共有</w:t>
      </w:r>
      <w:r>
        <w:rPr>
          <w:rFonts w:hint="eastAsia" w:hAnsi="宋体"/>
          <w:color w:val="auto"/>
          <w:sz w:val="24"/>
          <w:szCs w:val="24"/>
          <w:highlight w:val="none"/>
        </w:rPr>
        <w:t>六</w:t>
      </w:r>
      <w:r>
        <w:rPr>
          <w:rFonts w:hAnsi="宋体"/>
          <w:color w:val="auto"/>
          <w:sz w:val="24"/>
          <w:szCs w:val="24"/>
          <w:highlight w:val="none"/>
        </w:rPr>
        <w:t>部分，内容如下：</w:t>
      </w:r>
    </w:p>
    <w:p w14:paraId="3FF41770">
      <w:pPr>
        <w:spacing w:line="360" w:lineRule="exact"/>
        <w:ind w:right="-506" w:rightChars="-241"/>
        <w:rPr>
          <w:rFonts w:hAnsi="宋体"/>
          <w:color w:val="auto"/>
          <w:sz w:val="24"/>
          <w:szCs w:val="24"/>
          <w:highlight w:val="none"/>
        </w:rPr>
      </w:pPr>
      <w:r>
        <w:rPr>
          <w:rFonts w:hAnsi="宋体"/>
          <w:color w:val="auto"/>
          <w:sz w:val="24"/>
          <w:szCs w:val="24"/>
          <w:highlight w:val="none"/>
        </w:rPr>
        <w:t>第</w:t>
      </w:r>
      <w:r>
        <w:rPr>
          <w:rFonts w:hint="eastAsia" w:hAnsi="宋体"/>
          <w:color w:val="auto"/>
          <w:sz w:val="24"/>
          <w:szCs w:val="24"/>
          <w:highlight w:val="none"/>
        </w:rPr>
        <w:t>一</w:t>
      </w:r>
      <w:r>
        <w:rPr>
          <w:rFonts w:hAnsi="宋体"/>
          <w:color w:val="auto"/>
          <w:sz w:val="24"/>
          <w:szCs w:val="24"/>
          <w:highlight w:val="none"/>
        </w:rPr>
        <w:t xml:space="preserve">部分     </w:t>
      </w:r>
      <w:r>
        <w:rPr>
          <w:rFonts w:hint="eastAsia" w:hAnsi="宋体"/>
          <w:color w:val="auto"/>
          <w:sz w:val="24"/>
          <w:szCs w:val="24"/>
          <w:highlight w:val="none"/>
        </w:rPr>
        <w:t>招标公告</w:t>
      </w:r>
    </w:p>
    <w:p w14:paraId="1BB960C2">
      <w:pPr>
        <w:spacing w:line="360" w:lineRule="exact"/>
        <w:ind w:right="-506" w:rightChars="-241"/>
        <w:rPr>
          <w:rFonts w:hAnsi="宋体"/>
          <w:color w:val="auto"/>
          <w:sz w:val="24"/>
          <w:szCs w:val="24"/>
          <w:highlight w:val="none"/>
        </w:rPr>
      </w:pPr>
      <w:r>
        <w:rPr>
          <w:rFonts w:hAnsi="宋体"/>
          <w:color w:val="auto"/>
          <w:sz w:val="24"/>
          <w:szCs w:val="24"/>
          <w:highlight w:val="none"/>
        </w:rPr>
        <w:t>第</w:t>
      </w:r>
      <w:r>
        <w:rPr>
          <w:rFonts w:hint="eastAsia" w:hAnsi="宋体"/>
          <w:color w:val="auto"/>
          <w:sz w:val="24"/>
          <w:szCs w:val="24"/>
          <w:highlight w:val="none"/>
        </w:rPr>
        <w:t>二</w:t>
      </w:r>
      <w:r>
        <w:rPr>
          <w:rFonts w:hAnsi="宋体"/>
          <w:color w:val="auto"/>
          <w:sz w:val="24"/>
          <w:szCs w:val="24"/>
          <w:highlight w:val="none"/>
        </w:rPr>
        <w:t xml:space="preserve">部分     </w:t>
      </w:r>
      <w:r>
        <w:rPr>
          <w:rFonts w:hint="eastAsia" w:hAnsi="宋体"/>
          <w:color w:val="auto"/>
          <w:sz w:val="24"/>
          <w:szCs w:val="24"/>
          <w:highlight w:val="none"/>
        </w:rPr>
        <w:t>项目要求</w:t>
      </w:r>
    </w:p>
    <w:p w14:paraId="378F8BC5">
      <w:pPr>
        <w:spacing w:line="360" w:lineRule="exact"/>
        <w:ind w:right="-506" w:rightChars="-241"/>
        <w:rPr>
          <w:rFonts w:hAnsi="宋体"/>
          <w:color w:val="auto"/>
          <w:sz w:val="24"/>
          <w:szCs w:val="24"/>
          <w:highlight w:val="none"/>
        </w:rPr>
      </w:pPr>
      <w:r>
        <w:rPr>
          <w:rFonts w:hAnsi="宋体"/>
          <w:color w:val="auto"/>
          <w:sz w:val="24"/>
          <w:szCs w:val="24"/>
          <w:highlight w:val="none"/>
        </w:rPr>
        <w:t>第</w:t>
      </w:r>
      <w:r>
        <w:rPr>
          <w:rFonts w:hint="eastAsia" w:hAnsi="宋体"/>
          <w:color w:val="auto"/>
          <w:sz w:val="24"/>
          <w:szCs w:val="24"/>
          <w:highlight w:val="none"/>
        </w:rPr>
        <w:t>三</w:t>
      </w:r>
      <w:r>
        <w:rPr>
          <w:rFonts w:hAnsi="宋体"/>
          <w:color w:val="auto"/>
          <w:sz w:val="24"/>
          <w:szCs w:val="24"/>
          <w:highlight w:val="none"/>
        </w:rPr>
        <w:t xml:space="preserve">部分     </w:t>
      </w:r>
      <w:r>
        <w:rPr>
          <w:rFonts w:hint="eastAsia" w:hAnsi="宋体"/>
          <w:color w:val="auto"/>
          <w:sz w:val="24"/>
          <w:szCs w:val="24"/>
          <w:highlight w:val="none"/>
        </w:rPr>
        <w:t>投标人须知及前附表</w:t>
      </w:r>
    </w:p>
    <w:p w14:paraId="1D9EEB83">
      <w:pPr>
        <w:spacing w:line="360" w:lineRule="exact"/>
        <w:ind w:right="-506" w:rightChars="-241"/>
        <w:rPr>
          <w:rFonts w:hAnsi="宋体"/>
          <w:color w:val="auto"/>
          <w:sz w:val="24"/>
          <w:szCs w:val="24"/>
          <w:highlight w:val="none"/>
        </w:rPr>
      </w:pPr>
      <w:r>
        <w:rPr>
          <w:rFonts w:hAnsi="宋体"/>
          <w:color w:val="auto"/>
          <w:sz w:val="24"/>
          <w:szCs w:val="24"/>
          <w:highlight w:val="none"/>
        </w:rPr>
        <w:t>第</w:t>
      </w:r>
      <w:r>
        <w:rPr>
          <w:rFonts w:hint="eastAsia" w:hAnsi="宋体"/>
          <w:color w:val="auto"/>
          <w:sz w:val="24"/>
          <w:szCs w:val="24"/>
          <w:highlight w:val="none"/>
        </w:rPr>
        <w:t>四</w:t>
      </w:r>
      <w:r>
        <w:rPr>
          <w:rFonts w:hAnsi="宋体"/>
          <w:color w:val="auto"/>
          <w:sz w:val="24"/>
          <w:szCs w:val="24"/>
          <w:highlight w:val="none"/>
        </w:rPr>
        <w:t>部分     评标</w:t>
      </w:r>
      <w:r>
        <w:rPr>
          <w:rFonts w:hint="eastAsia" w:hAnsi="宋体"/>
          <w:color w:val="auto"/>
          <w:sz w:val="24"/>
          <w:szCs w:val="24"/>
          <w:highlight w:val="none"/>
        </w:rPr>
        <w:t>标准</w:t>
      </w:r>
    </w:p>
    <w:p w14:paraId="54B7939F">
      <w:pPr>
        <w:spacing w:line="360" w:lineRule="exact"/>
        <w:ind w:right="-506" w:rightChars="-241"/>
        <w:rPr>
          <w:rFonts w:hAnsi="宋体"/>
          <w:color w:val="auto"/>
          <w:sz w:val="24"/>
          <w:szCs w:val="24"/>
          <w:highlight w:val="none"/>
        </w:rPr>
      </w:pPr>
      <w:r>
        <w:rPr>
          <w:rFonts w:hint="eastAsia" w:hAnsi="宋体"/>
          <w:color w:val="auto"/>
          <w:sz w:val="24"/>
          <w:szCs w:val="24"/>
          <w:highlight w:val="none"/>
        </w:rPr>
        <w:t>第五部分</w:t>
      </w:r>
      <w:r>
        <w:rPr>
          <w:rFonts w:hAnsi="宋体"/>
          <w:color w:val="auto"/>
          <w:sz w:val="24"/>
          <w:szCs w:val="24"/>
          <w:highlight w:val="none"/>
        </w:rPr>
        <w:t xml:space="preserve">     </w:t>
      </w:r>
      <w:r>
        <w:rPr>
          <w:rFonts w:hint="eastAsia" w:hAnsi="宋体"/>
          <w:color w:val="auto"/>
          <w:sz w:val="24"/>
          <w:szCs w:val="24"/>
          <w:highlight w:val="none"/>
        </w:rPr>
        <w:t>合同条款及合同格式</w:t>
      </w:r>
    </w:p>
    <w:p w14:paraId="466DB7B6">
      <w:pPr>
        <w:spacing w:line="360" w:lineRule="exact"/>
        <w:ind w:right="-506" w:rightChars="-241"/>
        <w:rPr>
          <w:rFonts w:hAnsi="宋体"/>
          <w:color w:val="auto"/>
          <w:sz w:val="24"/>
          <w:szCs w:val="24"/>
          <w:highlight w:val="none"/>
        </w:rPr>
      </w:pPr>
      <w:r>
        <w:rPr>
          <w:rFonts w:hint="eastAsia" w:hAnsi="宋体"/>
          <w:color w:val="auto"/>
          <w:sz w:val="24"/>
          <w:szCs w:val="24"/>
          <w:highlight w:val="none"/>
        </w:rPr>
        <w:t>第六部分     附件（投标文件格式）</w:t>
      </w:r>
    </w:p>
    <w:p w14:paraId="194480B0">
      <w:pPr>
        <w:spacing w:line="360" w:lineRule="exact"/>
        <w:ind w:right="-506" w:rightChars="-241"/>
        <w:rPr>
          <w:b/>
          <w:color w:val="auto"/>
          <w:sz w:val="24"/>
          <w:szCs w:val="24"/>
          <w:highlight w:val="none"/>
        </w:rPr>
      </w:pPr>
    </w:p>
    <w:p w14:paraId="0772B65C">
      <w:pPr>
        <w:spacing w:line="360" w:lineRule="exact"/>
        <w:ind w:right="-506" w:rightChars="-241"/>
        <w:rPr>
          <w:color w:val="auto"/>
          <w:sz w:val="24"/>
          <w:szCs w:val="24"/>
          <w:highlight w:val="none"/>
        </w:rPr>
      </w:pPr>
      <w:r>
        <w:rPr>
          <w:b/>
          <w:color w:val="auto"/>
          <w:sz w:val="24"/>
          <w:szCs w:val="24"/>
          <w:highlight w:val="none"/>
        </w:rPr>
        <w:t>5.</w:t>
      </w:r>
      <w:r>
        <w:rPr>
          <w:color w:val="auto"/>
          <w:sz w:val="24"/>
          <w:szCs w:val="24"/>
          <w:highlight w:val="none"/>
        </w:rPr>
        <w:t xml:space="preserve"> </w:t>
      </w:r>
      <w:r>
        <w:rPr>
          <w:rFonts w:hAnsi="宋体"/>
          <w:b/>
          <w:color w:val="auto"/>
          <w:sz w:val="24"/>
          <w:szCs w:val="24"/>
          <w:highlight w:val="none"/>
        </w:rPr>
        <w:t>招标文件的澄清</w:t>
      </w:r>
      <w:r>
        <w:rPr>
          <w:rFonts w:hint="eastAsia" w:hAnsi="宋体"/>
          <w:b/>
          <w:color w:val="auto"/>
          <w:sz w:val="24"/>
          <w:szCs w:val="24"/>
          <w:highlight w:val="none"/>
        </w:rPr>
        <w:t>与修改</w:t>
      </w:r>
    </w:p>
    <w:p w14:paraId="3517F9A3">
      <w:pPr>
        <w:spacing w:line="360" w:lineRule="exact"/>
        <w:ind w:right="-506" w:rightChars="-241"/>
        <w:rPr>
          <w:rFonts w:hAnsi="宋体"/>
          <w:color w:val="auto"/>
          <w:sz w:val="24"/>
          <w:szCs w:val="24"/>
          <w:highlight w:val="none"/>
        </w:rPr>
      </w:pPr>
      <w:r>
        <w:rPr>
          <w:b/>
          <w:color w:val="auto"/>
          <w:sz w:val="24"/>
          <w:szCs w:val="24"/>
          <w:highlight w:val="none"/>
        </w:rPr>
        <w:t>5.1</w:t>
      </w:r>
      <w:r>
        <w:rPr>
          <w:rFonts w:hAnsi="宋体"/>
          <w:color w:val="auto"/>
          <w:sz w:val="24"/>
          <w:szCs w:val="24"/>
          <w:highlight w:val="none"/>
        </w:rPr>
        <w:t>在投标截止时间前，</w:t>
      </w:r>
      <w:r>
        <w:rPr>
          <w:rFonts w:hint="eastAsia" w:hAnsi="宋体"/>
          <w:color w:val="auto"/>
          <w:sz w:val="24"/>
          <w:szCs w:val="24"/>
          <w:highlight w:val="none"/>
        </w:rPr>
        <w:t>采购人和</w:t>
      </w:r>
      <w:r>
        <w:rPr>
          <w:rFonts w:hAnsi="宋体"/>
          <w:color w:val="auto"/>
          <w:sz w:val="24"/>
          <w:szCs w:val="24"/>
          <w:highlight w:val="none"/>
        </w:rPr>
        <w:t>采购代理公司可用</w:t>
      </w:r>
      <w:r>
        <w:rPr>
          <w:rFonts w:hint="eastAsia" w:hAnsi="宋体"/>
          <w:color w:val="auto"/>
          <w:sz w:val="24"/>
          <w:szCs w:val="24"/>
          <w:highlight w:val="none"/>
        </w:rPr>
        <w:t>招标文件更正公告</w:t>
      </w:r>
      <w:r>
        <w:rPr>
          <w:rFonts w:hAnsi="宋体"/>
          <w:color w:val="auto"/>
          <w:sz w:val="24"/>
          <w:szCs w:val="24"/>
          <w:highlight w:val="none"/>
        </w:rPr>
        <w:t>的方式对已发出的招标文件进行必要的</w:t>
      </w:r>
      <w:r>
        <w:rPr>
          <w:rFonts w:hint="eastAsia" w:hAnsi="宋体"/>
          <w:color w:val="auto"/>
          <w:sz w:val="24"/>
          <w:szCs w:val="24"/>
          <w:highlight w:val="none"/>
        </w:rPr>
        <w:t>澄清与</w:t>
      </w:r>
      <w:r>
        <w:rPr>
          <w:rFonts w:hAnsi="宋体"/>
          <w:color w:val="auto"/>
          <w:sz w:val="24"/>
          <w:szCs w:val="24"/>
          <w:highlight w:val="none"/>
        </w:rPr>
        <w:t>修改，采购代理公司应在投标截止时间</w:t>
      </w:r>
      <w:r>
        <w:rPr>
          <w:color w:val="auto"/>
          <w:sz w:val="24"/>
          <w:szCs w:val="24"/>
          <w:highlight w:val="none"/>
        </w:rPr>
        <w:t>15</w:t>
      </w:r>
      <w:r>
        <w:rPr>
          <w:rFonts w:hAnsi="宋体"/>
          <w:color w:val="auto"/>
          <w:sz w:val="24"/>
          <w:szCs w:val="24"/>
          <w:highlight w:val="none"/>
        </w:rPr>
        <w:t>日前在规定的政府采购信息发布媒体上发布</w:t>
      </w:r>
      <w:r>
        <w:rPr>
          <w:color w:val="auto"/>
          <w:sz w:val="24"/>
          <w:szCs w:val="24"/>
          <w:highlight w:val="none"/>
        </w:rPr>
        <w:t xml:space="preserve"> “</w:t>
      </w:r>
      <w:r>
        <w:rPr>
          <w:rFonts w:hint="eastAsia" w:hAnsi="宋体"/>
          <w:color w:val="auto"/>
          <w:sz w:val="24"/>
          <w:szCs w:val="24"/>
          <w:highlight w:val="none"/>
        </w:rPr>
        <w:t>更正公告</w:t>
      </w:r>
      <w:r>
        <w:rPr>
          <w:color w:val="auto"/>
          <w:sz w:val="24"/>
          <w:szCs w:val="24"/>
          <w:highlight w:val="none"/>
        </w:rPr>
        <w:t>”</w:t>
      </w:r>
      <w:r>
        <w:rPr>
          <w:rFonts w:hAnsi="宋体"/>
          <w:color w:val="auto"/>
          <w:sz w:val="24"/>
          <w:szCs w:val="24"/>
          <w:highlight w:val="none"/>
        </w:rPr>
        <w:t>。</w:t>
      </w:r>
      <w:r>
        <w:rPr>
          <w:rFonts w:hint="eastAsia" w:hAnsi="宋体"/>
          <w:color w:val="auto"/>
          <w:sz w:val="24"/>
          <w:szCs w:val="24"/>
          <w:highlight w:val="none"/>
        </w:rPr>
        <w:t>如发布“更正公告”的时间距投标截止时间不足15日的，则对投标截止时间作相应的延期。</w:t>
      </w:r>
    </w:p>
    <w:p w14:paraId="0F4049D6">
      <w:pPr>
        <w:spacing w:line="360" w:lineRule="exact"/>
        <w:ind w:right="-506" w:rightChars="-241"/>
        <w:rPr>
          <w:b/>
          <w:color w:val="auto"/>
          <w:sz w:val="24"/>
          <w:szCs w:val="24"/>
          <w:highlight w:val="none"/>
        </w:rPr>
      </w:pPr>
      <w:r>
        <w:rPr>
          <w:rFonts w:hint="eastAsia" w:hAnsi="宋体"/>
          <w:b/>
          <w:color w:val="auto"/>
          <w:sz w:val="24"/>
          <w:szCs w:val="24"/>
          <w:highlight w:val="none"/>
        </w:rPr>
        <w:t>5.2</w:t>
      </w:r>
      <w:r>
        <w:rPr>
          <w:rFonts w:hAnsi="宋体"/>
          <w:color w:val="auto"/>
          <w:sz w:val="24"/>
          <w:szCs w:val="24"/>
          <w:highlight w:val="none"/>
        </w:rPr>
        <w:t>这些</w:t>
      </w:r>
      <w:r>
        <w:rPr>
          <w:rFonts w:hint="eastAsia" w:hAnsi="宋体"/>
          <w:color w:val="auto"/>
          <w:sz w:val="24"/>
          <w:szCs w:val="24"/>
          <w:highlight w:val="none"/>
        </w:rPr>
        <w:t>招标文件更正公告</w:t>
      </w:r>
      <w:r>
        <w:rPr>
          <w:rFonts w:hAnsi="宋体"/>
          <w:color w:val="auto"/>
          <w:sz w:val="24"/>
          <w:szCs w:val="24"/>
          <w:highlight w:val="none"/>
        </w:rPr>
        <w:t>是招标文件的组成部分，对</w:t>
      </w:r>
      <w:r>
        <w:rPr>
          <w:rFonts w:hint="eastAsia" w:hAnsi="宋体"/>
          <w:color w:val="auto"/>
          <w:sz w:val="24"/>
          <w:szCs w:val="24"/>
          <w:highlight w:val="none"/>
        </w:rPr>
        <w:t>采购人和</w:t>
      </w:r>
      <w:r>
        <w:rPr>
          <w:rFonts w:hAnsi="宋体"/>
          <w:color w:val="auto"/>
          <w:sz w:val="24"/>
          <w:szCs w:val="24"/>
          <w:highlight w:val="none"/>
        </w:rPr>
        <w:t>投标人有</w:t>
      </w:r>
      <w:r>
        <w:rPr>
          <w:rFonts w:hint="eastAsia" w:hAnsi="宋体"/>
          <w:color w:val="auto"/>
          <w:sz w:val="24"/>
          <w:szCs w:val="24"/>
          <w:highlight w:val="none"/>
        </w:rPr>
        <w:t>同样的</w:t>
      </w:r>
      <w:r>
        <w:rPr>
          <w:rFonts w:hAnsi="宋体"/>
          <w:color w:val="auto"/>
          <w:sz w:val="24"/>
          <w:szCs w:val="24"/>
          <w:highlight w:val="none"/>
        </w:rPr>
        <w:t>约束力。</w:t>
      </w:r>
    </w:p>
    <w:p w14:paraId="4BC02040">
      <w:pPr>
        <w:spacing w:line="360" w:lineRule="exact"/>
        <w:ind w:right="-506" w:rightChars="-241"/>
        <w:rPr>
          <w:color w:val="auto"/>
          <w:sz w:val="24"/>
          <w:szCs w:val="24"/>
          <w:highlight w:val="none"/>
        </w:rPr>
      </w:pPr>
    </w:p>
    <w:p w14:paraId="4FC5D0F7">
      <w:pPr>
        <w:spacing w:line="360" w:lineRule="exact"/>
        <w:ind w:right="-506" w:rightChars="-241"/>
        <w:rPr>
          <w:rFonts w:hAnsi="宋体"/>
          <w:color w:val="auto"/>
          <w:sz w:val="24"/>
          <w:szCs w:val="24"/>
          <w:highlight w:val="none"/>
        </w:rPr>
      </w:pPr>
      <w:r>
        <w:rPr>
          <w:rFonts w:hint="eastAsia"/>
          <w:b/>
          <w:color w:val="auto"/>
          <w:sz w:val="24"/>
          <w:szCs w:val="24"/>
          <w:highlight w:val="none"/>
        </w:rPr>
        <w:t xml:space="preserve">6. </w:t>
      </w:r>
      <w:r>
        <w:rPr>
          <w:rFonts w:hAnsi="宋体"/>
          <w:color w:val="auto"/>
          <w:sz w:val="24"/>
          <w:szCs w:val="24"/>
          <w:highlight w:val="none"/>
        </w:rPr>
        <w:t>投标人应详细阅读招标文件的全部内容和要求，不按招标文件的要求提供投标文件和资料导致的风险由投标人承担。</w:t>
      </w:r>
    </w:p>
    <w:p w14:paraId="038507B8">
      <w:pPr>
        <w:spacing w:line="360" w:lineRule="exact"/>
        <w:ind w:right="-506" w:rightChars="-241"/>
        <w:rPr>
          <w:color w:val="auto"/>
          <w:sz w:val="24"/>
          <w:szCs w:val="24"/>
          <w:highlight w:val="none"/>
        </w:rPr>
      </w:pPr>
    </w:p>
    <w:p w14:paraId="02B6AC7C">
      <w:pPr>
        <w:spacing w:line="360" w:lineRule="exact"/>
        <w:ind w:right="-506" w:rightChars="-241"/>
        <w:jc w:val="center"/>
        <w:rPr>
          <w:color w:val="auto"/>
          <w:sz w:val="24"/>
          <w:szCs w:val="24"/>
          <w:highlight w:val="none"/>
        </w:rPr>
      </w:pPr>
      <w:r>
        <w:rPr>
          <w:b/>
          <w:color w:val="auto"/>
          <w:sz w:val="24"/>
          <w:szCs w:val="24"/>
          <w:highlight w:val="none"/>
        </w:rPr>
        <w:t xml:space="preserve">C  </w:t>
      </w:r>
      <w:r>
        <w:rPr>
          <w:rFonts w:hAnsi="宋体"/>
          <w:b/>
          <w:color w:val="auto"/>
          <w:sz w:val="24"/>
          <w:szCs w:val="24"/>
          <w:highlight w:val="none"/>
        </w:rPr>
        <w:t>投标文件</w:t>
      </w:r>
    </w:p>
    <w:p w14:paraId="5A14C32D">
      <w:pPr>
        <w:spacing w:line="360" w:lineRule="exact"/>
        <w:ind w:right="-506" w:rightChars="-241"/>
        <w:rPr>
          <w:b/>
          <w:color w:val="auto"/>
          <w:sz w:val="24"/>
          <w:szCs w:val="24"/>
          <w:highlight w:val="none"/>
        </w:rPr>
      </w:pPr>
      <w:r>
        <w:rPr>
          <w:rFonts w:hint="eastAsia"/>
          <w:b/>
          <w:color w:val="auto"/>
          <w:sz w:val="24"/>
          <w:szCs w:val="24"/>
          <w:highlight w:val="none"/>
        </w:rPr>
        <w:t xml:space="preserve">7. </w:t>
      </w:r>
      <w:r>
        <w:rPr>
          <w:b/>
          <w:color w:val="auto"/>
          <w:sz w:val="24"/>
          <w:szCs w:val="24"/>
          <w:highlight w:val="none"/>
          <w:u w:val="single"/>
        </w:rPr>
        <w:t>投标文件的组成</w:t>
      </w:r>
      <w:r>
        <w:rPr>
          <w:b/>
          <w:color w:val="auto"/>
          <w:sz w:val="24"/>
          <w:szCs w:val="24"/>
          <w:highlight w:val="none"/>
        </w:rPr>
        <w:t>：</w:t>
      </w:r>
    </w:p>
    <w:p w14:paraId="2C28CEA6">
      <w:pPr>
        <w:spacing w:line="360" w:lineRule="exact"/>
        <w:ind w:right="-506" w:rightChars="-241" w:firstLine="480" w:firstLineChars="200"/>
        <w:rPr>
          <w:rFonts w:ascii="Calibri" w:hAnsi="宋体" w:cs="宋体"/>
          <w:color w:val="auto"/>
          <w:sz w:val="24"/>
          <w:szCs w:val="24"/>
          <w:highlight w:val="none"/>
        </w:rPr>
      </w:pPr>
      <w:r>
        <w:rPr>
          <w:rFonts w:hint="eastAsia" w:ascii="Calibri" w:hAnsi="宋体" w:cs="宋体"/>
          <w:color w:val="auto"/>
          <w:sz w:val="24"/>
          <w:szCs w:val="24"/>
          <w:highlight w:val="none"/>
        </w:rPr>
        <w:t>投标文件组成：资格文件、技术商务文件、报价文件，格式详见《第六部分附件（投标文件格式）》。</w:t>
      </w:r>
    </w:p>
    <w:p w14:paraId="5D820D93">
      <w:pPr>
        <w:spacing w:line="400" w:lineRule="exact"/>
        <w:ind w:left="399" w:leftChars="190"/>
        <w:rPr>
          <w:rFonts w:ascii="Calibri" w:hAnsi="宋体" w:cs="宋体"/>
          <w:b/>
          <w:bCs/>
          <w:color w:val="auto"/>
          <w:sz w:val="24"/>
          <w:szCs w:val="24"/>
          <w:highlight w:val="none"/>
        </w:rPr>
      </w:pPr>
      <w:r>
        <w:rPr>
          <w:rFonts w:hint="eastAsia" w:ascii="Calibri" w:hAnsi="宋体" w:cs="宋体"/>
          <w:b/>
          <w:bCs/>
          <w:color w:val="auto"/>
          <w:sz w:val="24"/>
          <w:szCs w:val="24"/>
          <w:highlight w:val="none"/>
        </w:rPr>
        <w:t>（一）资格文件：</w:t>
      </w:r>
    </w:p>
    <w:p w14:paraId="0899B7BE">
      <w:pPr>
        <w:spacing w:line="400" w:lineRule="exact"/>
        <w:ind w:firstLine="480" w:firstLineChars="200"/>
        <w:rPr>
          <w:rFonts w:ascii="Calibri" w:hAnsi="宋体" w:cs="宋体"/>
          <w:color w:val="auto"/>
          <w:sz w:val="24"/>
          <w:szCs w:val="24"/>
          <w:highlight w:val="none"/>
        </w:rPr>
      </w:pPr>
      <w:r>
        <w:rPr>
          <w:rFonts w:hint="eastAsia" w:ascii="Calibri" w:hAnsi="宋体" w:cs="宋体"/>
          <w:color w:val="auto"/>
          <w:sz w:val="24"/>
          <w:szCs w:val="24"/>
          <w:highlight w:val="none"/>
        </w:rPr>
        <w:t>1、营业执照</w:t>
      </w:r>
    </w:p>
    <w:p w14:paraId="1E3D03F6">
      <w:pPr>
        <w:spacing w:line="400" w:lineRule="exact"/>
        <w:ind w:firstLine="480" w:firstLineChars="200"/>
        <w:rPr>
          <w:rFonts w:ascii="Calibri" w:hAnsi="宋体" w:cs="宋体"/>
          <w:color w:val="auto"/>
          <w:sz w:val="24"/>
          <w:szCs w:val="24"/>
          <w:highlight w:val="none"/>
        </w:rPr>
      </w:pPr>
      <w:r>
        <w:rPr>
          <w:rFonts w:hint="eastAsia" w:ascii="Calibri" w:hAnsi="宋体" w:cs="宋体"/>
          <w:color w:val="auto"/>
          <w:sz w:val="24"/>
          <w:szCs w:val="24"/>
          <w:highlight w:val="none"/>
        </w:rPr>
        <w:t>2、合格供应商的资格承诺书</w:t>
      </w:r>
    </w:p>
    <w:p w14:paraId="01E134C2">
      <w:pPr>
        <w:spacing w:line="400" w:lineRule="exact"/>
        <w:ind w:firstLine="480" w:firstLineChars="200"/>
        <w:rPr>
          <w:rFonts w:ascii="Calibri" w:hAnsi="宋体" w:cs="宋体"/>
          <w:color w:val="auto"/>
          <w:sz w:val="24"/>
          <w:szCs w:val="24"/>
          <w:highlight w:val="none"/>
        </w:rPr>
      </w:pPr>
      <w:r>
        <w:rPr>
          <w:rFonts w:hint="eastAsia" w:ascii="Calibri" w:hAnsi="宋体" w:cs="宋体"/>
          <w:color w:val="auto"/>
          <w:sz w:val="24"/>
          <w:szCs w:val="24"/>
          <w:highlight w:val="none"/>
          <w:lang w:val="en-US" w:eastAsia="zh-CN"/>
        </w:rPr>
        <w:t>3</w:t>
      </w:r>
      <w:r>
        <w:rPr>
          <w:rFonts w:hint="eastAsia" w:ascii="Calibri" w:hAnsi="宋体" w:cs="宋体"/>
          <w:color w:val="auto"/>
          <w:sz w:val="24"/>
          <w:szCs w:val="24"/>
          <w:highlight w:val="none"/>
        </w:rPr>
        <w:t>、本项目的特定资格要求（如适用）</w:t>
      </w:r>
    </w:p>
    <w:p w14:paraId="3EA582DB">
      <w:pPr>
        <w:spacing w:line="360" w:lineRule="exact"/>
        <w:ind w:right="-506" w:rightChars="-241"/>
        <w:rPr>
          <w:rFonts w:hAnsi="宋体"/>
          <w:color w:val="auto"/>
          <w:sz w:val="24"/>
          <w:szCs w:val="24"/>
          <w:highlight w:val="none"/>
        </w:rPr>
      </w:pPr>
    </w:p>
    <w:p w14:paraId="0E7369BE">
      <w:pPr>
        <w:spacing w:line="400" w:lineRule="exact"/>
        <w:ind w:left="399" w:leftChars="190"/>
        <w:rPr>
          <w:rFonts w:ascii="Calibri" w:hAnsi="宋体" w:cs="宋体"/>
          <w:b/>
          <w:bCs/>
          <w:color w:val="auto"/>
          <w:sz w:val="24"/>
          <w:szCs w:val="24"/>
          <w:highlight w:val="none"/>
        </w:rPr>
      </w:pPr>
      <w:r>
        <w:rPr>
          <w:rFonts w:hint="eastAsia" w:ascii="Calibri" w:hAnsi="宋体" w:cs="宋体"/>
          <w:b/>
          <w:bCs/>
          <w:color w:val="auto"/>
          <w:sz w:val="24"/>
          <w:szCs w:val="24"/>
          <w:highlight w:val="none"/>
        </w:rPr>
        <w:t>（二）技术商务文件：</w:t>
      </w:r>
    </w:p>
    <w:p w14:paraId="188AE285">
      <w:pPr>
        <w:spacing w:line="400" w:lineRule="exact"/>
        <w:ind w:firstLine="480" w:firstLineChars="200"/>
        <w:rPr>
          <w:rFonts w:ascii="Calibri" w:hAnsi="宋体" w:cs="宋体"/>
          <w:color w:val="auto"/>
          <w:sz w:val="24"/>
          <w:szCs w:val="24"/>
          <w:highlight w:val="none"/>
        </w:rPr>
      </w:pPr>
      <w:r>
        <w:rPr>
          <w:rFonts w:hint="eastAsia" w:ascii="Calibri" w:hAnsi="宋体" w:cs="宋体"/>
          <w:color w:val="auto"/>
          <w:sz w:val="24"/>
          <w:szCs w:val="24"/>
          <w:highlight w:val="none"/>
        </w:rPr>
        <w:t>1、投标函</w:t>
      </w:r>
    </w:p>
    <w:p w14:paraId="4BBBD6BD">
      <w:pPr>
        <w:spacing w:line="400" w:lineRule="exact"/>
        <w:ind w:firstLine="480" w:firstLineChars="200"/>
        <w:rPr>
          <w:rFonts w:ascii="Calibri" w:hAnsi="宋体" w:cs="宋体"/>
          <w:color w:val="auto"/>
          <w:sz w:val="24"/>
          <w:szCs w:val="24"/>
          <w:highlight w:val="none"/>
        </w:rPr>
      </w:pPr>
      <w:r>
        <w:rPr>
          <w:rFonts w:hint="eastAsia" w:ascii="Calibri" w:hAnsi="宋体" w:cs="宋体"/>
          <w:color w:val="auto"/>
          <w:sz w:val="24"/>
          <w:szCs w:val="24"/>
          <w:highlight w:val="none"/>
        </w:rPr>
        <w:t>2、技术条款响应表</w:t>
      </w:r>
    </w:p>
    <w:p w14:paraId="514574F1">
      <w:pPr>
        <w:spacing w:line="400" w:lineRule="exact"/>
        <w:ind w:firstLine="480" w:firstLineChars="200"/>
        <w:rPr>
          <w:rFonts w:ascii="Calibri" w:hAnsi="宋体" w:cs="宋体"/>
          <w:color w:val="auto"/>
          <w:sz w:val="24"/>
          <w:szCs w:val="24"/>
          <w:highlight w:val="none"/>
        </w:rPr>
      </w:pPr>
      <w:r>
        <w:rPr>
          <w:rFonts w:hint="eastAsia" w:ascii="Calibri" w:hAnsi="宋体" w:cs="宋体"/>
          <w:color w:val="auto"/>
          <w:sz w:val="24"/>
          <w:szCs w:val="24"/>
          <w:highlight w:val="none"/>
        </w:rPr>
        <w:t>3、商务条款响应表</w:t>
      </w:r>
    </w:p>
    <w:p w14:paraId="2B7EA153">
      <w:pPr>
        <w:spacing w:line="400" w:lineRule="exact"/>
        <w:ind w:firstLine="480" w:firstLineChars="200"/>
        <w:rPr>
          <w:rFonts w:ascii="Calibri" w:hAnsi="宋体" w:cs="宋体"/>
          <w:color w:val="auto"/>
          <w:sz w:val="24"/>
          <w:szCs w:val="24"/>
          <w:highlight w:val="none"/>
        </w:rPr>
      </w:pPr>
      <w:r>
        <w:rPr>
          <w:rFonts w:hint="eastAsia" w:ascii="Calibri" w:hAnsi="宋体" w:cs="宋体"/>
          <w:color w:val="auto"/>
          <w:sz w:val="24"/>
          <w:szCs w:val="24"/>
          <w:highlight w:val="none"/>
        </w:rPr>
        <w:t>4、法定代表人授权书或法定代表人身份证明</w:t>
      </w:r>
    </w:p>
    <w:p w14:paraId="08E622A3">
      <w:pPr>
        <w:spacing w:line="400" w:lineRule="exact"/>
        <w:ind w:firstLine="480" w:firstLineChars="200"/>
        <w:rPr>
          <w:rFonts w:ascii="Calibri" w:hAnsi="宋体" w:cs="宋体"/>
          <w:color w:val="auto"/>
          <w:sz w:val="24"/>
          <w:szCs w:val="24"/>
          <w:highlight w:val="none"/>
        </w:rPr>
      </w:pPr>
      <w:r>
        <w:rPr>
          <w:rFonts w:hint="eastAsia" w:ascii="Calibri" w:hAnsi="宋体" w:cs="宋体"/>
          <w:color w:val="auto"/>
          <w:sz w:val="24"/>
          <w:szCs w:val="24"/>
          <w:highlight w:val="none"/>
        </w:rPr>
        <w:t>5、服务方案</w:t>
      </w:r>
    </w:p>
    <w:p w14:paraId="5C78C2DD">
      <w:pPr>
        <w:spacing w:line="400" w:lineRule="exact"/>
        <w:ind w:firstLine="480" w:firstLineChars="200"/>
        <w:rPr>
          <w:rFonts w:ascii="Calibri" w:hAnsi="宋体" w:cs="宋体"/>
          <w:color w:val="auto"/>
          <w:sz w:val="24"/>
          <w:szCs w:val="24"/>
          <w:highlight w:val="none"/>
        </w:rPr>
      </w:pPr>
      <w:r>
        <w:rPr>
          <w:rFonts w:hint="eastAsia" w:ascii="Calibri" w:hAnsi="宋体" w:cs="宋体"/>
          <w:color w:val="auto"/>
          <w:sz w:val="24"/>
          <w:szCs w:val="24"/>
          <w:highlight w:val="none"/>
        </w:rPr>
        <w:t>6、同类项目业绩表</w:t>
      </w:r>
    </w:p>
    <w:p w14:paraId="111AFB70">
      <w:pPr>
        <w:spacing w:line="400" w:lineRule="exact"/>
        <w:ind w:firstLine="480" w:firstLineChars="200"/>
        <w:rPr>
          <w:rFonts w:ascii="Calibri" w:hAnsi="宋体" w:cs="宋体"/>
          <w:color w:val="auto"/>
          <w:sz w:val="24"/>
          <w:szCs w:val="24"/>
          <w:highlight w:val="none"/>
          <w:lang w:val="zh-CN"/>
        </w:rPr>
      </w:pPr>
      <w:r>
        <w:rPr>
          <w:rFonts w:hint="eastAsia" w:ascii="Calibri" w:hAnsi="宋体" w:cs="宋体"/>
          <w:color w:val="auto"/>
          <w:sz w:val="24"/>
          <w:szCs w:val="24"/>
          <w:highlight w:val="none"/>
        </w:rPr>
        <w:t>7、</w:t>
      </w:r>
      <w:r>
        <w:rPr>
          <w:rFonts w:hint="eastAsia" w:ascii="Calibri" w:hAnsi="宋体" w:cs="宋体"/>
          <w:color w:val="auto"/>
          <w:sz w:val="24"/>
          <w:szCs w:val="24"/>
          <w:highlight w:val="none"/>
          <w:lang w:val="zh-CN"/>
        </w:rPr>
        <w:t>政府采购供应商廉洁自律承诺书</w:t>
      </w:r>
    </w:p>
    <w:p w14:paraId="266758BB">
      <w:pPr>
        <w:spacing w:line="400" w:lineRule="exact"/>
        <w:ind w:firstLine="480" w:firstLineChars="200"/>
        <w:rPr>
          <w:rFonts w:ascii="Calibri" w:hAnsi="宋体" w:cs="宋体"/>
          <w:color w:val="auto"/>
          <w:sz w:val="24"/>
          <w:szCs w:val="24"/>
          <w:highlight w:val="none"/>
        </w:rPr>
      </w:pPr>
      <w:r>
        <w:rPr>
          <w:rFonts w:hint="eastAsia" w:ascii="Calibri" w:hAnsi="宋体" w:cs="宋体"/>
          <w:color w:val="auto"/>
          <w:sz w:val="24"/>
          <w:szCs w:val="24"/>
          <w:highlight w:val="none"/>
        </w:rPr>
        <w:t>8、</w:t>
      </w:r>
      <w:r>
        <w:rPr>
          <w:rFonts w:hint="eastAsia" w:hAnsi="宋体"/>
          <w:color w:val="auto"/>
          <w:sz w:val="24"/>
          <w:szCs w:val="24"/>
          <w:highlight w:val="none"/>
        </w:rPr>
        <w:t>招标文件要求或投标人认为需要提供的其他资料</w:t>
      </w:r>
    </w:p>
    <w:p w14:paraId="26CD05F2">
      <w:pPr>
        <w:pStyle w:val="2"/>
        <w:rPr>
          <w:color w:val="auto"/>
          <w:highlight w:val="none"/>
        </w:rPr>
      </w:pPr>
    </w:p>
    <w:p w14:paraId="7CFD7379">
      <w:pPr>
        <w:spacing w:line="400" w:lineRule="exact"/>
        <w:ind w:left="399" w:leftChars="190"/>
        <w:rPr>
          <w:rFonts w:ascii="Calibri" w:hAnsi="宋体" w:cs="宋体"/>
          <w:b/>
          <w:bCs/>
          <w:color w:val="auto"/>
          <w:sz w:val="24"/>
          <w:szCs w:val="24"/>
          <w:highlight w:val="none"/>
        </w:rPr>
      </w:pPr>
      <w:r>
        <w:rPr>
          <w:rFonts w:hint="eastAsia" w:ascii="Calibri" w:hAnsi="宋体" w:cs="宋体"/>
          <w:b/>
          <w:bCs/>
          <w:color w:val="auto"/>
          <w:sz w:val="24"/>
          <w:szCs w:val="24"/>
          <w:highlight w:val="none"/>
        </w:rPr>
        <w:t>（三）报价文件</w:t>
      </w:r>
    </w:p>
    <w:p w14:paraId="5FD714FD">
      <w:pPr>
        <w:spacing w:line="400" w:lineRule="exact"/>
        <w:ind w:firstLine="480" w:firstLineChars="200"/>
        <w:rPr>
          <w:rFonts w:ascii="Calibri" w:hAnsi="宋体" w:cs="宋体"/>
          <w:color w:val="auto"/>
          <w:sz w:val="24"/>
          <w:szCs w:val="24"/>
          <w:highlight w:val="none"/>
        </w:rPr>
      </w:pPr>
      <w:r>
        <w:rPr>
          <w:rFonts w:hint="eastAsia" w:ascii="Calibri" w:hAnsi="宋体" w:cs="宋体"/>
          <w:color w:val="auto"/>
          <w:sz w:val="24"/>
          <w:szCs w:val="24"/>
          <w:highlight w:val="none"/>
        </w:rPr>
        <w:t>1、开标一览表</w:t>
      </w:r>
    </w:p>
    <w:p w14:paraId="4D8C93C8">
      <w:pPr>
        <w:spacing w:line="400" w:lineRule="exact"/>
        <w:ind w:firstLine="480" w:firstLineChars="200"/>
        <w:rPr>
          <w:rFonts w:hint="eastAsia" w:ascii="Calibri" w:hAnsi="宋体" w:cs="宋体"/>
          <w:color w:val="auto"/>
          <w:sz w:val="24"/>
          <w:szCs w:val="24"/>
          <w:highlight w:val="none"/>
        </w:rPr>
      </w:pPr>
      <w:r>
        <w:rPr>
          <w:rFonts w:hint="eastAsia" w:ascii="Calibri" w:hAnsi="宋体" w:cs="宋体"/>
          <w:color w:val="auto"/>
          <w:sz w:val="24"/>
          <w:szCs w:val="24"/>
          <w:highlight w:val="none"/>
        </w:rPr>
        <w:t>2、分项报价表</w:t>
      </w:r>
    </w:p>
    <w:p w14:paraId="02257608">
      <w:pPr>
        <w:spacing w:line="400" w:lineRule="exact"/>
        <w:ind w:firstLine="480" w:firstLineChars="200"/>
        <w:rPr>
          <w:rFonts w:ascii="Calibri" w:hAnsi="宋体" w:cs="宋体"/>
          <w:color w:val="auto"/>
          <w:sz w:val="24"/>
          <w:szCs w:val="24"/>
          <w:highlight w:val="none"/>
        </w:rPr>
      </w:pPr>
      <w:r>
        <w:rPr>
          <w:rFonts w:hint="eastAsia" w:ascii="Calibri" w:hAnsi="宋体" w:cs="宋体"/>
          <w:color w:val="auto"/>
          <w:sz w:val="24"/>
          <w:szCs w:val="24"/>
          <w:highlight w:val="none"/>
        </w:rPr>
        <w:t>3、中小企业声明函（或残疾人福利性单位声明函，或监狱企业的证明文件）</w:t>
      </w:r>
    </w:p>
    <w:p w14:paraId="7ED7B825">
      <w:pPr>
        <w:spacing w:line="400" w:lineRule="exact"/>
        <w:ind w:firstLine="480" w:firstLineChars="200"/>
        <w:rPr>
          <w:rFonts w:hint="eastAsia" w:ascii="Calibri" w:hAnsi="宋体" w:cs="宋体"/>
          <w:color w:val="auto"/>
          <w:sz w:val="24"/>
          <w:szCs w:val="24"/>
          <w:highlight w:val="none"/>
        </w:rPr>
      </w:pPr>
      <w:r>
        <w:rPr>
          <w:rFonts w:hint="eastAsia" w:ascii="Calibri" w:hAnsi="宋体" w:cs="宋体"/>
          <w:color w:val="auto"/>
          <w:sz w:val="24"/>
          <w:szCs w:val="24"/>
          <w:highlight w:val="none"/>
        </w:rPr>
        <w:t>4</w:t>
      </w:r>
      <w:r>
        <w:rPr>
          <w:rFonts w:hint="eastAsia" w:ascii="Calibri" w:hAnsi="宋体" w:cs="宋体"/>
          <w:color w:val="auto"/>
          <w:sz w:val="24"/>
          <w:szCs w:val="24"/>
          <w:highlight w:val="none"/>
          <w:lang w:eastAsia="zh-CN"/>
        </w:rPr>
        <w:t>、</w:t>
      </w:r>
      <w:r>
        <w:rPr>
          <w:rFonts w:hint="eastAsia" w:ascii="Calibri" w:hAnsi="宋体" w:cs="宋体"/>
          <w:color w:val="auto"/>
          <w:sz w:val="24"/>
          <w:szCs w:val="24"/>
          <w:highlight w:val="none"/>
        </w:rPr>
        <w:t>政府采购供应商基础信息登记表</w:t>
      </w:r>
    </w:p>
    <w:p w14:paraId="5AB65BB2">
      <w:pPr>
        <w:spacing w:line="360" w:lineRule="exact"/>
        <w:ind w:right="-506" w:rightChars="-241"/>
        <w:rPr>
          <w:b/>
          <w:color w:val="auto"/>
          <w:sz w:val="24"/>
          <w:szCs w:val="24"/>
          <w:highlight w:val="none"/>
        </w:rPr>
      </w:pPr>
    </w:p>
    <w:p w14:paraId="61CF2DD4">
      <w:pPr>
        <w:spacing w:line="360" w:lineRule="exact"/>
        <w:ind w:right="-506" w:rightChars="-241"/>
        <w:rPr>
          <w:b/>
          <w:color w:val="auto"/>
          <w:sz w:val="24"/>
          <w:szCs w:val="24"/>
          <w:highlight w:val="none"/>
        </w:rPr>
      </w:pPr>
      <w:r>
        <w:rPr>
          <w:b/>
          <w:color w:val="auto"/>
          <w:sz w:val="24"/>
          <w:szCs w:val="24"/>
          <w:highlight w:val="none"/>
        </w:rPr>
        <w:t xml:space="preserve">8.  </w:t>
      </w:r>
      <w:r>
        <w:rPr>
          <w:rFonts w:hAnsi="宋体"/>
          <w:b/>
          <w:color w:val="auto"/>
          <w:sz w:val="24"/>
          <w:szCs w:val="24"/>
          <w:highlight w:val="none"/>
        </w:rPr>
        <w:t>投标报价</w:t>
      </w:r>
    </w:p>
    <w:p w14:paraId="2755556A">
      <w:pPr>
        <w:spacing w:line="360" w:lineRule="exact"/>
        <w:ind w:right="-506" w:rightChars="-241"/>
        <w:rPr>
          <w:color w:val="auto"/>
          <w:sz w:val="24"/>
          <w:szCs w:val="24"/>
          <w:highlight w:val="none"/>
        </w:rPr>
      </w:pPr>
      <w:r>
        <w:rPr>
          <w:b/>
          <w:color w:val="auto"/>
          <w:sz w:val="24"/>
          <w:szCs w:val="24"/>
          <w:highlight w:val="none"/>
        </w:rPr>
        <w:t>8.1</w:t>
      </w:r>
      <w:r>
        <w:rPr>
          <w:rFonts w:hAnsi="宋体"/>
          <w:color w:val="auto"/>
          <w:sz w:val="24"/>
          <w:szCs w:val="24"/>
          <w:highlight w:val="none"/>
        </w:rPr>
        <w:t>所有投标报价必须以人民币报价，</w:t>
      </w:r>
      <w:r>
        <w:rPr>
          <w:rFonts w:hint="eastAsia" w:hAnsi="宋体"/>
          <w:color w:val="auto"/>
          <w:sz w:val="24"/>
          <w:szCs w:val="24"/>
          <w:highlight w:val="none"/>
        </w:rPr>
        <w:t>具体要求详见《前附表》中规定</w:t>
      </w:r>
      <w:r>
        <w:rPr>
          <w:rFonts w:hAnsi="宋体"/>
          <w:color w:val="auto"/>
          <w:sz w:val="24"/>
          <w:szCs w:val="24"/>
          <w:highlight w:val="none"/>
        </w:rPr>
        <w:t>。</w:t>
      </w:r>
    </w:p>
    <w:p w14:paraId="6DF8C409">
      <w:pPr>
        <w:spacing w:line="360" w:lineRule="exact"/>
        <w:ind w:right="-506" w:rightChars="-241"/>
        <w:rPr>
          <w:color w:val="auto"/>
          <w:sz w:val="24"/>
          <w:szCs w:val="24"/>
          <w:highlight w:val="none"/>
        </w:rPr>
      </w:pPr>
      <w:r>
        <w:rPr>
          <w:b/>
          <w:color w:val="auto"/>
          <w:sz w:val="24"/>
          <w:szCs w:val="24"/>
          <w:highlight w:val="none"/>
        </w:rPr>
        <w:t xml:space="preserve">8.2  </w:t>
      </w:r>
      <w:r>
        <w:rPr>
          <w:rFonts w:hAnsi="宋体"/>
          <w:color w:val="auto"/>
          <w:sz w:val="24"/>
          <w:szCs w:val="24"/>
          <w:highlight w:val="none"/>
        </w:rPr>
        <w:t>投标人要按</w:t>
      </w:r>
      <w:r>
        <w:rPr>
          <w:rFonts w:hint="eastAsia" w:hAnsi="宋体"/>
          <w:color w:val="auto"/>
          <w:sz w:val="24"/>
          <w:szCs w:val="24"/>
          <w:highlight w:val="none"/>
        </w:rPr>
        <w:t>“</w:t>
      </w:r>
      <w:r>
        <w:rPr>
          <w:rFonts w:hAnsi="宋体"/>
          <w:color w:val="auto"/>
          <w:sz w:val="24"/>
          <w:szCs w:val="24"/>
          <w:highlight w:val="none"/>
        </w:rPr>
        <w:t>分项报价表</w:t>
      </w:r>
      <w:r>
        <w:rPr>
          <w:rFonts w:hint="eastAsia" w:hAnsi="宋体"/>
          <w:color w:val="auto"/>
          <w:sz w:val="24"/>
          <w:szCs w:val="24"/>
          <w:highlight w:val="none"/>
        </w:rPr>
        <w:t>”</w:t>
      </w:r>
      <w:r>
        <w:rPr>
          <w:rFonts w:hAnsi="宋体"/>
          <w:color w:val="auto"/>
          <w:sz w:val="24"/>
          <w:szCs w:val="24"/>
          <w:highlight w:val="none"/>
        </w:rPr>
        <w:t>的格式和内容完整填写单价、总价及其他事项，并由法定代表人或授权代表签署。</w:t>
      </w:r>
    </w:p>
    <w:p w14:paraId="276AA6D9">
      <w:pPr>
        <w:spacing w:line="360" w:lineRule="exact"/>
        <w:ind w:right="-506" w:rightChars="-241"/>
        <w:rPr>
          <w:color w:val="auto"/>
          <w:sz w:val="24"/>
          <w:szCs w:val="24"/>
          <w:highlight w:val="none"/>
        </w:rPr>
      </w:pPr>
      <w:r>
        <w:rPr>
          <w:b/>
          <w:color w:val="auto"/>
          <w:sz w:val="24"/>
          <w:szCs w:val="24"/>
          <w:highlight w:val="none"/>
        </w:rPr>
        <w:t>8.</w:t>
      </w:r>
      <w:r>
        <w:rPr>
          <w:rFonts w:hint="eastAsia"/>
          <w:b/>
          <w:color w:val="auto"/>
          <w:sz w:val="24"/>
          <w:szCs w:val="24"/>
          <w:highlight w:val="none"/>
        </w:rPr>
        <w:t>3</w:t>
      </w:r>
      <w:r>
        <w:rPr>
          <w:b/>
          <w:color w:val="auto"/>
          <w:sz w:val="24"/>
          <w:szCs w:val="24"/>
          <w:highlight w:val="none"/>
        </w:rPr>
        <w:t xml:space="preserve"> </w:t>
      </w:r>
      <w:r>
        <w:rPr>
          <w:color w:val="auto"/>
          <w:sz w:val="24"/>
          <w:szCs w:val="24"/>
          <w:highlight w:val="none"/>
        </w:rPr>
        <w:t xml:space="preserve"> </w:t>
      </w:r>
      <w:r>
        <w:rPr>
          <w:rFonts w:hint="eastAsia" w:hAnsi="宋体"/>
          <w:color w:val="auto"/>
          <w:sz w:val="24"/>
          <w:szCs w:val="24"/>
          <w:highlight w:val="none"/>
        </w:rPr>
        <w:t>每个子包</w:t>
      </w:r>
      <w:r>
        <w:rPr>
          <w:rFonts w:hAnsi="宋体"/>
          <w:color w:val="auto"/>
          <w:sz w:val="24"/>
          <w:szCs w:val="24"/>
          <w:highlight w:val="none"/>
        </w:rPr>
        <w:t>应该只有一个投标报价</w:t>
      </w:r>
      <w:r>
        <w:rPr>
          <w:rFonts w:hint="eastAsia"/>
          <w:color w:val="auto"/>
          <w:sz w:val="24"/>
          <w:szCs w:val="24"/>
          <w:highlight w:val="none"/>
        </w:rPr>
        <w:t>，</w:t>
      </w:r>
      <w:r>
        <w:rPr>
          <w:rFonts w:hAnsi="宋体"/>
          <w:color w:val="auto"/>
          <w:sz w:val="24"/>
          <w:szCs w:val="24"/>
          <w:highlight w:val="none"/>
        </w:rPr>
        <w:t>而且一经开标，投标</w:t>
      </w:r>
      <w:r>
        <w:rPr>
          <w:rFonts w:hint="eastAsia" w:hAnsi="宋体"/>
          <w:color w:val="auto"/>
          <w:sz w:val="24"/>
          <w:szCs w:val="24"/>
          <w:highlight w:val="none"/>
        </w:rPr>
        <w:t>报</w:t>
      </w:r>
      <w:r>
        <w:rPr>
          <w:rFonts w:hAnsi="宋体"/>
          <w:color w:val="auto"/>
          <w:sz w:val="24"/>
          <w:szCs w:val="24"/>
          <w:highlight w:val="none"/>
        </w:rPr>
        <w:t>价不得变更。如果</w:t>
      </w:r>
      <w:r>
        <w:rPr>
          <w:rFonts w:hint="eastAsia" w:hAnsi="宋体"/>
          <w:color w:val="auto"/>
          <w:sz w:val="24"/>
          <w:szCs w:val="24"/>
          <w:highlight w:val="none"/>
        </w:rPr>
        <w:t>一个子包</w:t>
      </w:r>
      <w:r>
        <w:rPr>
          <w:rFonts w:hAnsi="宋体"/>
          <w:color w:val="auto"/>
          <w:sz w:val="24"/>
          <w:szCs w:val="24"/>
          <w:highlight w:val="none"/>
        </w:rPr>
        <w:t>出现有两个及以上的报价又未声明以哪一报价方案为主</w:t>
      </w:r>
      <w:r>
        <w:rPr>
          <w:rFonts w:hint="eastAsia"/>
          <w:color w:val="auto"/>
          <w:sz w:val="24"/>
          <w:szCs w:val="24"/>
          <w:highlight w:val="none"/>
        </w:rPr>
        <w:t>，</w:t>
      </w:r>
      <w:r>
        <w:rPr>
          <w:rFonts w:hAnsi="宋体"/>
          <w:color w:val="auto"/>
          <w:sz w:val="24"/>
          <w:szCs w:val="24"/>
          <w:highlight w:val="none"/>
        </w:rPr>
        <w:t>则</w:t>
      </w:r>
      <w:r>
        <w:rPr>
          <w:rFonts w:hint="eastAsia" w:hAnsi="宋体"/>
          <w:color w:val="auto"/>
          <w:sz w:val="24"/>
          <w:szCs w:val="24"/>
          <w:highlight w:val="none"/>
        </w:rPr>
        <w:t>投标无效</w:t>
      </w:r>
      <w:r>
        <w:rPr>
          <w:rFonts w:hAnsi="宋体"/>
          <w:color w:val="auto"/>
          <w:sz w:val="24"/>
          <w:szCs w:val="24"/>
          <w:highlight w:val="none"/>
        </w:rPr>
        <w:t>。</w:t>
      </w:r>
    </w:p>
    <w:p w14:paraId="74789B70">
      <w:pPr>
        <w:spacing w:line="360" w:lineRule="exact"/>
        <w:ind w:right="-506" w:rightChars="-241"/>
        <w:rPr>
          <w:rFonts w:hAnsi="宋体"/>
          <w:color w:val="auto"/>
          <w:sz w:val="24"/>
          <w:szCs w:val="24"/>
          <w:highlight w:val="none"/>
        </w:rPr>
      </w:pPr>
      <w:r>
        <w:rPr>
          <w:b/>
          <w:color w:val="auto"/>
          <w:sz w:val="24"/>
          <w:szCs w:val="24"/>
          <w:highlight w:val="none"/>
        </w:rPr>
        <w:t>8.</w:t>
      </w:r>
      <w:r>
        <w:rPr>
          <w:rFonts w:hint="eastAsia"/>
          <w:b/>
          <w:color w:val="auto"/>
          <w:sz w:val="24"/>
          <w:szCs w:val="24"/>
          <w:highlight w:val="none"/>
        </w:rPr>
        <w:t>4</w:t>
      </w:r>
      <w:r>
        <w:rPr>
          <w:b/>
          <w:color w:val="auto"/>
          <w:sz w:val="24"/>
          <w:szCs w:val="24"/>
          <w:highlight w:val="none"/>
        </w:rPr>
        <w:t xml:space="preserve">  </w:t>
      </w:r>
      <w:r>
        <w:rPr>
          <w:rFonts w:hAnsi="宋体"/>
          <w:color w:val="auto"/>
          <w:sz w:val="24"/>
          <w:szCs w:val="24"/>
          <w:highlight w:val="none"/>
        </w:rPr>
        <w:t>投标报价在合同执行过程中是固定不变的，投标人不得以任何理由予以变更。任何包含价格调整要求的投标，将被认为是非实质性响应的投标而</w:t>
      </w:r>
      <w:r>
        <w:rPr>
          <w:rFonts w:hint="eastAsia" w:hAnsi="宋体"/>
          <w:color w:val="auto"/>
          <w:sz w:val="24"/>
          <w:szCs w:val="24"/>
          <w:highlight w:val="none"/>
        </w:rPr>
        <w:t>导致投标无效</w:t>
      </w:r>
      <w:r>
        <w:rPr>
          <w:rFonts w:hAnsi="宋体"/>
          <w:color w:val="auto"/>
          <w:sz w:val="24"/>
          <w:szCs w:val="24"/>
          <w:highlight w:val="none"/>
        </w:rPr>
        <w:t>。</w:t>
      </w:r>
    </w:p>
    <w:p w14:paraId="664EE6A3">
      <w:pPr>
        <w:spacing w:line="360" w:lineRule="exact"/>
        <w:ind w:right="-506" w:rightChars="-241"/>
        <w:rPr>
          <w:color w:val="auto"/>
          <w:sz w:val="24"/>
          <w:szCs w:val="24"/>
          <w:highlight w:val="none"/>
        </w:rPr>
      </w:pPr>
    </w:p>
    <w:p w14:paraId="4380766B">
      <w:pPr>
        <w:spacing w:line="360" w:lineRule="exact"/>
        <w:ind w:right="-506" w:rightChars="-241"/>
        <w:rPr>
          <w:color w:val="auto"/>
          <w:sz w:val="24"/>
          <w:szCs w:val="24"/>
          <w:highlight w:val="none"/>
        </w:rPr>
      </w:pPr>
      <w:r>
        <w:rPr>
          <w:b/>
          <w:color w:val="auto"/>
          <w:sz w:val="24"/>
          <w:szCs w:val="24"/>
          <w:highlight w:val="none"/>
        </w:rPr>
        <w:t xml:space="preserve">9. </w:t>
      </w:r>
      <w:r>
        <w:rPr>
          <w:color w:val="auto"/>
          <w:sz w:val="24"/>
          <w:szCs w:val="24"/>
          <w:highlight w:val="none"/>
        </w:rPr>
        <w:t xml:space="preserve"> </w:t>
      </w:r>
      <w:r>
        <w:rPr>
          <w:rFonts w:hAnsi="宋体"/>
          <w:b/>
          <w:color w:val="auto"/>
          <w:sz w:val="24"/>
          <w:szCs w:val="24"/>
          <w:highlight w:val="none"/>
        </w:rPr>
        <w:t>投标文件格式和编写</w:t>
      </w:r>
    </w:p>
    <w:p w14:paraId="2B78DB01">
      <w:pPr>
        <w:spacing w:line="360" w:lineRule="exact"/>
        <w:ind w:right="-506" w:rightChars="-241"/>
        <w:rPr>
          <w:color w:val="auto"/>
          <w:sz w:val="24"/>
          <w:szCs w:val="24"/>
          <w:highlight w:val="none"/>
        </w:rPr>
      </w:pPr>
      <w:r>
        <w:rPr>
          <w:b/>
          <w:color w:val="auto"/>
          <w:sz w:val="24"/>
          <w:szCs w:val="24"/>
          <w:highlight w:val="none"/>
        </w:rPr>
        <w:t>9.1</w:t>
      </w:r>
      <w:r>
        <w:rPr>
          <w:color w:val="auto"/>
          <w:sz w:val="24"/>
          <w:szCs w:val="24"/>
          <w:highlight w:val="none"/>
        </w:rPr>
        <w:t xml:space="preserve">  </w:t>
      </w:r>
      <w:r>
        <w:rPr>
          <w:rFonts w:hAnsi="宋体"/>
          <w:color w:val="auto"/>
          <w:sz w:val="24"/>
          <w:szCs w:val="24"/>
          <w:highlight w:val="none"/>
        </w:rPr>
        <w:t>投标</w:t>
      </w:r>
      <w:r>
        <w:rPr>
          <w:rFonts w:hint="eastAsia" w:hAnsi="宋体"/>
          <w:color w:val="auto"/>
          <w:sz w:val="24"/>
          <w:szCs w:val="24"/>
          <w:highlight w:val="none"/>
        </w:rPr>
        <w:t>文件</w:t>
      </w:r>
      <w:r>
        <w:rPr>
          <w:rFonts w:hAnsi="宋体"/>
          <w:color w:val="auto"/>
          <w:sz w:val="24"/>
          <w:szCs w:val="24"/>
          <w:highlight w:val="none"/>
        </w:rPr>
        <w:t>按</w:t>
      </w:r>
      <w:r>
        <w:rPr>
          <w:rFonts w:hint="eastAsia" w:hAnsi="宋体"/>
          <w:color w:val="auto"/>
          <w:sz w:val="24"/>
          <w:szCs w:val="24"/>
          <w:highlight w:val="none"/>
        </w:rPr>
        <w:t>招标文件第六部分附件（投标文件格式）的规定</w:t>
      </w:r>
      <w:r>
        <w:rPr>
          <w:rFonts w:hAnsi="宋体"/>
          <w:color w:val="auto"/>
          <w:sz w:val="24"/>
          <w:szCs w:val="24"/>
          <w:highlight w:val="none"/>
        </w:rPr>
        <w:t>统一填写</w:t>
      </w:r>
      <w:r>
        <w:rPr>
          <w:rFonts w:hint="eastAsia" w:hAnsi="宋体"/>
          <w:color w:val="auto"/>
          <w:sz w:val="24"/>
          <w:szCs w:val="24"/>
          <w:highlight w:val="none"/>
        </w:rPr>
        <w:t>编制</w:t>
      </w:r>
      <w:r>
        <w:rPr>
          <w:rFonts w:hAnsi="宋体"/>
          <w:color w:val="auto"/>
          <w:sz w:val="24"/>
          <w:szCs w:val="24"/>
          <w:highlight w:val="none"/>
        </w:rPr>
        <w:t>。</w:t>
      </w:r>
    </w:p>
    <w:p w14:paraId="66A183B9">
      <w:pPr>
        <w:spacing w:line="360" w:lineRule="exact"/>
        <w:ind w:right="-506" w:rightChars="-241"/>
        <w:rPr>
          <w:b/>
          <w:color w:val="auto"/>
          <w:sz w:val="24"/>
          <w:szCs w:val="24"/>
          <w:highlight w:val="none"/>
        </w:rPr>
      </w:pPr>
      <w:r>
        <w:rPr>
          <w:b/>
          <w:color w:val="auto"/>
          <w:sz w:val="24"/>
          <w:szCs w:val="24"/>
          <w:highlight w:val="none"/>
        </w:rPr>
        <w:t xml:space="preserve">9.2  </w:t>
      </w:r>
      <w:r>
        <w:rPr>
          <w:rFonts w:hAnsi="宋体"/>
          <w:color w:val="auto"/>
          <w:sz w:val="24"/>
          <w:szCs w:val="24"/>
          <w:highlight w:val="none"/>
        </w:rPr>
        <w:t>投标语言：中文，当不同文字文本投标文件的解释发生异议的，以中文文本为准。</w:t>
      </w:r>
    </w:p>
    <w:p w14:paraId="46CDF3EE">
      <w:pPr>
        <w:spacing w:line="360" w:lineRule="exact"/>
        <w:ind w:right="-506" w:rightChars="-241"/>
        <w:rPr>
          <w:color w:val="auto"/>
          <w:sz w:val="24"/>
          <w:szCs w:val="24"/>
          <w:highlight w:val="none"/>
        </w:rPr>
      </w:pPr>
      <w:r>
        <w:rPr>
          <w:b/>
          <w:color w:val="auto"/>
          <w:sz w:val="24"/>
          <w:szCs w:val="24"/>
          <w:highlight w:val="none"/>
        </w:rPr>
        <w:t xml:space="preserve">9.3 </w:t>
      </w:r>
      <w:r>
        <w:rPr>
          <w:color w:val="auto"/>
          <w:sz w:val="24"/>
          <w:szCs w:val="24"/>
          <w:highlight w:val="none"/>
        </w:rPr>
        <w:t xml:space="preserve"> </w:t>
      </w:r>
      <w:r>
        <w:rPr>
          <w:rFonts w:hAnsi="宋体"/>
          <w:color w:val="auto"/>
          <w:sz w:val="24"/>
          <w:szCs w:val="24"/>
          <w:highlight w:val="none"/>
        </w:rPr>
        <w:t>开标一览表系在开标仪式上唱标的内容，应按格式完整填写，不得自行增减内容。</w:t>
      </w:r>
    </w:p>
    <w:p w14:paraId="44C75C35">
      <w:pPr>
        <w:spacing w:line="360" w:lineRule="exact"/>
        <w:ind w:right="-506" w:rightChars="-241"/>
        <w:rPr>
          <w:color w:val="auto"/>
          <w:sz w:val="24"/>
          <w:szCs w:val="24"/>
          <w:highlight w:val="none"/>
        </w:rPr>
      </w:pPr>
      <w:r>
        <w:rPr>
          <w:b/>
          <w:color w:val="auto"/>
          <w:sz w:val="24"/>
          <w:szCs w:val="24"/>
          <w:highlight w:val="none"/>
        </w:rPr>
        <w:t>9.</w:t>
      </w:r>
      <w:r>
        <w:rPr>
          <w:rFonts w:hint="eastAsia"/>
          <w:b/>
          <w:color w:val="auto"/>
          <w:sz w:val="24"/>
          <w:szCs w:val="24"/>
          <w:highlight w:val="none"/>
        </w:rPr>
        <w:t>4</w:t>
      </w:r>
      <w:r>
        <w:rPr>
          <w:b/>
          <w:color w:val="auto"/>
          <w:sz w:val="24"/>
          <w:szCs w:val="24"/>
          <w:highlight w:val="none"/>
        </w:rPr>
        <w:t xml:space="preserve">  </w:t>
      </w:r>
      <w:r>
        <w:rPr>
          <w:rFonts w:hAnsi="宋体"/>
          <w:color w:val="auto"/>
          <w:sz w:val="24"/>
          <w:szCs w:val="24"/>
          <w:highlight w:val="none"/>
        </w:rPr>
        <w:t>投标人应注意，在</w:t>
      </w:r>
      <w:r>
        <w:rPr>
          <w:rFonts w:hint="eastAsia" w:hAnsi="宋体"/>
          <w:color w:val="auto"/>
          <w:sz w:val="24"/>
          <w:szCs w:val="24"/>
          <w:highlight w:val="none"/>
        </w:rPr>
        <w:t>招标文件项目要求的</w:t>
      </w:r>
      <w:r>
        <w:rPr>
          <w:rFonts w:hAnsi="宋体"/>
          <w:color w:val="auto"/>
          <w:sz w:val="24"/>
          <w:szCs w:val="24"/>
          <w:highlight w:val="none"/>
        </w:rPr>
        <w:t>技术规格中指出的工艺材料和设备的标准以及参照的</w:t>
      </w:r>
      <w:r>
        <w:rPr>
          <w:rFonts w:hint="eastAsia" w:hAnsi="宋体"/>
          <w:color w:val="auto"/>
          <w:sz w:val="24"/>
          <w:szCs w:val="24"/>
          <w:highlight w:val="none"/>
        </w:rPr>
        <w:t>品牌</w:t>
      </w:r>
      <w:r>
        <w:rPr>
          <w:rFonts w:hAnsi="宋体"/>
          <w:color w:val="auto"/>
          <w:sz w:val="24"/>
          <w:szCs w:val="24"/>
          <w:highlight w:val="none"/>
        </w:rPr>
        <w:t>或分类号仅起说明作用，并没有任何限制性，投标人在投标中可以选用替代标准</w:t>
      </w:r>
      <w:r>
        <w:rPr>
          <w:rFonts w:hint="eastAsia" w:hAnsi="宋体"/>
          <w:color w:val="auto"/>
          <w:sz w:val="24"/>
          <w:szCs w:val="24"/>
          <w:highlight w:val="none"/>
        </w:rPr>
        <w:t>品牌</w:t>
      </w:r>
      <w:r>
        <w:rPr>
          <w:rFonts w:hAnsi="宋体"/>
          <w:color w:val="auto"/>
          <w:sz w:val="24"/>
          <w:szCs w:val="24"/>
          <w:highlight w:val="none"/>
        </w:rPr>
        <w:t>或分类号，但这些替代要实质上优于或相当于招标技术</w:t>
      </w:r>
      <w:r>
        <w:rPr>
          <w:rFonts w:hint="eastAsia" w:hAnsi="宋体"/>
          <w:color w:val="auto"/>
          <w:sz w:val="24"/>
          <w:szCs w:val="24"/>
          <w:highlight w:val="none"/>
        </w:rPr>
        <w:t>参数</w:t>
      </w:r>
      <w:r>
        <w:rPr>
          <w:rFonts w:hAnsi="宋体"/>
          <w:color w:val="auto"/>
          <w:sz w:val="24"/>
          <w:szCs w:val="24"/>
          <w:highlight w:val="none"/>
        </w:rPr>
        <w:t>的要求。</w:t>
      </w:r>
    </w:p>
    <w:p w14:paraId="5BFAAF01">
      <w:pPr>
        <w:spacing w:line="360" w:lineRule="exact"/>
        <w:ind w:right="-506" w:rightChars="-241"/>
        <w:rPr>
          <w:color w:val="auto"/>
          <w:sz w:val="24"/>
          <w:szCs w:val="24"/>
          <w:highlight w:val="none"/>
        </w:rPr>
      </w:pPr>
    </w:p>
    <w:p w14:paraId="618D52DE">
      <w:pPr>
        <w:spacing w:line="360" w:lineRule="exact"/>
        <w:ind w:right="-506" w:rightChars="-241"/>
        <w:rPr>
          <w:rFonts w:hAnsi="宋体"/>
          <w:b/>
          <w:color w:val="auto"/>
          <w:sz w:val="24"/>
          <w:szCs w:val="24"/>
          <w:highlight w:val="none"/>
        </w:rPr>
      </w:pPr>
      <w:r>
        <w:rPr>
          <w:rFonts w:hAnsi="宋体"/>
          <w:b/>
          <w:color w:val="auto"/>
          <w:sz w:val="24"/>
          <w:szCs w:val="24"/>
          <w:highlight w:val="none"/>
        </w:rPr>
        <w:t>10.  计量单位</w:t>
      </w:r>
    </w:p>
    <w:p w14:paraId="307CE288">
      <w:pPr>
        <w:spacing w:line="360" w:lineRule="exact"/>
        <w:ind w:right="-506" w:rightChars="-241"/>
        <w:rPr>
          <w:color w:val="auto"/>
          <w:sz w:val="24"/>
          <w:szCs w:val="24"/>
          <w:highlight w:val="none"/>
        </w:rPr>
      </w:pPr>
      <w:r>
        <w:rPr>
          <w:rFonts w:hint="eastAsia"/>
          <w:b/>
          <w:color w:val="auto"/>
          <w:sz w:val="24"/>
          <w:szCs w:val="24"/>
          <w:highlight w:val="none"/>
        </w:rPr>
        <w:t>10.1</w:t>
      </w:r>
      <w:r>
        <w:rPr>
          <w:b/>
          <w:color w:val="auto"/>
          <w:sz w:val="24"/>
          <w:szCs w:val="24"/>
          <w:highlight w:val="none"/>
        </w:rPr>
        <w:t xml:space="preserve">  </w:t>
      </w:r>
      <w:r>
        <w:rPr>
          <w:rFonts w:hAnsi="宋体"/>
          <w:color w:val="auto"/>
          <w:sz w:val="24"/>
          <w:szCs w:val="24"/>
          <w:highlight w:val="none"/>
        </w:rPr>
        <w:t>投标文件中所使用的计量单位，除招标文件有特殊要求外，应采用国家法定计量单位。</w:t>
      </w:r>
    </w:p>
    <w:p w14:paraId="4D7A6965">
      <w:pPr>
        <w:spacing w:line="360" w:lineRule="exact"/>
        <w:ind w:right="-506" w:rightChars="-241"/>
        <w:rPr>
          <w:color w:val="auto"/>
          <w:sz w:val="24"/>
          <w:szCs w:val="24"/>
          <w:highlight w:val="none"/>
        </w:rPr>
      </w:pPr>
    </w:p>
    <w:p w14:paraId="36919BE2">
      <w:pPr>
        <w:spacing w:line="360" w:lineRule="exact"/>
        <w:ind w:right="-506" w:rightChars="-241"/>
        <w:rPr>
          <w:color w:val="auto"/>
          <w:sz w:val="24"/>
          <w:szCs w:val="24"/>
          <w:highlight w:val="none"/>
        </w:rPr>
      </w:pPr>
      <w:r>
        <w:rPr>
          <w:b/>
          <w:color w:val="auto"/>
          <w:sz w:val="24"/>
          <w:szCs w:val="24"/>
          <w:highlight w:val="none"/>
        </w:rPr>
        <w:t>11.</w:t>
      </w:r>
      <w:r>
        <w:rPr>
          <w:color w:val="auto"/>
          <w:sz w:val="24"/>
          <w:szCs w:val="24"/>
          <w:highlight w:val="none"/>
        </w:rPr>
        <w:t xml:space="preserve">  </w:t>
      </w:r>
      <w:r>
        <w:rPr>
          <w:rFonts w:hAnsi="宋体"/>
          <w:b/>
          <w:color w:val="auto"/>
          <w:sz w:val="24"/>
          <w:szCs w:val="24"/>
          <w:highlight w:val="none"/>
        </w:rPr>
        <w:t>投标文件的有效期</w:t>
      </w:r>
    </w:p>
    <w:p w14:paraId="6E2CAD3D">
      <w:pPr>
        <w:spacing w:line="360" w:lineRule="exact"/>
        <w:ind w:right="-506" w:rightChars="-241"/>
        <w:rPr>
          <w:color w:val="auto"/>
          <w:sz w:val="24"/>
          <w:szCs w:val="24"/>
          <w:highlight w:val="none"/>
        </w:rPr>
      </w:pPr>
      <w:r>
        <w:rPr>
          <w:b/>
          <w:color w:val="auto"/>
          <w:sz w:val="24"/>
          <w:szCs w:val="24"/>
          <w:highlight w:val="none"/>
        </w:rPr>
        <w:t xml:space="preserve">11.1 </w:t>
      </w:r>
      <w:r>
        <w:rPr>
          <w:color w:val="auto"/>
          <w:sz w:val="24"/>
          <w:szCs w:val="24"/>
          <w:highlight w:val="none"/>
        </w:rPr>
        <w:t xml:space="preserve"> </w:t>
      </w:r>
      <w:r>
        <w:rPr>
          <w:rFonts w:hAnsi="宋体"/>
          <w:color w:val="auto"/>
          <w:sz w:val="24"/>
          <w:szCs w:val="24"/>
          <w:highlight w:val="none"/>
        </w:rPr>
        <w:t>投标文件的有效期在本招标文件</w:t>
      </w:r>
      <w:r>
        <w:rPr>
          <w:rFonts w:hint="eastAsia" w:hAnsi="宋体"/>
          <w:color w:val="auto"/>
          <w:sz w:val="24"/>
          <w:szCs w:val="24"/>
          <w:highlight w:val="none"/>
        </w:rPr>
        <w:t>“前附表”</w:t>
      </w:r>
      <w:r>
        <w:rPr>
          <w:rFonts w:hAnsi="宋体"/>
          <w:color w:val="auto"/>
          <w:sz w:val="24"/>
          <w:szCs w:val="24"/>
          <w:highlight w:val="none"/>
        </w:rPr>
        <w:t>中作出规定，有效期自开标日起计算，不能小于招标文件的要求。</w:t>
      </w:r>
    </w:p>
    <w:p w14:paraId="008A7F29">
      <w:pPr>
        <w:spacing w:line="360" w:lineRule="exact"/>
        <w:ind w:right="-506" w:rightChars="-241"/>
        <w:rPr>
          <w:rFonts w:hAnsi="宋体"/>
          <w:color w:val="auto"/>
          <w:sz w:val="24"/>
          <w:szCs w:val="24"/>
          <w:highlight w:val="none"/>
        </w:rPr>
      </w:pPr>
      <w:r>
        <w:rPr>
          <w:b/>
          <w:color w:val="auto"/>
          <w:sz w:val="24"/>
          <w:szCs w:val="24"/>
          <w:highlight w:val="none"/>
        </w:rPr>
        <w:t>11.2</w:t>
      </w:r>
      <w:r>
        <w:rPr>
          <w:rFonts w:hint="eastAsia"/>
          <w:b/>
          <w:color w:val="auto"/>
          <w:sz w:val="24"/>
          <w:szCs w:val="24"/>
          <w:highlight w:val="none"/>
        </w:rPr>
        <w:t xml:space="preserve">  </w:t>
      </w:r>
      <w:r>
        <w:rPr>
          <w:rFonts w:hAnsi="宋体"/>
          <w:color w:val="auto"/>
          <w:sz w:val="24"/>
          <w:szCs w:val="24"/>
          <w:highlight w:val="none"/>
        </w:rPr>
        <w:t>在特殊情况下，在原投标有效期截止之前，应采购人的要求，采购代理公司可要求投标人延长投标文件的有效期，这种要求的提出和投标人的答复都应以书面的形式进行。</w:t>
      </w:r>
      <w:r>
        <w:rPr>
          <w:rFonts w:hint="eastAsia" w:hAnsi="宋体"/>
          <w:color w:val="auto"/>
          <w:sz w:val="24"/>
          <w:szCs w:val="24"/>
          <w:highlight w:val="none"/>
        </w:rPr>
        <w:t>投标人可以拒绝延期要求；同意延长有效期的，也不会允许或要求修改或撤回其投标文件。</w:t>
      </w:r>
    </w:p>
    <w:p w14:paraId="19469117">
      <w:pPr>
        <w:spacing w:line="360" w:lineRule="exact"/>
        <w:ind w:right="-506" w:rightChars="-241"/>
        <w:rPr>
          <w:color w:val="auto"/>
          <w:sz w:val="24"/>
          <w:szCs w:val="24"/>
          <w:highlight w:val="none"/>
        </w:rPr>
      </w:pPr>
    </w:p>
    <w:p w14:paraId="1B211E89">
      <w:pPr>
        <w:spacing w:line="360" w:lineRule="exact"/>
        <w:ind w:right="-506" w:rightChars="-241"/>
        <w:rPr>
          <w:color w:val="auto"/>
          <w:sz w:val="24"/>
          <w:szCs w:val="24"/>
          <w:highlight w:val="none"/>
        </w:rPr>
      </w:pPr>
      <w:r>
        <w:rPr>
          <w:b/>
          <w:color w:val="auto"/>
          <w:sz w:val="24"/>
          <w:szCs w:val="24"/>
          <w:highlight w:val="none"/>
        </w:rPr>
        <w:t xml:space="preserve">12. </w:t>
      </w:r>
      <w:r>
        <w:rPr>
          <w:color w:val="auto"/>
          <w:sz w:val="24"/>
          <w:szCs w:val="24"/>
          <w:highlight w:val="none"/>
        </w:rPr>
        <w:t xml:space="preserve"> </w:t>
      </w:r>
      <w:r>
        <w:rPr>
          <w:rFonts w:hAnsi="宋体"/>
          <w:b/>
          <w:color w:val="auto"/>
          <w:sz w:val="24"/>
          <w:szCs w:val="24"/>
          <w:highlight w:val="none"/>
        </w:rPr>
        <w:t>投标保证金</w:t>
      </w:r>
    </w:p>
    <w:p w14:paraId="06E944DC">
      <w:pPr>
        <w:spacing w:line="360" w:lineRule="exact"/>
        <w:ind w:right="-506" w:rightChars="-241"/>
        <w:rPr>
          <w:color w:val="auto"/>
          <w:sz w:val="24"/>
          <w:szCs w:val="24"/>
          <w:highlight w:val="none"/>
        </w:rPr>
      </w:pPr>
      <w:r>
        <w:rPr>
          <w:b/>
          <w:color w:val="auto"/>
          <w:sz w:val="24"/>
          <w:szCs w:val="24"/>
          <w:highlight w:val="none"/>
        </w:rPr>
        <w:t xml:space="preserve">12.1 </w:t>
      </w:r>
      <w:r>
        <w:rPr>
          <w:color w:val="auto"/>
          <w:sz w:val="24"/>
          <w:szCs w:val="24"/>
          <w:highlight w:val="none"/>
        </w:rPr>
        <w:t xml:space="preserve"> </w:t>
      </w:r>
      <w:r>
        <w:rPr>
          <w:rFonts w:hint="eastAsia"/>
          <w:color w:val="auto"/>
          <w:sz w:val="24"/>
          <w:szCs w:val="24"/>
          <w:highlight w:val="none"/>
        </w:rPr>
        <w:t>本项目不收取投标保证金。</w:t>
      </w:r>
    </w:p>
    <w:p w14:paraId="7A9308C4">
      <w:pPr>
        <w:spacing w:line="360" w:lineRule="exact"/>
        <w:ind w:right="-506" w:rightChars="-241"/>
        <w:rPr>
          <w:color w:val="auto"/>
          <w:sz w:val="24"/>
          <w:szCs w:val="24"/>
          <w:highlight w:val="none"/>
        </w:rPr>
      </w:pPr>
    </w:p>
    <w:p w14:paraId="404B8835">
      <w:pPr>
        <w:spacing w:line="360" w:lineRule="exact"/>
        <w:ind w:right="-506" w:rightChars="-241"/>
        <w:jc w:val="center"/>
        <w:rPr>
          <w:b/>
          <w:color w:val="auto"/>
          <w:sz w:val="24"/>
          <w:szCs w:val="24"/>
          <w:highlight w:val="none"/>
        </w:rPr>
      </w:pPr>
      <w:r>
        <w:rPr>
          <w:b/>
          <w:color w:val="auto"/>
          <w:sz w:val="24"/>
          <w:szCs w:val="24"/>
          <w:highlight w:val="none"/>
        </w:rPr>
        <w:t xml:space="preserve">D  </w:t>
      </w:r>
      <w:r>
        <w:rPr>
          <w:rFonts w:hAnsi="宋体"/>
          <w:b/>
          <w:color w:val="auto"/>
          <w:sz w:val="24"/>
          <w:szCs w:val="24"/>
          <w:highlight w:val="none"/>
        </w:rPr>
        <w:t>投标文件的递交</w:t>
      </w:r>
    </w:p>
    <w:p w14:paraId="7AC4E820">
      <w:pPr>
        <w:spacing w:line="360" w:lineRule="exact"/>
        <w:ind w:right="-506" w:rightChars="-241"/>
        <w:jc w:val="center"/>
        <w:rPr>
          <w:b/>
          <w:color w:val="auto"/>
          <w:sz w:val="24"/>
          <w:szCs w:val="24"/>
          <w:highlight w:val="none"/>
        </w:rPr>
      </w:pPr>
    </w:p>
    <w:p w14:paraId="16230984">
      <w:pPr>
        <w:spacing w:line="360" w:lineRule="exact"/>
        <w:ind w:right="-506" w:rightChars="-241"/>
        <w:rPr>
          <w:rFonts w:hAnsi="宋体"/>
          <w:b/>
          <w:color w:val="auto"/>
          <w:sz w:val="24"/>
          <w:highlight w:val="none"/>
        </w:rPr>
      </w:pPr>
      <w:r>
        <w:rPr>
          <w:b/>
          <w:color w:val="auto"/>
          <w:sz w:val="24"/>
          <w:highlight w:val="none"/>
        </w:rPr>
        <w:t>13.</w:t>
      </w:r>
      <w:r>
        <w:rPr>
          <w:color w:val="auto"/>
          <w:sz w:val="24"/>
          <w:highlight w:val="none"/>
        </w:rPr>
        <w:t xml:space="preserve">  </w:t>
      </w:r>
      <w:r>
        <w:rPr>
          <w:rFonts w:hAnsi="宋体"/>
          <w:b/>
          <w:color w:val="auto"/>
          <w:sz w:val="24"/>
          <w:highlight w:val="none"/>
        </w:rPr>
        <w:t>投标文件的</w:t>
      </w:r>
      <w:r>
        <w:rPr>
          <w:rFonts w:hint="eastAsia" w:hAnsi="宋体"/>
          <w:b/>
          <w:color w:val="auto"/>
          <w:sz w:val="24"/>
          <w:highlight w:val="none"/>
        </w:rPr>
        <w:t>编制、</w:t>
      </w:r>
      <w:r>
        <w:rPr>
          <w:rFonts w:hAnsi="宋体"/>
          <w:b/>
          <w:color w:val="auto"/>
          <w:sz w:val="24"/>
          <w:highlight w:val="none"/>
        </w:rPr>
        <w:t>签署</w:t>
      </w:r>
      <w:r>
        <w:rPr>
          <w:rFonts w:hint="eastAsia" w:hAnsi="宋体"/>
          <w:b/>
          <w:color w:val="auto"/>
          <w:sz w:val="24"/>
          <w:highlight w:val="none"/>
        </w:rPr>
        <w:t>与要求</w:t>
      </w:r>
    </w:p>
    <w:p w14:paraId="56042C5E">
      <w:pPr>
        <w:spacing w:line="360" w:lineRule="exact"/>
        <w:ind w:right="-506" w:rightChars="-241"/>
        <w:rPr>
          <w:color w:val="auto"/>
          <w:sz w:val="24"/>
          <w:highlight w:val="none"/>
        </w:rPr>
      </w:pPr>
      <w:r>
        <w:rPr>
          <w:rFonts w:hint="eastAsia" w:hAnsi="宋体"/>
          <w:b/>
          <w:color w:val="auto"/>
          <w:sz w:val="24"/>
          <w:highlight w:val="none"/>
        </w:rPr>
        <w:t>13.1  本项目实行网上投标，采用电子投标文件。</w:t>
      </w:r>
      <w:r>
        <w:rPr>
          <w:rFonts w:hint="eastAsia" w:hAnsi="宋体"/>
          <w:color w:val="auto"/>
          <w:sz w:val="24"/>
          <w:highlight w:val="none"/>
        </w:rPr>
        <w:t>投标文件的编制要求详见招标文件《招标公告》和《前附表》中规定。</w:t>
      </w:r>
    </w:p>
    <w:p w14:paraId="344E6569">
      <w:pPr>
        <w:spacing w:line="360" w:lineRule="exact"/>
        <w:ind w:right="-506" w:rightChars="-241"/>
        <w:rPr>
          <w:rFonts w:hAnsi="宋体"/>
          <w:color w:val="auto"/>
          <w:sz w:val="24"/>
          <w:highlight w:val="none"/>
        </w:rPr>
      </w:pPr>
      <w:r>
        <w:rPr>
          <w:b/>
          <w:color w:val="auto"/>
          <w:sz w:val="24"/>
          <w:highlight w:val="none"/>
        </w:rPr>
        <w:t>13.</w:t>
      </w:r>
      <w:r>
        <w:rPr>
          <w:rFonts w:hint="eastAsia"/>
          <w:b/>
          <w:color w:val="auto"/>
          <w:sz w:val="24"/>
          <w:highlight w:val="none"/>
        </w:rPr>
        <w:t>2</w:t>
      </w:r>
      <w:r>
        <w:rPr>
          <w:b/>
          <w:color w:val="auto"/>
          <w:sz w:val="24"/>
          <w:highlight w:val="none"/>
        </w:rPr>
        <w:t xml:space="preserve"> </w:t>
      </w:r>
      <w:r>
        <w:rPr>
          <w:color w:val="auto"/>
          <w:sz w:val="24"/>
          <w:highlight w:val="none"/>
        </w:rPr>
        <w:t xml:space="preserve"> </w:t>
      </w:r>
      <w:r>
        <w:rPr>
          <w:rFonts w:hint="eastAsia" w:hAnsi="宋体"/>
          <w:color w:val="auto"/>
          <w:sz w:val="24"/>
          <w:highlight w:val="none"/>
        </w:rPr>
        <w:t>对应招标文件《第六部分附件（投标文件格式）》提供的各种文件格式，投标文件应按要求填写、签署和加盖公章。招标文件中规定需要加盖公章，法定代表人签字、投标代表人签字的部分，投标文件应进行正确签署和盖章。除非招标文件有特别规定，否则盖章均指单位公章（C</w:t>
      </w:r>
      <w:r>
        <w:rPr>
          <w:rFonts w:hAnsi="宋体"/>
          <w:color w:val="auto"/>
          <w:sz w:val="24"/>
          <w:highlight w:val="none"/>
        </w:rPr>
        <w:t>A</w:t>
      </w:r>
      <w:r>
        <w:rPr>
          <w:rFonts w:hint="eastAsia" w:hAnsi="宋体"/>
          <w:color w:val="auto"/>
          <w:sz w:val="24"/>
          <w:highlight w:val="none"/>
        </w:rPr>
        <w:t>章），盖其他章的投标无效。投标文件按照“附件（投标文件格式）”的顺序编写。</w:t>
      </w:r>
    </w:p>
    <w:p w14:paraId="7C74D1EA">
      <w:pPr>
        <w:spacing w:line="360" w:lineRule="exact"/>
        <w:ind w:right="-506" w:rightChars="-241"/>
        <w:rPr>
          <w:b/>
          <w:color w:val="auto"/>
          <w:sz w:val="24"/>
          <w:highlight w:val="none"/>
        </w:rPr>
      </w:pPr>
      <w:r>
        <w:rPr>
          <w:rFonts w:hint="eastAsia"/>
          <w:b/>
          <w:color w:val="auto"/>
          <w:sz w:val="24"/>
          <w:highlight w:val="none"/>
        </w:rPr>
        <w:t>1</w:t>
      </w:r>
      <w:r>
        <w:rPr>
          <w:b/>
          <w:color w:val="auto"/>
          <w:sz w:val="24"/>
          <w:highlight w:val="none"/>
        </w:rPr>
        <w:t xml:space="preserve">3.3  </w:t>
      </w:r>
      <w:r>
        <w:rPr>
          <w:rFonts w:hint="eastAsia"/>
          <w:color w:val="auto"/>
          <w:sz w:val="24"/>
          <w:highlight w:val="none"/>
        </w:rPr>
        <w:t>投标人应根据“政采云供应商项目采购-电子招投标操作指南”及本采购文件规定的格式编制电子投标文件并进行关联定位。关联定位规则：一个关联点只能关联一页，不能关联多页；多个关联点可以关联同一页。</w:t>
      </w:r>
    </w:p>
    <w:p w14:paraId="707C866A">
      <w:pPr>
        <w:spacing w:line="360" w:lineRule="exact"/>
        <w:ind w:right="-506" w:rightChars="-241"/>
        <w:rPr>
          <w:rFonts w:hAnsi="宋体"/>
          <w:color w:val="auto"/>
          <w:sz w:val="24"/>
          <w:highlight w:val="none"/>
        </w:rPr>
      </w:pPr>
      <w:r>
        <w:rPr>
          <w:b/>
          <w:color w:val="auto"/>
          <w:sz w:val="24"/>
          <w:highlight w:val="none"/>
        </w:rPr>
        <w:t>13.4</w:t>
      </w:r>
      <w:r>
        <w:rPr>
          <w:color w:val="auto"/>
          <w:sz w:val="24"/>
          <w:highlight w:val="none"/>
        </w:rPr>
        <w:t xml:space="preserve">  </w:t>
      </w:r>
      <w:r>
        <w:rPr>
          <w:rFonts w:hint="eastAsia"/>
          <w:color w:val="auto"/>
          <w:sz w:val="24"/>
          <w:highlight w:val="none"/>
        </w:rPr>
        <w:t>不按招标文件要求编制投标文件</w:t>
      </w:r>
      <w:r>
        <w:rPr>
          <w:rFonts w:hint="eastAsia" w:hAnsi="宋体"/>
          <w:color w:val="auto"/>
          <w:sz w:val="24"/>
          <w:highlight w:val="none"/>
        </w:rPr>
        <w:t>所引起的后果由投标人自行承担。</w:t>
      </w:r>
    </w:p>
    <w:p w14:paraId="6132000A">
      <w:pPr>
        <w:spacing w:line="360" w:lineRule="exact"/>
        <w:ind w:right="-506" w:rightChars="-241"/>
        <w:rPr>
          <w:color w:val="auto"/>
          <w:sz w:val="24"/>
          <w:highlight w:val="none"/>
        </w:rPr>
      </w:pPr>
    </w:p>
    <w:p w14:paraId="1CA7C60F">
      <w:pPr>
        <w:spacing w:line="360" w:lineRule="exact"/>
        <w:ind w:right="-506" w:rightChars="-241"/>
        <w:rPr>
          <w:color w:val="auto"/>
          <w:sz w:val="24"/>
          <w:highlight w:val="none"/>
        </w:rPr>
      </w:pPr>
      <w:r>
        <w:rPr>
          <w:b/>
          <w:color w:val="auto"/>
          <w:sz w:val="24"/>
          <w:highlight w:val="none"/>
        </w:rPr>
        <w:t>14.</w:t>
      </w:r>
      <w:r>
        <w:rPr>
          <w:color w:val="auto"/>
          <w:sz w:val="24"/>
          <w:highlight w:val="none"/>
        </w:rPr>
        <w:t xml:space="preserve">  </w:t>
      </w:r>
      <w:r>
        <w:rPr>
          <w:rFonts w:hAnsi="宋体"/>
          <w:b/>
          <w:color w:val="auto"/>
          <w:sz w:val="24"/>
          <w:highlight w:val="none"/>
        </w:rPr>
        <w:t>投标文件的</w:t>
      </w:r>
      <w:r>
        <w:rPr>
          <w:rFonts w:hint="eastAsia" w:hAnsi="宋体"/>
          <w:b/>
          <w:color w:val="auto"/>
          <w:sz w:val="24"/>
          <w:highlight w:val="none"/>
        </w:rPr>
        <w:t>传输、递交与撤回</w:t>
      </w:r>
    </w:p>
    <w:p w14:paraId="5A10B4A4">
      <w:pPr>
        <w:spacing w:line="360" w:lineRule="exact"/>
        <w:ind w:right="-506" w:rightChars="-241"/>
        <w:rPr>
          <w:color w:val="auto"/>
          <w:sz w:val="24"/>
          <w:highlight w:val="none"/>
        </w:rPr>
      </w:pPr>
      <w:r>
        <w:rPr>
          <w:b/>
          <w:color w:val="auto"/>
          <w:sz w:val="24"/>
          <w:highlight w:val="none"/>
        </w:rPr>
        <w:t>14.1</w:t>
      </w:r>
      <w:r>
        <w:rPr>
          <w:color w:val="auto"/>
          <w:sz w:val="24"/>
          <w:highlight w:val="none"/>
        </w:rPr>
        <w:t xml:space="preserve">   </w:t>
      </w:r>
      <w:r>
        <w:rPr>
          <w:rFonts w:hint="eastAsia"/>
          <w:color w:val="auto"/>
          <w:sz w:val="24"/>
          <w:highlight w:val="none"/>
        </w:rPr>
        <w:t>供应商应当在投标截止时间前完成电子投标文件的传输递交，并可以补充、修改或者撤回电子投标文件。补充或者修改电子投标文件的，应当先行撤回原文件，补充、修改后重新传输递交。投标截止时间前未完成传输的，视为撤回投标文件。投标截止时间后传输递交的投标文件，将被拒收。</w:t>
      </w:r>
    </w:p>
    <w:p w14:paraId="34A7D08F">
      <w:pPr>
        <w:spacing w:line="360" w:lineRule="exact"/>
        <w:ind w:right="-506" w:rightChars="-241"/>
        <w:rPr>
          <w:color w:val="auto"/>
          <w:sz w:val="24"/>
          <w:highlight w:val="none"/>
        </w:rPr>
      </w:pPr>
      <w:r>
        <w:rPr>
          <w:rFonts w:hint="eastAsia"/>
          <w:b/>
          <w:color w:val="auto"/>
          <w:sz w:val="24"/>
          <w:highlight w:val="none"/>
        </w:rPr>
        <w:t xml:space="preserve">14.2  </w:t>
      </w:r>
      <w:r>
        <w:rPr>
          <w:rFonts w:hint="eastAsia"/>
          <w:bCs/>
          <w:color w:val="auto"/>
          <w:sz w:val="24"/>
          <w:highlight w:val="none"/>
        </w:rPr>
        <w:t>投标文件的效力：投标文件的启用，按先后顺位分别为政采云电子投标文件、以U盘存储的电子备份投标文件。在下一顺位的投标文件启用时，前一顺位的投标文件自动失效。电子投标文件未能按时解密，供应商提供了电子备份投标文件并上传成功的以电子备份投标文件作为依据，否则视为投标文件撤回。政采云电子投标文件已按时解密的，电子备份投标文件自动失效。</w:t>
      </w:r>
    </w:p>
    <w:p w14:paraId="699957AC">
      <w:pPr>
        <w:spacing w:line="360" w:lineRule="exact"/>
        <w:ind w:right="-506" w:rightChars="-241"/>
        <w:rPr>
          <w:color w:val="auto"/>
          <w:sz w:val="24"/>
          <w:highlight w:val="none"/>
        </w:rPr>
      </w:pPr>
    </w:p>
    <w:p w14:paraId="35C4F05A">
      <w:pPr>
        <w:spacing w:line="360" w:lineRule="exact"/>
        <w:ind w:right="-506" w:rightChars="-241"/>
        <w:rPr>
          <w:color w:val="auto"/>
          <w:sz w:val="24"/>
          <w:highlight w:val="none"/>
        </w:rPr>
      </w:pPr>
      <w:r>
        <w:rPr>
          <w:b/>
          <w:color w:val="auto"/>
          <w:sz w:val="24"/>
          <w:highlight w:val="none"/>
        </w:rPr>
        <w:t>15.</w:t>
      </w:r>
      <w:r>
        <w:rPr>
          <w:color w:val="auto"/>
          <w:sz w:val="24"/>
          <w:highlight w:val="none"/>
        </w:rPr>
        <w:t xml:space="preserve">  </w:t>
      </w:r>
      <w:r>
        <w:rPr>
          <w:rFonts w:hAnsi="宋体"/>
          <w:b/>
          <w:color w:val="auto"/>
          <w:sz w:val="24"/>
          <w:highlight w:val="none"/>
        </w:rPr>
        <w:t>投标截止时间</w:t>
      </w:r>
    </w:p>
    <w:p w14:paraId="370E3FC8">
      <w:pPr>
        <w:spacing w:line="360" w:lineRule="exact"/>
        <w:ind w:right="-506" w:rightChars="-241"/>
        <w:rPr>
          <w:color w:val="auto"/>
          <w:sz w:val="24"/>
          <w:highlight w:val="none"/>
        </w:rPr>
      </w:pPr>
      <w:r>
        <w:rPr>
          <w:b/>
          <w:color w:val="auto"/>
          <w:sz w:val="24"/>
          <w:highlight w:val="none"/>
        </w:rPr>
        <w:t xml:space="preserve">15.1 </w:t>
      </w:r>
      <w:r>
        <w:rPr>
          <w:color w:val="auto"/>
          <w:sz w:val="24"/>
          <w:highlight w:val="none"/>
        </w:rPr>
        <w:t xml:space="preserve">  </w:t>
      </w:r>
      <w:r>
        <w:rPr>
          <w:rFonts w:hint="eastAsia"/>
          <w:color w:val="auto"/>
          <w:sz w:val="24"/>
          <w:highlight w:val="none"/>
        </w:rPr>
        <w:t>供应商应当在投标截止时间前完成电子投标文件的传输递交。</w:t>
      </w:r>
    </w:p>
    <w:p w14:paraId="6C19B296">
      <w:pPr>
        <w:spacing w:line="360" w:lineRule="exact"/>
        <w:ind w:right="-506" w:rightChars="-241"/>
        <w:rPr>
          <w:color w:val="auto"/>
          <w:sz w:val="24"/>
          <w:highlight w:val="none"/>
        </w:rPr>
      </w:pPr>
      <w:r>
        <w:rPr>
          <w:b/>
          <w:color w:val="auto"/>
          <w:sz w:val="24"/>
          <w:highlight w:val="none"/>
        </w:rPr>
        <w:t>15.2</w:t>
      </w:r>
      <w:r>
        <w:rPr>
          <w:color w:val="auto"/>
          <w:sz w:val="24"/>
          <w:highlight w:val="none"/>
        </w:rPr>
        <w:t xml:space="preserve">   </w:t>
      </w:r>
      <w:r>
        <w:rPr>
          <w:rFonts w:hAnsi="宋体"/>
          <w:color w:val="auto"/>
          <w:sz w:val="24"/>
          <w:highlight w:val="none"/>
        </w:rPr>
        <w:t>采购人因故需推迟投标截止时间、开标时间时，采购代理公司应</w:t>
      </w:r>
      <w:r>
        <w:rPr>
          <w:rFonts w:hint="eastAsia" w:hAnsi="宋体"/>
          <w:color w:val="auto"/>
          <w:sz w:val="24"/>
          <w:highlight w:val="none"/>
        </w:rPr>
        <w:t>在投标截止时间3天前</w:t>
      </w:r>
      <w:r>
        <w:rPr>
          <w:rFonts w:hAnsi="宋体"/>
          <w:color w:val="auto"/>
          <w:sz w:val="24"/>
          <w:highlight w:val="none"/>
        </w:rPr>
        <w:t>在规定的政府采购</w:t>
      </w:r>
      <w:r>
        <w:rPr>
          <w:rFonts w:hint="eastAsia" w:hAnsi="宋体"/>
          <w:color w:val="auto"/>
          <w:sz w:val="24"/>
          <w:highlight w:val="none"/>
        </w:rPr>
        <w:t>媒体</w:t>
      </w:r>
      <w:r>
        <w:rPr>
          <w:rFonts w:hAnsi="宋体"/>
          <w:color w:val="auto"/>
          <w:sz w:val="24"/>
          <w:highlight w:val="none"/>
        </w:rPr>
        <w:t>上发布</w:t>
      </w:r>
      <w:r>
        <w:rPr>
          <w:rFonts w:hint="eastAsia" w:hAnsi="宋体"/>
          <w:color w:val="auto"/>
          <w:sz w:val="24"/>
          <w:highlight w:val="none"/>
        </w:rPr>
        <w:t>延期</w:t>
      </w:r>
      <w:r>
        <w:rPr>
          <w:rFonts w:hAnsi="宋体"/>
          <w:color w:val="auto"/>
          <w:sz w:val="24"/>
          <w:highlight w:val="none"/>
        </w:rPr>
        <w:t>公告。在这种情况下，采购人和投标人相应的权利和义务将受到新的投标截止期的约束。</w:t>
      </w:r>
    </w:p>
    <w:p w14:paraId="762D2AC0">
      <w:pPr>
        <w:spacing w:line="360" w:lineRule="exact"/>
        <w:ind w:right="-506" w:rightChars="-241"/>
        <w:rPr>
          <w:color w:val="auto"/>
          <w:sz w:val="24"/>
          <w:szCs w:val="24"/>
          <w:highlight w:val="none"/>
        </w:rPr>
      </w:pPr>
    </w:p>
    <w:p w14:paraId="4F03ED79">
      <w:pPr>
        <w:spacing w:line="360" w:lineRule="exact"/>
        <w:ind w:right="-506" w:rightChars="-241"/>
        <w:jc w:val="center"/>
        <w:rPr>
          <w:b/>
          <w:color w:val="auto"/>
          <w:sz w:val="24"/>
          <w:szCs w:val="24"/>
          <w:highlight w:val="none"/>
        </w:rPr>
      </w:pPr>
      <w:r>
        <w:rPr>
          <w:b/>
          <w:color w:val="auto"/>
          <w:sz w:val="24"/>
          <w:szCs w:val="24"/>
          <w:highlight w:val="none"/>
        </w:rPr>
        <w:t xml:space="preserve">E  </w:t>
      </w:r>
      <w:r>
        <w:rPr>
          <w:rFonts w:hAnsi="宋体"/>
          <w:b/>
          <w:color w:val="auto"/>
          <w:sz w:val="24"/>
          <w:szCs w:val="24"/>
          <w:highlight w:val="none"/>
        </w:rPr>
        <w:t>开标</w:t>
      </w:r>
    </w:p>
    <w:p w14:paraId="7AF9D7E7">
      <w:pPr>
        <w:spacing w:line="360" w:lineRule="exact"/>
        <w:ind w:right="-506" w:rightChars="-241"/>
        <w:jc w:val="center"/>
        <w:rPr>
          <w:b/>
          <w:color w:val="auto"/>
          <w:sz w:val="24"/>
          <w:szCs w:val="24"/>
          <w:highlight w:val="none"/>
        </w:rPr>
      </w:pPr>
    </w:p>
    <w:p w14:paraId="3134B0CC">
      <w:pPr>
        <w:spacing w:line="360" w:lineRule="exact"/>
        <w:ind w:right="-506" w:rightChars="-241"/>
        <w:rPr>
          <w:b/>
          <w:color w:val="auto"/>
          <w:sz w:val="24"/>
          <w:highlight w:val="none"/>
        </w:rPr>
      </w:pPr>
      <w:r>
        <w:rPr>
          <w:b/>
          <w:color w:val="auto"/>
          <w:sz w:val="24"/>
          <w:highlight w:val="none"/>
        </w:rPr>
        <w:t>1</w:t>
      </w:r>
      <w:r>
        <w:rPr>
          <w:rFonts w:hint="eastAsia"/>
          <w:b/>
          <w:color w:val="auto"/>
          <w:sz w:val="24"/>
          <w:highlight w:val="none"/>
        </w:rPr>
        <w:t>6</w:t>
      </w:r>
      <w:r>
        <w:rPr>
          <w:b/>
          <w:color w:val="auto"/>
          <w:sz w:val="24"/>
          <w:highlight w:val="none"/>
        </w:rPr>
        <w:t xml:space="preserve">. </w:t>
      </w:r>
      <w:r>
        <w:rPr>
          <w:rFonts w:hint="eastAsia"/>
          <w:b/>
          <w:color w:val="auto"/>
          <w:sz w:val="24"/>
          <w:highlight w:val="none"/>
        </w:rPr>
        <w:t>电子招投标开标程序：</w:t>
      </w:r>
    </w:p>
    <w:p w14:paraId="0D1FAD60">
      <w:pPr>
        <w:spacing w:line="360" w:lineRule="exact"/>
        <w:ind w:right="-506" w:rightChars="-241"/>
        <w:rPr>
          <w:color w:val="auto"/>
          <w:sz w:val="24"/>
          <w:highlight w:val="none"/>
        </w:rPr>
      </w:pPr>
      <w:r>
        <w:rPr>
          <w:rFonts w:hint="eastAsia"/>
          <w:b/>
          <w:color w:val="auto"/>
          <w:sz w:val="24"/>
          <w:highlight w:val="none"/>
        </w:rPr>
        <w:t xml:space="preserve">16.1  </w:t>
      </w:r>
      <w:r>
        <w:rPr>
          <w:rFonts w:hint="eastAsia"/>
          <w:color w:val="auto"/>
          <w:sz w:val="24"/>
          <w:highlight w:val="none"/>
        </w:rPr>
        <w:t>投标截止时间后，供应商登录政府采购云平台，用“项目采购-开标评标”功能对电子投标文件进行在线解密，</w:t>
      </w:r>
      <w:r>
        <w:rPr>
          <w:rFonts w:hint="eastAsia"/>
          <w:b/>
          <w:bCs/>
          <w:color w:val="auto"/>
          <w:sz w:val="24"/>
          <w:highlight w:val="none"/>
        </w:rPr>
        <w:t>在线解密电子投标文件时间为开标时间后30分钟内。</w:t>
      </w:r>
    </w:p>
    <w:p w14:paraId="0B7FC26E">
      <w:pPr>
        <w:spacing w:line="360" w:lineRule="exact"/>
        <w:ind w:right="-506" w:rightChars="-241"/>
        <w:rPr>
          <w:color w:val="auto"/>
          <w:sz w:val="24"/>
          <w:highlight w:val="none"/>
        </w:rPr>
      </w:pPr>
      <w:r>
        <w:rPr>
          <w:rFonts w:hint="eastAsia"/>
          <w:b/>
          <w:color w:val="auto"/>
          <w:sz w:val="24"/>
          <w:highlight w:val="none"/>
        </w:rPr>
        <w:t xml:space="preserve">16.2  </w:t>
      </w:r>
      <w:r>
        <w:rPr>
          <w:rFonts w:hint="eastAsia"/>
          <w:color w:val="auto"/>
          <w:sz w:val="24"/>
          <w:highlight w:val="none"/>
        </w:rPr>
        <w:t>在政府采购云平台开启已解密供应商的投标文件，并做开标记录；本项目为一次性开标。</w:t>
      </w:r>
    </w:p>
    <w:p w14:paraId="632867D6">
      <w:pPr>
        <w:spacing w:line="360" w:lineRule="exact"/>
        <w:ind w:right="-506" w:rightChars="-241"/>
        <w:rPr>
          <w:color w:val="auto"/>
          <w:sz w:val="24"/>
          <w:highlight w:val="none"/>
        </w:rPr>
      </w:pPr>
      <w:r>
        <w:rPr>
          <w:rFonts w:hint="eastAsia"/>
          <w:b/>
          <w:color w:val="auto"/>
          <w:sz w:val="24"/>
          <w:highlight w:val="none"/>
        </w:rPr>
        <w:t xml:space="preserve">16.3  </w:t>
      </w:r>
      <w:r>
        <w:rPr>
          <w:rFonts w:hint="eastAsia"/>
          <w:color w:val="auto"/>
          <w:sz w:val="24"/>
          <w:highlight w:val="none"/>
        </w:rPr>
        <w:t>在政府采购云平台公布评审结果。</w:t>
      </w:r>
    </w:p>
    <w:p w14:paraId="74D8F60E">
      <w:pPr>
        <w:spacing w:line="360" w:lineRule="exact"/>
        <w:ind w:right="-506" w:rightChars="-241"/>
        <w:rPr>
          <w:color w:val="auto"/>
          <w:sz w:val="24"/>
          <w:highlight w:val="none"/>
        </w:rPr>
      </w:pPr>
      <w:r>
        <w:rPr>
          <w:rFonts w:hint="eastAsia"/>
          <w:b/>
          <w:color w:val="auto"/>
          <w:sz w:val="24"/>
          <w:highlight w:val="none"/>
        </w:rPr>
        <w:t xml:space="preserve">16.4  </w:t>
      </w:r>
      <w:r>
        <w:rPr>
          <w:rFonts w:hint="eastAsia"/>
          <w:color w:val="auto"/>
          <w:sz w:val="24"/>
          <w:highlight w:val="none"/>
        </w:rPr>
        <w:t>开标会议结束。</w:t>
      </w:r>
    </w:p>
    <w:p w14:paraId="2B84629F">
      <w:pPr>
        <w:spacing w:line="360" w:lineRule="exact"/>
        <w:ind w:right="-506" w:rightChars="-241"/>
        <w:rPr>
          <w:rFonts w:hAnsi="宋体"/>
          <w:color w:val="auto"/>
          <w:sz w:val="24"/>
          <w:szCs w:val="24"/>
          <w:highlight w:val="none"/>
        </w:rPr>
      </w:pPr>
    </w:p>
    <w:p w14:paraId="018A606C">
      <w:pPr>
        <w:spacing w:line="360" w:lineRule="exact"/>
        <w:ind w:right="-506" w:rightChars="-241"/>
        <w:jc w:val="center"/>
        <w:rPr>
          <w:b/>
          <w:color w:val="auto"/>
          <w:sz w:val="24"/>
          <w:szCs w:val="24"/>
          <w:highlight w:val="none"/>
        </w:rPr>
      </w:pPr>
      <w:r>
        <w:rPr>
          <w:b/>
          <w:color w:val="auto"/>
          <w:sz w:val="24"/>
          <w:szCs w:val="24"/>
          <w:highlight w:val="none"/>
        </w:rPr>
        <w:t xml:space="preserve">F  </w:t>
      </w:r>
      <w:r>
        <w:rPr>
          <w:rFonts w:hAnsi="宋体"/>
          <w:b/>
          <w:color w:val="auto"/>
          <w:sz w:val="24"/>
          <w:szCs w:val="24"/>
          <w:highlight w:val="none"/>
        </w:rPr>
        <w:t>评标和定标</w:t>
      </w:r>
    </w:p>
    <w:p w14:paraId="26C722E4">
      <w:pPr>
        <w:spacing w:line="360" w:lineRule="exact"/>
        <w:ind w:right="-506" w:rightChars="-241"/>
        <w:jc w:val="center"/>
        <w:rPr>
          <w:b/>
          <w:color w:val="auto"/>
          <w:sz w:val="24"/>
          <w:szCs w:val="24"/>
          <w:highlight w:val="none"/>
        </w:rPr>
      </w:pPr>
    </w:p>
    <w:p w14:paraId="4ED13408">
      <w:pPr>
        <w:spacing w:line="360" w:lineRule="exact"/>
        <w:ind w:right="-506" w:rightChars="-241"/>
        <w:rPr>
          <w:color w:val="auto"/>
          <w:sz w:val="24"/>
          <w:szCs w:val="24"/>
          <w:highlight w:val="none"/>
        </w:rPr>
      </w:pPr>
      <w:r>
        <w:rPr>
          <w:b/>
          <w:color w:val="auto"/>
          <w:sz w:val="24"/>
          <w:szCs w:val="24"/>
          <w:highlight w:val="none"/>
        </w:rPr>
        <w:t>1</w:t>
      </w:r>
      <w:r>
        <w:rPr>
          <w:rFonts w:hint="eastAsia"/>
          <w:b/>
          <w:color w:val="auto"/>
          <w:sz w:val="24"/>
          <w:szCs w:val="24"/>
          <w:highlight w:val="none"/>
        </w:rPr>
        <w:t>7</w:t>
      </w:r>
      <w:r>
        <w:rPr>
          <w:b/>
          <w:color w:val="auto"/>
          <w:sz w:val="24"/>
          <w:szCs w:val="24"/>
          <w:highlight w:val="none"/>
        </w:rPr>
        <w:t xml:space="preserve">. </w:t>
      </w:r>
      <w:r>
        <w:rPr>
          <w:rFonts w:hAnsi="宋体"/>
          <w:b/>
          <w:color w:val="auto"/>
          <w:sz w:val="24"/>
          <w:szCs w:val="24"/>
          <w:highlight w:val="none"/>
        </w:rPr>
        <w:t>评标委员会</w:t>
      </w:r>
    </w:p>
    <w:p w14:paraId="39B06B32">
      <w:pPr>
        <w:spacing w:line="360" w:lineRule="exact"/>
        <w:ind w:right="-506" w:rightChars="-241"/>
        <w:rPr>
          <w:color w:val="auto"/>
          <w:sz w:val="24"/>
          <w:szCs w:val="24"/>
          <w:highlight w:val="none"/>
        </w:rPr>
      </w:pPr>
      <w:r>
        <w:rPr>
          <w:b/>
          <w:color w:val="auto"/>
          <w:sz w:val="24"/>
          <w:szCs w:val="24"/>
          <w:highlight w:val="none"/>
        </w:rPr>
        <w:t>1</w:t>
      </w:r>
      <w:r>
        <w:rPr>
          <w:rFonts w:hint="eastAsia"/>
          <w:b/>
          <w:color w:val="auto"/>
          <w:sz w:val="24"/>
          <w:szCs w:val="24"/>
          <w:highlight w:val="none"/>
        </w:rPr>
        <w:t>7</w:t>
      </w:r>
      <w:r>
        <w:rPr>
          <w:b/>
          <w:color w:val="auto"/>
          <w:sz w:val="24"/>
          <w:szCs w:val="24"/>
          <w:highlight w:val="none"/>
        </w:rPr>
        <w:t>.1</w:t>
      </w:r>
      <w:r>
        <w:rPr>
          <w:color w:val="auto"/>
          <w:sz w:val="24"/>
          <w:szCs w:val="24"/>
          <w:highlight w:val="none"/>
        </w:rPr>
        <w:t xml:space="preserve">   </w:t>
      </w:r>
      <w:r>
        <w:rPr>
          <w:rFonts w:hAnsi="宋体"/>
          <w:color w:val="auto"/>
          <w:sz w:val="24"/>
          <w:szCs w:val="24"/>
          <w:highlight w:val="none"/>
        </w:rPr>
        <w:t>受采购人的委托，采购代理公司根据国家《</w:t>
      </w:r>
      <w:r>
        <w:rPr>
          <w:rFonts w:hint="eastAsia" w:hAnsi="宋体"/>
          <w:color w:val="auto"/>
          <w:sz w:val="24"/>
          <w:szCs w:val="24"/>
          <w:highlight w:val="none"/>
          <w:lang w:val="en-US" w:eastAsia="zh-CN"/>
        </w:rPr>
        <w:t>中华人民共和国</w:t>
      </w:r>
      <w:r>
        <w:rPr>
          <w:rFonts w:hAnsi="宋体"/>
          <w:color w:val="auto"/>
          <w:sz w:val="24"/>
          <w:szCs w:val="24"/>
          <w:highlight w:val="none"/>
        </w:rPr>
        <w:t>政府采购法》、《</w:t>
      </w:r>
      <w:r>
        <w:rPr>
          <w:rFonts w:hint="eastAsia" w:hAnsi="宋体"/>
          <w:color w:val="auto"/>
          <w:sz w:val="24"/>
          <w:szCs w:val="24"/>
          <w:highlight w:val="none"/>
          <w:lang w:val="en-US" w:eastAsia="zh-CN"/>
        </w:rPr>
        <w:t>中华人民共和国</w:t>
      </w:r>
      <w:r>
        <w:rPr>
          <w:rFonts w:hAnsi="宋体"/>
          <w:color w:val="auto"/>
          <w:sz w:val="24"/>
          <w:szCs w:val="24"/>
          <w:highlight w:val="none"/>
        </w:rPr>
        <w:t>政府采购法</w:t>
      </w:r>
      <w:r>
        <w:rPr>
          <w:rFonts w:hint="eastAsia" w:hAnsi="宋体"/>
          <w:color w:val="auto"/>
          <w:sz w:val="24"/>
          <w:szCs w:val="24"/>
          <w:highlight w:val="none"/>
        </w:rPr>
        <w:t>实施条例</w:t>
      </w:r>
      <w:r>
        <w:rPr>
          <w:rFonts w:hAnsi="宋体"/>
          <w:color w:val="auto"/>
          <w:sz w:val="24"/>
          <w:szCs w:val="24"/>
          <w:highlight w:val="none"/>
        </w:rPr>
        <w:t>》</w:t>
      </w:r>
      <w:r>
        <w:rPr>
          <w:rFonts w:hint="eastAsia" w:hAnsi="宋体"/>
          <w:color w:val="auto"/>
          <w:sz w:val="24"/>
          <w:szCs w:val="24"/>
          <w:highlight w:val="none"/>
        </w:rPr>
        <w:t>、</w:t>
      </w:r>
      <w:r>
        <w:rPr>
          <w:rFonts w:hAnsi="宋体"/>
          <w:color w:val="auto"/>
          <w:sz w:val="24"/>
          <w:szCs w:val="24"/>
          <w:highlight w:val="none"/>
        </w:rPr>
        <w:t>国家财政部第</w:t>
      </w:r>
      <w:r>
        <w:rPr>
          <w:rFonts w:hint="eastAsia"/>
          <w:color w:val="auto"/>
          <w:sz w:val="24"/>
          <w:szCs w:val="24"/>
          <w:highlight w:val="none"/>
        </w:rPr>
        <w:t>87</w:t>
      </w:r>
      <w:r>
        <w:rPr>
          <w:rFonts w:hAnsi="宋体"/>
          <w:color w:val="auto"/>
          <w:sz w:val="24"/>
          <w:szCs w:val="24"/>
          <w:highlight w:val="none"/>
        </w:rPr>
        <w:t>号令</w:t>
      </w:r>
      <w:r>
        <w:rPr>
          <w:rFonts w:hint="eastAsia" w:hAnsi="宋体"/>
          <w:color w:val="auto"/>
          <w:sz w:val="24"/>
          <w:szCs w:val="24"/>
          <w:highlight w:val="none"/>
        </w:rPr>
        <w:t>及其他有关</w:t>
      </w:r>
      <w:r>
        <w:rPr>
          <w:rFonts w:hAnsi="宋体"/>
          <w:color w:val="auto"/>
          <w:sz w:val="24"/>
          <w:szCs w:val="24"/>
          <w:highlight w:val="none"/>
        </w:rPr>
        <w:t>规定组建评标委员会，评标委员会负责评标工作。评标委员会由采购人代表和评审专家组成。</w:t>
      </w:r>
      <w:r>
        <w:rPr>
          <w:rFonts w:hint="eastAsia" w:hAnsi="宋体"/>
          <w:color w:val="auto"/>
          <w:sz w:val="24"/>
          <w:szCs w:val="24"/>
          <w:highlight w:val="none"/>
        </w:rPr>
        <w:t>评审</w:t>
      </w:r>
      <w:r>
        <w:rPr>
          <w:rFonts w:hAnsi="宋体"/>
          <w:color w:val="auto"/>
          <w:sz w:val="24"/>
          <w:szCs w:val="24"/>
          <w:highlight w:val="none"/>
        </w:rPr>
        <w:t>专家将在开标日之前在</w:t>
      </w:r>
      <w:r>
        <w:rPr>
          <w:rFonts w:hint="eastAsia" w:hAnsi="宋体"/>
          <w:color w:val="auto"/>
          <w:sz w:val="24"/>
          <w:szCs w:val="24"/>
          <w:highlight w:val="none"/>
        </w:rPr>
        <w:t>政采云</w:t>
      </w:r>
      <w:r>
        <w:rPr>
          <w:rFonts w:hAnsi="宋体"/>
          <w:color w:val="auto"/>
          <w:sz w:val="24"/>
          <w:szCs w:val="24"/>
          <w:highlight w:val="none"/>
        </w:rPr>
        <w:t>的评标专家库中随机抽取。评标委员会成员名单在招标结果确定之前依法保密。</w:t>
      </w:r>
    </w:p>
    <w:p w14:paraId="4606F822">
      <w:pPr>
        <w:spacing w:line="360" w:lineRule="exact"/>
        <w:ind w:right="-506" w:rightChars="-241"/>
        <w:rPr>
          <w:bCs/>
          <w:color w:val="auto"/>
          <w:sz w:val="24"/>
          <w:szCs w:val="24"/>
          <w:highlight w:val="none"/>
        </w:rPr>
      </w:pPr>
      <w:r>
        <w:rPr>
          <w:rFonts w:hint="eastAsia"/>
          <w:b/>
          <w:color w:val="auto"/>
          <w:sz w:val="24"/>
          <w:szCs w:val="24"/>
          <w:highlight w:val="none"/>
        </w:rPr>
        <w:t xml:space="preserve">17.2 </w:t>
      </w:r>
      <w:r>
        <w:rPr>
          <w:rFonts w:hint="eastAsia"/>
          <w:bCs/>
          <w:color w:val="auto"/>
          <w:sz w:val="24"/>
          <w:szCs w:val="24"/>
          <w:highlight w:val="none"/>
        </w:rPr>
        <w:t>评审专家有下列情形之一的，应主动提出回避，采购人、采购代理也可以要求该评审专家回避：</w:t>
      </w:r>
    </w:p>
    <w:p w14:paraId="2C8250D6">
      <w:pPr>
        <w:spacing w:line="360" w:lineRule="exact"/>
        <w:ind w:right="-506" w:rightChars="-241"/>
        <w:rPr>
          <w:bCs/>
          <w:color w:val="auto"/>
          <w:sz w:val="24"/>
          <w:szCs w:val="24"/>
          <w:highlight w:val="none"/>
        </w:rPr>
      </w:pPr>
      <w:r>
        <w:rPr>
          <w:rFonts w:hint="eastAsia"/>
          <w:bCs/>
          <w:color w:val="auto"/>
          <w:sz w:val="24"/>
          <w:szCs w:val="24"/>
          <w:highlight w:val="none"/>
        </w:rPr>
        <w:t>（1） 参加采购活动前3年内与供应商存在劳动关系；</w:t>
      </w:r>
    </w:p>
    <w:p w14:paraId="147EDBC9">
      <w:pPr>
        <w:spacing w:line="360" w:lineRule="exact"/>
        <w:ind w:right="-506" w:rightChars="-241"/>
        <w:rPr>
          <w:bCs/>
          <w:color w:val="auto"/>
          <w:sz w:val="24"/>
          <w:szCs w:val="24"/>
          <w:highlight w:val="none"/>
        </w:rPr>
      </w:pPr>
      <w:r>
        <w:rPr>
          <w:rFonts w:hint="eastAsia"/>
          <w:bCs/>
          <w:color w:val="auto"/>
          <w:sz w:val="24"/>
          <w:szCs w:val="24"/>
          <w:highlight w:val="none"/>
        </w:rPr>
        <w:t>（2） 参加采购活动前3年内担任供应商的董事、监事；</w:t>
      </w:r>
    </w:p>
    <w:p w14:paraId="69651AD9">
      <w:pPr>
        <w:spacing w:line="360" w:lineRule="exact"/>
        <w:ind w:right="-506" w:rightChars="-241"/>
        <w:rPr>
          <w:bCs/>
          <w:color w:val="auto"/>
          <w:sz w:val="24"/>
          <w:szCs w:val="24"/>
          <w:highlight w:val="none"/>
        </w:rPr>
      </w:pPr>
      <w:r>
        <w:rPr>
          <w:rFonts w:hint="eastAsia"/>
          <w:bCs/>
          <w:color w:val="auto"/>
          <w:sz w:val="24"/>
          <w:szCs w:val="24"/>
          <w:highlight w:val="none"/>
        </w:rPr>
        <w:t>（3） 参加采购活动前3年内是供应商的控股股东或者实际控制人；</w:t>
      </w:r>
    </w:p>
    <w:p w14:paraId="732291AC">
      <w:pPr>
        <w:spacing w:line="360" w:lineRule="exact"/>
        <w:ind w:right="-506" w:rightChars="-241"/>
        <w:rPr>
          <w:bCs/>
          <w:color w:val="auto"/>
          <w:sz w:val="24"/>
          <w:szCs w:val="24"/>
          <w:highlight w:val="none"/>
        </w:rPr>
      </w:pPr>
      <w:r>
        <w:rPr>
          <w:rFonts w:hint="eastAsia"/>
          <w:bCs/>
          <w:color w:val="auto"/>
          <w:sz w:val="24"/>
          <w:szCs w:val="24"/>
          <w:highlight w:val="none"/>
        </w:rPr>
        <w:t>（4） 与供应商的法定代表人或者负责人有夫妻、直系血亲、三代以内旁系血亲或者近姻亲关系；</w:t>
      </w:r>
    </w:p>
    <w:p w14:paraId="5E8044D7">
      <w:pPr>
        <w:spacing w:line="360" w:lineRule="exact"/>
        <w:ind w:right="-506" w:rightChars="-241"/>
        <w:rPr>
          <w:b/>
          <w:color w:val="auto"/>
          <w:sz w:val="24"/>
          <w:szCs w:val="24"/>
          <w:highlight w:val="none"/>
        </w:rPr>
      </w:pPr>
      <w:r>
        <w:rPr>
          <w:rFonts w:hint="eastAsia"/>
          <w:bCs/>
          <w:color w:val="auto"/>
          <w:sz w:val="24"/>
          <w:szCs w:val="24"/>
          <w:highlight w:val="none"/>
        </w:rPr>
        <w:t>（5） 与供应商有其他可能影响政府采购活动公平、公正进行的关系。</w:t>
      </w:r>
    </w:p>
    <w:p w14:paraId="24D9A67A">
      <w:pPr>
        <w:spacing w:line="360" w:lineRule="exact"/>
        <w:ind w:right="-506" w:rightChars="-241"/>
        <w:rPr>
          <w:color w:val="auto"/>
          <w:sz w:val="24"/>
          <w:szCs w:val="24"/>
          <w:highlight w:val="none"/>
        </w:rPr>
      </w:pPr>
      <w:r>
        <w:rPr>
          <w:b/>
          <w:color w:val="auto"/>
          <w:sz w:val="24"/>
          <w:szCs w:val="24"/>
          <w:highlight w:val="none"/>
        </w:rPr>
        <w:t>1</w:t>
      </w:r>
      <w:r>
        <w:rPr>
          <w:rFonts w:hint="eastAsia"/>
          <w:b/>
          <w:color w:val="auto"/>
          <w:sz w:val="24"/>
          <w:szCs w:val="24"/>
          <w:highlight w:val="none"/>
        </w:rPr>
        <w:t>7</w:t>
      </w:r>
      <w:r>
        <w:rPr>
          <w:b/>
          <w:color w:val="auto"/>
          <w:sz w:val="24"/>
          <w:szCs w:val="24"/>
          <w:highlight w:val="none"/>
        </w:rPr>
        <w:t>.</w:t>
      </w:r>
      <w:r>
        <w:rPr>
          <w:rFonts w:hint="eastAsia"/>
          <w:b/>
          <w:color w:val="auto"/>
          <w:sz w:val="24"/>
          <w:szCs w:val="24"/>
          <w:highlight w:val="none"/>
        </w:rPr>
        <w:t>3</w:t>
      </w:r>
      <w:r>
        <w:rPr>
          <w:color w:val="auto"/>
          <w:sz w:val="24"/>
          <w:szCs w:val="24"/>
          <w:highlight w:val="none"/>
        </w:rPr>
        <w:t xml:space="preserve">  </w:t>
      </w:r>
      <w:r>
        <w:rPr>
          <w:rFonts w:hAnsi="宋体"/>
          <w:color w:val="auto"/>
          <w:sz w:val="24"/>
          <w:szCs w:val="24"/>
          <w:highlight w:val="none"/>
        </w:rPr>
        <w:t>评标委员会将遵循公平、公正、科学</w:t>
      </w:r>
      <w:r>
        <w:rPr>
          <w:rFonts w:hint="eastAsia" w:hAnsi="宋体"/>
          <w:color w:val="auto"/>
          <w:sz w:val="24"/>
          <w:szCs w:val="24"/>
          <w:highlight w:val="none"/>
        </w:rPr>
        <w:t>择优</w:t>
      </w:r>
      <w:r>
        <w:rPr>
          <w:rFonts w:hAnsi="宋体"/>
          <w:color w:val="auto"/>
          <w:sz w:val="24"/>
          <w:szCs w:val="24"/>
          <w:highlight w:val="none"/>
        </w:rPr>
        <w:t>的原则和规定的程序进行评标，并且只依据投标文件本身对招标文件的响应情况进行评审。</w:t>
      </w:r>
    </w:p>
    <w:p w14:paraId="6ACF7317">
      <w:pPr>
        <w:spacing w:line="360" w:lineRule="exact"/>
        <w:ind w:right="-506" w:rightChars="-241"/>
        <w:rPr>
          <w:color w:val="auto"/>
          <w:sz w:val="24"/>
          <w:szCs w:val="24"/>
          <w:highlight w:val="none"/>
        </w:rPr>
      </w:pPr>
    </w:p>
    <w:p w14:paraId="448DCA71">
      <w:pPr>
        <w:spacing w:line="360" w:lineRule="exact"/>
        <w:ind w:right="-506" w:rightChars="-241"/>
        <w:rPr>
          <w:color w:val="auto"/>
          <w:sz w:val="24"/>
          <w:szCs w:val="24"/>
          <w:highlight w:val="none"/>
        </w:rPr>
      </w:pPr>
      <w:r>
        <w:rPr>
          <w:rFonts w:hint="eastAsia"/>
          <w:b/>
          <w:color w:val="auto"/>
          <w:sz w:val="24"/>
          <w:szCs w:val="24"/>
          <w:highlight w:val="none"/>
        </w:rPr>
        <w:t>18</w:t>
      </w:r>
      <w:r>
        <w:rPr>
          <w:b/>
          <w:color w:val="auto"/>
          <w:sz w:val="24"/>
          <w:szCs w:val="24"/>
          <w:highlight w:val="none"/>
        </w:rPr>
        <w:t>.</w:t>
      </w:r>
      <w:r>
        <w:rPr>
          <w:color w:val="auto"/>
          <w:sz w:val="24"/>
          <w:szCs w:val="24"/>
          <w:highlight w:val="none"/>
        </w:rPr>
        <w:t xml:space="preserve"> </w:t>
      </w:r>
      <w:r>
        <w:rPr>
          <w:rFonts w:hAnsi="宋体"/>
          <w:b/>
          <w:color w:val="auto"/>
          <w:sz w:val="24"/>
          <w:szCs w:val="24"/>
          <w:highlight w:val="none"/>
        </w:rPr>
        <w:t>评标办法</w:t>
      </w:r>
    </w:p>
    <w:p w14:paraId="2AEE40CB">
      <w:pPr>
        <w:spacing w:line="360" w:lineRule="exact"/>
        <w:ind w:right="-506" w:rightChars="-241"/>
        <w:rPr>
          <w:color w:val="auto"/>
          <w:sz w:val="24"/>
          <w:szCs w:val="24"/>
          <w:highlight w:val="none"/>
        </w:rPr>
      </w:pPr>
      <w:r>
        <w:rPr>
          <w:rFonts w:hint="eastAsia" w:hAnsi="宋体"/>
          <w:b/>
          <w:color w:val="auto"/>
          <w:sz w:val="24"/>
          <w:szCs w:val="24"/>
          <w:highlight w:val="none"/>
        </w:rPr>
        <w:t xml:space="preserve">18.1 </w:t>
      </w:r>
      <w:r>
        <w:rPr>
          <w:rFonts w:hint="eastAsia" w:hAnsi="宋体"/>
          <w:color w:val="auto"/>
          <w:sz w:val="24"/>
          <w:szCs w:val="24"/>
          <w:highlight w:val="none"/>
        </w:rPr>
        <w:t xml:space="preserve"> </w:t>
      </w:r>
      <w:r>
        <w:rPr>
          <w:rFonts w:hAnsi="宋体"/>
          <w:color w:val="auto"/>
          <w:sz w:val="24"/>
          <w:szCs w:val="24"/>
          <w:highlight w:val="none"/>
        </w:rPr>
        <w:t>本项目采用的评标</w:t>
      </w:r>
      <w:r>
        <w:rPr>
          <w:rFonts w:hint="eastAsia" w:hAnsi="宋体"/>
          <w:color w:val="auto"/>
          <w:sz w:val="24"/>
          <w:szCs w:val="24"/>
          <w:highlight w:val="none"/>
        </w:rPr>
        <w:t>办法</w:t>
      </w:r>
      <w:r>
        <w:rPr>
          <w:rFonts w:hAnsi="宋体"/>
          <w:color w:val="auto"/>
          <w:sz w:val="24"/>
          <w:szCs w:val="24"/>
          <w:highlight w:val="none"/>
        </w:rPr>
        <w:t>载明在招标文件第</w:t>
      </w:r>
      <w:r>
        <w:rPr>
          <w:rFonts w:hint="eastAsia" w:hAnsi="宋体"/>
          <w:color w:val="auto"/>
          <w:sz w:val="24"/>
          <w:szCs w:val="24"/>
          <w:highlight w:val="none"/>
        </w:rPr>
        <w:t>四</w:t>
      </w:r>
      <w:r>
        <w:rPr>
          <w:rFonts w:hAnsi="宋体"/>
          <w:color w:val="auto"/>
          <w:sz w:val="24"/>
          <w:szCs w:val="24"/>
          <w:highlight w:val="none"/>
        </w:rPr>
        <w:t>部分</w:t>
      </w:r>
      <w:r>
        <w:rPr>
          <w:rFonts w:hint="eastAsia" w:hAnsi="宋体"/>
          <w:color w:val="auto"/>
          <w:sz w:val="24"/>
          <w:szCs w:val="24"/>
          <w:highlight w:val="none"/>
        </w:rPr>
        <w:t>“</w:t>
      </w:r>
      <w:r>
        <w:rPr>
          <w:rFonts w:hAnsi="宋体"/>
          <w:color w:val="auto"/>
          <w:sz w:val="24"/>
          <w:szCs w:val="24"/>
          <w:highlight w:val="none"/>
        </w:rPr>
        <w:t>评标标准</w:t>
      </w:r>
      <w:r>
        <w:rPr>
          <w:rFonts w:hint="eastAsia" w:hAnsi="宋体"/>
          <w:color w:val="auto"/>
          <w:sz w:val="24"/>
          <w:szCs w:val="24"/>
          <w:highlight w:val="none"/>
        </w:rPr>
        <w:t>”</w:t>
      </w:r>
      <w:r>
        <w:rPr>
          <w:rFonts w:hAnsi="宋体"/>
          <w:color w:val="auto"/>
          <w:sz w:val="24"/>
          <w:szCs w:val="24"/>
          <w:highlight w:val="none"/>
        </w:rPr>
        <w:t>中。</w:t>
      </w:r>
    </w:p>
    <w:p w14:paraId="1703C4B3">
      <w:pPr>
        <w:spacing w:line="360" w:lineRule="exact"/>
        <w:ind w:right="-506" w:rightChars="-241"/>
        <w:rPr>
          <w:color w:val="auto"/>
          <w:sz w:val="24"/>
          <w:szCs w:val="24"/>
          <w:highlight w:val="none"/>
        </w:rPr>
      </w:pPr>
    </w:p>
    <w:p w14:paraId="4DA8AE99">
      <w:pPr>
        <w:spacing w:line="360" w:lineRule="exact"/>
        <w:ind w:right="-506" w:rightChars="-241"/>
        <w:rPr>
          <w:color w:val="auto"/>
          <w:sz w:val="24"/>
          <w:szCs w:val="24"/>
          <w:highlight w:val="none"/>
        </w:rPr>
      </w:pPr>
      <w:r>
        <w:rPr>
          <w:rFonts w:hint="eastAsia"/>
          <w:b/>
          <w:color w:val="auto"/>
          <w:sz w:val="24"/>
          <w:szCs w:val="24"/>
          <w:highlight w:val="none"/>
        </w:rPr>
        <w:t>19</w:t>
      </w:r>
      <w:r>
        <w:rPr>
          <w:b/>
          <w:color w:val="auto"/>
          <w:sz w:val="24"/>
          <w:szCs w:val="24"/>
          <w:highlight w:val="none"/>
        </w:rPr>
        <w:t>.</w:t>
      </w:r>
      <w:r>
        <w:rPr>
          <w:rFonts w:hint="eastAsia"/>
          <w:color w:val="auto"/>
          <w:sz w:val="24"/>
          <w:szCs w:val="24"/>
          <w:highlight w:val="none"/>
        </w:rPr>
        <w:t xml:space="preserve"> </w:t>
      </w:r>
      <w:r>
        <w:rPr>
          <w:rFonts w:hint="eastAsia" w:hAnsi="宋体"/>
          <w:b/>
          <w:color w:val="auto"/>
          <w:sz w:val="24"/>
          <w:szCs w:val="24"/>
          <w:highlight w:val="none"/>
        </w:rPr>
        <w:t>确定</w:t>
      </w:r>
      <w:r>
        <w:rPr>
          <w:rFonts w:hAnsi="宋体"/>
          <w:b/>
          <w:color w:val="auto"/>
          <w:sz w:val="24"/>
          <w:szCs w:val="24"/>
          <w:highlight w:val="none"/>
        </w:rPr>
        <w:t>中标</w:t>
      </w:r>
      <w:r>
        <w:rPr>
          <w:rFonts w:hint="eastAsia" w:hAnsi="宋体"/>
          <w:b/>
          <w:color w:val="auto"/>
          <w:sz w:val="24"/>
          <w:szCs w:val="24"/>
          <w:highlight w:val="none"/>
        </w:rPr>
        <w:t>供应商</w:t>
      </w:r>
    </w:p>
    <w:p w14:paraId="08203F37">
      <w:pPr>
        <w:spacing w:line="360" w:lineRule="exact"/>
        <w:ind w:right="-506" w:rightChars="-241"/>
        <w:rPr>
          <w:color w:val="auto"/>
          <w:sz w:val="24"/>
          <w:szCs w:val="24"/>
          <w:highlight w:val="none"/>
        </w:rPr>
      </w:pPr>
      <w:r>
        <w:rPr>
          <w:rFonts w:hint="eastAsia"/>
          <w:b/>
          <w:color w:val="auto"/>
          <w:sz w:val="24"/>
          <w:szCs w:val="24"/>
          <w:highlight w:val="none"/>
        </w:rPr>
        <w:t>19</w:t>
      </w:r>
      <w:r>
        <w:rPr>
          <w:b/>
          <w:color w:val="auto"/>
          <w:sz w:val="24"/>
          <w:szCs w:val="24"/>
          <w:highlight w:val="none"/>
        </w:rPr>
        <w:t>.1</w:t>
      </w:r>
      <w:r>
        <w:rPr>
          <w:color w:val="auto"/>
          <w:sz w:val="24"/>
          <w:szCs w:val="24"/>
          <w:highlight w:val="none"/>
        </w:rPr>
        <w:t xml:space="preserve">   </w:t>
      </w:r>
      <w:r>
        <w:rPr>
          <w:rFonts w:hint="eastAsia" w:hAnsi="宋体"/>
          <w:color w:val="auto"/>
          <w:sz w:val="24"/>
          <w:highlight w:val="none"/>
        </w:rPr>
        <w:t>采购人自收到评标报告之日起5个工作日内，按评标报告推荐的中标候选人确定为中标人。</w:t>
      </w:r>
      <w:r>
        <w:rPr>
          <w:rFonts w:hint="eastAsia" w:hAnsi="宋体"/>
          <w:color w:val="auto"/>
          <w:sz w:val="24"/>
          <w:szCs w:val="24"/>
          <w:highlight w:val="none"/>
        </w:rPr>
        <w:t>若中标人放弃中标、或因不可抗力提出不能履行合同、或不能在招标文件规定的期限内提交履约保证金（如适用），采购人将重新组织招标。</w:t>
      </w:r>
    </w:p>
    <w:p w14:paraId="5DDCB586">
      <w:pPr>
        <w:spacing w:line="360" w:lineRule="exact"/>
        <w:ind w:right="-506" w:rightChars="-241"/>
        <w:rPr>
          <w:color w:val="auto"/>
          <w:sz w:val="24"/>
          <w:szCs w:val="24"/>
          <w:highlight w:val="none"/>
        </w:rPr>
      </w:pPr>
    </w:p>
    <w:p w14:paraId="24B6A3A4">
      <w:pPr>
        <w:spacing w:line="360" w:lineRule="exact"/>
        <w:ind w:right="-506" w:rightChars="-241"/>
        <w:rPr>
          <w:color w:val="auto"/>
          <w:sz w:val="24"/>
          <w:szCs w:val="24"/>
          <w:highlight w:val="none"/>
        </w:rPr>
      </w:pPr>
      <w:r>
        <w:rPr>
          <w:b/>
          <w:color w:val="auto"/>
          <w:sz w:val="24"/>
          <w:szCs w:val="24"/>
          <w:highlight w:val="none"/>
        </w:rPr>
        <w:t>2</w:t>
      </w:r>
      <w:r>
        <w:rPr>
          <w:rFonts w:hint="eastAsia"/>
          <w:b/>
          <w:color w:val="auto"/>
          <w:sz w:val="24"/>
          <w:szCs w:val="24"/>
          <w:highlight w:val="none"/>
        </w:rPr>
        <w:t>0</w:t>
      </w:r>
      <w:r>
        <w:rPr>
          <w:b/>
          <w:color w:val="auto"/>
          <w:sz w:val="24"/>
          <w:szCs w:val="24"/>
          <w:highlight w:val="none"/>
        </w:rPr>
        <w:t>.</w:t>
      </w:r>
      <w:r>
        <w:rPr>
          <w:color w:val="auto"/>
          <w:sz w:val="24"/>
          <w:szCs w:val="24"/>
          <w:highlight w:val="none"/>
        </w:rPr>
        <w:t xml:space="preserve">  </w:t>
      </w:r>
      <w:r>
        <w:rPr>
          <w:b/>
          <w:color w:val="auto"/>
          <w:sz w:val="24"/>
          <w:szCs w:val="24"/>
          <w:highlight w:val="none"/>
        </w:rPr>
        <w:t xml:space="preserve"> </w:t>
      </w:r>
      <w:r>
        <w:rPr>
          <w:rFonts w:hAnsi="宋体"/>
          <w:b/>
          <w:color w:val="auto"/>
          <w:sz w:val="24"/>
          <w:szCs w:val="24"/>
          <w:highlight w:val="none"/>
        </w:rPr>
        <w:t>评标过程保密</w:t>
      </w:r>
    </w:p>
    <w:p w14:paraId="20E960C0">
      <w:pPr>
        <w:spacing w:line="360" w:lineRule="exact"/>
        <w:ind w:right="-506" w:rightChars="-241"/>
        <w:rPr>
          <w:color w:val="auto"/>
          <w:sz w:val="24"/>
          <w:szCs w:val="24"/>
          <w:highlight w:val="none"/>
        </w:rPr>
      </w:pPr>
      <w:r>
        <w:rPr>
          <w:b/>
          <w:color w:val="auto"/>
          <w:sz w:val="24"/>
          <w:szCs w:val="24"/>
          <w:highlight w:val="none"/>
        </w:rPr>
        <w:t>2</w:t>
      </w:r>
      <w:r>
        <w:rPr>
          <w:rFonts w:hint="eastAsia"/>
          <w:b/>
          <w:color w:val="auto"/>
          <w:sz w:val="24"/>
          <w:szCs w:val="24"/>
          <w:highlight w:val="none"/>
        </w:rPr>
        <w:t>0</w:t>
      </w:r>
      <w:r>
        <w:rPr>
          <w:b/>
          <w:color w:val="auto"/>
          <w:sz w:val="24"/>
          <w:szCs w:val="24"/>
          <w:highlight w:val="none"/>
        </w:rPr>
        <w:t xml:space="preserve">.1  </w:t>
      </w:r>
      <w:r>
        <w:rPr>
          <w:rFonts w:hint="eastAsia"/>
          <w:color w:val="auto"/>
          <w:sz w:val="24"/>
          <w:szCs w:val="24"/>
          <w:highlight w:val="none"/>
        </w:rPr>
        <w:t>在</w:t>
      </w:r>
      <w:r>
        <w:rPr>
          <w:rFonts w:hAnsi="宋体"/>
          <w:color w:val="auto"/>
          <w:sz w:val="24"/>
          <w:szCs w:val="24"/>
          <w:highlight w:val="none"/>
        </w:rPr>
        <w:t>中标</w:t>
      </w:r>
      <w:r>
        <w:rPr>
          <w:rFonts w:hint="eastAsia" w:hAnsi="宋体"/>
          <w:color w:val="auto"/>
          <w:sz w:val="24"/>
          <w:szCs w:val="24"/>
          <w:highlight w:val="none"/>
        </w:rPr>
        <w:t>公告发布</w:t>
      </w:r>
      <w:r>
        <w:rPr>
          <w:rFonts w:hAnsi="宋体"/>
          <w:color w:val="auto"/>
          <w:sz w:val="24"/>
          <w:szCs w:val="24"/>
          <w:highlight w:val="none"/>
        </w:rPr>
        <w:t>之前，凡是涉及评标委员会名单</w:t>
      </w:r>
      <w:r>
        <w:rPr>
          <w:rFonts w:hint="eastAsia" w:hAnsi="宋体"/>
          <w:color w:val="auto"/>
          <w:sz w:val="24"/>
          <w:szCs w:val="24"/>
          <w:highlight w:val="none"/>
        </w:rPr>
        <w:t>，</w:t>
      </w:r>
      <w:r>
        <w:rPr>
          <w:rFonts w:hAnsi="宋体"/>
          <w:color w:val="auto"/>
          <w:sz w:val="24"/>
          <w:szCs w:val="24"/>
          <w:highlight w:val="none"/>
        </w:rPr>
        <w:t>投标文件的评价</w:t>
      </w:r>
      <w:r>
        <w:rPr>
          <w:rFonts w:hint="eastAsia" w:hAnsi="宋体"/>
          <w:color w:val="auto"/>
          <w:sz w:val="24"/>
          <w:szCs w:val="24"/>
          <w:highlight w:val="none"/>
        </w:rPr>
        <w:t>与比较，与</w:t>
      </w:r>
      <w:r>
        <w:rPr>
          <w:rFonts w:hAnsi="宋体"/>
          <w:color w:val="auto"/>
          <w:sz w:val="24"/>
          <w:szCs w:val="24"/>
          <w:highlight w:val="none"/>
        </w:rPr>
        <w:t>投标有关</w:t>
      </w:r>
      <w:r>
        <w:rPr>
          <w:rFonts w:hint="eastAsia" w:hAnsi="宋体"/>
          <w:color w:val="auto"/>
          <w:sz w:val="24"/>
          <w:szCs w:val="24"/>
          <w:highlight w:val="none"/>
        </w:rPr>
        <w:t>的</w:t>
      </w:r>
      <w:r>
        <w:rPr>
          <w:rFonts w:hAnsi="宋体"/>
          <w:color w:val="auto"/>
          <w:sz w:val="24"/>
          <w:szCs w:val="24"/>
          <w:highlight w:val="none"/>
        </w:rPr>
        <w:t>资料</w:t>
      </w:r>
      <w:r>
        <w:rPr>
          <w:rFonts w:hint="eastAsia" w:hAnsi="宋体"/>
          <w:color w:val="auto"/>
          <w:sz w:val="24"/>
          <w:szCs w:val="24"/>
          <w:highlight w:val="none"/>
        </w:rPr>
        <w:t>，</w:t>
      </w:r>
      <w:r>
        <w:rPr>
          <w:rFonts w:hAnsi="宋体"/>
          <w:color w:val="auto"/>
          <w:sz w:val="24"/>
          <w:szCs w:val="24"/>
          <w:highlight w:val="none"/>
        </w:rPr>
        <w:t>授标意向等，评标委员会成员、采购人和采购代理公司的有关人员均不得向投标人或其他无关的人员透露。</w:t>
      </w:r>
    </w:p>
    <w:p w14:paraId="4E8EDED8">
      <w:pPr>
        <w:spacing w:line="360" w:lineRule="exact"/>
        <w:ind w:right="-506" w:rightChars="-241"/>
        <w:rPr>
          <w:color w:val="auto"/>
          <w:sz w:val="24"/>
          <w:szCs w:val="24"/>
          <w:highlight w:val="none"/>
        </w:rPr>
      </w:pPr>
    </w:p>
    <w:p w14:paraId="7821F791">
      <w:pPr>
        <w:spacing w:line="360" w:lineRule="exact"/>
        <w:ind w:right="-506" w:rightChars="-241"/>
        <w:rPr>
          <w:b/>
          <w:color w:val="auto"/>
          <w:sz w:val="24"/>
          <w:szCs w:val="24"/>
          <w:highlight w:val="none"/>
        </w:rPr>
      </w:pPr>
      <w:r>
        <w:rPr>
          <w:b/>
          <w:color w:val="auto"/>
          <w:sz w:val="24"/>
          <w:szCs w:val="24"/>
          <w:highlight w:val="none"/>
        </w:rPr>
        <w:t>2</w:t>
      </w:r>
      <w:r>
        <w:rPr>
          <w:rFonts w:hint="eastAsia"/>
          <w:b/>
          <w:color w:val="auto"/>
          <w:sz w:val="24"/>
          <w:szCs w:val="24"/>
          <w:highlight w:val="none"/>
        </w:rPr>
        <w:t>1</w:t>
      </w:r>
      <w:r>
        <w:rPr>
          <w:b/>
          <w:color w:val="auto"/>
          <w:sz w:val="24"/>
          <w:szCs w:val="24"/>
          <w:highlight w:val="none"/>
        </w:rPr>
        <w:t>.</w:t>
      </w:r>
      <w:r>
        <w:rPr>
          <w:color w:val="auto"/>
          <w:sz w:val="24"/>
          <w:szCs w:val="24"/>
          <w:highlight w:val="none"/>
        </w:rPr>
        <w:t xml:space="preserve">  </w:t>
      </w:r>
      <w:r>
        <w:rPr>
          <w:rFonts w:hAnsi="宋体"/>
          <w:b/>
          <w:color w:val="auto"/>
          <w:sz w:val="24"/>
          <w:szCs w:val="24"/>
          <w:highlight w:val="none"/>
        </w:rPr>
        <w:t>确定中标供应商、评标结果</w:t>
      </w:r>
      <w:r>
        <w:rPr>
          <w:rFonts w:hint="eastAsia" w:hAnsi="宋体"/>
          <w:b/>
          <w:color w:val="auto"/>
          <w:sz w:val="24"/>
          <w:szCs w:val="24"/>
          <w:highlight w:val="none"/>
        </w:rPr>
        <w:t>公告</w:t>
      </w:r>
    </w:p>
    <w:p w14:paraId="305C06A4">
      <w:pPr>
        <w:spacing w:line="360" w:lineRule="exact"/>
        <w:ind w:right="-506" w:rightChars="-241"/>
        <w:rPr>
          <w:color w:val="auto"/>
          <w:sz w:val="24"/>
          <w:szCs w:val="24"/>
          <w:highlight w:val="none"/>
        </w:rPr>
      </w:pPr>
      <w:r>
        <w:rPr>
          <w:b/>
          <w:color w:val="auto"/>
          <w:sz w:val="24"/>
          <w:szCs w:val="24"/>
          <w:highlight w:val="none"/>
        </w:rPr>
        <w:t>2</w:t>
      </w:r>
      <w:r>
        <w:rPr>
          <w:rFonts w:hint="eastAsia"/>
          <w:b/>
          <w:color w:val="auto"/>
          <w:sz w:val="24"/>
          <w:szCs w:val="24"/>
          <w:highlight w:val="none"/>
        </w:rPr>
        <w:t>1</w:t>
      </w:r>
      <w:r>
        <w:rPr>
          <w:b/>
          <w:color w:val="auto"/>
          <w:sz w:val="24"/>
          <w:szCs w:val="24"/>
          <w:highlight w:val="none"/>
        </w:rPr>
        <w:t xml:space="preserve">.1  </w:t>
      </w:r>
      <w:r>
        <w:rPr>
          <w:rFonts w:hAnsi="宋体"/>
          <w:color w:val="auto"/>
          <w:sz w:val="24"/>
          <w:szCs w:val="24"/>
          <w:highlight w:val="none"/>
        </w:rPr>
        <w:t>采购人根据评标报告中推荐的中标候选供应商确定中标供应商。中标供应商一经确定，本采购代理公司即在规定的政府采购信息发布媒体上发布中标公告，投标人可到网上查询相关的中标信息。</w:t>
      </w:r>
    </w:p>
    <w:p w14:paraId="25F7288B">
      <w:pPr>
        <w:spacing w:line="360" w:lineRule="exact"/>
        <w:ind w:right="-506" w:rightChars="-241"/>
        <w:rPr>
          <w:color w:val="auto"/>
          <w:sz w:val="24"/>
          <w:szCs w:val="24"/>
          <w:highlight w:val="none"/>
        </w:rPr>
      </w:pPr>
    </w:p>
    <w:p w14:paraId="4443F3AC">
      <w:pPr>
        <w:spacing w:line="360" w:lineRule="exact"/>
        <w:ind w:right="-506" w:rightChars="-241"/>
        <w:jc w:val="center"/>
        <w:rPr>
          <w:b/>
          <w:color w:val="auto"/>
          <w:sz w:val="24"/>
          <w:szCs w:val="24"/>
          <w:highlight w:val="none"/>
        </w:rPr>
      </w:pPr>
      <w:r>
        <w:rPr>
          <w:b/>
          <w:color w:val="auto"/>
          <w:sz w:val="24"/>
          <w:szCs w:val="24"/>
          <w:highlight w:val="none"/>
        </w:rPr>
        <w:t xml:space="preserve">G  </w:t>
      </w:r>
      <w:r>
        <w:rPr>
          <w:rFonts w:hAnsi="宋体"/>
          <w:b/>
          <w:color w:val="auto"/>
          <w:sz w:val="24"/>
          <w:szCs w:val="24"/>
          <w:highlight w:val="none"/>
        </w:rPr>
        <w:t>授予合同</w:t>
      </w:r>
    </w:p>
    <w:p w14:paraId="267F910F">
      <w:pPr>
        <w:spacing w:line="360" w:lineRule="exact"/>
        <w:ind w:right="-506" w:rightChars="-241"/>
        <w:rPr>
          <w:b/>
          <w:color w:val="auto"/>
          <w:sz w:val="24"/>
          <w:szCs w:val="24"/>
          <w:highlight w:val="none"/>
        </w:rPr>
      </w:pPr>
    </w:p>
    <w:p w14:paraId="56607256">
      <w:pPr>
        <w:spacing w:line="360" w:lineRule="exact"/>
        <w:ind w:right="-506" w:rightChars="-241"/>
        <w:rPr>
          <w:color w:val="auto"/>
          <w:sz w:val="24"/>
          <w:szCs w:val="24"/>
          <w:highlight w:val="none"/>
        </w:rPr>
      </w:pPr>
      <w:r>
        <w:rPr>
          <w:b/>
          <w:color w:val="auto"/>
          <w:sz w:val="24"/>
          <w:szCs w:val="24"/>
          <w:highlight w:val="none"/>
        </w:rPr>
        <w:t>2</w:t>
      </w:r>
      <w:r>
        <w:rPr>
          <w:rFonts w:hint="eastAsia"/>
          <w:b/>
          <w:color w:val="auto"/>
          <w:sz w:val="24"/>
          <w:szCs w:val="24"/>
          <w:highlight w:val="none"/>
        </w:rPr>
        <w:t>2</w:t>
      </w:r>
      <w:r>
        <w:rPr>
          <w:b/>
          <w:color w:val="auto"/>
          <w:sz w:val="24"/>
          <w:szCs w:val="24"/>
          <w:highlight w:val="none"/>
        </w:rPr>
        <w:t xml:space="preserve">.  </w:t>
      </w:r>
      <w:r>
        <w:rPr>
          <w:color w:val="auto"/>
          <w:sz w:val="24"/>
          <w:szCs w:val="24"/>
          <w:highlight w:val="none"/>
        </w:rPr>
        <w:t xml:space="preserve">  </w:t>
      </w:r>
      <w:r>
        <w:rPr>
          <w:rFonts w:hAnsi="宋体"/>
          <w:b/>
          <w:color w:val="auto"/>
          <w:sz w:val="24"/>
          <w:szCs w:val="24"/>
          <w:highlight w:val="none"/>
        </w:rPr>
        <w:t>中标通知</w:t>
      </w:r>
    </w:p>
    <w:p w14:paraId="4F7B1875">
      <w:pPr>
        <w:spacing w:line="360" w:lineRule="exact"/>
        <w:ind w:right="-506" w:rightChars="-241"/>
        <w:rPr>
          <w:color w:val="auto"/>
          <w:sz w:val="24"/>
          <w:szCs w:val="24"/>
          <w:highlight w:val="none"/>
        </w:rPr>
      </w:pPr>
      <w:r>
        <w:rPr>
          <w:b/>
          <w:color w:val="auto"/>
          <w:sz w:val="24"/>
          <w:szCs w:val="24"/>
          <w:highlight w:val="none"/>
        </w:rPr>
        <w:t>2</w:t>
      </w:r>
      <w:r>
        <w:rPr>
          <w:rFonts w:hint="eastAsia"/>
          <w:b/>
          <w:color w:val="auto"/>
          <w:sz w:val="24"/>
          <w:szCs w:val="24"/>
          <w:highlight w:val="none"/>
        </w:rPr>
        <w:t>2</w:t>
      </w:r>
      <w:r>
        <w:rPr>
          <w:b/>
          <w:color w:val="auto"/>
          <w:sz w:val="24"/>
          <w:szCs w:val="24"/>
          <w:highlight w:val="none"/>
        </w:rPr>
        <w:t xml:space="preserve">.1  </w:t>
      </w:r>
      <w:r>
        <w:rPr>
          <w:rFonts w:hAnsi="宋体"/>
          <w:color w:val="auto"/>
          <w:sz w:val="24"/>
          <w:szCs w:val="24"/>
          <w:highlight w:val="none"/>
        </w:rPr>
        <w:t>在</w:t>
      </w:r>
      <w:r>
        <w:rPr>
          <w:rFonts w:hint="eastAsia" w:hAnsi="宋体"/>
          <w:color w:val="auto"/>
          <w:sz w:val="24"/>
          <w:szCs w:val="24"/>
          <w:highlight w:val="none"/>
        </w:rPr>
        <w:t>发布中标公告同时</w:t>
      </w:r>
      <w:r>
        <w:rPr>
          <w:rFonts w:hAnsi="宋体"/>
          <w:color w:val="auto"/>
          <w:sz w:val="24"/>
          <w:szCs w:val="24"/>
          <w:highlight w:val="none"/>
        </w:rPr>
        <w:t>，本采购代理公司向中标供应商发出中标通知</w:t>
      </w:r>
      <w:r>
        <w:rPr>
          <w:rFonts w:hint="eastAsia" w:hAnsi="宋体"/>
          <w:color w:val="auto"/>
          <w:sz w:val="24"/>
          <w:szCs w:val="24"/>
          <w:highlight w:val="none"/>
        </w:rPr>
        <w:t>书</w:t>
      </w:r>
      <w:r>
        <w:rPr>
          <w:rFonts w:hAnsi="宋体"/>
          <w:color w:val="auto"/>
          <w:sz w:val="24"/>
          <w:szCs w:val="24"/>
          <w:highlight w:val="none"/>
        </w:rPr>
        <w:t>，中标通知书对采购人和中标供应商具有同等法律效力。</w:t>
      </w:r>
    </w:p>
    <w:p w14:paraId="3845808A">
      <w:pPr>
        <w:spacing w:line="360" w:lineRule="exact"/>
        <w:ind w:right="-506" w:rightChars="-241"/>
        <w:rPr>
          <w:rFonts w:hAnsi="宋体"/>
          <w:color w:val="auto"/>
          <w:sz w:val="24"/>
          <w:szCs w:val="24"/>
          <w:highlight w:val="none"/>
        </w:rPr>
      </w:pPr>
      <w:r>
        <w:rPr>
          <w:b/>
          <w:color w:val="auto"/>
          <w:sz w:val="24"/>
          <w:szCs w:val="24"/>
          <w:highlight w:val="none"/>
        </w:rPr>
        <w:t>2</w:t>
      </w:r>
      <w:r>
        <w:rPr>
          <w:rFonts w:hint="eastAsia"/>
          <w:b/>
          <w:color w:val="auto"/>
          <w:sz w:val="24"/>
          <w:szCs w:val="24"/>
          <w:highlight w:val="none"/>
        </w:rPr>
        <w:t>2</w:t>
      </w:r>
      <w:r>
        <w:rPr>
          <w:b/>
          <w:color w:val="auto"/>
          <w:sz w:val="24"/>
          <w:szCs w:val="24"/>
          <w:highlight w:val="none"/>
        </w:rPr>
        <w:t>.2</w:t>
      </w:r>
      <w:r>
        <w:rPr>
          <w:color w:val="auto"/>
          <w:sz w:val="24"/>
          <w:szCs w:val="24"/>
          <w:highlight w:val="none"/>
        </w:rPr>
        <w:t xml:space="preserve">  </w:t>
      </w:r>
      <w:r>
        <w:rPr>
          <w:rFonts w:hAnsi="宋体"/>
          <w:color w:val="auto"/>
          <w:sz w:val="24"/>
          <w:szCs w:val="24"/>
          <w:highlight w:val="none"/>
        </w:rPr>
        <w:t>在中标供应商与采购人签订合同时，中标通知书是合同的一个组成部分。</w:t>
      </w:r>
    </w:p>
    <w:p w14:paraId="0BB544B8">
      <w:pPr>
        <w:spacing w:line="360" w:lineRule="exact"/>
        <w:ind w:right="-506" w:rightChars="-241"/>
        <w:rPr>
          <w:color w:val="auto"/>
          <w:sz w:val="24"/>
          <w:szCs w:val="24"/>
          <w:highlight w:val="none"/>
        </w:rPr>
      </w:pPr>
    </w:p>
    <w:p w14:paraId="0C252A53">
      <w:pPr>
        <w:spacing w:line="360" w:lineRule="exact"/>
        <w:ind w:right="-506" w:rightChars="-241"/>
        <w:rPr>
          <w:color w:val="auto"/>
          <w:sz w:val="24"/>
          <w:szCs w:val="24"/>
          <w:highlight w:val="none"/>
        </w:rPr>
      </w:pPr>
      <w:r>
        <w:rPr>
          <w:b/>
          <w:color w:val="auto"/>
          <w:sz w:val="24"/>
          <w:szCs w:val="24"/>
          <w:highlight w:val="none"/>
        </w:rPr>
        <w:t>2</w:t>
      </w:r>
      <w:r>
        <w:rPr>
          <w:rFonts w:hint="eastAsia"/>
          <w:b/>
          <w:color w:val="auto"/>
          <w:sz w:val="24"/>
          <w:szCs w:val="24"/>
          <w:highlight w:val="none"/>
        </w:rPr>
        <w:t>3</w:t>
      </w:r>
      <w:r>
        <w:rPr>
          <w:b/>
          <w:color w:val="auto"/>
          <w:sz w:val="24"/>
          <w:szCs w:val="24"/>
          <w:highlight w:val="none"/>
        </w:rPr>
        <w:t>.</w:t>
      </w:r>
      <w:r>
        <w:rPr>
          <w:color w:val="auto"/>
          <w:sz w:val="24"/>
          <w:szCs w:val="24"/>
          <w:highlight w:val="none"/>
        </w:rPr>
        <w:t xml:space="preserve">    </w:t>
      </w:r>
      <w:r>
        <w:rPr>
          <w:rFonts w:hAnsi="宋体"/>
          <w:b/>
          <w:color w:val="auto"/>
          <w:sz w:val="24"/>
          <w:szCs w:val="24"/>
          <w:highlight w:val="none"/>
        </w:rPr>
        <w:t>签订合同</w:t>
      </w:r>
    </w:p>
    <w:p w14:paraId="3550233A">
      <w:pPr>
        <w:spacing w:line="360" w:lineRule="exact"/>
        <w:ind w:right="-506" w:rightChars="-241"/>
        <w:rPr>
          <w:color w:val="auto"/>
          <w:sz w:val="24"/>
          <w:szCs w:val="24"/>
          <w:highlight w:val="none"/>
        </w:rPr>
      </w:pPr>
      <w:r>
        <w:rPr>
          <w:b/>
          <w:color w:val="auto"/>
          <w:sz w:val="24"/>
          <w:szCs w:val="24"/>
          <w:highlight w:val="none"/>
        </w:rPr>
        <w:t>2</w:t>
      </w:r>
      <w:r>
        <w:rPr>
          <w:rFonts w:hint="eastAsia"/>
          <w:b/>
          <w:color w:val="auto"/>
          <w:sz w:val="24"/>
          <w:szCs w:val="24"/>
          <w:highlight w:val="none"/>
        </w:rPr>
        <w:t>3</w:t>
      </w:r>
      <w:r>
        <w:rPr>
          <w:b/>
          <w:color w:val="auto"/>
          <w:sz w:val="24"/>
          <w:szCs w:val="24"/>
          <w:highlight w:val="none"/>
        </w:rPr>
        <w:t>.1</w:t>
      </w:r>
      <w:r>
        <w:rPr>
          <w:color w:val="auto"/>
          <w:sz w:val="24"/>
          <w:szCs w:val="24"/>
          <w:highlight w:val="none"/>
        </w:rPr>
        <w:t xml:space="preserve">  </w:t>
      </w:r>
      <w:r>
        <w:rPr>
          <w:rFonts w:hAnsi="宋体"/>
          <w:color w:val="auto"/>
          <w:sz w:val="24"/>
          <w:szCs w:val="24"/>
          <w:highlight w:val="none"/>
        </w:rPr>
        <w:t>中标供应商在本采购代理公司发出中标通知书的</w:t>
      </w:r>
      <w:r>
        <w:rPr>
          <w:color w:val="auto"/>
          <w:sz w:val="24"/>
          <w:szCs w:val="24"/>
          <w:highlight w:val="none"/>
        </w:rPr>
        <w:t>30</w:t>
      </w:r>
      <w:r>
        <w:rPr>
          <w:rFonts w:hAnsi="宋体"/>
          <w:color w:val="auto"/>
          <w:sz w:val="24"/>
          <w:szCs w:val="24"/>
          <w:highlight w:val="none"/>
        </w:rPr>
        <w:t>日内</w:t>
      </w:r>
      <w:r>
        <w:rPr>
          <w:rFonts w:hint="eastAsia"/>
          <w:color w:val="auto"/>
          <w:sz w:val="24"/>
          <w:szCs w:val="24"/>
          <w:highlight w:val="none"/>
        </w:rPr>
        <w:t>，</w:t>
      </w:r>
      <w:r>
        <w:rPr>
          <w:rFonts w:hAnsi="宋体"/>
          <w:color w:val="auto"/>
          <w:sz w:val="24"/>
          <w:szCs w:val="24"/>
          <w:highlight w:val="none"/>
        </w:rPr>
        <w:t>应与采购人按照招标文件和中标供应商的投标文件的约定内容签订书面合同。</w:t>
      </w:r>
    </w:p>
    <w:p w14:paraId="09C2C192">
      <w:pPr>
        <w:spacing w:line="360" w:lineRule="exact"/>
        <w:ind w:right="-506" w:rightChars="-241"/>
        <w:rPr>
          <w:rFonts w:hAnsi="宋体"/>
          <w:color w:val="auto"/>
          <w:sz w:val="24"/>
          <w:szCs w:val="24"/>
          <w:highlight w:val="none"/>
        </w:rPr>
      </w:pPr>
      <w:r>
        <w:rPr>
          <w:b/>
          <w:color w:val="auto"/>
          <w:sz w:val="24"/>
          <w:szCs w:val="24"/>
          <w:highlight w:val="none"/>
        </w:rPr>
        <w:t>2</w:t>
      </w:r>
      <w:r>
        <w:rPr>
          <w:rFonts w:hint="eastAsia"/>
          <w:b/>
          <w:color w:val="auto"/>
          <w:sz w:val="24"/>
          <w:szCs w:val="24"/>
          <w:highlight w:val="none"/>
        </w:rPr>
        <w:t>3</w:t>
      </w:r>
      <w:r>
        <w:rPr>
          <w:b/>
          <w:color w:val="auto"/>
          <w:sz w:val="24"/>
          <w:szCs w:val="24"/>
          <w:highlight w:val="none"/>
        </w:rPr>
        <w:t xml:space="preserve">.2 </w:t>
      </w:r>
      <w:r>
        <w:rPr>
          <w:color w:val="auto"/>
          <w:sz w:val="24"/>
          <w:szCs w:val="24"/>
          <w:highlight w:val="none"/>
        </w:rPr>
        <w:t xml:space="preserve"> </w:t>
      </w:r>
      <w:r>
        <w:rPr>
          <w:rFonts w:hint="eastAsia"/>
          <w:color w:val="auto"/>
          <w:sz w:val="24"/>
          <w:szCs w:val="24"/>
          <w:highlight w:val="none"/>
        </w:rPr>
        <w:t>中标通知书、</w:t>
      </w:r>
      <w:r>
        <w:rPr>
          <w:rFonts w:hAnsi="宋体"/>
          <w:color w:val="auto"/>
          <w:sz w:val="24"/>
          <w:szCs w:val="24"/>
          <w:highlight w:val="none"/>
        </w:rPr>
        <w:t>招标文件、中标供应商的投标文件及</w:t>
      </w:r>
      <w:r>
        <w:rPr>
          <w:rFonts w:hint="eastAsia" w:hAnsi="宋体"/>
          <w:color w:val="auto"/>
          <w:sz w:val="24"/>
          <w:szCs w:val="24"/>
          <w:highlight w:val="none"/>
        </w:rPr>
        <w:t>采购</w:t>
      </w:r>
      <w:r>
        <w:rPr>
          <w:rFonts w:hAnsi="宋体"/>
          <w:color w:val="auto"/>
          <w:sz w:val="24"/>
          <w:szCs w:val="24"/>
          <w:highlight w:val="none"/>
        </w:rPr>
        <w:t>过程中的澄清文件</w:t>
      </w:r>
      <w:r>
        <w:rPr>
          <w:rFonts w:hint="eastAsia" w:hAnsi="宋体"/>
          <w:color w:val="auto"/>
          <w:sz w:val="24"/>
          <w:szCs w:val="24"/>
          <w:highlight w:val="none"/>
        </w:rPr>
        <w:t>（如有）</w:t>
      </w:r>
      <w:r>
        <w:rPr>
          <w:rFonts w:hAnsi="宋体"/>
          <w:color w:val="auto"/>
          <w:sz w:val="24"/>
          <w:szCs w:val="24"/>
          <w:highlight w:val="none"/>
        </w:rPr>
        <w:t>均应作为合同附件。</w:t>
      </w:r>
    </w:p>
    <w:p w14:paraId="4990C20B">
      <w:pPr>
        <w:spacing w:line="360" w:lineRule="exact"/>
        <w:ind w:right="-506" w:rightChars="-241"/>
        <w:rPr>
          <w:color w:val="auto"/>
          <w:sz w:val="24"/>
          <w:szCs w:val="24"/>
          <w:highlight w:val="none"/>
        </w:rPr>
      </w:pPr>
    </w:p>
    <w:p w14:paraId="33AA927A">
      <w:pPr>
        <w:spacing w:line="360" w:lineRule="exact"/>
        <w:ind w:right="-506" w:rightChars="-241"/>
        <w:jc w:val="center"/>
        <w:rPr>
          <w:b/>
          <w:color w:val="auto"/>
          <w:sz w:val="24"/>
          <w:szCs w:val="24"/>
          <w:highlight w:val="none"/>
        </w:rPr>
      </w:pPr>
      <w:r>
        <w:rPr>
          <w:b/>
          <w:color w:val="auto"/>
          <w:sz w:val="24"/>
          <w:szCs w:val="24"/>
          <w:highlight w:val="none"/>
        </w:rPr>
        <w:t xml:space="preserve">H  </w:t>
      </w:r>
      <w:r>
        <w:rPr>
          <w:rFonts w:hint="eastAsia"/>
          <w:b/>
          <w:color w:val="auto"/>
          <w:sz w:val="24"/>
          <w:szCs w:val="24"/>
          <w:highlight w:val="none"/>
        </w:rPr>
        <w:t>质疑</w:t>
      </w:r>
    </w:p>
    <w:p w14:paraId="03F31590">
      <w:pPr>
        <w:spacing w:line="360" w:lineRule="exact"/>
        <w:ind w:right="-506" w:rightChars="-241"/>
        <w:rPr>
          <w:b/>
          <w:color w:val="auto"/>
          <w:sz w:val="24"/>
          <w:szCs w:val="24"/>
          <w:highlight w:val="none"/>
        </w:rPr>
      </w:pPr>
      <w:r>
        <w:rPr>
          <w:b/>
          <w:color w:val="auto"/>
          <w:sz w:val="24"/>
          <w:szCs w:val="24"/>
          <w:highlight w:val="none"/>
        </w:rPr>
        <w:t>2</w:t>
      </w:r>
      <w:r>
        <w:rPr>
          <w:rFonts w:hint="eastAsia"/>
          <w:b/>
          <w:color w:val="auto"/>
          <w:sz w:val="24"/>
          <w:szCs w:val="24"/>
          <w:highlight w:val="none"/>
        </w:rPr>
        <w:t>4</w:t>
      </w:r>
      <w:r>
        <w:rPr>
          <w:b/>
          <w:color w:val="auto"/>
          <w:sz w:val="24"/>
          <w:szCs w:val="24"/>
          <w:highlight w:val="none"/>
        </w:rPr>
        <w:t xml:space="preserve">.  </w:t>
      </w:r>
      <w:r>
        <w:rPr>
          <w:rFonts w:hint="eastAsia"/>
          <w:b/>
          <w:color w:val="auto"/>
          <w:sz w:val="24"/>
          <w:szCs w:val="24"/>
          <w:highlight w:val="none"/>
        </w:rPr>
        <w:t>对供应商质疑的有关规定</w:t>
      </w:r>
    </w:p>
    <w:p w14:paraId="325D7BDB">
      <w:pPr>
        <w:spacing w:line="360" w:lineRule="exact"/>
        <w:ind w:right="-506" w:rightChars="-241"/>
        <w:rPr>
          <w:bCs/>
          <w:color w:val="auto"/>
          <w:sz w:val="24"/>
          <w:szCs w:val="24"/>
          <w:highlight w:val="none"/>
        </w:rPr>
      </w:pPr>
      <w:r>
        <w:rPr>
          <w:rFonts w:hint="eastAsia"/>
          <w:b/>
          <w:color w:val="auto"/>
          <w:sz w:val="24"/>
          <w:szCs w:val="24"/>
          <w:highlight w:val="none"/>
        </w:rPr>
        <w:t>24.1</w:t>
      </w:r>
      <w:r>
        <w:rPr>
          <w:rFonts w:hint="eastAsia"/>
          <w:bCs/>
          <w:color w:val="auto"/>
          <w:sz w:val="24"/>
          <w:szCs w:val="24"/>
          <w:highlight w:val="none"/>
        </w:rPr>
        <w:t>供应商认为采购文件、采购过程、中标结果使自己的权益受到损害的，可以在知道或者应知其权益受到损害之日起7个工作日内，以书面形式向采购人、代理机构提出质疑。</w:t>
      </w:r>
    </w:p>
    <w:p w14:paraId="19D4161B">
      <w:pPr>
        <w:spacing w:line="360" w:lineRule="exact"/>
        <w:ind w:right="-506" w:rightChars="-241"/>
        <w:rPr>
          <w:bCs/>
          <w:color w:val="auto"/>
          <w:sz w:val="24"/>
          <w:szCs w:val="24"/>
          <w:highlight w:val="none"/>
        </w:rPr>
      </w:pPr>
      <w:r>
        <w:rPr>
          <w:rFonts w:hint="eastAsia"/>
          <w:bCs/>
          <w:color w:val="auto"/>
          <w:sz w:val="24"/>
          <w:szCs w:val="24"/>
          <w:highlight w:val="none"/>
        </w:rPr>
        <w:t>提出质疑的期限：</w:t>
      </w:r>
    </w:p>
    <w:p w14:paraId="62543363">
      <w:pPr>
        <w:spacing w:line="360" w:lineRule="exact"/>
        <w:ind w:right="-506" w:rightChars="-241"/>
        <w:rPr>
          <w:color w:val="auto"/>
          <w:sz w:val="24"/>
          <w:szCs w:val="24"/>
          <w:highlight w:val="none"/>
        </w:rPr>
      </w:pPr>
      <w:r>
        <w:rPr>
          <w:rFonts w:hint="eastAsia"/>
          <w:color w:val="auto"/>
          <w:sz w:val="24"/>
          <w:szCs w:val="24"/>
          <w:highlight w:val="none"/>
        </w:rPr>
        <w:t>对采购文件提出质疑的，为获取采购文件之日或者采购文件公告期限届满之日起</w:t>
      </w:r>
      <w:r>
        <w:rPr>
          <w:rFonts w:hint="eastAsia"/>
          <w:color w:val="auto"/>
          <w:sz w:val="24"/>
          <w:szCs w:val="24"/>
          <w:highlight w:val="none"/>
          <w:lang w:val="en-US" w:eastAsia="zh-CN"/>
        </w:rPr>
        <w:t>7</w:t>
      </w:r>
      <w:r>
        <w:rPr>
          <w:rFonts w:hint="eastAsia"/>
          <w:color w:val="auto"/>
          <w:sz w:val="24"/>
          <w:szCs w:val="24"/>
          <w:highlight w:val="none"/>
        </w:rPr>
        <w:t>个工作日内；</w:t>
      </w:r>
    </w:p>
    <w:p w14:paraId="163AC185">
      <w:pPr>
        <w:spacing w:line="360" w:lineRule="exact"/>
        <w:ind w:right="-506" w:rightChars="-241"/>
        <w:rPr>
          <w:bCs/>
          <w:color w:val="auto"/>
          <w:sz w:val="24"/>
          <w:szCs w:val="24"/>
          <w:highlight w:val="none"/>
        </w:rPr>
      </w:pPr>
      <w:r>
        <w:rPr>
          <w:rFonts w:hint="eastAsia"/>
          <w:bCs/>
          <w:color w:val="auto"/>
          <w:sz w:val="24"/>
          <w:szCs w:val="24"/>
          <w:highlight w:val="none"/>
        </w:rPr>
        <w:t>对采购过程提出质疑的，为各采购程序环节结束之日起</w:t>
      </w:r>
      <w:r>
        <w:rPr>
          <w:rFonts w:hint="eastAsia"/>
          <w:bCs/>
          <w:color w:val="auto"/>
          <w:sz w:val="24"/>
          <w:szCs w:val="24"/>
          <w:highlight w:val="none"/>
          <w:lang w:val="en-US" w:eastAsia="zh-CN"/>
        </w:rPr>
        <w:t>7</w:t>
      </w:r>
      <w:r>
        <w:rPr>
          <w:rFonts w:hint="eastAsia"/>
          <w:bCs/>
          <w:color w:val="auto"/>
          <w:sz w:val="24"/>
          <w:szCs w:val="24"/>
          <w:highlight w:val="none"/>
        </w:rPr>
        <w:t>个工作日内；</w:t>
      </w:r>
    </w:p>
    <w:p w14:paraId="22890E61">
      <w:pPr>
        <w:spacing w:line="360" w:lineRule="exact"/>
        <w:ind w:right="-506" w:rightChars="-241"/>
        <w:rPr>
          <w:bCs/>
          <w:color w:val="auto"/>
          <w:sz w:val="24"/>
          <w:szCs w:val="24"/>
          <w:highlight w:val="none"/>
        </w:rPr>
      </w:pPr>
      <w:r>
        <w:rPr>
          <w:rFonts w:hint="eastAsia"/>
          <w:bCs/>
          <w:color w:val="auto"/>
          <w:sz w:val="24"/>
          <w:szCs w:val="24"/>
          <w:highlight w:val="none"/>
        </w:rPr>
        <w:t>对中标结果提出质疑的，为中标结果公告期限届满之日起</w:t>
      </w:r>
      <w:r>
        <w:rPr>
          <w:rFonts w:hint="eastAsia"/>
          <w:bCs/>
          <w:color w:val="auto"/>
          <w:sz w:val="24"/>
          <w:szCs w:val="24"/>
          <w:highlight w:val="none"/>
          <w:lang w:val="en-US" w:eastAsia="zh-CN"/>
        </w:rPr>
        <w:t>7</w:t>
      </w:r>
      <w:r>
        <w:rPr>
          <w:rFonts w:hint="eastAsia"/>
          <w:bCs/>
          <w:color w:val="auto"/>
          <w:sz w:val="24"/>
          <w:szCs w:val="24"/>
          <w:highlight w:val="none"/>
        </w:rPr>
        <w:t>个工作日内。</w:t>
      </w:r>
    </w:p>
    <w:p w14:paraId="57583A81">
      <w:pPr>
        <w:spacing w:line="360" w:lineRule="exact"/>
        <w:ind w:right="-506" w:rightChars="-241"/>
        <w:rPr>
          <w:bCs/>
          <w:color w:val="auto"/>
          <w:sz w:val="24"/>
          <w:szCs w:val="24"/>
          <w:highlight w:val="none"/>
        </w:rPr>
      </w:pPr>
      <w:r>
        <w:rPr>
          <w:rFonts w:hint="eastAsia"/>
          <w:bCs/>
          <w:color w:val="auto"/>
          <w:sz w:val="24"/>
          <w:szCs w:val="24"/>
          <w:highlight w:val="none"/>
        </w:rPr>
        <w:t>供应商对同一采购程序环节只能一次性提出质疑，第二次提出的质疑采购人、代理机构将不予受理（对于采购人、代理机构作出的澄清或者修改的内容提出质疑的除外）。</w:t>
      </w:r>
    </w:p>
    <w:p w14:paraId="02711F7B">
      <w:pPr>
        <w:spacing w:line="360" w:lineRule="exact"/>
        <w:ind w:right="-506" w:rightChars="-241"/>
        <w:rPr>
          <w:bCs/>
          <w:color w:val="auto"/>
          <w:sz w:val="24"/>
          <w:szCs w:val="24"/>
          <w:highlight w:val="none"/>
        </w:rPr>
      </w:pPr>
      <w:r>
        <w:rPr>
          <w:rFonts w:hint="eastAsia"/>
          <w:b/>
          <w:color w:val="auto"/>
          <w:sz w:val="24"/>
          <w:szCs w:val="24"/>
          <w:highlight w:val="none"/>
        </w:rPr>
        <w:t>24.2</w:t>
      </w:r>
      <w:r>
        <w:rPr>
          <w:rFonts w:hint="eastAsia"/>
          <w:bCs/>
          <w:color w:val="auto"/>
          <w:sz w:val="24"/>
          <w:szCs w:val="24"/>
          <w:highlight w:val="none"/>
        </w:rPr>
        <w:t>提出质疑的供应商应当是参与所质疑项目采购活动的供应商。未依法获取采购文件的，不得就采购文件提出质疑；未提交投标文件的供应商，视为与采购结果没有利害关系，不得就投标截止时间后的采购过程、采购结果提出质疑。</w:t>
      </w:r>
    </w:p>
    <w:p w14:paraId="6761E22D">
      <w:pPr>
        <w:spacing w:line="360" w:lineRule="exact"/>
        <w:ind w:right="-506" w:rightChars="-241"/>
        <w:rPr>
          <w:bCs/>
          <w:color w:val="auto"/>
          <w:sz w:val="24"/>
          <w:szCs w:val="24"/>
          <w:highlight w:val="none"/>
        </w:rPr>
      </w:pPr>
      <w:r>
        <w:rPr>
          <w:rFonts w:hint="eastAsia"/>
          <w:b/>
          <w:color w:val="auto"/>
          <w:sz w:val="24"/>
          <w:szCs w:val="24"/>
          <w:highlight w:val="none"/>
        </w:rPr>
        <w:t>24.3</w:t>
      </w:r>
      <w:r>
        <w:rPr>
          <w:rFonts w:hint="eastAsia"/>
          <w:bCs/>
          <w:color w:val="auto"/>
          <w:sz w:val="24"/>
          <w:szCs w:val="24"/>
          <w:highlight w:val="none"/>
        </w:rPr>
        <w:t>供应商提出质疑应当提交质疑函和必要的证明材料，质疑函应当以书面形式提出，质疑函格式和内容须符合财政部《质疑函范本》要求，供应商可到中国政府采购网自行下载财政部《质疑函范本》。</w:t>
      </w:r>
    </w:p>
    <w:p w14:paraId="3B1B7E3E">
      <w:pPr>
        <w:spacing w:line="360" w:lineRule="exact"/>
        <w:ind w:right="-506" w:rightChars="-241"/>
        <w:rPr>
          <w:bCs/>
          <w:color w:val="auto"/>
          <w:sz w:val="24"/>
          <w:szCs w:val="24"/>
          <w:highlight w:val="none"/>
          <w:lang w:val="zh-CN"/>
        </w:rPr>
      </w:pPr>
      <w:r>
        <w:rPr>
          <w:rFonts w:hint="eastAsia"/>
          <w:bCs/>
          <w:color w:val="auto"/>
          <w:sz w:val="24"/>
          <w:szCs w:val="24"/>
          <w:highlight w:val="none"/>
        </w:rPr>
        <w:t>质疑函应当包括下列内容：</w:t>
      </w:r>
    </w:p>
    <w:p w14:paraId="7BF48CE1">
      <w:pPr>
        <w:spacing w:line="360" w:lineRule="exact"/>
        <w:ind w:right="-506" w:rightChars="-241"/>
        <w:rPr>
          <w:bCs/>
          <w:color w:val="auto"/>
          <w:sz w:val="24"/>
          <w:szCs w:val="24"/>
          <w:highlight w:val="none"/>
          <w:lang w:val="zh-CN"/>
        </w:rPr>
      </w:pPr>
      <w:r>
        <w:rPr>
          <w:rFonts w:hint="eastAsia"/>
          <w:bCs/>
          <w:color w:val="auto"/>
          <w:sz w:val="24"/>
          <w:szCs w:val="24"/>
          <w:highlight w:val="none"/>
          <w:lang w:val="zh-CN"/>
        </w:rPr>
        <w:t>供应商名称、地址、邮编、联系人及联系电话；</w:t>
      </w:r>
    </w:p>
    <w:p w14:paraId="38709A26">
      <w:pPr>
        <w:spacing w:line="360" w:lineRule="exact"/>
        <w:ind w:right="-506" w:rightChars="-241"/>
        <w:rPr>
          <w:bCs/>
          <w:color w:val="auto"/>
          <w:sz w:val="24"/>
          <w:szCs w:val="24"/>
          <w:highlight w:val="none"/>
          <w:lang w:val="zh-CN"/>
        </w:rPr>
      </w:pPr>
      <w:r>
        <w:rPr>
          <w:rFonts w:hint="eastAsia"/>
          <w:bCs/>
          <w:color w:val="auto"/>
          <w:sz w:val="24"/>
          <w:szCs w:val="24"/>
          <w:highlight w:val="none"/>
          <w:lang w:val="zh-CN"/>
        </w:rPr>
        <w:t>质疑项目的名称、编号；</w:t>
      </w:r>
    </w:p>
    <w:p w14:paraId="13F5891F">
      <w:pPr>
        <w:spacing w:line="360" w:lineRule="exact"/>
        <w:ind w:right="-506" w:rightChars="-241"/>
        <w:rPr>
          <w:bCs/>
          <w:color w:val="auto"/>
          <w:sz w:val="24"/>
          <w:szCs w:val="24"/>
          <w:highlight w:val="none"/>
          <w:lang w:val="zh-CN"/>
        </w:rPr>
      </w:pPr>
      <w:r>
        <w:rPr>
          <w:rFonts w:hint="eastAsia"/>
          <w:bCs/>
          <w:color w:val="auto"/>
          <w:sz w:val="24"/>
          <w:szCs w:val="24"/>
          <w:highlight w:val="none"/>
          <w:lang w:val="zh-CN"/>
        </w:rPr>
        <w:t>具体、明确的质疑事项和与质疑事项相关的请求；</w:t>
      </w:r>
    </w:p>
    <w:p w14:paraId="01C7FFCD">
      <w:pPr>
        <w:spacing w:line="360" w:lineRule="exact"/>
        <w:ind w:right="-506" w:rightChars="-241"/>
        <w:rPr>
          <w:bCs/>
          <w:color w:val="auto"/>
          <w:sz w:val="24"/>
          <w:szCs w:val="24"/>
          <w:highlight w:val="none"/>
          <w:lang w:val="zh-CN"/>
        </w:rPr>
      </w:pPr>
      <w:r>
        <w:rPr>
          <w:rFonts w:hint="eastAsia"/>
          <w:bCs/>
          <w:color w:val="auto"/>
          <w:sz w:val="24"/>
          <w:szCs w:val="24"/>
          <w:highlight w:val="none"/>
          <w:lang w:val="zh-CN"/>
        </w:rPr>
        <w:t>事实依据；</w:t>
      </w:r>
    </w:p>
    <w:p w14:paraId="4E4F5C50">
      <w:pPr>
        <w:spacing w:line="360" w:lineRule="exact"/>
        <w:ind w:right="-506" w:rightChars="-241"/>
        <w:rPr>
          <w:bCs/>
          <w:color w:val="auto"/>
          <w:sz w:val="24"/>
          <w:szCs w:val="24"/>
          <w:highlight w:val="none"/>
          <w:lang w:val="zh-CN"/>
        </w:rPr>
      </w:pPr>
      <w:r>
        <w:rPr>
          <w:rFonts w:hint="eastAsia"/>
          <w:bCs/>
          <w:color w:val="auto"/>
          <w:sz w:val="24"/>
          <w:szCs w:val="24"/>
          <w:highlight w:val="none"/>
          <w:lang w:val="zh-CN"/>
        </w:rPr>
        <w:t>必要的法律依据；</w:t>
      </w:r>
    </w:p>
    <w:p w14:paraId="71ABACC4">
      <w:pPr>
        <w:spacing w:line="360" w:lineRule="exact"/>
        <w:ind w:right="-506" w:rightChars="-241"/>
        <w:rPr>
          <w:bCs/>
          <w:color w:val="auto"/>
          <w:sz w:val="24"/>
          <w:szCs w:val="24"/>
          <w:highlight w:val="none"/>
          <w:lang w:val="zh-CN"/>
        </w:rPr>
      </w:pPr>
      <w:r>
        <w:rPr>
          <w:rFonts w:hint="eastAsia"/>
          <w:bCs/>
          <w:color w:val="auto"/>
          <w:sz w:val="24"/>
          <w:szCs w:val="24"/>
          <w:highlight w:val="none"/>
          <w:lang w:val="zh-CN"/>
        </w:rPr>
        <w:t>提出质疑的日期。</w:t>
      </w:r>
    </w:p>
    <w:p w14:paraId="3B9455E4">
      <w:pPr>
        <w:spacing w:line="360" w:lineRule="exact"/>
        <w:ind w:right="-506" w:rightChars="-241"/>
        <w:rPr>
          <w:bCs/>
          <w:color w:val="auto"/>
          <w:sz w:val="24"/>
          <w:szCs w:val="24"/>
          <w:highlight w:val="none"/>
          <w:lang w:val="zh-CN"/>
        </w:rPr>
      </w:pPr>
      <w:r>
        <w:rPr>
          <w:rFonts w:hint="eastAsia"/>
          <w:bCs/>
          <w:color w:val="auto"/>
          <w:sz w:val="24"/>
          <w:szCs w:val="24"/>
          <w:highlight w:val="none"/>
          <w:lang w:val="zh-CN"/>
        </w:rPr>
        <w:t>质疑函</w:t>
      </w:r>
      <w:r>
        <w:rPr>
          <w:rFonts w:hint="eastAsia"/>
          <w:bCs/>
          <w:color w:val="auto"/>
          <w:sz w:val="24"/>
          <w:szCs w:val="24"/>
          <w:highlight w:val="none"/>
        </w:rPr>
        <w:t>应当由法定代表人、主要负责人，或者其授权代表签字，并加盖公章。以联合体形式参加政府采购活动的，其质疑应当由组成联合体的所有供应商共同提出。</w:t>
      </w:r>
    </w:p>
    <w:p w14:paraId="3791D875">
      <w:pPr>
        <w:spacing w:line="360" w:lineRule="exact"/>
        <w:ind w:right="-506" w:rightChars="-241"/>
        <w:rPr>
          <w:bCs/>
          <w:color w:val="auto"/>
          <w:sz w:val="24"/>
          <w:szCs w:val="24"/>
          <w:highlight w:val="none"/>
        </w:rPr>
      </w:pPr>
      <w:r>
        <w:rPr>
          <w:rFonts w:hint="eastAsia"/>
          <w:b/>
          <w:color w:val="auto"/>
          <w:sz w:val="24"/>
          <w:szCs w:val="24"/>
          <w:highlight w:val="none"/>
        </w:rPr>
        <w:t>24.4</w:t>
      </w:r>
      <w:r>
        <w:rPr>
          <w:rFonts w:hint="eastAsia"/>
          <w:bCs/>
          <w:color w:val="auto"/>
          <w:sz w:val="24"/>
          <w:szCs w:val="24"/>
          <w:highlight w:val="none"/>
        </w:rPr>
        <w:t>采购人、代理机构接收质疑函的方式：只接受质疑函原件，采购人、代理机构以实际收到质疑函原件之日为收到质疑函的日期。</w:t>
      </w:r>
    </w:p>
    <w:p w14:paraId="4FF301D4">
      <w:pPr>
        <w:spacing w:line="360" w:lineRule="exact"/>
        <w:ind w:right="-506" w:rightChars="-241"/>
        <w:rPr>
          <w:bCs/>
          <w:color w:val="auto"/>
          <w:sz w:val="24"/>
          <w:szCs w:val="24"/>
          <w:highlight w:val="none"/>
          <w:lang w:val="zh-CN"/>
        </w:rPr>
      </w:pPr>
      <w:r>
        <w:rPr>
          <w:rFonts w:hint="eastAsia"/>
          <w:b/>
          <w:color w:val="auto"/>
          <w:sz w:val="24"/>
          <w:szCs w:val="24"/>
          <w:highlight w:val="none"/>
        </w:rPr>
        <w:t>24.5</w:t>
      </w:r>
      <w:r>
        <w:rPr>
          <w:rFonts w:hint="eastAsia"/>
          <w:bCs/>
          <w:color w:val="auto"/>
          <w:sz w:val="24"/>
          <w:szCs w:val="24"/>
          <w:highlight w:val="none"/>
        </w:rPr>
        <w:t xml:space="preserve"> 采购人或者</w:t>
      </w:r>
      <w:r>
        <w:rPr>
          <w:rFonts w:hint="eastAsia"/>
          <w:bCs/>
          <w:color w:val="auto"/>
          <w:sz w:val="24"/>
          <w:szCs w:val="24"/>
          <w:highlight w:val="none"/>
          <w:lang w:val="zh-CN"/>
        </w:rPr>
        <w:t>采购代理机构</w:t>
      </w:r>
      <w:r>
        <w:rPr>
          <w:rFonts w:hint="eastAsia"/>
          <w:bCs/>
          <w:color w:val="auto"/>
          <w:sz w:val="24"/>
          <w:szCs w:val="24"/>
          <w:highlight w:val="none"/>
        </w:rPr>
        <w:t>应当在收到供应商的质疑函原件后七个工作日内作出答复，并以书面形式通知质疑供应商和其他与质疑处理结果有利害关系的政府采购当事人，但答复的内容不得涉及商业秘密。</w:t>
      </w:r>
    </w:p>
    <w:p w14:paraId="6F9C09F0">
      <w:pPr>
        <w:spacing w:line="360" w:lineRule="exact"/>
        <w:ind w:right="-506" w:rightChars="-241"/>
        <w:rPr>
          <w:b/>
          <w:color w:val="auto"/>
          <w:sz w:val="24"/>
          <w:szCs w:val="24"/>
          <w:highlight w:val="none"/>
        </w:rPr>
      </w:pPr>
      <w:r>
        <w:rPr>
          <w:b/>
          <w:color w:val="auto"/>
          <w:sz w:val="24"/>
          <w:szCs w:val="24"/>
          <w:highlight w:val="none"/>
        </w:rPr>
        <w:t>2</w:t>
      </w:r>
      <w:r>
        <w:rPr>
          <w:rFonts w:hint="eastAsia"/>
          <w:b/>
          <w:color w:val="auto"/>
          <w:sz w:val="24"/>
          <w:szCs w:val="24"/>
          <w:highlight w:val="none"/>
        </w:rPr>
        <w:t>4</w:t>
      </w:r>
      <w:r>
        <w:rPr>
          <w:b/>
          <w:color w:val="auto"/>
          <w:sz w:val="24"/>
          <w:szCs w:val="24"/>
          <w:highlight w:val="none"/>
        </w:rPr>
        <w:t>.</w:t>
      </w:r>
      <w:r>
        <w:rPr>
          <w:rFonts w:hint="eastAsia"/>
          <w:b/>
          <w:color w:val="auto"/>
          <w:sz w:val="24"/>
          <w:szCs w:val="24"/>
          <w:highlight w:val="none"/>
        </w:rPr>
        <w:t>6</w:t>
      </w:r>
      <w:r>
        <w:rPr>
          <w:color w:val="auto"/>
          <w:sz w:val="24"/>
          <w:szCs w:val="24"/>
          <w:highlight w:val="none"/>
        </w:rPr>
        <w:t>依据《中华人民共和国政府采购法实施条例》第五十七条，捏造事实、提供虚假材料或者以非法手段取得证明材料不能作为质疑、投诉的证明材料；依据《中华人民共和国政府采购法实施条例》第七十三条，供应商捏造事实、提供虚假材料或者以非法手段取得证明材料进行投诉的，由财政部门列入不良行为记录名单，禁止1至3年内参加政府采购活动。</w:t>
      </w:r>
    </w:p>
    <w:p w14:paraId="3A10D8F8">
      <w:pPr>
        <w:spacing w:line="360" w:lineRule="exact"/>
        <w:ind w:right="-506" w:rightChars="-241"/>
        <w:rPr>
          <w:rFonts w:hAnsi="宋体"/>
          <w:color w:val="auto"/>
          <w:sz w:val="24"/>
          <w:szCs w:val="24"/>
          <w:highlight w:val="none"/>
        </w:rPr>
      </w:pPr>
      <w:r>
        <w:rPr>
          <w:rFonts w:hint="eastAsia"/>
          <w:b/>
          <w:color w:val="auto"/>
          <w:sz w:val="24"/>
          <w:szCs w:val="24"/>
          <w:highlight w:val="none"/>
        </w:rPr>
        <w:t>24</w:t>
      </w:r>
      <w:r>
        <w:rPr>
          <w:b/>
          <w:color w:val="auto"/>
          <w:sz w:val="24"/>
          <w:szCs w:val="24"/>
          <w:highlight w:val="none"/>
        </w:rPr>
        <w:t>.</w:t>
      </w:r>
      <w:r>
        <w:rPr>
          <w:rFonts w:hint="eastAsia"/>
          <w:b/>
          <w:color w:val="auto"/>
          <w:sz w:val="24"/>
          <w:szCs w:val="24"/>
          <w:highlight w:val="none"/>
        </w:rPr>
        <w:t>7</w:t>
      </w:r>
      <w:r>
        <w:rPr>
          <w:rFonts w:hint="eastAsia"/>
          <w:color w:val="auto"/>
          <w:sz w:val="24"/>
          <w:szCs w:val="24"/>
          <w:highlight w:val="none"/>
        </w:rPr>
        <w:t xml:space="preserve"> 采购人、代理机构接收质疑函的联系人、联系电话和通讯地址等信息详见采购公告。</w:t>
      </w:r>
    </w:p>
    <w:p w14:paraId="458FDFF9">
      <w:pPr>
        <w:spacing w:line="360" w:lineRule="exact"/>
        <w:ind w:right="-506" w:rightChars="-241"/>
        <w:jc w:val="center"/>
        <w:rPr>
          <w:b/>
          <w:color w:val="auto"/>
          <w:sz w:val="24"/>
          <w:szCs w:val="24"/>
          <w:highlight w:val="none"/>
        </w:rPr>
      </w:pPr>
    </w:p>
    <w:p w14:paraId="595BAF1A">
      <w:pPr>
        <w:spacing w:line="360" w:lineRule="exact"/>
        <w:ind w:right="-506" w:rightChars="-241"/>
        <w:jc w:val="center"/>
        <w:rPr>
          <w:b/>
          <w:color w:val="auto"/>
          <w:sz w:val="24"/>
          <w:szCs w:val="24"/>
          <w:highlight w:val="none"/>
        </w:rPr>
      </w:pPr>
      <w:r>
        <w:rPr>
          <w:b/>
          <w:color w:val="auto"/>
          <w:sz w:val="24"/>
          <w:szCs w:val="24"/>
          <w:highlight w:val="none"/>
        </w:rPr>
        <w:t xml:space="preserve">I  </w:t>
      </w:r>
      <w:r>
        <w:rPr>
          <w:rFonts w:hint="eastAsia"/>
          <w:b/>
          <w:color w:val="auto"/>
          <w:sz w:val="24"/>
          <w:szCs w:val="24"/>
          <w:highlight w:val="none"/>
        </w:rPr>
        <w:t>执行</w:t>
      </w:r>
      <w:r>
        <w:rPr>
          <w:rFonts w:hint="eastAsia" w:hAnsi="宋体"/>
          <w:b/>
          <w:color w:val="auto"/>
          <w:sz w:val="24"/>
          <w:szCs w:val="24"/>
          <w:highlight w:val="none"/>
        </w:rPr>
        <w:t>政府采购政策</w:t>
      </w:r>
      <w:r>
        <w:rPr>
          <w:rFonts w:hAnsi="宋体"/>
          <w:b/>
          <w:color w:val="auto"/>
          <w:sz w:val="24"/>
          <w:szCs w:val="24"/>
          <w:highlight w:val="none"/>
        </w:rPr>
        <w:t>说明</w:t>
      </w:r>
    </w:p>
    <w:p w14:paraId="07A80E54">
      <w:pPr>
        <w:spacing w:line="360" w:lineRule="exact"/>
        <w:ind w:right="-506" w:rightChars="-241"/>
        <w:rPr>
          <w:rFonts w:ascii="ˎ̥" w:hAnsi="ˎ̥" w:cs="宋体"/>
          <w:color w:val="auto"/>
          <w:kern w:val="0"/>
          <w:sz w:val="24"/>
          <w:szCs w:val="24"/>
          <w:highlight w:val="none"/>
        </w:rPr>
      </w:pPr>
      <w:r>
        <w:rPr>
          <w:rFonts w:hint="eastAsia"/>
          <w:b/>
          <w:color w:val="auto"/>
          <w:sz w:val="24"/>
          <w:szCs w:val="24"/>
          <w:highlight w:val="none"/>
        </w:rPr>
        <w:t>25</w:t>
      </w:r>
      <w:r>
        <w:rPr>
          <w:b/>
          <w:color w:val="auto"/>
          <w:sz w:val="24"/>
          <w:szCs w:val="24"/>
          <w:highlight w:val="none"/>
        </w:rPr>
        <w:t>.</w:t>
      </w:r>
      <w:r>
        <w:rPr>
          <w:color w:val="auto"/>
          <w:sz w:val="24"/>
          <w:szCs w:val="24"/>
          <w:highlight w:val="none"/>
        </w:rPr>
        <w:t xml:space="preserve">  </w:t>
      </w:r>
      <w:r>
        <w:rPr>
          <w:rFonts w:ascii="ˎ̥" w:hAnsi="ˎ̥" w:cs="宋体"/>
          <w:color w:val="auto"/>
          <w:kern w:val="0"/>
          <w:sz w:val="24"/>
          <w:szCs w:val="24"/>
          <w:highlight w:val="none"/>
        </w:rPr>
        <w:t>执行财政部、工业和信息化部《政府采购促进中小企业发展管理办法》（财库〔2020〕46号）。政府采购活动中有关中小企业的相关规定如下：</w:t>
      </w:r>
    </w:p>
    <w:p w14:paraId="598716F1">
      <w:pPr>
        <w:spacing w:line="360" w:lineRule="exact"/>
        <w:ind w:right="-506" w:rightChars="-241"/>
        <w:rPr>
          <w:rFonts w:hAnsi="宋体"/>
          <w:color w:val="auto"/>
          <w:sz w:val="24"/>
          <w:szCs w:val="24"/>
          <w:highlight w:val="none"/>
        </w:rPr>
      </w:pPr>
      <w:r>
        <w:rPr>
          <w:rFonts w:hint="eastAsia" w:hAnsi="宋体"/>
          <w:color w:val="auto"/>
          <w:sz w:val="24"/>
          <w:szCs w:val="24"/>
          <w:highlight w:val="none"/>
        </w:rPr>
        <w:t>25</w:t>
      </w:r>
      <w:r>
        <w:rPr>
          <w:rFonts w:hAnsi="宋体"/>
          <w:color w:val="auto"/>
          <w:sz w:val="24"/>
          <w:szCs w:val="24"/>
          <w:highlight w:val="none"/>
        </w:rPr>
        <w:t>.1  中小企业，是指在中华人民共和国境内依法设立，依据国务院批准的中小企业划分标准确定的中型企业、小型企业和微型企业，但与大企业的负责人为同一人，或者与大企业存在直接控股、管理关系的除外。</w:t>
      </w:r>
    </w:p>
    <w:p w14:paraId="329B504A">
      <w:pPr>
        <w:spacing w:line="360" w:lineRule="exact"/>
        <w:ind w:right="-506" w:rightChars="-241"/>
        <w:rPr>
          <w:rFonts w:hAnsi="宋体"/>
          <w:color w:val="auto"/>
          <w:sz w:val="24"/>
          <w:szCs w:val="24"/>
          <w:highlight w:val="none"/>
        </w:rPr>
      </w:pPr>
      <w:r>
        <w:rPr>
          <w:rFonts w:hAnsi="宋体"/>
          <w:color w:val="auto"/>
          <w:sz w:val="24"/>
          <w:szCs w:val="24"/>
          <w:highlight w:val="none"/>
        </w:rPr>
        <w:t>符合中小企业划分标准的个体工商户，在政府采购活动中视同中小企业。</w:t>
      </w:r>
    </w:p>
    <w:p w14:paraId="6F467829">
      <w:pPr>
        <w:spacing w:line="360" w:lineRule="exact"/>
        <w:ind w:right="-506" w:rightChars="-241"/>
        <w:rPr>
          <w:rFonts w:hAnsi="宋体"/>
          <w:color w:val="auto"/>
          <w:sz w:val="24"/>
          <w:szCs w:val="24"/>
          <w:highlight w:val="none"/>
        </w:rPr>
      </w:pPr>
      <w:r>
        <w:rPr>
          <w:rFonts w:hint="eastAsia" w:hAnsi="宋体"/>
          <w:color w:val="auto"/>
          <w:sz w:val="24"/>
          <w:szCs w:val="24"/>
          <w:highlight w:val="none"/>
        </w:rPr>
        <w:t>25</w:t>
      </w:r>
      <w:r>
        <w:rPr>
          <w:rFonts w:hAnsi="宋体"/>
          <w:color w:val="auto"/>
          <w:sz w:val="24"/>
          <w:szCs w:val="24"/>
          <w:highlight w:val="none"/>
        </w:rPr>
        <w:t>.2  在政府采购活动中，供应商提供的货物、工程或者服务符合下列情形的，享受《政府采购促进中小企业发展管理办法》规定的中小企业扶持政策：</w:t>
      </w:r>
    </w:p>
    <w:p w14:paraId="339018A4">
      <w:pPr>
        <w:spacing w:line="360" w:lineRule="exact"/>
        <w:ind w:right="-506" w:rightChars="-241"/>
        <w:rPr>
          <w:rFonts w:hAnsi="宋体"/>
          <w:color w:val="auto"/>
          <w:sz w:val="24"/>
          <w:szCs w:val="24"/>
          <w:highlight w:val="none"/>
        </w:rPr>
      </w:pPr>
      <w:r>
        <w:rPr>
          <w:rFonts w:hAnsi="宋体"/>
          <w:color w:val="auto"/>
          <w:sz w:val="24"/>
          <w:szCs w:val="24"/>
          <w:highlight w:val="none"/>
        </w:rPr>
        <w:t>（1）、在货物采购项目中，货物由中小企业制造，即货物由中小企业生产且使用该中小企业商号或者注册商标；</w:t>
      </w:r>
    </w:p>
    <w:p w14:paraId="6B232E27">
      <w:pPr>
        <w:spacing w:line="360" w:lineRule="exact"/>
        <w:ind w:right="-506" w:rightChars="-241"/>
        <w:rPr>
          <w:rFonts w:hAnsi="宋体"/>
          <w:color w:val="auto"/>
          <w:sz w:val="24"/>
          <w:szCs w:val="24"/>
          <w:highlight w:val="none"/>
        </w:rPr>
      </w:pPr>
      <w:r>
        <w:rPr>
          <w:rFonts w:hAnsi="宋体"/>
          <w:color w:val="auto"/>
          <w:sz w:val="24"/>
          <w:szCs w:val="24"/>
          <w:highlight w:val="none"/>
        </w:rPr>
        <w:t>（2）、在工程采购项目中，工程由中小企业承建，即工程施工单位为中小企业；</w:t>
      </w:r>
    </w:p>
    <w:p w14:paraId="24947E41">
      <w:pPr>
        <w:spacing w:line="360" w:lineRule="exact"/>
        <w:ind w:right="-506" w:rightChars="-241"/>
        <w:rPr>
          <w:rFonts w:hAnsi="宋体"/>
          <w:color w:val="auto"/>
          <w:sz w:val="24"/>
          <w:szCs w:val="24"/>
          <w:highlight w:val="none"/>
        </w:rPr>
      </w:pPr>
      <w:r>
        <w:rPr>
          <w:rFonts w:hAnsi="宋体"/>
          <w:color w:val="auto"/>
          <w:sz w:val="24"/>
          <w:szCs w:val="24"/>
          <w:highlight w:val="none"/>
        </w:rPr>
        <w:t>（3）、在服务采购项目中，服务由中小企业承接，即提供服务的人员为中小企业依照《中华人民共和国劳动合同法》订立劳动合同的从业人员。</w:t>
      </w:r>
    </w:p>
    <w:p w14:paraId="56739D1F">
      <w:pPr>
        <w:spacing w:line="360" w:lineRule="exact"/>
        <w:ind w:right="-506" w:rightChars="-241"/>
        <w:rPr>
          <w:rFonts w:hAnsi="宋体"/>
          <w:color w:val="auto"/>
          <w:sz w:val="24"/>
          <w:szCs w:val="24"/>
          <w:highlight w:val="none"/>
        </w:rPr>
      </w:pPr>
      <w:r>
        <w:rPr>
          <w:rFonts w:hAnsi="宋体"/>
          <w:color w:val="auto"/>
          <w:sz w:val="24"/>
          <w:szCs w:val="24"/>
          <w:highlight w:val="none"/>
        </w:rPr>
        <w:t>在货物采购项目中，供应商提供的货物既有中小企业制造货物，也有大型企业制造货物的，不享受《政府采购促进中小企业发展管理办法》规定的中小企业扶持政策。</w:t>
      </w:r>
    </w:p>
    <w:p w14:paraId="2A8361AC">
      <w:pPr>
        <w:spacing w:line="360" w:lineRule="exact"/>
        <w:ind w:right="-506" w:rightChars="-241"/>
        <w:rPr>
          <w:rFonts w:hAnsi="宋体"/>
          <w:color w:val="auto"/>
          <w:sz w:val="24"/>
          <w:szCs w:val="24"/>
          <w:highlight w:val="none"/>
        </w:rPr>
      </w:pPr>
      <w:r>
        <w:rPr>
          <w:rFonts w:hAnsi="宋体"/>
          <w:color w:val="auto"/>
          <w:sz w:val="24"/>
          <w:szCs w:val="24"/>
          <w:highlight w:val="none"/>
        </w:rPr>
        <w:t>以联合体形式参加政府采购活动，联合体各方均为中小企业的，联合体视同中小企业。其中，联合体各方均为小微企业的，联合体视同小微企业。</w:t>
      </w:r>
    </w:p>
    <w:p w14:paraId="1B5D7DDA">
      <w:pPr>
        <w:spacing w:line="360" w:lineRule="exact"/>
        <w:ind w:right="-506" w:rightChars="-241"/>
        <w:rPr>
          <w:rFonts w:hAnsi="宋体"/>
          <w:color w:val="auto"/>
          <w:sz w:val="24"/>
          <w:szCs w:val="24"/>
          <w:highlight w:val="none"/>
        </w:rPr>
      </w:pPr>
      <w:r>
        <w:rPr>
          <w:rFonts w:hint="eastAsia" w:hAnsi="宋体"/>
          <w:color w:val="auto"/>
          <w:sz w:val="24"/>
          <w:szCs w:val="24"/>
          <w:highlight w:val="none"/>
        </w:rPr>
        <w:t>25</w:t>
      </w:r>
      <w:r>
        <w:rPr>
          <w:rFonts w:hAnsi="宋体"/>
          <w:color w:val="auto"/>
          <w:sz w:val="24"/>
          <w:szCs w:val="24"/>
          <w:highlight w:val="none"/>
        </w:rPr>
        <w:t>.3  中小企业参加政府采购活动，应当出具《政府采购促进中小企业发展管理办法》规定的《中小企业声明函》（格式见附件），否则不得享受中小企业扶持政策。</w:t>
      </w:r>
    </w:p>
    <w:p w14:paraId="7F921A4C">
      <w:pPr>
        <w:spacing w:line="360" w:lineRule="exact"/>
        <w:ind w:right="-506" w:rightChars="-241"/>
        <w:rPr>
          <w:rFonts w:hAnsi="宋体"/>
          <w:color w:val="auto"/>
          <w:sz w:val="24"/>
          <w:szCs w:val="24"/>
          <w:highlight w:val="none"/>
        </w:rPr>
      </w:pPr>
      <w:r>
        <w:rPr>
          <w:rFonts w:hint="eastAsia" w:hAnsi="宋体"/>
          <w:color w:val="auto"/>
          <w:sz w:val="24"/>
          <w:szCs w:val="24"/>
          <w:highlight w:val="none"/>
        </w:rPr>
        <w:t>25</w:t>
      </w:r>
      <w:r>
        <w:rPr>
          <w:rFonts w:hAnsi="宋体"/>
          <w:color w:val="auto"/>
          <w:sz w:val="24"/>
          <w:szCs w:val="24"/>
          <w:highlight w:val="none"/>
        </w:rPr>
        <w:t>.4  采购活动过程中，对供应商的“中小企业”资格认定，以供应商提交的《中小企业声明函》为准，供应商必须实事求是地提交声明函，如有虚假，将依法承担法律责任。如果在采购活动过程中相关采购当事人对供应商“中小企业”资格有异议的，由货物制造商或者工程、服务供应商注册登记所在地的县级以上人民政府中小企业主管部门负责认定。</w:t>
      </w:r>
    </w:p>
    <w:p w14:paraId="3E1D77C0">
      <w:pPr>
        <w:spacing w:line="360" w:lineRule="exact"/>
        <w:ind w:right="-506" w:rightChars="-241"/>
        <w:rPr>
          <w:rFonts w:hAnsi="宋体"/>
          <w:color w:val="auto"/>
          <w:sz w:val="24"/>
          <w:szCs w:val="24"/>
          <w:highlight w:val="none"/>
        </w:rPr>
      </w:pPr>
      <w:r>
        <w:rPr>
          <w:rFonts w:hAnsi="宋体"/>
          <w:color w:val="auto"/>
          <w:sz w:val="24"/>
          <w:szCs w:val="24"/>
          <w:highlight w:val="none"/>
        </w:rPr>
        <w:t>供应商提供声明函内容不实的，属于提供虚假材料谋取中标、成交，依照《中华人民共和国政府采购法》等国家有关规定追究相应责任。</w:t>
      </w:r>
    </w:p>
    <w:p w14:paraId="30776E36">
      <w:pPr>
        <w:spacing w:line="360" w:lineRule="exact"/>
        <w:ind w:right="-506" w:rightChars="-241"/>
        <w:rPr>
          <w:rFonts w:hAnsi="宋体"/>
          <w:color w:val="auto"/>
          <w:sz w:val="24"/>
          <w:szCs w:val="24"/>
          <w:highlight w:val="none"/>
        </w:rPr>
      </w:pPr>
      <w:r>
        <w:rPr>
          <w:rFonts w:hint="eastAsia" w:hAnsi="宋体"/>
          <w:color w:val="auto"/>
          <w:sz w:val="24"/>
          <w:szCs w:val="24"/>
          <w:highlight w:val="none"/>
        </w:rPr>
        <w:t>25</w:t>
      </w:r>
      <w:r>
        <w:rPr>
          <w:rFonts w:hAnsi="宋体"/>
          <w:color w:val="auto"/>
          <w:sz w:val="24"/>
          <w:szCs w:val="24"/>
          <w:highlight w:val="none"/>
        </w:rPr>
        <w:t>.5 《中小企业声明函》由参加投标的供应商提交，如供应商为代理商，须自行采集制造商的中小企业划分类型信息填入相应栏目并对其真实性负责。</w:t>
      </w:r>
    </w:p>
    <w:p w14:paraId="243F1106">
      <w:pPr>
        <w:spacing w:line="360" w:lineRule="exact"/>
        <w:ind w:right="-506" w:rightChars="-241"/>
        <w:rPr>
          <w:color w:val="auto"/>
          <w:sz w:val="24"/>
          <w:szCs w:val="24"/>
          <w:highlight w:val="none"/>
        </w:rPr>
      </w:pPr>
      <w:r>
        <w:rPr>
          <w:rFonts w:hint="eastAsia"/>
          <w:color w:val="auto"/>
          <w:sz w:val="24"/>
          <w:szCs w:val="24"/>
          <w:highlight w:val="none"/>
        </w:rPr>
        <w:t>25</w:t>
      </w:r>
      <w:r>
        <w:rPr>
          <w:color w:val="auto"/>
          <w:sz w:val="24"/>
          <w:szCs w:val="24"/>
          <w:highlight w:val="none"/>
        </w:rPr>
        <w:t>.6</w:t>
      </w:r>
      <w:r>
        <w:rPr>
          <w:rFonts w:hint="eastAsia"/>
          <w:color w:val="auto"/>
          <w:sz w:val="24"/>
          <w:szCs w:val="24"/>
          <w:highlight w:val="none"/>
        </w:rPr>
        <w:t>根据《财政部司法部关于政府采购支持监狱企业发展有关问题的通知》（财库〔</w:t>
      </w:r>
      <w:r>
        <w:rPr>
          <w:color w:val="auto"/>
          <w:sz w:val="24"/>
          <w:szCs w:val="24"/>
          <w:highlight w:val="none"/>
        </w:rPr>
        <w:t>2014</w:t>
      </w:r>
      <w:r>
        <w:rPr>
          <w:rFonts w:hint="eastAsia"/>
          <w:color w:val="auto"/>
          <w:sz w:val="24"/>
          <w:szCs w:val="24"/>
          <w:highlight w:val="none"/>
        </w:rPr>
        <w:t>〕</w:t>
      </w:r>
      <w:r>
        <w:rPr>
          <w:color w:val="auto"/>
          <w:sz w:val="24"/>
          <w:szCs w:val="24"/>
          <w:highlight w:val="none"/>
        </w:rPr>
        <w:t>68</w:t>
      </w:r>
      <w:r>
        <w:rPr>
          <w:rFonts w:hint="eastAsia"/>
          <w:color w:val="auto"/>
          <w:sz w:val="24"/>
          <w:szCs w:val="24"/>
          <w:highlight w:val="none"/>
        </w:rPr>
        <w:t>号）规定，监狱企业视同小型、微型企业。监狱企业参加政府采购活动时，应当提供由省级以上监狱管理局、戒毒管理局（含新疆生产建设兵团）出具的属于监狱企业的证明文件。</w:t>
      </w:r>
    </w:p>
    <w:p w14:paraId="1CE2EDAA">
      <w:pPr>
        <w:spacing w:line="360" w:lineRule="exact"/>
        <w:ind w:right="-506" w:rightChars="-241"/>
        <w:rPr>
          <w:color w:val="auto"/>
          <w:sz w:val="24"/>
          <w:szCs w:val="24"/>
          <w:highlight w:val="none"/>
        </w:rPr>
      </w:pPr>
      <w:r>
        <w:rPr>
          <w:rFonts w:hint="eastAsia"/>
          <w:color w:val="auto"/>
          <w:sz w:val="24"/>
          <w:szCs w:val="24"/>
          <w:highlight w:val="none"/>
        </w:rPr>
        <w:t>25</w:t>
      </w:r>
      <w:r>
        <w:rPr>
          <w:color w:val="auto"/>
          <w:sz w:val="24"/>
          <w:szCs w:val="24"/>
          <w:highlight w:val="none"/>
        </w:rPr>
        <w:t>.7</w:t>
      </w:r>
      <w:r>
        <w:rPr>
          <w:rFonts w:hint="eastAsia"/>
          <w:color w:val="auto"/>
          <w:sz w:val="24"/>
          <w:szCs w:val="24"/>
          <w:highlight w:val="none"/>
        </w:rPr>
        <w:t>执行《三部门联合发布关于促进残疾人就业政府采购政策的通知》</w:t>
      </w:r>
      <w:r>
        <w:rPr>
          <w:color w:val="auto"/>
          <w:sz w:val="24"/>
          <w:szCs w:val="24"/>
          <w:highlight w:val="none"/>
        </w:rPr>
        <w:t>, </w:t>
      </w:r>
      <w:r>
        <w:rPr>
          <w:rFonts w:hint="eastAsia"/>
          <w:color w:val="auto"/>
          <w:sz w:val="24"/>
          <w:szCs w:val="24"/>
          <w:highlight w:val="none"/>
        </w:rPr>
        <w:t>在政府采购活动中，残疾人福利性单位视同小型、微型企业，享受评审中价格扣除等政府采购促进中小企业发展的政府采购政策，残疾人福利性单位参加政府采购活动时，应当提供《残疾人福利性单位声明函》，并对声明的真实性负责，未能提供的不予认可。</w:t>
      </w:r>
    </w:p>
    <w:p w14:paraId="546A5BD5">
      <w:pPr>
        <w:spacing w:line="360" w:lineRule="exact"/>
        <w:ind w:right="-506" w:rightChars="-241"/>
        <w:rPr>
          <w:rFonts w:ascii="Calibri" w:hAnsi="Calibri"/>
          <w:color w:val="auto"/>
          <w:sz w:val="24"/>
          <w:szCs w:val="24"/>
          <w:highlight w:val="none"/>
        </w:rPr>
      </w:pPr>
    </w:p>
    <w:p w14:paraId="0AAA88DE">
      <w:pPr>
        <w:pStyle w:val="14"/>
        <w:ind w:firstLine="0"/>
        <w:rPr>
          <w:color w:val="auto"/>
          <w:highlight w:val="none"/>
        </w:rPr>
      </w:pPr>
    </w:p>
    <w:p w14:paraId="43E608B7">
      <w:pPr>
        <w:spacing w:line="400" w:lineRule="exact"/>
        <w:ind w:left="1205" w:hanging="1205" w:hangingChars="375"/>
        <w:jc w:val="center"/>
        <w:outlineLvl w:val="0"/>
        <w:rPr>
          <w:b/>
          <w:color w:val="auto"/>
          <w:sz w:val="36"/>
          <w:szCs w:val="36"/>
          <w:highlight w:val="none"/>
        </w:rPr>
      </w:pPr>
      <w:r>
        <w:rPr>
          <w:b/>
          <w:color w:val="auto"/>
          <w:sz w:val="32"/>
          <w:highlight w:val="none"/>
        </w:rPr>
        <w:br w:type="page"/>
      </w:r>
      <w:bookmarkStart w:id="5" w:name="_Toc14732"/>
      <w:r>
        <w:rPr>
          <w:b/>
          <w:color w:val="auto"/>
          <w:sz w:val="36"/>
          <w:szCs w:val="36"/>
          <w:highlight w:val="none"/>
        </w:rPr>
        <w:t>第</w:t>
      </w:r>
      <w:r>
        <w:rPr>
          <w:rFonts w:hint="eastAsia"/>
          <w:b/>
          <w:color w:val="auto"/>
          <w:sz w:val="36"/>
          <w:szCs w:val="36"/>
          <w:highlight w:val="none"/>
        </w:rPr>
        <w:t>四</w:t>
      </w:r>
      <w:r>
        <w:rPr>
          <w:b/>
          <w:color w:val="auto"/>
          <w:sz w:val="36"/>
          <w:szCs w:val="36"/>
          <w:highlight w:val="none"/>
        </w:rPr>
        <w:t>部分  评标</w:t>
      </w:r>
      <w:r>
        <w:rPr>
          <w:rFonts w:hint="eastAsia"/>
          <w:b/>
          <w:color w:val="auto"/>
          <w:sz w:val="36"/>
          <w:szCs w:val="36"/>
          <w:highlight w:val="none"/>
        </w:rPr>
        <w:t>标准</w:t>
      </w:r>
      <w:bookmarkEnd w:id="5"/>
    </w:p>
    <w:p w14:paraId="3231BB47">
      <w:pPr>
        <w:spacing w:line="360" w:lineRule="exact"/>
        <w:ind w:right="-506" w:rightChars="-241" w:firstLine="480" w:firstLineChars="200"/>
        <w:rPr>
          <w:color w:val="auto"/>
          <w:sz w:val="24"/>
          <w:highlight w:val="none"/>
        </w:rPr>
      </w:pPr>
      <w:r>
        <w:rPr>
          <w:color w:val="auto"/>
          <w:sz w:val="24"/>
          <w:szCs w:val="24"/>
          <w:highlight w:val="none"/>
        </w:rPr>
        <w:t>评标委员会遵循公平、公正、科学</w:t>
      </w:r>
      <w:r>
        <w:rPr>
          <w:rFonts w:hint="eastAsia"/>
          <w:color w:val="auto"/>
          <w:sz w:val="24"/>
          <w:szCs w:val="24"/>
          <w:highlight w:val="none"/>
        </w:rPr>
        <w:t>择优</w:t>
      </w:r>
      <w:r>
        <w:rPr>
          <w:color w:val="auto"/>
          <w:sz w:val="24"/>
          <w:szCs w:val="24"/>
          <w:highlight w:val="none"/>
        </w:rPr>
        <w:t>的原则和规定的程序进行评标，依据投标文件和招标文件的内容进行评审。</w:t>
      </w:r>
    </w:p>
    <w:p w14:paraId="5FBC0860">
      <w:pPr>
        <w:spacing w:line="360" w:lineRule="exact"/>
        <w:ind w:right="-506" w:rightChars="-241"/>
        <w:rPr>
          <w:color w:val="auto"/>
          <w:sz w:val="24"/>
          <w:highlight w:val="none"/>
        </w:rPr>
      </w:pPr>
    </w:p>
    <w:p w14:paraId="3C3BD70B">
      <w:pPr>
        <w:spacing w:line="360" w:lineRule="exact"/>
        <w:ind w:right="-506" w:rightChars="-241"/>
        <w:rPr>
          <w:b/>
          <w:color w:val="auto"/>
          <w:sz w:val="24"/>
          <w:highlight w:val="none"/>
        </w:rPr>
      </w:pPr>
      <w:r>
        <w:rPr>
          <w:b/>
          <w:color w:val="auto"/>
          <w:sz w:val="24"/>
          <w:highlight w:val="none"/>
        </w:rPr>
        <w:t>一、评标</w:t>
      </w:r>
      <w:r>
        <w:rPr>
          <w:rFonts w:hint="eastAsia"/>
          <w:b/>
          <w:color w:val="auto"/>
          <w:sz w:val="24"/>
          <w:highlight w:val="none"/>
        </w:rPr>
        <w:t>总则</w:t>
      </w:r>
    </w:p>
    <w:p w14:paraId="033FE0C2">
      <w:pPr>
        <w:spacing w:line="360" w:lineRule="exact"/>
        <w:ind w:right="-506" w:rightChars="-241"/>
        <w:rPr>
          <w:color w:val="auto"/>
          <w:sz w:val="24"/>
          <w:highlight w:val="none"/>
        </w:rPr>
      </w:pPr>
      <w:r>
        <w:rPr>
          <w:color w:val="auto"/>
          <w:sz w:val="24"/>
          <w:highlight w:val="none"/>
        </w:rPr>
        <w:t>1．本项目采用综合评分法。</w:t>
      </w:r>
    </w:p>
    <w:p w14:paraId="3BA7C645">
      <w:pPr>
        <w:spacing w:line="360" w:lineRule="exact"/>
        <w:ind w:right="-506" w:rightChars="-241"/>
        <w:rPr>
          <w:color w:val="auto"/>
          <w:sz w:val="24"/>
          <w:highlight w:val="none"/>
        </w:rPr>
      </w:pPr>
      <w:r>
        <w:rPr>
          <w:color w:val="auto"/>
          <w:sz w:val="24"/>
          <w:highlight w:val="none"/>
        </w:rPr>
        <w:t>2．综合评分法：</w:t>
      </w:r>
      <w:r>
        <w:rPr>
          <w:rFonts w:hint="eastAsia"/>
          <w:color w:val="auto"/>
          <w:sz w:val="24"/>
          <w:highlight w:val="none"/>
        </w:rPr>
        <w:t>评标委员会每位成员各自按照《评委打分表》规定的内容，对所有有效的投标文件进行打分，汇总各评委对各投标人的评分。计算全体评委评出的总分的算术平均值，作为各投标人的综合得分。按各投标人的综合得分自高向低次序排出评标结果排序。</w:t>
      </w:r>
    </w:p>
    <w:p w14:paraId="573FEB68">
      <w:pPr>
        <w:spacing w:line="360" w:lineRule="exact"/>
        <w:ind w:right="-506" w:rightChars="-241"/>
        <w:rPr>
          <w:color w:val="auto"/>
          <w:sz w:val="24"/>
          <w:highlight w:val="none"/>
        </w:rPr>
      </w:pPr>
      <w:r>
        <w:rPr>
          <w:rFonts w:hint="eastAsia"/>
          <w:color w:val="auto"/>
          <w:sz w:val="24"/>
          <w:highlight w:val="none"/>
        </w:rPr>
        <w:t>3、评标过程中如发现异常情况，由评标委员会集体讨论决定。</w:t>
      </w:r>
    </w:p>
    <w:p w14:paraId="71B06F6A">
      <w:pPr>
        <w:spacing w:line="360" w:lineRule="exact"/>
        <w:ind w:right="-506" w:rightChars="-241"/>
        <w:rPr>
          <w:color w:val="auto"/>
          <w:sz w:val="24"/>
          <w:highlight w:val="none"/>
        </w:rPr>
      </w:pPr>
    </w:p>
    <w:p w14:paraId="66690286">
      <w:pPr>
        <w:spacing w:line="360" w:lineRule="exact"/>
        <w:ind w:right="-506" w:rightChars="-241"/>
        <w:rPr>
          <w:b/>
          <w:color w:val="auto"/>
          <w:sz w:val="24"/>
          <w:highlight w:val="none"/>
        </w:rPr>
      </w:pPr>
      <w:r>
        <w:rPr>
          <w:b/>
          <w:color w:val="auto"/>
          <w:sz w:val="24"/>
          <w:highlight w:val="none"/>
        </w:rPr>
        <w:t>二、评标程序</w:t>
      </w:r>
    </w:p>
    <w:p w14:paraId="67F188E4">
      <w:pPr>
        <w:spacing w:line="360" w:lineRule="exact"/>
        <w:ind w:right="-506" w:rightChars="-241" w:firstLine="480" w:firstLineChars="200"/>
        <w:rPr>
          <w:color w:val="auto"/>
          <w:sz w:val="24"/>
          <w:szCs w:val="24"/>
          <w:highlight w:val="none"/>
          <w:shd w:val="pct10" w:color="auto" w:fill="FFFFFF"/>
        </w:rPr>
      </w:pPr>
      <w:r>
        <w:rPr>
          <w:rFonts w:hAnsi="宋体"/>
          <w:color w:val="auto"/>
          <w:sz w:val="24"/>
          <w:szCs w:val="24"/>
          <w:highlight w:val="none"/>
        </w:rPr>
        <w:t>评标程序：遵循</w:t>
      </w:r>
      <w:r>
        <w:rPr>
          <w:rFonts w:hint="eastAsia" w:hAnsi="宋体"/>
          <w:color w:val="auto"/>
          <w:sz w:val="24"/>
          <w:szCs w:val="24"/>
          <w:highlight w:val="none"/>
        </w:rPr>
        <w:t>初步审查</w:t>
      </w:r>
      <w:r>
        <w:rPr>
          <w:rFonts w:hAnsi="宋体"/>
          <w:color w:val="auto"/>
          <w:sz w:val="24"/>
          <w:szCs w:val="24"/>
          <w:highlight w:val="none"/>
        </w:rPr>
        <w:t>、澄清问题、比较与评价、推荐中标候选人的程序依次进行。</w:t>
      </w:r>
    </w:p>
    <w:p w14:paraId="755D2F0F">
      <w:pPr>
        <w:spacing w:line="360" w:lineRule="exact"/>
        <w:ind w:right="-506" w:rightChars="-241"/>
        <w:rPr>
          <w:b/>
          <w:color w:val="auto"/>
          <w:sz w:val="24"/>
          <w:szCs w:val="24"/>
          <w:highlight w:val="none"/>
        </w:rPr>
      </w:pPr>
      <w:r>
        <w:rPr>
          <w:rFonts w:hint="eastAsia"/>
          <w:b/>
          <w:color w:val="auto"/>
          <w:sz w:val="24"/>
          <w:szCs w:val="24"/>
          <w:highlight w:val="none"/>
        </w:rPr>
        <w:t>1．</w:t>
      </w:r>
      <w:r>
        <w:rPr>
          <w:color w:val="auto"/>
          <w:sz w:val="24"/>
          <w:szCs w:val="24"/>
          <w:highlight w:val="none"/>
        </w:rPr>
        <w:t xml:space="preserve"> </w:t>
      </w:r>
      <w:r>
        <w:rPr>
          <w:b/>
          <w:color w:val="auto"/>
          <w:sz w:val="24"/>
          <w:szCs w:val="24"/>
          <w:highlight w:val="none"/>
        </w:rPr>
        <w:t xml:space="preserve"> </w:t>
      </w:r>
      <w:r>
        <w:rPr>
          <w:rFonts w:hint="eastAsia" w:hAnsi="宋体"/>
          <w:b/>
          <w:color w:val="auto"/>
          <w:sz w:val="24"/>
          <w:szCs w:val="24"/>
          <w:highlight w:val="none"/>
        </w:rPr>
        <w:t>初步</w:t>
      </w:r>
      <w:r>
        <w:rPr>
          <w:rFonts w:hAnsi="宋体"/>
          <w:b/>
          <w:color w:val="auto"/>
          <w:sz w:val="24"/>
          <w:szCs w:val="24"/>
          <w:highlight w:val="none"/>
        </w:rPr>
        <w:t>审查：</w:t>
      </w:r>
      <w:r>
        <w:rPr>
          <w:rFonts w:hAnsi="宋体"/>
          <w:color w:val="auto"/>
          <w:sz w:val="24"/>
          <w:szCs w:val="24"/>
          <w:highlight w:val="none"/>
        </w:rPr>
        <w:t>包含资格性审查和符合性审查。</w:t>
      </w:r>
      <w:r>
        <w:rPr>
          <w:rFonts w:hint="eastAsia" w:hAnsi="宋体"/>
          <w:color w:val="auto"/>
          <w:sz w:val="24"/>
          <w:szCs w:val="24"/>
          <w:highlight w:val="none"/>
        </w:rPr>
        <w:t>初步</w:t>
      </w:r>
      <w:r>
        <w:rPr>
          <w:rFonts w:hAnsi="宋体"/>
          <w:color w:val="auto"/>
          <w:sz w:val="24"/>
          <w:szCs w:val="24"/>
          <w:highlight w:val="none"/>
        </w:rPr>
        <w:t>审查不合格者</w:t>
      </w:r>
      <w:r>
        <w:rPr>
          <w:rFonts w:hint="eastAsia" w:hAnsi="宋体"/>
          <w:color w:val="auto"/>
          <w:sz w:val="24"/>
          <w:szCs w:val="24"/>
          <w:highlight w:val="none"/>
        </w:rPr>
        <w:t>投标无效</w:t>
      </w:r>
      <w:r>
        <w:rPr>
          <w:rFonts w:hAnsi="宋体"/>
          <w:color w:val="auto"/>
          <w:sz w:val="24"/>
          <w:szCs w:val="24"/>
          <w:highlight w:val="none"/>
        </w:rPr>
        <w:t>。</w:t>
      </w:r>
    </w:p>
    <w:p w14:paraId="0B802116">
      <w:pPr>
        <w:spacing w:line="360" w:lineRule="exact"/>
        <w:ind w:right="-506" w:rightChars="-241"/>
        <w:rPr>
          <w:rFonts w:hAnsi="宋体"/>
          <w:color w:val="auto"/>
          <w:sz w:val="24"/>
          <w:szCs w:val="24"/>
          <w:highlight w:val="none"/>
        </w:rPr>
      </w:pPr>
      <w:r>
        <w:rPr>
          <w:rFonts w:hint="eastAsia"/>
          <w:color w:val="auto"/>
          <w:sz w:val="24"/>
          <w:szCs w:val="24"/>
          <w:highlight w:val="none"/>
        </w:rPr>
        <w:t>（</w:t>
      </w:r>
      <w:r>
        <w:rPr>
          <w:color w:val="auto"/>
          <w:sz w:val="24"/>
          <w:szCs w:val="24"/>
          <w:highlight w:val="none"/>
        </w:rPr>
        <w:t>1</w:t>
      </w:r>
      <w:r>
        <w:rPr>
          <w:rFonts w:hint="eastAsia"/>
          <w:color w:val="auto"/>
          <w:sz w:val="24"/>
          <w:szCs w:val="24"/>
          <w:highlight w:val="none"/>
        </w:rPr>
        <w:t>）</w:t>
      </w:r>
      <w:r>
        <w:rPr>
          <w:rFonts w:hAnsi="宋体"/>
          <w:b/>
          <w:color w:val="auto"/>
          <w:sz w:val="24"/>
          <w:szCs w:val="24"/>
          <w:highlight w:val="none"/>
        </w:rPr>
        <w:t>资格性审查：</w:t>
      </w:r>
      <w:r>
        <w:rPr>
          <w:rFonts w:hint="eastAsia"/>
          <w:color w:val="auto"/>
          <w:sz w:val="24"/>
          <w:highlight w:val="none"/>
        </w:rPr>
        <w:t>采购人或采购代理机构</w:t>
      </w:r>
      <w:r>
        <w:rPr>
          <w:rFonts w:hAnsi="宋体"/>
          <w:color w:val="auto"/>
          <w:sz w:val="24"/>
          <w:szCs w:val="24"/>
          <w:highlight w:val="none"/>
        </w:rPr>
        <w:t>依据</w:t>
      </w:r>
      <w:r>
        <w:rPr>
          <w:rFonts w:hint="eastAsia" w:hAnsi="宋体"/>
          <w:color w:val="auto"/>
          <w:sz w:val="24"/>
          <w:szCs w:val="24"/>
          <w:highlight w:val="none"/>
        </w:rPr>
        <w:t>招标文件的要求，</w:t>
      </w:r>
      <w:r>
        <w:rPr>
          <w:rFonts w:hAnsi="宋体"/>
          <w:color w:val="auto"/>
          <w:sz w:val="24"/>
          <w:szCs w:val="24"/>
          <w:highlight w:val="none"/>
        </w:rPr>
        <w:t>对</w:t>
      </w:r>
      <w:r>
        <w:rPr>
          <w:rFonts w:hint="eastAsia" w:hAnsi="宋体"/>
          <w:color w:val="auto"/>
          <w:sz w:val="24"/>
          <w:szCs w:val="24"/>
          <w:highlight w:val="none"/>
        </w:rPr>
        <w:t>投标文件中</w:t>
      </w:r>
      <w:r>
        <w:rPr>
          <w:rFonts w:hAnsi="宋体"/>
          <w:color w:val="auto"/>
          <w:sz w:val="24"/>
          <w:szCs w:val="24"/>
          <w:highlight w:val="none"/>
        </w:rPr>
        <w:t>资格文件</w:t>
      </w:r>
      <w:r>
        <w:rPr>
          <w:rFonts w:hint="eastAsia" w:hAnsi="宋体"/>
          <w:color w:val="auto"/>
          <w:sz w:val="24"/>
          <w:szCs w:val="24"/>
          <w:highlight w:val="none"/>
        </w:rPr>
        <w:t>的完整</w:t>
      </w:r>
      <w:r>
        <w:rPr>
          <w:rFonts w:hAnsi="宋体"/>
          <w:color w:val="auto"/>
          <w:sz w:val="24"/>
          <w:szCs w:val="24"/>
          <w:highlight w:val="none"/>
        </w:rPr>
        <w:t>性和有效性进行审查</w:t>
      </w:r>
      <w:r>
        <w:rPr>
          <w:rFonts w:hint="eastAsia" w:hAnsi="宋体"/>
          <w:color w:val="auto"/>
          <w:sz w:val="24"/>
          <w:szCs w:val="24"/>
          <w:highlight w:val="none"/>
        </w:rPr>
        <w:t>，以确定投标人是否通过资格性审查。</w:t>
      </w:r>
    </w:p>
    <w:tbl>
      <w:tblPr>
        <w:tblStyle w:val="30"/>
        <w:tblW w:w="910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21"/>
        <w:gridCol w:w="7584"/>
      </w:tblGrid>
      <w:tr w14:paraId="199C1F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521" w:type="dxa"/>
            <w:vAlign w:val="center"/>
          </w:tcPr>
          <w:p w14:paraId="6EE8D112">
            <w:pPr>
              <w:spacing w:line="340" w:lineRule="exact"/>
              <w:jc w:val="center"/>
              <w:rPr>
                <w:rFonts w:ascii="宋体" w:hAnsi="宋体" w:cs="宋体"/>
                <w:color w:val="auto"/>
                <w:szCs w:val="21"/>
                <w:highlight w:val="none"/>
              </w:rPr>
            </w:pPr>
            <w:r>
              <w:rPr>
                <w:rFonts w:hint="eastAsia" w:ascii="宋体" w:hAnsi="宋体" w:cs="宋体"/>
                <w:color w:val="auto"/>
                <w:szCs w:val="21"/>
                <w:highlight w:val="none"/>
              </w:rPr>
              <w:t>审查项目</w:t>
            </w:r>
          </w:p>
        </w:tc>
        <w:tc>
          <w:tcPr>
            <w:tcW w:w="7584" w:type="dxa"/>
            <w:vAlign w:val="center"/>
          </w:tcPr>
          <w:p w14:paraId="28D0C1D9">
            <w:pPr>
              <w:spacing w:line="340" w:lineRule="exact"/>
              <w:jc w:val="center"/>
              <w:rPr>
                <w:rFonts w:ascii="宋体" w:hAnsi="宋体" w:cs="宋体"/>
                <w:color w:val="auto"/>
                <w:szCs w:val="21"/>
                <w:highlight w:val="none"/>
              </w:rPr>
            </w:pPr>
            <w:r>
              <w:rPr>
                <w:rFonts w:hint="eastAsia" w:ascii="宋体" w:hAnsi="宋体" w:cs="宋体"/>
                <w:color w:val="auto"/>
                <w:szCs w:val="21"/>
                <w:highlight w:val="none"/>
              </w:rPr>
              <w:t>审查内容</w:t>
            </w:r>
          </w:p>
        </w:tc>
      </w:tr>
      <w:tr w14:paraId="0CE947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521" w:type="dxa"/>
            <w:vMerge w:val="restart"/>
            <w:vAlign w:val="center"/>
          </w:tcPr>
          <w:p w14:paraId="0A48FFFA">
            <w:pPr>
              <w:spacing w:line="340" w:lineRule="exact"/>
              <w:jc w:val="center"/>
              <w:rPr>
                <w:rFonts w:ascii="宋体" w:hAnsi="宋体" w:cs="宋体"/>
                <w:color w:val="auto"/>
                <w:szCs w:val="21"/>
                <w:highlight w:val="none"/>
              </w:rPr>
            </w:pPr>
            <w:r>
              <w:rPr>
                <w:rFonts w:hint="eastAsia" w:ascii="宋体" w:hAnsi="宋体" w:cs="宋体"/>
                <w:color w:val="auto"/>
                <w:szCs w:val="21"/>
                <w:highlight w:val="none"/>
              </w:rPr>
              <w:t>资格条件审查</w:t>
            </w:r>
          </w:p>
        </w:tc>
        <w:tc>
          <w:tcPr>
            <w:tcW w:w="7584" w:type="dxa"/>
            <w:vAlign w:val="center"/>
          </w:tcPr>
          <w:p w14:paraId="60D82C17">
            <w:pPr>
              <w:widowControl/>
              <w:numPr>
                <w:ilvl w:val="0"/>
                <w:numId w:val="2"/>
              </w:numPr>
              <w:spacing w:line="340" w:lineRule="exact"/>
              <w:jc w:val="left"/>
              <w:rPr>
                <w:rFonts w:ascii="宋体" w:hAnsi="宋体" w:cs="宋体"/>
                <w:color w:val="auto"/>
                <w:kern w:val="0"/>
                <w:szCs w:val="21"/>
                <w:highlight w:val="none"/>
              </w:rPr>
            </w:pPr>
            <w:r>
              <w:rPr>
                <w:rFonts w:hint="eastAsia" w:ascii="宋体" w:hAnsi="宋体" w:cs="宋体"/>
                <w:color w:val="auto"/>
                <w:kern w:val="0"/>
                <w:szCs w:val="21"/>
                <w:highlight w:val="none"/>
              </w:rPr>
              <w:t>满足《中华人民共和国政府采购法》第二十二条规定：</w:t>
            </w:r>
          </w:p>
          <w:p w14:paraId="3605926E">
            <w:pPr>
              <w:widowControl/>
              <w:spacing w:line="340" w:lineRule="exact"/>
              <w:jc w:val="left"/>
              <w:rPr>
                <w:rFonts w:ascii="宋体" w:hAnsi="宋体" w:cs="宋体"/>
                <w:color w:val="auto"/>
                <w:kern w:val="0"/>
                <w:szCs w:val="21"/>
                <w:highlight w:val="none"/>
              </w:rPr>
            </w:pPr>
            <w:r>
              <w:rPr>
                <w:rFonts w:ascii="ˎ̥" w:hAnsi="ˎ̥" w:cs="宋体"/>
                <w:color w:val="auto"/>
                <w:kern w:val="0"/>
                <w:szCs w:val="21"/>
                <w:highlight w:val="none"/>
              </w:rPr>
              <w:t>具有独立承担民事责任的能力； 具有良好的商业信誉和健全的财务会计制度； 具有履行合同所必需的设备和专业技术能力； 有依法缴纳税收和社会保障资金的良好记录； 参加政府采购活动前三年内，在经营活动中没有重大违法记录； 法律、行政法规规定的其他条件。</w:t>
            </w:r>
          </w:p>
        </w:tc>
      </w:tr>
      <w:tr w14:paraId="0CF175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521" w:type="dxa"/>
            <w:vMerge w:val="continue"/>
            <w:vAlign w:val="center"/>
          </w:tcPr>
          <w:p w14:paraId="456DAEEE">
            <w:pPr>
              <w:spacing w:line="340" w:lineRule="exact"/>
              <w:jc w:val="center"/>
              <w:rPr>
                <w:rFonts w:ascii="宋体" w:hAnsi="宋体" w:cs="宋体"/>
                <w:color w:val="auto"/>
                <w:szCs w:val="21"/>
                <w:highlight w:val="none"/>
              </w:rPr>
            </w:pPr>
          </w:p>
        </w:tc>
        <w:tc>
          <w:tcPr>
            <w:tcW w:w="7584" w:type="dxa"/>
            <w:vAlign w:val="center"/>
          </w:tcPr>
          <w:p w14:paraId="30661B6F">
            <w:pPr>
              <w:widowControl/>
              <w:spacing w:line="340" w:lineRule="exact"/>
              <w:jc w:val="left"/>
              <w:rPr>
                <w:rFonts w:ascii="宋体" w:hAnsi="宋体" w:cs="宋体"/>
                <w:color w:val="auto"/>
                <w:kern w:val="0"/>
                <w:szCs w:val="21"/>
                <w:highlight w:val="none"/>
              </w:rPr>
            </w:pPr>
            <w:r>
              <w:rPr>
                <w:rFonts w:hint="eastAsia" w:ascii="宋体" w:hAnsi="宋体" w:cs="宋体"/>
                <w:color w:val="auto"/>
                <w:kern w:val="0"/>
                <w:szCs w:val="21"/>
                <w:highlight w:val="none"/>
              </w:rPr>
              <w:t>2.未被“信用中国”（www.creditchina.gov.cn)、中国政府采购网（www.ccgp.gov.cn）列入失信被执行人、重大税收违法失信主体、政府采购严重违法失信行为记录名单。</w:t>
            </w:r>
          </w:p>
        </w:tc>
      </w:tr>
      <w:tr w14:paraId="24C8EB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521" w:type="dxa"/>
            <w:vMerge w:val="continue"/>
            <w:vAlign w:val="center"/>
          </w:tcPr>
          <w:p w14:paraId="25AD35E1">
            <w:pPr>
              <w:spacing w:line="340" w:lineRule="exact"/>
              <w:jc w:val="center"/>
              <w:rPr>
                <w:rFonts w:ascii="宋体" w:hAnsi="宋体" w:cs="宋体"/>
                <w:color w:val="auto"/>
                <w:szCs w:val="21"/>
                <w:highlight w:val="none"/>
              </w:rPr>
            </w:pPr>
          </w:p>
        </w:tc>
        <w:tc>
          <w:tcPr>
            <w:tcW w:w="7584" w:type="dxa"/>
            <w:vAlign w:val="center"/>
          </w:tcPr>
          <w:p w14:paraId="7904930C">
            <w:pPr>
              <w:widowControl/>
              <w:spacing w:line="340" w:lineRule="exact"/>
              <w:jc w:val="left"/>
              <w:rPr>
                <w:rFonts w:ascii="宋体" w:hAnsi="宋体" w:cs="宋体"/>
                <w:color w:val="auto"/>
                <w:szCs w:val="21"/>
                <w:highlight w:val="none"/>
              </w:rPr>
            </w:pPr>
            <w:r>
              <w:rPr>
                <w:rFonts w:hint="eastAsia" w:ascii="宋体" w:hAnsi="宋体" w:cs="宋体"/>
                <w:color w:val="auto"/>
                <w:kern w:val="0"/>
                <w:szCs w:val="21"/>
                <w:highlight w:val="none"/>
              </w:rPr>
              <w:t>3.落实政府采购政策需满足的资格要求：无。</w:t>
            </w:r>
          </w:p>
        </w:tc>
      </w:tr>
      <w:tr w14:paraId="09CB88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521" w:type="dxa"/>
            <w:vMerge w:val="continue"/>
            <w:vAlign w:val="center"/>
          </w:tcPr>
          <w:p w14:paraId="25B7F0BA">
            <w:pPr>
              <w:spacing w:line="340" w:lineRule="exact"/>
              <w:jc w:val="center"/>
              <w:rPr>
                <w:rFonts w:ascii="宋体" w:hAnsi="宋体" w:cs="宋体"/>
                <w:color w:val="auto"/>
                <w:szCs w:val="21"/>
                <w:highlight w:val="none"/>
              </w:rPr>
            </w:pPr>
          </w:p>
        </w:tc>
        <w:tc>
          <w:tcPr>
            <w:tcW w:w="7584" w:type="dxa"/>
            <w:vAlign w:val="center"/>
          </w:tcPr>
          <w:p w14:paraId="6ADCBD38">
            <w:pPr>
              <w:widowControl/>
              <w:spacing w:line="340" w:lineRule="exact"/>
              <w:jc w:val="left"/>
              <w:rPr>
                <w:rFonts w:ascii="宋体" w:hAnsi="宋体" w:cs="宋体"/>
                <w:color w:val="auto"/>
                <w:szCs w:val="21"/>
                <w:highlight w:val="none"/>
              </w:rPr>
            </w:pPr>
            <w:r>
              <w:rPr>
                <w:rFonts w:hint="eastAsia" w:ascii="宋体" w:hAnsi="宋体" w:cs="宋体"/>
                <w:color w:val="auto"/>
                <w:kern w:val="0"/>
                <w:szCs w:val="21"/>
                <w:highlight w:val="none"/>
              </w:rPr>
              <w:t>4.本项目的特定资格要求：</w:t>
            </w:r>
            <w:r>
              <w:rPr>
                <w:rFonts w:hint="eastAsia" w:ascii="宋体" w:hAnsi="宋体" w:cs="宋体"/>
                <w:color w:val="auto"/>
                <w:kern w:val="0"/>
                <w:szCs w:val="21"/>
                <w:highlight w:val="none"/>
                <w:lang w:eastAsia="zh-CN"/>
              </w:rPr>
              <w:t>经市场监管总局核准的，且核准项目代码包含RD2的特种设备综合检验机构；或经各级市场监管部门核准取得CMA证书，且检验检测机构资质认定证书附表中类别（产品/检测对象）包含常压储罐或常压容器，同时项目参数包含《在用危险化学品常压储罐检验要求》中主要检验检测项目的专业检验机构（</w:t>
            </w:r>
            <w:r>
              <w:rPr>
                <w:rFonts w:hint="eastAsia" w:ascii="宋体" w:hAnsi="宋体" w:cs="宋体"/>
                <w:color w:val="auto"/>
                <w:kern w:val="0"/>
                <w:szCs w:val="21"/>
                <w:highlight w:val="none"/>
                <w:lang w:val="en-US" w:eastAsia="zh-CN"/>
              </w:rPr>
              <w:t>提供证明文件</w:t>
            </w:r>
            <w:r>
              <w:rPr>
                <w:rFonts w:hint="eastAsia" w:ascii="宋体" w:hAnsi="宋体" w:cs="宋体"/>
                <w:color w:val="auto"/>
                <w:kern w:val="0"/>
                <w:szCs w:val="21"/>
                <w:highlight w:val="none"/>
                <w:lang w:eastAsia="zh-CN"/>
              </w:rPr>
              <w:t>）</w:t>
            </w:r>
            <w:r>
              <w:rPr>
                <w:rFonts w:hint="eastAsia" w:ascii="宋体" w:hAnsi="宋体" w:cs="宋体"/>
                <w:color w:val="auto"/>
                <w:kern w:val="0"/>
                <w:szCs w:val="21"/>
                <w:highlight w:val="none"/>
              </w:rPr>
              <w:t>。</w:t>
            </w:r>
          </w:p>
        </w:tc>
      </w:tr>
      <w:tr w14:paraId="1AB236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521" w:type="dxa"/>
            <w:vMerge w:val="continue"/>
            <w:vAlign w:val="center"/>
          </w:tcPr>
          <w:p w14:paraId="2F8E6A72">
            <w:pPr>
              <w:spacing w:line="340" w:lineRule="exact"/>
              <w:jc w:val="center"/>
              <w:rPr>
                <w:rFonts w:ascii="宋体" w:hAnsi="宋体" w:cs="宋体"/>
                <w:color w:val="auto"/>
                <w:szCs w:val="21"/>
                <w:highlight w:val="none"/>
              </w:rPr>
            </w:pPr>
          </w:p>
        </w:tc>
        <w:tc>
          <w:tcPr>
            <w:tcW w:w="7584" w:type="dxa"/>
            <w:vAlign w:val="center"/>
          </w:tcPr>
          <w:p w14:paraId="1D5BDC4C">
            <w:pPr>
              <w:spacing w:line="340" w:lineRule="exact"/>
              <w:jc w:val="left"/>
              <w:rPr>
                <w:rFonts w:ascii="宋体" w:hAnsi="宋体" w:eastAsia="宋体" w:cs="宋体"/>
                <w:color w:val="auto"/>
                <w:kern w:val="2"/>
                <w:sz w:val="21"/>
                <w:szCs w:val="21"/>
                <w:highlight w:val="none"/>
                <w:lang w:val="en-US" w:eastAsia="zh-CN" w:bidi="ar-SA"/>
              </w:rPr>
            </w:pPr>
            <w:r>
              <w:rPr>
                <w:rFonts w:hint="eastAsia" w:ascii="宋体" w:hAnsi="宋体" w:cs="宋体"/>
                <w:color w:val="auto"/>
                <w:szCs w:val="21"/>
                <w:highlight w:val="none"/>
              </w:rPr>
              <w:t>5.</w:t>
            </w:r>
            <w:r>
              <w:rPr>
                <w:rFonts w:hint="eastAsia" w:ascii="宋体" w:hAnsi="宋体" w:cs="宋体"/>
                <w:color w:val="auto"/>
                <w:szCs w:val="21"/>
                <w:highlight w:val="none"/>
                <w:lang w:val="en-US" w:eastAsia="zh-CN"/>
              </w:rPr>
              <w:t>是否</w:t>
            </w:r>
            <w:r>
              <w:rPr>
                <w:rFonts w:hint="eastAsia" w:ascii="宋体" w:hAnsi="宋体" w:cs="宋体"/>
                <w:color w:val="auto"/>
                <w:szCs w:val="21"/>
                <w:highlight w:val="none"/>
              </w:rPr>
              <w:t>联合体投标</w:t>
            </w:r>
            <w:r>
              <w:rPr>
                <w:rFonts w:hint="eastAsia" w:ascii="宋体" w:hAnsi="宋体" w:cs="宋体"/>
                <w:color w:val="auto"/>
                <w:szCs w:val="21"/>
                <w:highlight w:val="none"/>
                <w:lang w:eastAsia="zh-CN"/>
              </w:rPr>
              <w:t>：</w:t>
            </w:r>
            <w:r>
              <w:rPr>
                <w:rFonts w:hint="eastAsia" w:ascii="宋体" w:hAnsi="宋体" w:cs="宋体"/>
                <w:color w:val="auto"/>
                <w:szCs w:val="21"/>
                <w:highlight w:val="none"/>
                <w:lang w:val="en-US" w:eastAsia="zh-CN"/>
              </w:rPr>
              <w:t>否</w:t>
            </w:r>
            <w:r>
              <w:rPr>
                <w:rFonts w:hint="eastAsia" w:ascii="宋体" w:hAnsi="宋体" w:cs="宋体"/>
                <w:color w:val="auto"/>
                <w:szCs w:val="21"/>
                <w:highlight w:val="none"/>
              </w:rPr>
              <w:t>。</w:t>
            </w:r>
          </w:p>
        </w:tc>
      </w:tr>
    </w:tbl>
    <w:p w14:paraId="305A1AB3">
      <w:pPr>
        <w:spacing w:line="360" w:lineRule="exact"/>
        <w:ind w:right="-506" w:rightChars="-241"/>
        <w:rPr>
          <w:color w:val="auto"/>
          <w:sz w:val="24"/>
          <w:szCs w:val="24"/>
          <w:highlight w:val="none"/>
        </w:rPr>
      </w:pPr>
    </w:p>
    <w:p w14:paraId="2EB99ED6">
      <w:pPr>
        <w:numPr>
          <w:ilvl w:val="0"/>
          <w:numId w:val="3"/>
        </w:numPr>
        <w:spacing w:line="360" w:lineRule="exact"/>
        <w:ind w:right="-506" w:rightChars="-241"/>
        <w:rPr>
          <w:rFonts w:hAnsi="宋体"/>
          <w:color w:val="auto"/>
          <w:sz w:val="24"/>
          <w:szCs w:val="24"/>
          <w:highlight w:val="none"/>
        </w:rPr>
      </w:pPr>
      <w:r>
        <w:rPr>
          <w:rFonts w:hAnsi="宋体"/>
          <w:b/>
          <w:color w:val="auto"/>
          <w:sz w:val="24"/>
          <w:szCs w:val="24"/>
          <w:highlight w:val="none"/>
        </w:rPr>
        <w:t>符合性检查：</w:t>
      </w:r>
      <w:r>
        <w:rPr>
          <w:rFonts w:hint="eastAsia" w:hAnsi="宋体"/>
          <w:bCs/>
          <w:color w:val="auto"/>
          <w:sz w:val="24"/>
          <w:szCs w:val="24"/>
          <w:highlight w:val="none"/>
        </w:rPr>
        <w:t>评标委员会</w:t>
      </w:r>
      <w:r>
        <w:rPr>
          <w:rFonts w:hAnsi="宋体"/>
          <w:bCs/>
          <w:color w:val="auto"/>
          <w:sz w:val="24"/>
          <w:szCs w:val="24"/>
          <w:highlight w:val="none"/>
        </w:rPr>
        <w:t>依据</w:t>
      </w:r>
      <w:r>
        <w:rPr>
          <w:rFonts w:hint="eastAsia" w:hAnsi="宋体"/>
          <w:color w:val="auto"/>
          <w:sz w:val="24"/>
          <w:szCs w:val="24"/>
          <w:highlight w:val="none"/>
        </w:rPr>
        <w:t>招标文件的</w:t>
      </w:r>
      <w:r>
        <w:rPr>
          <w:rFonts w:hAnsi="宋体"/>
          <w:color w:val="auto"/>
          <w:sz w:val="24"/>
          <w:szCs w:val="24"/>
          <w:highlight w:val="none"/>
        </w:rPr>
        <w:t>规定，对投标文件的完整性和有效性</w:t>
      </w:r>
      <w:r>
        <w:rPr>
          <w:rFonts w:hint="eastAsia" w:hAnsi="宋体"/>
          <w:color w:val="auto"/>
          <w:sz w:val="24"/>
          <w:szCs w:val="24"/>
          <w:highlight w:val="none"/>
        </w:rPr>
        <w:t>审查，以审查投标人是否通过符合性审查。</w:t>
      </w:r>
    </w:p>
    <w:tbl>
      <w:tblPr>
        <w:tblStyle w:val="30"/>
        <w:tblW w:w="910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21"/>
        <w:gridCol w:w="7584"/>
      </w:tblGrid>
      <w:tr w14:paraId="1FDBC8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521" w:type="dxa"/>
            <w:vAlign w:val="center"/>
          </w:tcPr>
          <w:p w14:paraId="614D414B">
            <w:pPr>
              <w:spacing w:line="340" w:lineRule="exact"/>
              <w:jc w:val="center"/>
              <w:rPr>
                <w:rFonts w:ascii="宋体" w:hAnsi="宋体" w:cs="宋体"/>
                <w:color w:val="auto"/>
                <w:szCs w:val="21"/>
                <w:highlight w:val="none"/>
              </w:rPr>
            </w:pPr>
            <w:r>
              <w:rPr>
                <w:rFonts w:hint="eastAsia" w:ascii="宋体" w:hAnsi="宋体" w:cs="宋体"/>
                <w:color w:val="auto"/>
                <w:szCs w:val="21"/>
                <w:highlight w:val="none"/>
              </w:rPr>
              <w:t>审查项目</w:t>
            </w:r>
          </w:p>
        </w:tc>
        <w:tc>
          <w:tcPr>
            <w:tcW w:w="7584" w:type="dxa"/>
            <w:vAlign w:val="center"/>
          </w:tcPr>
          <w:p w14:paraId="488CA9D4">
            <w:pPr>
              <w:spacing w:line="340" w:lineRule="exact"/>
              <w:jc w:val="center"/>
              <w:rPr>
                <w:rFonts w:ascii="宋体" w:hAnsi="宋体" w:cs="宋体"/>
                <w:color w:val="auto"/>
                <w:szCs w:val="21"/>
                <w:highlight w:val="none"/>
              </w:rPr>
            </w:pPr>
            <w:r>
              <w:rPr>
                <w:rFonts w:hint="eastAsia" w:ascii="宋体" w:hAnsi="宋体" w:cs="宋体"/>
                <w:color w:val="auto"/>
                <w:szCs w:val="21"/>
                <w:highlight w:val="none"/>
              </w:rPr>
              <w:t>审查内容</w:t>
            </w:r>
          </w:p>
        </w:tc>
      </w:tr>
      <w:tr w14:paraId="3ADE38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521" w:type="dxa"/>
            <w:vMerge w:val="restart"/>
            <w:vAlign w:val="center"/>
          </w:tcPr>
          <w:p w14:paraId="3F18802E">
            <w:pPr>
              <w:spacing w:line="340" w:lineRule="exact"/>
              <w:jc w:val="center"/>
              <w:rPr>
                <w:rFonts w:ascii="宋体" w:hAnsi="宋体" w:cs="宋体"/>
                <w:color w:val="auto"/>
                <w:szCs w:val="21"/>
                <w:highlight w:val="none"/>
              </w:rPr>
            </w:pPr>
            <w:r>
              <w:rPr>
                <w:rFonts w:hint="eastAsia" w:ascii="宋体" w:hAnsi="宋体" w:cs="宋体"/>
                <w:color w:val="auto"/>
                <w:szCs w:val="21"/>
                <w:highlight w:val="none"/>
              </w:rPr>
              <w:t>符合性审查</w:t>
            </w:r>
          </w:p>
        </w:tc>
        <w:tc>
          <w:tcPr>
            <w:tcW w:w="7584" w:type="dxa"/>
            <w:vAlign w:val="center"/>
          </w:tcPr>
          <w:p w14:paraId="22762307">
            <w:pPr>
              <w:spacing w:line="340" w:lineRule="exact"/>
              <w:rPr>
                <w:rFonts w:ascii="宋体" w:hAnsi="宋体" w:cs="宋体"/>
                <w:color w:val="auto"/>
                <w:szCs w:val="21"/>
                <w:highlight w:val="none"/>
              </w:rPr>
            </w:pPr>
            <w:r>
              <w:rPr>
                <w:rFonts w:hint="eastAsia" w:hAnsi="宋体" w:cs="宋体"/>
                <w:bCs/>
                <w:color w:val="auto"/>
                <w:szCs w:val="21"/>
                <w:highlight w:val="none"/>
              </w:rPr>
              <w:t>投标文件是否按招标文件要求签署、盖章</w:t>
            </w:r>
          </w:p>
        </w:tc>
      </w:tr>
      <w:tr w14:paraId="1CE0EE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521" w:type="dxa"/>
            <w:vMerge w:val="continue"/>
            <w:vAlign w:val="center"/>
          </w:tcPr>
          <w:p w14:paraId="30DB27C6">
            <w:pPr>
              <w:spacing w:line="340" w:lineRule="exact"/>
              <w:jc w:val="center"/>
              <w:rPr>
                <w:rFonts w:ascii="宋体" w:hAnsi="宋体" w:cs="宋体"/>
                <w:color w:val="auto"/>
                <w:szCs w:val="21"/>
                <w:highlight w:val="none"/>
              </w:rPr>
            </w:pPr>
          </w:p>
        </w:tc>
        <w:tc>
          <w:tcPr>
            <w:tcW w:w="7584" w:type="dxa"/>
            <w:vAlign w:val="center"/>
          </w:tcPr>
          <w:p w14:paraId="482130D0">
            <w:pPr>
              <w:spacing w:line="340" w:lineRule="exact"/>
              <w:rPr>
                <w:rFonts w:hAnsi="宋体" w:cs="宋体"/>
                <w:bCs/>
                <w:color w:val="auto"/>
                <w:szCs w:val="21"/>
                <w:highlight w:val="none"/>
              </w:rPr>
            </w:pPr>
            <w:r>
              <w:rPr>
                <w:rFonts w:hint="eastAsia" w:hAnsi="宋体" w:cs="宋体"/>
                <w:bCs/>
                <w:color w:val="auto"/>
                <w:szCs w:val="21"/>
                <w:highlight w:val="none"/>
              </w:rPr>
              <w:t>投标有效期是否符合招标文件要求</w:t>
            </w:r>
          </w:p>
        </w:tc>
      </w:tr>
      <w:tr w14:paraId="19CB6E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521" w:type="dxa"/>
            <w:vMerge w:val="continue"/>
            <w:vAlign w:val="center"/>
          </w:tcPr>
          <w:p w14:paraId="7355F536">
            <w:pPr>
              <w:spacing w:line="340" w:lineRule="exact"/>
              <w:jc w:val="center"/>
              <w:rPr>
                <w:rFonts w:ascii="宋体" w:hAnsi="宋体" w:cs="宋体"/>
                <w:color w:val="auto"/>
                <w:szCs w:val="21"/>
                <w:highlight w:val="none"/>
              </w:rPr>
            </w:pPr>
          </w:p>
        </w:tc>
        <w:tc>
          <w:tcPr>
            <w:tcW w:w="7584" w:type="dxa"/>
            <w:vAlign w:val="center"/>
          </w:tcPr>
          <w:p w14:paraId="74178B72">
            <w:pPr>
              <w:spacing w:line="340" w:lineRule="exact"/>
              <w:rPr>
                <w:rFonts w:hAnsi="宋体" w:cs="宋体"/>
                <w:bCs/>
                <w:color w:val="auto"/>
                <w:szCs w:val="21"/>
                <w:highlight w:val="none"/>
              </w:rPr>
            </w:pPr>
            <w:r>
              <w:rPr>
                <w:rFonts w:hint="eastAsia" w:hAnsi="宋体" w:cs="宋体"/>
                <w:bCs/>
                <w:color w:val="auto"/>
                <w:szCs w:val="21"/>
                <w:highlight w:val="none"/>
              </w:rPr>
              <w:t>投标文件是否对招标文件</w:t>
            </w:r>
            <w:r>
              <w:rPr>
                <w:rFonts w:hint="eastAsia" w:hAnsi="宋体" w:cs="宋体"/>
                <w:bCs/>
                <w:color w:val="auto"/>
                <w:szCs w:val="21"/>
                <w:highlight w:val="none"/>
                <w:lang w:val="en-US" w:eastAsia="zh-CN"/>
              </w:rPr>
              <w:t>实质性条款</w:t>
            </w:r>
            <w:r>
              <w:rPr>
                <w:rFonts w:hint="eastAsia" w:hAnsi="宋体" w:cs="宋体"/>
                <w:bCs/>
                <w:color w:val="auto"/>
                <w:szCs w:val="21"/>
                <w:highlight w:val="none"/>
              </w:rPr>
              <w:t>（标注★号的条款）做出响应</w:t>
            </w:r>
          </w:p>
        </w:tc>
      </w:tr>
      <w:tr w14:paraId="4A5CA0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521" w:type="dxa"/>
            <w:vMerge w:val="continue"/>
            <w:vAlign w:val="center"/>
          </w:tcPr>
          <w:p w14:paraId="599B718A">
            <w:pPr>
              <w:spacing w:line="340" w:lineRule="exact"/>
              <w:jc w:val="center"/>
              <w:rPr>
                <w:rFonts w:ascii="宋体" w:hAnsi="宋体" w:cs="宋体"/>
                <w:color w:val="auto"/>
                <w:szCs w:val="21"/>
                <w:highlight w:val="none"/>
              </w:rPr>
            </w:pPr>
          </w:p>
        </w:tc>
        <w:tc>
          <w:tcPr>
            <w:tcW w:w="7584" w:type="dxa"/>
            <w:vAlign w:val="center"/>
          </w:tcPr>
          <w:p w14:paraId="28165B72">
            <w:pPr>
              <w:spacing w:line="340" w:lineRule="exact"/>
              <w:rPr>
                <w:rFonts w:hAnsi="宋体" w:cs="宋体"/>
                <w:bCs/>
                <w:color w:val="auto"/>
                <w:szCs w:val="21"/>
                <w:highlight w:val="none"/>
              </w:rPr>
            </w:pPr>
            <w:r>
              <w:rPr>
                <w:rFonts w:hint="eastAsia" w:hAnsi="宋体" w:cs="宋体"/>
                <w:bCs/>
                <w:color w:val="auto"/>
                <w:szCs w:val="21"/>
                <w:highlight w:val="none"/>
              </w:rPr>
              <w:t>法律、法规和招标文件规定的其他无效情形。</w:t>
            </w:r>
          </w:p>
        </w:tc>
      </w:tr>
    </w:tbl>
    <w:p w14:paraId="6C3D483B">
      <w:pPr>
        <w:spacing w:line="360" w:lineRule="exact"/>
        <w:ind w:right="-506" w:rightChars="-241"/>
        <w:rPr>
          <w:rFonts w:hAnsi="宋体"/>
          <w:color w:val="auto"/>
          <w:sz w:val="24"/>
          <w:szCs w:val="24"/>
          <w:highlight w:val="none"/>
        </w:rPr>
      </w:pPr>
    </w:p>
    <w:p w14:paraId="7906F97C">
      <w:pPr>
        <w:spacing w:line="360" w:lineRule="exact"/>
        <w:ind w:right="-506" w:rightChars="-241"/>
        <w:rPr>
          <w:color w:val="auto"/>
          <w:sz w:val="24"/>
          <w:szCs w:val="24"/>
          <w:highlight w:val="none"/>
        </w:rPr>
      </w:pPr>
      <w:r>
        <w:rPr>
          <w:rFonts w:hint="eastAsia"/>
          <w:color w:val="auto"/>
          <w:sz w:val="24"/>
          <w:szCs w:val="24"/>
          <w:highlight w:val="none"/>
        </w:rPr>
        <w:t>（3）</w:t>
      </w:r>
      <w:r>
        <w:rPr>
          <w:b/>
          <w:color w:val="auto"/>
          <w:sz w:val="24"/>
          <w:szCs w:val="24"/>
          <w:highlight w:val="none"/>
        </w:rPr>
        <w:t>投标文件有以下</w:t>
      </w:r>
      <w:r>
        <w:rPr>
          <w:rFonts w:hint="eastAsia"/>
          <w:b/>
          <w:color w:val="auto"/>
          <w:sz w:val="24"/>
          <w:szCs w:val="24"/>
          <w:highlight w:val="none"/>
        </w:rPr>
        <w:t>重大</w:t>
      </w:r>
      <w:r>
        <w:rPr>
          <w:b/>
          <w:color w:val="auto"/>
          <w:sz w:val="24"/>
          <w:szCs w:val="24"/>
          <w:highlight w:val="none"/>
        </w:rPr>
        <w:t>偏差</w:t>
      </w:r>
      <w:r>
        <w:rPr>
          <w:rFonts w:hint="eastAsia"/>
          <w:b/>
          <w:color w:val="auto"/>
          <w:sz w:val="24"/>
          <w:szCs w:val="24"/>
          <w:highlight w:val="none"/>
        </w:rPr>
        <w:t>之一</w:t>
      </w:r>
      <w:r>
        <w:rPr>
          <w:b/>
          <w:color w:val="auto"/>
          <w:sz w:val="24"/>
          <w:szCs w:val="24"/>
          <w:highlight w:val="none"/>
        </w:rPr>
        <w:t>的</w:t>
      </w:r>
      <w:r>
        <w:rPr>
          <w:rFonts w:hint="eastAsia"/>
          <w:b/>
          <w:color w:val="auto"/>
          <w:sz w:val="24"/>
          <w:szCs w:val="24"/>
          <w:highlight w:val="none"/>
        </w:rPr>
        <w:t>投标无效</w:t>
      </w:r>
      <w:r>
        <w:rPr>
          <w:b/>
          <w:color w:val="auto"/>
          <w:sz w:val="24"/>
          <w:szCs w:val="24"/>
          <w:highlight w:val="none"/>
        </w:rPr>
        <w:t>：</w:t>
      </w:r>
    </w:p>
    <w:p w14:paraId="13CE9286">
      <w:pPr>
        <w:spacing w:line="360" w:lineRule="exact"/>
        <w:ind w:right="-506" w:rightChars="-241"/>
        <w:rPr>
          <w:color w:val="auto"/>
          <w:sz w:val="24"/>
          <w:szCs w:val="24"/>
          <w:highlight w:val="none"/>
        </w:rPr>
      </w:pPr>
      <w:r>
        <w:rPr>
          <w:rFonts w:hint="eastAsia"/>
          <w:color w:val="auto"/>
          <w:sz w:val="24"/>
          <w:szCs w:val="24"/>
          <w:highlight w:val="none"/>
        </w:rPr>
        <w:t xml:space="preserve">（3.1） </w:t>
      </w:r>
      <w:r>
        <w:rPr>
          <w:color w:val="auto"/>
          <w:sz w:val="24"/>
          <w:szCs w:val="24"/>
          <w:highlight w:val="none"/>
        </w:rPr>
        <w:t>资格审查不合格的：</w:t>
      </w:r>
      <w:r>
        <w:rPr>
          <w:rFonts w:hint="eastAsia"/>
          <w:color w:val="auto"/>
          <w:sz w:val="24"/>
          <w:szCs w:val="24"/>
          <w:highlight w:val="none"/>
        </w:rPr>
        <w:t>投标文件的资格文件不符合招标文件“第六部分附件（投标文件格式）（一）资格文件”要求的</w:t>
      </w:r>
      <w:r>
        <w:rPr>
          <w:color w:val="auto"/>
          <w:sz w:val="24"/>
          <w:szCs w:val="24"/>
          <w:highlight w:val="none"/>
        </w:rPr>
        <w:t>；</w:t>
      </w:r>
    </w:p>
    <w:p w14:paraId="579636F6">
      <w:pPr>
        <w:spacing w:line="360" w:lineRule="exact"/>
        <w:ind w:right="-506" w:rightChars="-241"/>
        <w:rPr>
          <w:color w:val="auto"/>
          <w:sz w:val="24"/>
          <w:szCs w:val="24"/>
          <w:highlight w:val="none"/>
        </w:rPr>
      </w:pPr>
      <w:r>
        <w:rPr>
          <w:rFonts w:hint="eastAsia"/>
          <w:color w:val="auto"/>
          <w:sz w:val="24"/>
          <w:szCs w:val="24"/>
          <w:highlight w:val="none"/>
        </w:rPr>
        <w:t>（3.2）投标报价超过采购预算（或最高限价）的；</w:t>
      </w:r>
    </w:p>
    <w:p w14:paraId="578CEE5F">
      <w:pPr>
        <w:spacing w:line="360" w:lineRule="exact"/>
        <w:ind w:right="-506" w:rightChars="-241"/>
        <w:rPr>
          <w:color w:val="auto"/>
          <w:sz w:val="24"/>
          <w:szCs w:val="24"/>
          <w:highlight w:val="none"/>
        </w:rPr>
      </w:pPr>
      <w:r>
        <w:rPr>
          <w:rFonts w:hint="eastAsia"/>
          <w:color w:val="auto"/>
          <w:sz w:val="24"/>
          <w:szCs w:val="24"/>
          <w:highlight w:val="none"/>
        </w:rPr>
        <w:t>（3.3）</w:t>
      </w:r>
      <w:r>
        <w:rPr>
          <w:color w:val="auto"/>
          <w:sz w:val="24"/>
          <w:szCs w:val="24"/>
          <w:highlight w:val="none"/>
        </w:rPr>
        <w:t>投标有效期不符合招标文件的要求的；</w:t>
      </w:r>
    </w:p>
    <w:p w14:paraId="40CAD664">
      <w:pPr>
        <w:spacing w:line="360" w:lineRule="exact"/>
        <w:ind w:right="-506" w:rightChars="-241"/>
        <w:rPr>
          <w:color w:val="auto"/>
          <w:sz w:val="24"/>
          <w:szCs w:val="24"/>
          <w:highlight w:val="none"/>
        </w:rPr>
      </w:pPr>
      <w:r>
        <w:rPr>
          <w:rFonts w:hint="eastAsia"/>
          <w:color w:val="auto"/>
          <w:sz w:val="24"/>
          <w:szCs w:val="24"/>
          <w:highlight w:val="none"/>
        </w:rPr>
        <w:t>（3.4）招标文件中标注</w:t>
      </w:r>
      <w:r>
        <w:rPr>
          <w:color w:val="auto"/>
          <w:sz w:val="24"/>
          <w:szCs w:val="24"/>
          <w:highlight w:val="none"/>
        </w:rPr>
        <w:t>“</w:t>
      </w:r>
      <w:bookmarkStart w:id="6" w:name="_Hlk100300949"/>
      <w:r>
        <w:rPr>
          <w:rFonts w:hint="eastAsia"/>
          <w:color w:val="auto"/>
          <w:sz w:val="24"/>
          <w:szCs w:val="24"/>
          <w:highlight w:val="none"/>
        </w:rPr>
        <w:t>★</w:t>
      </w:r>
      <w:bookmarkEnd w:id="6"/>
      <w:r>
        <w:rPr>
          <w:color w:val="auto"/>
          <w:sz w:val="24"/>
          <w:szCs w:val="24"/>
          <w:highlight w:val="none"/>
        </w:rPr>
        <w:t>”</w:t>
      </w:r>
      <w:r>
        <w:rPr>
          <w:rFonts w:hint="eastAsia"/>
          <w:color w:val="auto"/>
          <w:sz w:val="24"/>
          <w:szCs w:val="24"/>
          <w:highlight w:val="none"/>
        </w:rPr>
        <w:t>号的条款为主要条款，投标文件中对主要条款的任何负偏离或未实质性响应的；</w:t>
      </w:r>
    </w:p>
    <w:p w14:paraId="537D4DE3">
      <w:pPr>
        <w:spacing w:line="360" w:lineRule="exact"/>
        <w:ind w:right="-506" w:rightChars="-241"/>
        <w:rPr>
          <w:color w:val="auto"/>
          <w:sz w:val="24"/>
          <w:szCs w:val="24"/>
          <w:highlight w:val="none"/>
        </w:rPr>
      </w:pPr>
      <w:r>
        <w:rPr>
          <w:rFonts w:hint="eastAsia"/>
          <w:color w:val="auto"/>
          <w:sz w:val="24"/>
          <w:szCs w:val="24"/>
          <w:highlight w:val="none"/>
        </w:rPr>
        <w:t>（3.5）投标文件的签署和盖章不符合招标文件规定的；</w:t>
      </w:r>
    </w:p>
    <w:p w14:paraId="0EB2DB2D">
      <w:pPr>
        <w:spacing w:line="360" w:lineRule="exact"/>
        <w:ind w:right="-506" w:rightChars="-241"/>
        <w:rPr>
          <w:color w:val="auto"/>
          <w:sz w:val="24"/>
          <w:szCs w:val="24"/>
          <w:highlight w:val="none"/>
        </w:rPr>
      </w:pPr>
      <w:r>
        <w:rPr>
          <w:rFonts w:hint="eastAsia"/>
          <w:color w:val="auto"/>
          <w:sz w:val="24"/>
          <w:szCs w:val="24"/>
          <w:highlight w:val="none"/>
        </w:rPr>
        <w:t>（3.6）投标文件出现两个及以上不同的投标方案或投标报价的；</w:t>
      </w:r>
    </w:p>
    <w:p w14:paraId="174219B5">
      <w:pPr>
        <w:spacing w:line="360" w:lineRule="exact"/>
        <w:ind w:right="-506" w:rightChars="-241"/>
        <w:rPr>
          <w:color w:val="auto"/>
          <w:sz w:val="24"/>
          <w:szCs w:val="24"/>
          <w:highlight w:val="none"/>
        </w:rPr>
      </w:pPr>
      <w:r>
        <w:rPr>
          <w:rFonts w:hint="eastAsia"/>
          <w:color w:val="auto"/>
          <w:sz w:val="24"/>
          <w:szCs w:val="24"/>
          <w:highlight w:val="none"/>
        </w:rPr>
        <w:t>（3.7）评标委员会认为供应商的报价明显低于其他通过初步审查的供应商的报价，有可能影响产品质量或者不能诚信履约的，应当要求其在评标现场合理的时间内（30分钟）提供书面说明，必要时提交相关证明材料；供应商不能证明其报价合理性的，投标无效；</w:t>
      </w:r>
    </w:p>
    <w:p w14:paraId="08BFA630">
      <w:pPr>
        <w:spacing w:line="360" w:lineRule="exact"/>
        <w:ind w:right="-506" w:rightChars="-241"/>
        <w:rPr>
          <w:color w:val="auto"/>
          <w:sz w:val="24"/>
          <w:szCs w:val="24"/>
          <w:highlight w:val="none"/>
        </w:rPr>
      </w:pPr>
      <w:r>
        <w:rPr>
          <w:rFonts w:hint="eastAsia"/>
          <w:color w:val="auto"/>
          <w:sz w:val="24"/>
          <w:szCs w:val="24"/>
          <w:highlight w:val="none"/>
        </w:rPr>
        <w:t>（3.8）符合招标文件规定的投标无效的情况；</w:t>
      </w:r>
    </w:p>
    <w:p w14:paraId="66D1D4C5">
      <w:pPr>
        <w:spacing w:line="360" w:lineRule="exact"/>
        <w:ind w:right="-506" w:rightChars="-241"/>
        <w:rPr>
          <w:color w:val="auto"/>
          <w:sz w:val="24"/>
          <w:szCs w:val="24"/>
          <w:highlight w:val="none"/>
        </w:rPr>
      </w:pPr>
      <w:r>
        <w:rPr>
          <w:rFonts w:hint="eastAsia"/>
          <w:color w:val="auto"/>
          <w:sz w:val="24"/>
          <w:szCs w:val="24"/>
          <w:highlight w:val="none"/>
        </w:rPr>
        <w:t>（3.9）评标委员会经过审查，发现投标文件有虚假响应的；</w:t>
      </w:r>
    </w:p>
    <w:p w14:paraId="0D53FF92">
      <w:pPr>
        <w:spacing w:line="360" w:lineRule="exact"/>
        <w:ind w:right="-506" w:rightChars="-241"/>
        <w:rPr>
          <w:color w:val="auto"/>
          <w:sz w:val="24"/>
          <w:szCs w:val="24"/>
          <w:highlight w:val="none"/>
        </w:rPr>
      </w:pPr>
      <w:r>
        <w:rPr>
          <w:rFonts w:hint="eastAsia"/>
          <w:color w:val="auto"/>
          <w:sz w:val="24"/>
          <w:szCs w:val="24"/>
          <w:highlight w:val="none"/>
        </w:rPr>
        <w:t>（3.10）评标委员会经过审查，发现投标文件有不符合国家法律法规规定的情形</w:t>
      </w:r>
      <w:r>
        <w:rPr>
          <w:color w:val="auto"/>
          <w:sz w:val="24"/>
          <w:szCs w:val="24"/>
          <w:highlight w:val="none"/>
        </w:rPr>
        <w:t>。</w:t>
      </w:r>
    </w:p>
    <w:p w14:paraId="61E67A72">
      <w:pPr>
        <w:spacing w:line="360" w:lineRule="exact"/>
        <w:ind w:right="-506" w:rightChars="-241" w:firstLine="480" w:firstLineChars="200"/>
        <w:rPr>
          <w:rFonts w:hAnsi="宋体"/>
          <w:color w:val="auto"/>
          <w:sz w:val="24"/>
          <w:szCs w:val="24"/>
          <w:highlight w:val="none"/>
        </w:rPr>
      </w:pPr>
      <w:r>
        <w:rPr>
          <w:rFonts w:hAnsi="宋体"/>
          <w:color w:val="auto"/>
          <w:sz w:val="24"/>
          <w:szCs w:val="24"/>
          <w:highlight w:val="none"/>
        </w:rPr>
        <w:t>在评标、定标期间，评标委员会若发现投标人在投标中有腐败或欺诈行为或试图对评标委员会的评标和采购人授予合同的决定进行影响，将依法否决其投标，并向管理部门上报其不良行为纪录。</w:t>
      </w:r>
    </w:p>
    <w:p w14:paraId="1F621742">
      <w:pPr>
        <w:spacing w:line="360" w:lineRule="exact"/>
        <w:ind w:right="-506" w:rightChars="-241"/>
        <w:rPr>
          <w:color w:val="auto"/>
          <w:sz w:val="24"/>
          <w:szCs w:val="24"/>
          <w:highlight w:val="none"/>
        </w:rPr>
      </w:pPr>
    </w:p>
    <w:p w14:paraId="4581F262">
      <w:pPr>
        <w:spacing w:line="360" w:lineRule="exact"/>
        <w:ind w:right="-506" w:rightChars="-241"/>
        <w:rPr>
          <w:color w:val="auto"/>
          <w:sz w:val="24"/>
          <w:szCs w:val="24"/>
          <w:highlight w:val="none"/>
        </w:rPr>
      </w:pPr>
      <w:r>
        <w:rPr>
          <w:rFonts w:hint="eastAsia"/>
          <w:color w:val="auto"/>
          <w:sz w:val="24"/>
          <w:szCs w:val="24"/>
          <w:highlight w:val="none"/>
        </w:rPr>
        <w:t>（4）</w:t>
      </w:r>
      <w:r>
        <w:rPr>
          <w:rFonts w:hint="eastAsia"/>
          <w:b/>
          <w:color w:val="auto"/>
          <w:sz w:val="24"/>
          <w:szCs w:val="24"/>
          <w:highlight w:val="none"/>
        </w:rPr>
        <w:t>有下列情形之一的，视为投标人串通投标，其投标无效：</w:t>
      </w:r>
    </w:p>
    <w:p w14:paraId="22FC36EA">
      <w:pPr>
        <w:spacing w:line="360" w:lineRule="exact"/>
        <w:ind w:right="-506" w:rightChars="-241"/>
        <w:rPr>
          <w:color w:val="auto"/>
          <w:sz w:val="24"/>
          <w:szCs w:val="24"/>
          <w:highlight w:val="none"/>
        </w:rPr>
      </w:pPr>
      <w:r>
        <w:rPr>
          <w:rFonts w:hint="eastAsia"/>
          <w:color w:val="auto"/>
          <w:sz w:val="24"/>
          <w:szCs w:val="24"/>
          <w:highlight w:val="none"/>
        </w:rPr>
        <w:t>（4.</w:t>
      </w:r>
      <w:r>
        <w:rPr>
          <w:color w:val="auto"/>
          <w:sz w:val="24"/>
          <w:szCs w:val="24"/>
          <w:highlight w:val="none"/>
        </w:rPr>
        <w:t>1</w:t>
      </w:r>
      <w:r>
        <w:rPr>
          <w:rFonts w:hint="eastAsia"/>
          <w:color w:val="auto"/>
          <w:sz w:val="24"/>
          <w:szCs w:val="24"/>
          <w:highlight w:val="none"/>
        </w:rPr>
        <w:t>）不同投标人的投标文件由同一单位或者个人编制；</w:t>
      </w:r>
    </w:p>
    <w:p w14:paraId="5F6AD2FA">
      <w:pPr>
        <w:spacing w:line="360" w:lineRule="exact"/>
        <w:ind w:right="-506" w:rightChars="-241"/>
        <w:rPr>
          <w:color w:val="auto"/>
          <w:sz w:val="24"/>
          <w:szCs w:val="24"/>
          <w:highlight w:val="none"/>
        </w:rPr>
      </w:pPr>
      <w:r>
        <w:rPr>
          <w:rFonts w:hint="eastAsia"/>
          <w:color w:val="auto"/>
          <w:sz w:val="24"/>
          <w:szCs w:val="24"/>
          <w:highlight w:val="none"/>
        </w:rPr>
        <w:t>（4.</w:t>
      </w:r>
      <w:r>
        <w:rPr>
          <w:color w:val="auto"/>
          <w:sz w:val="24"/>
          <w:szCs w:val="24"/>
          <w:highlight w:val="none"/>
        </w:rPr>
        <w:t>2</w:t>
      </w:r>
      <w:r>
        <w:rPr>
          <w:rFonts w:hint="eastAsia"/>
          <w:color w:val="auto"/>
          <w:sz w:val="24"/>
          <w:szCs w:val="24"/>
          <w:highlight w:val="none"/>
        </w:rPr>
        <w:t>）不同投标人委托同一单位或者个人办理投标事宜；</w:t>
      </w:r>
    </w:p>
    <w:p w14:paraId="4FC8D573">
      <w:pPr>
        <w:spacing w:line="360" w:lineRule="exact"/>
        <w:ind w:right="-506" w:rightChars="-241"/>
        <w:rPr>
          <w:color w:val="auto"/>
          <w:sz w:val="24"/>
          <w:szCs w:val="24"/>
          <w:highlight w:val="none"/>
        </w:rPr>
      </w:pPr>
      <w:r>
        <w:rPr>
          <w:rFonts w:hint="eastAsia"/>
          <w:color w:val="auto"/>
          <w:sz w:val="24"/>
          <w:szCs w:val="24"/>
          <w:highlight w:val="none"/>
        </w:rPr>
        <w:t>（4.</w:t>
      </w:r>
      <w:r>
        <w:rPr>
          <w:color w:val="auto"/>
          <w:sz w:val="24"/>
          <w:szCs w:val="24"/>
          <w:highlight w:val="none"/>
        </w:rPr>
        <w:t>3</w:t>
      </w:r>
      <w:r>
        <w:rPr>
          <w:rFonts w:hint="eastAsia"/>
          <w:color w:val="auto"/>
          <w:sz w:val="24"/>
          <w:szCs w:val="24"/>
          <w:highlight w:val="none"/>
        </w:rPr>
        <w:t>）不同投标人的投标文件载明的项目管理成员或者联系人员为同一人；</w:t>
      </w:r>
    </w:p>
    <w:p w14:paraId="4F4462F7">
      <w:pPr>
        <w:spacing w:line="360" w:lineRule="exact"/>
        <w:ind w:right="-506" w:rightChars="-241"/>
        <w:rPr>
          <w:color w:val="auto"/>
          <w:sz w:val="24"/>
          <w:szCs w:val="24"/>
          <w:highlight w:val="none"/>
        </w:rPr>
      </w:pPr>
      <w:r>
        <w:rPr>
          <w:rFonts w:hint="eastAsia"/>
          <w:color w:val="auto"/>
          <w:sz w:val="24"/>
          <w:szCs w:val="24"/>
          <w:highlight w:val="none"/>
        </w:rPr>
        <w:t>（4.</w:t>
      </w:r>
      <w:r>
        <w:rPr>
          <w:color w:val="auto"/>
          <w:sz w:val="24"/>
          <w:szCs w:val="24"/>
          <w:highlight w:val="none"/>
        </w:rPr>
        <w:t>4</w:t>
      </w:r>
      <w:r>
        <w:rPr>
          <w:rFonts w:hint="eastAsia"/>
          <w:color w:val="auto"/>
          <w:sz w:val="24"/>
          <w:szCs w:val="24"/>
          <w:highlight w:val="none"/>
        </w:rPr>
        <w:t>）不同投标人的投标文件异常一致或者投标报价呈规律性差异；</w:t>
      </w:r>
    </w:p>
    <w:p w14:paraId="6A145F28">
      <w:pPr>
        <w:spacing w:line="360" w:lineRule="exact"/>
        <w:ind w:right="-506" w:rightChars="-241"/>
        <w:rPr>
          <w:color w:val="auto"/>
          <w:sz w:val="24"/>
          <w:szCs w:val="24"/>
          <w:highlight w:val="none"/>
        </w:rPr>
      </w:pPr>
      <w:r>
        <w:rPr>
          <w:rFonts w:hint="eastAsia"/>
          <w:color w:val="auto"/>
          <w:sz w:val="24"/>
          <w:szCs w:val="24"/>
          <w:highlight w:val="none"/>
        </w:rPr>
        <w:t>（4.</w:t>
      </w:r>
      <w:r>
        <w:rPr>
          <w:color w:val="auto"/>
          <w:sz w:val="24"/>
          <w:szCs w:val="24"/>
          <w:highlight w:val="none"/>
        </w:rPr>
        <w:t>5</w:t>
      </w:r>
      <w:r>
        <w:rPr>
          <w:rFonts w:hint="eastAsia"/>
          <w:color w:val="auto"/>
          <w:sz w:val="24"/>
          <w:szCs w:val="24"/>
          <w:highlight w:val="none"/>
        </w:rPr>
        <w:t>）不同投标人的投标文件相互混装。</w:t>
      </w:r>
    </w:p>
    <w:p w14:paraId="46DB0390">
      <w:pPr>
        <w:spacing w:line="360" w:lineRule="exact"/>
        <w:ind w:right="-506" w:rightChars="-241"/>
        <w:rPr>
          <w:rFonts w:hint="eastAsia"/>
          <w:b/>
          <w:color w:val="auto"/>
          <w:sz w:val="24"/>
          <w:szCs w:val="24"/>
          <w:highlight w:val="none"/>
          <w:lang w:eastAsia="zh-CN"/>
        </w:rPr>
      </w:pPr>
      <w:r>
        <w:rPr>
          <w:rFonts w:hint="eastAsia"/>
          <w:color w:val="auto"/>
          <w:sz w:val="24"/>
          <w:szCs w:val="24"/>
          <w:highlight w:val="none"/>
        </w:rPr>
        <w:t>（4</w:t>
      </w:r>
      <w:r>
        <w:rPr>
          <w:color w:val="auto"/>
          <w:sz w:val="24"/>
          <w:szCs w:val="24"/>
          <w:highlight w:val="none"/>
        </w:rPr>
        <w:t>.6</w:t>
      </w:r>
      <w:r>
        <w:rPr>
          <w:rFonts w:hint="eastAsia"/>
          <w:color w:val="auto"/>
          <w:sz w:val="24"/>
          <w:szCs w:val="24"/>
          <w:highlight w:val="none"/>
        </w:rPr>
        <w:t>）</w:t>
      </w:r>
      <w:r>
        <w:rPr>
          <w:rFonts w:hint="eastAsia"/>
          <w:color w:val="auto"/>
          <w:sz w:val="24"/>
          <w:szCs w:val="24"/>
          <w:highlight w:val="none"/>
          <w:lang w:val="en-US" w:eastAsia="zh-CN"/>
        </w:rPr>
        <w:t>其他投标无效的情形</w:t>
      </w:r>
      <w:r>
        <w:rPr>
          <w:rFonts w:hint="eastAsia"/>
          <w:b/>
          <w:color w:val="auto"/>
          <w:sz w:val="24"/>
          <w:szCs w:val="24"/>
          <w:highlight w:val="none"/>
          <w:lang w:eastAsia="zh-CN"/>
        </w:rPr>
        <w:t>：</w:t>
      </w:r>
    </w:p>
    <w:p w14:paraId="48BEEF31">
      <w:pPr>
        <w:spacing w:line="360" w:lineRule="exact"/>
        <w:ind w:right="-506" w:rightChars="-241"/>
        <w:rPr>
          <w:rFonts w:hint="eastAsia" w:eastAsia="宋体"/>
          <w:color w:val="auto"/>
          <w:sz w:val="24"/>
          <w:szCs w:val="24"/>
          <w:highlight w:val="none"/>
          <w:lang w:eastAsia="zh-CN"/>
        </w:rPr>
      </w:pPr>
      <w:r>
        <w:rPr>
          <w:rFonts w:hint="eastAsia"/>
          <w:color w:val="auto"/>
          <w:sz w:val="24"/>
          <w:szCs w:val="24"/>
          <w:highlight w:val="none"/>
          <w:lang w:eastAsia="zh-CN"/>
        </w:rPr>
        <w:t>（</w:t>
      </w:r>
      <w:r>
        <w:rPr>
          <w:rFonts w:hint="eastAsia"/>
          <w:color w:val="auto"/>
          <w:sz w:val="24"/>
          <w:szCs w:val="24"/>
          <w:highlight w:val="none"/>
        </w:rPr>
        <w:t>4.</w:t>
      </w:r>
      <w:r>
        <w:rPr>
          <w:rFonts w:hint="eastAsia"/>
          <w:color w:val="auto"/>
          <w:sz w:val="24"/>
          <w:szCs w:val="24"/>
          <w:highlight w:val="none"/>
          <w:lang w:val="en-US" w:eastAsia="zh-CN"/>
        </w:rPr>
        <w:t>6</w:t>
      </w:r>
      <w:r>
        <w:rPr>
          <w:rFonts w:hint="eastAsia"/>
          <w:color w:val="auto"/>
          <w:sz w:val="24"/>
          <w:szCs w:val="24"/>
          <w:highlight w:val="none"/>
        </w:rPr>
        <w:t>.1</w:t>
      </w:r>
      <w:r>
        <w:rPr>
          <w:rFonts w:hint="eastAsia"/>
          <w:color w:val="auto"/>
          <w:sz w:val="24"/>
          <w:szCs w:val="24"/>
          <w:highlight w:val="none"/>
          <w:lang w:eastAsia="zh-CN"/>
        </w:rPr>
        <w:t>）</w:t>
      </w:r>
      <w:r>
        <w:rPr>
          <w:rFonts w:hint="eastAsia"/>
          <w:color w:val="auto"/>
          <w:sz w:val="24"/>
          <w:szCs w:val="24"/>
          <w:highlight w:val="none"/>
        </w:rPr>
        <w:t xml:space="preserve"> 不同供应商的投标文件出自同一终端设备或在相同Internet主机分配地址(相同IP地址)进行网上报名、投标的</w:t>
      </w:r>
      <w:r>
        <w:rPr>
          <w:rFonts w:hint="eastAsia"/>
          <w:color w:val="auto"/>
          <w:sz w:val="24"/>
          <w:szCs w:val="24"/>
          <w:highlight w:val="none"/>
          <w:lang w:eastAsia="zh-CN"/>
        </w:rPr>
        <w:t>；</w:t>
      </w:r>
      <w:r>
        <w:rPr>
          <w:rFonts w:hint="eastAsia"/>
          <w:color w:val="auto"/>
          <w:sz w:val="24"/>
          <w:szCs w:val="24"/>
          <w:highlight w:val="none"/>
        </w:rPr>
        <w:t>不同供应商的电子投标文件上传计算机的网卡MAC地址或硬盘序列号等硬件信息相同的</w:t>
      </w:r>
      <w:r>
        <w:rPr>
          <w:rFonts w:hint="eastAsia"/>
          <w:color w:val="auto"/>
          <w:sz w:val="24"/>
          <w:szCs w:val="24"/>
          <w:highlight w:val="none"/>
          <w:lang w:eastAsia="zh-CN"/>
        </w:rPr>
        <w:t>；</w:t>
      </w:r>
    </w:p>
    <w:p w14:paraId="64F6DA2F">
      <w:pPr>
        <w:spacing w:line="360" w:lineRule="exact"/>
        <w:ind w:right="-506" w:rightChars="-241"/>
        <w:rPr>
          <w:rFonts w:hint="eastAsia" w:eastAsia="宋体"/>
          <w:color w:val="auto"/>
          <w:sz w:val="24"/>
          <w:szCs w:val="24"/>
          <w:highlight w:val="none"/>
          <w:lang w:eastAsia="zh-CN"/>
        </w:rPr>
      </w:pPr>
      <w:r>
        <w:rPr>
          <w:rFonts w:hint="eastAsia"/>
          <w:color w:val="auto"/>
          <w:sz w:val="24"/>
          <w:szCs w:val="24"/>
          <w:highlight w:val="none"/>
          <w:lang w:eastAsia="zh-CN"/>
        </w:rPr>
        <w:t>（</w:t>
      </w:r>
      <w:r>
        <w:rPr>
          <w:rFonts w:hint="eastAsia"/>
          <w:color w:val="auto"/>
          <w:sz w:val="24"/>
          <w:szCs w:val="24"/>
          <w:highlight w:val="none"/>
        </w:rPr>
        <w:t>4.</w:t>
      </w:r>
      <w:r>
        <w:rPr>
          <w:rFonts w:hint="eastAsia"/>
          <w:color w:val="auto"/>
          <w:sz w:val="24"/>
          <w:szCs w:val="24"/>
          <w:highlight w:val="none"/>
          <w:lang w:val="en-US" w:eastAsia="zh-CN"/>
        </w:rPr>
        <w:t>6</w:t>
      </w:r>
      <w:r>
        <w:rPr>
          <w:rFonts w:hint="eastAsia"/>
          <w:color w:val="auto"/>
          <w:sz w:val="24"/>
          <w:szCs w:val="24"/>
          <w:highlight w:val="none"/>
        </w:rPr>
        <w:t>.2</w:t>
      </w:r>
      <w:r>
        <w:rPr>
          <w:rFonts w:hint="eastAsia"/>
          <w:color w:val="auto"/>
          <w:sz w:val="24"/>
          <w:szCs w:val="24"/>
          <w:highlight w:val="none"/>
          <w:lang w:eastAsia="zh-CN"/>
        </w:rPr>
        <w:t>）</w:t>
      </w:r>
      <w:r>
        <w:rPr>
          <w:rFonts w:hint="eastAsia"/>
          <w:color w:val="auto"/>
          <w:sz w:val="24"/>
          <w:szCs w:val="24"/>
          <w:highlight w:val="none"/>
        </w:rPr>
        <w:t>上传的电子投标文件若出现使用本项目其他投标供应商的数字证书加密的，或者加盖本项目其他投标供应商的电子印章的</w:t>
      </w:r>
      <w:r>
        <w:rPr>
          <w:rFonts w:hint="eastAsia"/>
          <w:color w:val="auto"/>
          <w:sz w:val="24"/>
          <w:szCs w:val="24"/>
          <w:highlight w:val="none"/>
          <w:lang w:eastAsia="zh-CN"/>
        </w:rPr>
        <w:t>；</w:t>
      </w:r>
    </w:p>
    <w:p w14:paraId="7661F8EC">
      <w:pPr>
        <w:spacing w:line="360" w:lineRule="exact"/>
        <w:ind w:right="-506" w:rightChars="-241"/>
        <w:rPr>
          <w:rFonts w:hint="eastAsia" w:eastAsia="宋体"/>
          <w:color w:val="auto"/>
          <w:sz w:val="24"/>
          <w:szCs w:val="24"/>
          <w:highlight w:val="none"/>
          <w:lang w:eastAsia="zh-CN"/>
        </w:rPr>
      </w:pPr>
      <w:r>
        <w:rPr>
          <w:rFonts w:hint="eastAsia"/>
          <w:color w:val="auto"/>
          <w:sz w:val="24"/>
          <w:szCs w:val="24"/>
          <w:highlight w:val="none"/>
          <w:lang w:eastAsia="zh-CN"/>
        </w:rPr>
        <w:t>（</w:t>
      </w:r>
      <w:r>
        <w:rPr>
          <w:rFonts w:hint="eastAsia"/>
          <w:color w:val="auto"/>
          <w:sz w:val="24"/>
          <w:szCs w:val="24"/>
          <w:highlight w:val="none"/>
        </w:rPr>
        <w:t>4.</w:t>
      </w:r>
      <w:r>
        <w:rPr>
          <w:rFonts w:hint="eastAsia"/>
          <w:color w:val="auto"/>
          <w:sz w:val="24"/>
          <w:szCs w:val="24"/>
          <w:highlight w:val="none"/>
          <w:lang w:val="en-US" w:eastAsia="zh-CN"/>
        </w:rPr>
        <w:t>6</w:t>
      </w:r>
      <w:r>
        <w:rPr>
          <w:rFonts w:hint="eastAsia"/>
          <w:color w:val="auto"/>
          <w:sz w:val="24"/>
          <w:szCs w:val="24"/>
          <w:highlight w:val="none"/>
        </w:rPr>
        <w:t>.3</w:t>
      </w:r>
      <w:r>
        <w:rPr>
          <w:rFonts w:hint="eastAsia"/>
          <w:color w:val="auto"/>
          <w:sz w:val="24"/>
          <w:szCs w:val="24"/>
          <w:highlight w:val="none"/>
          <w:lang w:eastAsia="zh-CN"/>
        </w:rPr>
        <w:t>）</w:t>
      </w:r>
      <w:r>
        <w:rPr>
          <w:rFonts w:hint="eastAsia"/>
          <w:color w:val="auto"/>
          <w:sz w:val="24"/>
          <w:szCs w:val="24"/>
          <w:highlight w:val="none"/>
        </w:rPr>
        <w:t>不同供应商的投标文件的内容存在3处(含)以上错误一致的</w:t>
      </w:r>
      <w:r>
        <w:rPr>
          <w:rFonts w:hint="eastAsia"/>
          <w:color w:val="auto"/>
          <w:sz w:val="24"/>
          <w:szCs w:val="24"/>
          <w:highlight w:val="none"/>
          <w:lang w:eastAsia="zh-CN"/>
        </w:rPr>
        <w:t>；</w:t>
      </w:r>
    </w:p>
    <w:p w14:paraId="3F2E72EE">
      <w:pPr>
        <w:spacing w:line="360" w:lineRule="exact"/>
        <w:ind w:right="-506" w:rightChars="-241"/>
        <w:rPr>
          <w:rFonts w:hint="eastAsia" w:eastAsia="宋体"/>
          <w:color w:val="auto"/>
          <w:sz w:val="24"/>
          <w:szCs w:val="24"/>
          <w:highlight w:val="none"/>
          <w:lang w:eastAsia="zh-CN"/>
        </w:rPr>
      </w:pPr>
      <w:r>
        <w:rPr>
          <w:rFonts w:hint="eastAsia"/>
          <w:color w:val="auto"/>
          <w:sz w:val="24"/>
          <w:szCs w:val="24"/>
          <w:highlight w:val="none"/>
          <w:lang w:eastAsia="zh-CN"/>
        </w:rPr>
        <w:t>（</w:t>
      </w:r>
      <w:r>
        <w:rPr>
          <w:rFonts w:hint="eastAsia"/>
          <w:color w:val="auto"/>
          <w:sz w:val="24"/>
          <w:szCs w:val="24"/>
          <w:highlight w:val="none"/>
        </w:rPr>
        <w:t>4.</w:t>
      </w:r>
      <w:r>
        <w:rPr>
          <w:rFonts w:hint="eastAsia"/>
          <w:color w:val="auto"/>
          <w:sz w:val="24"/>
          <w:szCs w:val="24"/>
          <w:highlight w:val="none"/>
          <w:lang w:val="en-US" w:eastAsia="zh-CN"/>
        </w:rPr>
        <w:t>6</w:t>
      </w:r>
      <w:r>
        <w:rPr>
          <w:rFonts w:hint="eastAsia"/>
          <w:color w:val="auto"/>
          <w:sz w:val="24"/>
          <w:szCs w:val="24"/>
          <w:highlight w:val="none"/>
        </w:rPr>
        <w:t>.4</w:t>
      </w:r>
      <w:r>
        <w:rPr>
          <w:rFonts w:hint="eastAsia"/>
          <w:color w:val="auto"/>
          <w:sz w:val="24"/>
          <w:szCs w:val="24"/>
          <w:highlight w:val="none"/>
          <w:lang w:eastAsia="zh-CN"/>
        </w:rPr>
        <w:t>）</w:t>
      </w:r>
      <w:r>
        <w:rPr>
          <w:rFonts w:hint="eastAsia"/>
          <w:color w:val="auto"/>
          <w:sz w:val="24"/>
          <w:szCs w:val="24"/>
          <w:highlight w:val="none"/>
        </w:rPr>
        <w:t xml:space="preserve"> 不同供应商联系人为同一人或不同联系人的联系电话一致的</w:t>
      </w:r>
      <w:r>
        <w:rPr>
          <w:rFonts w:hint="eastAsia"/>
          <w:color w:val="auto"/>
          <w:sz w:val="24"/>
          <w:szCs w:val="24"/>
          <w:highlight w:val="none"/>
          <w:lang w:eastAsia="zh-CN"/>
        </w:rPr>
        <w:t>；</w:t>
      </w:r>
    </w:p>
    <w:p w14:paraId="6C715912">
      <w:pPr>
        <w:spacing w:line="360" w:lineRule="exact"/>
        <w:ind w:right="-506" w:rightChars="-241"/>
        <w:rPr>
          <w:color w:val="auto"/>
          <w:sz w:val="24"/>
          <w:szCs w:val="24"/>
          <w:highlight w:val="none"/>
        </w:rPr>
      </w:pPr>
      <w:r>
        <w:rPr>
          <w:rFonts w:hint="eastAsia"/>
          <w:color w:val="auto"/>
          <w:sz w:val="24"/>
          <w:szCs w:val="24"/>
          <w:highlight w:val="none"/>
          <w:lang w:eastAsia="zh-CN"/>
        </w:rPr>
        <w:t>（</w:t>
      </w:r>
      <w:r>
        <w:rPr>
          <w:rFonts w:hint="eastAsia"/>
          <w:color w:val="auto"/>
          <w:sz w:val="24"/>
          <w:szCs w:val="24"/>
          <w:highlight w:val="none"/>
        </w:rPr>
        <w:t>4.</w:t>
      </w:r>
      <w:r>
        <w:rPr>
          <w:rFonts w:hint="eastAsia"/>
          <w:color w:val="auto"/>
          <w:sz w:val="24"/>
          <w:szCs w:val="24"/>
          <w:highlight w:val="none"/>
          <w:lang w:val="en-US" w:eastAsia="zh-CN"/>
        </w:rPr>
        <w:t>6</w:t>
      </w:r>
      <w:r>
        <w:rPr>
          <w:rFonts w:hint="eastAsia"/>
          <w:color w:val="auto"/>
          <w:sz w:val="24"/>
          <w:szCs w:val="24"/>
          <w:highlight w:val="none"/>
        </w:rPr>
        <w:t>.5</w:t>
      </w:r>
      <w:r>
        <w:rPr>
          <w:rFonts w:hint="eastAsia"/>
          <w:color w:val="auto"/>
          <w:sz w:val="24"/>
          <w:szCs w:val="24"/>
          <w:highlight w:val="none"/>
          <w:lang w:eastAsia="zh-CN"/>
        </w:rPr>
        <w:t>）</w:t>
      </w:r>
      <w:r>
        <w:rPr>
          <w:rFonts w:hint="eastAsia"/>
          <w:color w:val="auto"/>
          <w:sz w:val="24"/>
          <w:szCs w:val="24"/>
          <w:highlight w:val="none"/>
        </w:rPr>
        <w:t xml:space="preserve"> 法律、法规、规章(适用本市的)及省级以上规范性文件(适用本市的)规定的其他无效情形。</w:t>
      </w:r>
    </w:p>
    <w:p w14:paraId="668B1EEA">
      <w:pPr>
        <w:spacing w:line="360" w:lineRule="exact"/>
        <w:ind w:right="-506" w:rightChars="-241"/>
        <w:rPr>
          <w:color w:val="auto"/>
          <w:sz w:val="24"/>
          <w:szCs w:val="24"/>
          <w:highlight w:val="none"/>
        </w:rPr>
      </w:pPr>
    </w:p>
    <w:p w14:paraId="7189551E">
      <w:pPr>
        <w:spacing w:line="360" w:lineRule="exact"/>
        <w:ind w:right="-506" w:rightChars="-241"/>
        <w:rPr>
          <w:rFonts w:hAnsi="宋体"/>
          <w:color w:val="auto"/>
          <w:sz w:val="24"/>
          <w:szCs w:val="24"/>
          <w:highlight w:val="none"/>
        </w:rPr>
      </w:pPr>
      <w:r>
        <w:rPr>
          <w:rFonts w:hint="eastAsia"/>
          <w:b/>
          <w:color w:val="auto"/>
          <w:sz w:val="24"/>
          <w:szCs w:val="24"/>
          <w:highlight w:val="none"/>
        </w:rPr>
        <w:t>2．</w:t>
      </w:r>
      <w:r>
        <w:rPr>
          <w:color w:val="auto"/>
          <w:sz w:val="24"/>
          <w:szCs w:val="24"/>
          <w:highlight w:val="none"/>
        </w:rPr>
        <w:t xml:space="preserve"> </w:t>
      </w:r>
      <w:r>
        <w:rPr>
          <w:b/>
          <w:color w:val="auto"/>
          <w:sz w:val="24"/>
          <w:szCs w:val="24"/>
          <w:highlight w:val="none"/>
        </w:rPr>
        <w:t xml:space="preserve"> </w:t>
      </w:r>
      <w:r>
        <w:rPr>
          <w:rFonts w:hAnsi="宋体"/>
          <w:b/>
          <w:color w:val="auto"/>
          <w:sz w:val="24"/>
          <w:szCs w:val="24"/>
          <w:highlight w:val="none"/>
        </w:rPr>
        <w:t>澄清问题：</w:t>
      </w:r>
    </w:p>
    <w:p w14:paraId="2B6204D8">
      <w:pPr>
        <w:spacing w:line="360" w:lineRule="exact"/>
        <w:ind w:right="-506" w:rightChars="-241"/>
        <w:rPr>
          <w:rFonts w:hAnsi="宋体"/>
          <w:color w:val="auto"/>
          <w:sz w:val="24"/>
          <w:szCs w:val="24"/>
          <w:highlight w:val="none"/>
        </w:rPr>
      </w:pPr>
      <w:r>
        <w:rPr>
          <w:rFonts w:hint="eastAsia"/>
          <w:color w:val="auto"/>
          <w:sz w:val="24"/>
          <w:szCs w:val="24"/>
          <w:highlight w:val="none"/>
        </w:rPr>
        <w:t>（1）</w:t>
      </w:r>
      <w:r>
        <w:rPr>
          <w:color w:val="auto"/>
          <w:sz w:val="24"/>
          <w:szCs w:val="24"/>
          <w:highlight w:val="none"/>
        </w:rPr>
        <w:t xml:space="preserve">  </w:t>
      </w:r>
      <w:r>
        <w:rPr>
          <w:rFonts w:hint="eastAsia" w:hAnsi="宋体"/>
          <w:color w:val="auto"/>
          <w:sz w:val="24"/>
          <w:szCs w:val="24"/>
          <w:highlight w:val="none"/>
        </w:rPr>
        <w:t>投标文件的投标报价如果出现计算或表达上的错误，修正错误的原则如下：</w:t>
      </w:r>
    </w:p>
    <w:p w14:paraId="532DF1BD">
      <w:pPr>
        <w:spacing w:line="360" w:lineRule="exact"/>
        <w:ind w:right="-506" w:rightChars="-241" w:firstLine="208" w:firstLineChars="87"/>
        <w:rPr>
          <w:color w:val="auto"/>
          <w:sz w:val="24"/>
          <w:szCs w:val="24"/>
          <w:highlight w:val="none"/>
        </w:rPr>
      </w:pPr>
      <w:r>
        <w:rPr>
          <w:rFonts w:hint="eastAsia"/>
          <w:color w:val="auto"/>
          <w:sz w:val="24"/>
          <w:szCs w:val="24"/>
          <w:highlight w:val="none"/>
        </w:rPr>
        <w:t>(1.1)投标文件中开标一览表内容与投标文件中相应内容不一致的，以开标一览表为准；</w:t>
      </w:r>
    </w:p>
    <w:p w14:paraId="74212FB5">
      <w:pPr>
        <w:spacing w:line="360" w:lineRule="exact"/>
        <w:ind w:right="-506" w:rightChars="-241" w:firstLine="208" w:firstLineChars="87"/>
        <w:rPr>
          <w:color w:val="auto"/>
          <w:sz w:val="24"/>
          <w:szCs w:val="24"/>
          <w:highlight w:val="none"/>
        </w:rPr>
      </w:pPr>
      <w:r>
        <w:rPr>
          <w:rFonts w:hint="eastAsia"/>
          <w:color w:val="auto"/>
          <w:sz w:val="24"/>
          <w:szCs w:val="24"/>
          <w:highlight w:val="none"/>
        </w:rPr>
        <w:t>(1.2)大写金额和小写金额不一致的，以大写金额为准；</w:t>
      </w:r>
    </w:p>
    <w:p w14:paraId="4FD3CDFF">
      <w:pPr>
        <w:spacing w:line="360" w:lineRule="exact"/>
        <w:ind w:right="-506" w:rightChars="-241" w:firstLine="208" w:firstLineChars="87"/>
        <w:rPr>
          <w:color w:val="auto"/>
          <w:sz w:val="24"/>
          <w:szCs w:val="24"/>
          <w:highlight w:val="none"/>
        </w:rPr>
      </w:pPr>
      <w:r>
        <w:rPr>
          <w:rFonts w:hint="eastAsia"/>
          <w:color w:val="auto"/>
          <w:sz w:val="24"/>
          <w:szCs w:val="24"/>
          <w:highlight w:val="none"/>
        </w:rPr>
        <w:t>(1.3)单价金额小数点或者百分比有明显错位的，以开标一览表的总价为准，并修改单价；</w:t>
      </w:r>
    </w:p>
    <w:p w14:paraId="01F3496C">
      <w:pPr>
        <w:spacing w:line="360" w:lineRule="exact"/>
        <w:ind w:right="-506" w:rightChars="-241" w:firstLine="208" w:firstLineChars="87"/>
        <w:rPr>
          <w:color w:val="auto"/>
          <w:sz w:val="24"/>
          <w:szCs w:val="24"/>
          <w:highlight w:val="none"/>
        </w:rPr>
      </w:pPr>
      <w:r>
        <w:rPr>
          <w:rFonts w:hint="eastAsia"/>
          <w:color w:val="auto"/>
          <w:sz w:val="24"/>
          <w:szCs w:val="24"/>
          <w:highlight w:val="none"/>
        </w:rPr>
        <w:t>(1.4)总价金额与按单价汇总金额不一致的，以单价金额计算结果为准。</w:t>
      </w:r>
    </w:p>
    <w:p w14:paraId="5EAF5E6D">
      <w:pPr>
        <w:spacing w:line="360" w:lineRule="exact"/>
        <w:ind w:right="-506" w:rightChars="-241" w:firstLine="480" w:firstLineChars="200"/>
        <w:rPr>
          <w:rFonts w:hAnsi="宋体"/>
          <w:color w:val="auto"/>
          <w:sz w:val="24"/>
          <w:szCs w:val="24"/>
          <w:highlight w:val="none"/>
        </w:rPr>
      </w:pPr>
      <w:r>
        <w:rPr>
          <w:rFonts w:hint="eastAsia" w:hAnsi="宋体"/>
          <w:color w:val="auto"/>
          <w:sz w:val="24"/>
          <w:szCs w:val="24"/>
          <w:highlight w:val="none"/>
        </w:rPr>
        <w:t>同时出现两种以上不一致的，按照前款规定的顺序修正。修正后的报价经投标人确认后产生约束力，投标人不确认的，其投标无效。</w:t>
      </w:r>
    </w:p>
    <w:p w14:paraId="1B5F943D">
      <w:pPr>
        <w:spacing w:line="360" w:lineRule="exact"/>
        <w:ind w:right="-506" w:rightChars="-241" w:firstLine="480" w:firstLineChars="200"/>
        <w:rPr>
          <w:color w:val="auto"/>
          <w:sz w:val="24"/>
          <w:szCs w:val="24"/>
          <w:highlight w:val="none"/>
        </w:rPr>
      </w:pPr>
      <w:r>
        <w:rPr>
          <w:rFonts w:hint="eastAsia" w:hAnsi="宋体"/>
          <w:color w:val="auto"/>
          <w:sz w:val="24"/>
          <w:szCs w:val="24"/>
          <w:highlight w:val="none"/>
        </w:rPr>
        <w:t>投标人不按本款规定接受投标报价修正的，投标无效。</w:t>
      </w:r>
    </w:p>
    <w:p w14:paraId="524E095A">
      <w:pPr>
        <w:spacing w:line="360" w:lineRule="exact"/>
        <w:ind w:right="-506" w:rightChars="-241"/>
        <w:rPr>
          <w:color w:val="auto"/>
          <w:sz w:val="24"/>
          <w:szCs w:val="24"/>
          <w:highlight w:val="none"/>
        </w:rPr>
      </w:pPr>
      <w:r>
        <w:rPr>
          <w:rFonts w:hint="eastAsia"/>
          <w:color w:val="auto"/>
          <w:sz w:val="24"/>
          <w:szCs w:val="24"/>
          <w:highlight w:val="none"/>
        </w:rPr>
        <w:t>（2）</w:t>
      </w:r>
      <w:r>
        <w:rPr>
          <w:color w:val="auto"/>
          <w:sz w:val="24"/>
          <w:szCs w:val="24"/>
          <w:highlight w:val="none"/>
        </w:rPr>
        <w:t xml:space="preserve"> 投标的澄清</w:t>
      </w:r>
    </w:p>
    <w:p w14:paraId="7291989F">
      <w:pPr>
        <w:spacing w:line="360" w:lineRule="exact"/>
        <w:ind w:right="-506" w:rightChars="-241"/>
        <w:rPr>
          <w:color w:val="auto"/>
          <w:sz w:val="24"/>
          <w:szCs w:val="24"/>
          <w:highlight w:val="none"/>
        </w:rPr>
      </w:pPr>
      <w:r>
        <w:rPr>
          <w:rFonts w:hint="eastAsia"/>
          <w:color w:val="auto"/>
          <w:sz w:val="24"/>
          <w:szCs w:val="24"/>
          <w:highlight w:val="none"/>
        </w:rPr>
        <w:t>（2.1）</w:t>
      </w:r>
      <w:r>
        <w:rPr>
          <w:color w:val="auto"/>
          <w:sz w:val="24"/>
          <w:szCs w:val="24"/>
          <w:highlight w:val="none"/>
        </w:rPr>
        <w:t xml:space="preserve"> </w:t>
      </w:r>
      <w:r>
        <w:rPr>
          <w:rFonts w:hAnsi="宋体"/>
          <w:color w:val="auto"/>
          <w:sz w:val="24"/>
          <w:szCs w:val="24"/>
          <w:highlight w:val="none"/>
        </w:rPr>
        <w:t>对投标文件</w:t>
      </w:r>
      <w:r>
        <w:rPr>
          <w:rFonts w:hint="eastAsia" w:hAnsi="宋体"/>
          <w:color w:val="auto"/>
          <w:sz w:val="24"/>
          <w:szCs w:val="24"/>
          <w:highlight w:val="none"/>
        </w:rPr>
        <w:t>评审</w:t>
      </w:r>
      <w:r>
        <w:rPr>
          <w:rFonts w:hAnsi="宋体"/>
          <w:color w:val="auto"/>
          <w:sz w:val="24"/>
          <w:szCs w:val="24"/>
          <w:highlight w:val="none"/>
        </w:rPr>
        <w:t>中发现的投标文件表达含义不明确、同类问题表述</w:t>
      </w:r>
      <w:r>
        <w:rPr>
          <w:rFonts w:hint="eastAsia" w:hAnsi="宋体"/>
          <w:color w:val="auto"/>
          <w:sz w:val="24"/>
          <w:szCs w:val="24"/>
          <w:highlight w:val="none"/>
        </w:rPr>
        <w:t>前后</w:t>
      </w:r>
      <w:r>
        <w:rPr>
          <w:rFonts w:hAnsi="宋体"/>
          <w:color w:val="auto"/>
          <w:sz w:val="24"/>
          <w:szCs w:val="24"/>
          <w:highlight w:val="none"/>
        </w:rPr>
        <w:t>不一致或者有明显文字和计算错误的内容</w:t>
      </w:r>
      <w:r>
        <w:rPr>
          <w:rFonts w:hint="eastAsia" w:hAnsi="宋体"/>
          <w:color w:val="auto"/>
          <w:sz w:val="24"/>
          <w:szCs w:val="24"/>
          <w:highlight w:val="none"/>
        </w:rPr>
        <w:t>等情形的</w:t>
      </w:r>
      <w:r>
        <w:rPr>
          <w:rFonts w:hAnsi="宋体"/>
          <w:color w:val="auto"/>
          <w:sz w:val="24"/>
          <w:szCs w:val="24"/>
          <w:highlight w:val="none"/>
        </w:rPr>
        <w:t>，评标委员会可要求投标人做出</w:t>
      </w:r>
      <w:r>
        <w:rPr>
          <w:rFonts w:hint="eastAsia" w:hAnsi="宋体"/>
          <w:color w:val="auto"/>
          <w:sz w:val="24"/>
          <w:szCs w:val="24"/>
          <w:highlight w:val="none"/>
        </w:rPr>
        <w:t>书面</w:t>
      </w:r>
      <w:r>
        <w:rPr>
          <w:rFonts w:hAnsi="宋体"/>
          <w:color w:val="auto"/>
          <w:sz w:val="24"/>
          <w:szCs w:val="24"/>
          <w:highlight w:val="none"/>
        </w:rPr>
        <w:t>澄清。投标人必须</w:t>
      </w:r>
      <w:r>
        <w:rPr>
          <w:rFonts w:hint="eastAsia" w:hAnsi="宋体"/>
          <w:color w:val="auto"/>
          <w:sz w:val="24"/>
          <w:szCs w:val="24"/>
          <w:highlight w:val="none"/>
        </w:rPr>
        <w:t>在规定的时间内在政采云上</w:t>
      </w:r>
      <w:r>
        <w:rPr>
          <w:rFonts w:hAnsi="宋体"/>
          <w:color w:val="auto"/>
          <w:sz w:val="24"/>
          <w:szCs w:val="24"/>
          <w:highlight w:val="none"/>
        </w:rPr>
        <w:t>进行</w:t>
      </w:r>
      <w:r>
        <w:rPr>
          <w:rFonts w:hint="eastAsia" w:hAnsi="宋体"/>
          <w:color w:val="auto"/>
          <w:sz w:val="24"/>
          <w:szCs w:val="24"/>
          <w:highlight w:val="none"/>
        </w:rPr>
        <w:t>补充或</w:t>
      </w:r>
      <w:r>
        <w:rPr>
          <w:rFonts w:hAnsi="宋体"/>
          <w:color w:val="auto"/>
          <w:sz w:val="24"/>
          <w:szCs w:val="24"/>
          <w:highlight w:val="none"/>
        </w:rPr>
        <w:t>澄清</w:t>
      </w:r>
      <w:r>
        <w:rPr>
          <w:rFonts w:hint="eastAsia" w:hAnsi="宋体"/>
          <w:color w:val="auto"/>
          <w:sz w:val="24"/>
          <w:szCs w:val="24"/>
          <w:highlight w:val="none"/>
        </w:rPr>
        <w:t>。</w:t>
      </w:r>
    </w:p>
    <w:p w14:paraId="3090A3A1">
      <w:pPr>
        <w:spacing w:line="360" w:lineRule="exact"/>
        <w:ind w:right="-506" w:rightChars="-241"/>
        <w:rPr>
          <w:color w:val="auto"/>
          <w:sz w:val="24"/>
          <w:szCs w:val="24"/>
          <w:highlight w:val="none"/>
        </w:rPr>
      </w:pPr>
      <w:r>
        <w:rPr>
          <w:rFonts w:hint="eastAsia"/>
          <w:color w:val="auto"/>
          <w:sz w:val="24"/>
          <w:szCs w:val="24"/>
          <w:highlight w:val="none"/>
        </w:rPr>
        <w:t>（2.2）</w:t>
      </w:r>
      <w:r>
        <w:rPr>
          <w:color w:val="auto"/>
          <w:sz w:val="24"/>
          <w:szCs w:val="24"/>
          <w:highlight w:val="none"/>
        </w:rPr>
        <w:t xml:space="preserve"> </w:t>
      </w:r>
      <w:r>
        <w:rPr>
          <w:rFonts w:hAnsi="宋体"/>
          <w:color w:val="auto"/>
          <w:sz w:val="24"/>
          <w:szCs w:val="24"/>
          <w:highlight w:val="none"/>
        </w:rPr>
        <w:t>投标人对投标文件的澄清不得超出投标文件的范围或改变投标文件的实质性内容。</w:t>
      </w:r>
    </w:p>
    <w:p w14:paraId="008D1CAE">
      <w:pPr>
        <w:spacing w:line="360" w:lineRule="exact"/>
        <w:ind w:right="-506" w:rightChars="-241"/>
        <w:rPr>
          <w:rFonts w:hAnsi="宋体"/>
          <w:color w:val="auto"/>
          <w:sz w:val="24"/>
          <w:szCs w:val="24"/>
          <w:highlight w:val="none"/>
          <w:u w:val="single"/>
        </w:rPr>
      </w:pPr>
      <w:r>
        <w:rPr>
          <w:rFonts w:hint="eastAsia"/>
          <w:color w:val="auto"/>
          <w:sz w:val="24"/>
          <w:szCs w:val="24"/>
          <w:highlight w:val="none"/>
        </w:rPr>
        <w:t>（2.3） 投标人</w:t>
      </w:r>
      <w:r>
        <w:rPr>
          <w:rFonts w:hint="eastAsia" w:hAnsi="宋体"/>
          <w:color w:val="auto"/>
          <w:sz w:val="24"/>
          <w:szCs w:val="24"/>
          <w:highlight w:val="none"/>
        </w:rPr>
        <w:t>未能按规定作出补充或澄清的评标委员会有权作出不利于投标人的判定</w:t>
      </w:r>
      <w:r>
        <w:rPr>
          <w:rFonts w:hAnsi="宋体"/>
          <w:color w:val="auto"/>
          <w:sz w:val="24"/>
          <w:szCs w:val="24"/>
          <w:highlight w:val="none"/>
        </w:rPr>
        <w:t>。</w:t>
      </w:r>
      <w:r>
        <w:rPr>
          <w:color w:val="auto"/>
          <w:sz w:val="24"/>
          <w:szCs w:val="24"/>
          <w:highlight w:val="none"/>
        </w:rPr>
        <w:t xml:space="preserve"> </w:t>
      </w:r>
    </w:p>
    <w:p w14:paraId="57843179">
      <w:pPr>
        <w:spacing w:line="360" w:lineRule="exact"/>
        <w:ind w:right="-506" w:rightChars="-241"/>
        <w:rPr>
          <w:color w:val="auto"/>
          <w:sz w:val="24"/>
          <w:szCs w:val="24"/>
          <w:highlight w:val="none"/>
        </w:rPr>
      </w:pPr>
      <w:r>
        <w:rPr>
          <w:color w:val="auto"/>
          <w:sz w:val="24"/>
          <w:szCs w:val="24"/>
          <w:highlight w:val="none"/>
        </w:rPr>
        <w:t xml:space="preserve"> </w:t>
      </w:r>
    </w:p>
    <w:p w14:paraId="432ACBAC">
      <w:pPr>
        <w:spacing w:line="360" w:lineRule="exact"/>
        <w:ind w:right="-506" w:rightChars="-241"/>
        <w:rPr>
          <w:b/>
          <w:color w:val="auto"/>
          <w:sz w:val="24"/>
          <w:szCs w:val="24"/>
          <w:highlight w:val="none"/>
        </w:rPr>
      </w:pPr>
      <w:r>
        <w:rPr>
          <w:rFonts w:hint="eastAsia"/>
          <w:b/>
          <w:color w:val="auto"/>
          <w:sz w:val="24"/>
          <w:szCs w:val="24"/>
          <w:highlight w:val="none"/>
        </w:rPr>
        <w:t>3．</w:t>
      </w:r>
      <w:r>
        <w:rPr>
          <w:b/>
          <w:color w:val="auto"/>
          <w:sz w:val="24"/>
          <w:szCs w:val="24"/>
          <w:highlight w:val="none"/>
        </w:rPr>
        <w:t xml:space="preserve"> 比较与评价</w:t>
      </w:r>
      <w:r>
        <w:rPr>
          <w:rFonts w:hint="eastAsia"/>
          <w:b/>
          <w:color w:val="auto"/>
          <w:sz w:val="24"/>
          <w:szCs w:val="24"/>
          <w:highlight w:val="none"/>
        </w:rPr>
        <w:t>：</w:t>
      </w:r>
    </w:p>
    <w:p w14:paraId="4F00C2E2">
      <w:pPr>
        <w:spacing w:line="360" w:lineRule="exact"/>
        <w:ind w:right="-506" w:rightChars="-241"/>
        <w:rPr>
          <w:b/>
          <w:color w:val="auto"/>
          <w:sz w:val="24"/>
          <w:szCs w:val="24"/>
          <w:highlight w:val="none"/>
        </w:rPr>
      </w:pPr>
      <w:r>
        <w:rPr>
          <w:rFonts w:hint="eastAsia"/>
          <w:color w:val="auto"/>
          <w:sz w:val="24"/>
          <w:highlight w:val="none"/>
        </w:rPr>
        <w:t>（1）评标委员会每位成员各自按照《评委打分表》规定的内容，对所有有效的投标文件进行打分，汇总各评委对各投标人的评分。计算全体评委评出的总分的算术平均值，作为各投标人的综合得分。按各投标人的综合得分自高向低次序排出评标结果排序。</w:t>
      </w:r>
    </w:p>
    <w:p w14:paraId="41081BE6">
      <w:pPr>
        <w:spacing w:line="360" w:lineRule="exact"/>
        <w:ind w:right="-506" w:rightChars="-241"/>
        <w:rPr>
          <w:rFonts w:ascii="宋体" w:hAnsi="宋体"/>
          <w:color w:val="auto"/>
          <w:kern w:val="0"/>
          <w:sz w:val="24"/>
          <w:highlight w:val="none"/>
        </w:rPr>
      </w:pPr>
      <w:r>
        <w:rPr>
          <w:rFonts w:hint="eastAsia"/>
          <w:color w:val="auto"/>
          <w:sz w:val="24"/>
          <w:highlight w:val="none"/>
        </w:rPr>
        <w:t>（2）评标结果排序：</w:t>
      </w:r>
      <w:r>
        <w:rPr>
          <w:rFonts w:hint="eastAsia" w:ascii="宋体" w:hAnsi="宋体"/>
          <w:color w:val="auto"/>
          <w:kern w:val="0"/>
          <w:sz w:val="24"/>
          <w:highlight w:val="none"/>
        </w:rPr>
        <w:t>评标结果按评审后得分由高到低顺序排列。得分相同的，按投标报价由低到高顺序排列。得分且投标报价相同的并列，投标文件满足招标文件全部实质性要求，且按照评审因素的量化指标评审得分最高的投标人排序在先。</w:t>
      </w:r>
    </w:p>
    <w:p w14:paraId="1E99F245">
      <w:pPr>
        <w:spacing w:line="360" w:lineRule="exact"/>
        <w:ind w:right="-506" w:rightChars="-241"/>
        <w:rPr>
          <w:rFonts w:hAnsi="宋体"/>
          <w:color w:val="auto"/>
          <w:sz w:val="24"/>
          <w:szCs w:val="24"/>
          <w:highlight w:val="none"/>
        </w:rPr>
      </w:pPr>
      <w:r>
        <w:rPr>
          <w:rFonts w:hint="eastAsia" w:ascii="宋体" w:hAnsi="宋体"/>
          <w:color w:val="auto"/>
          <w:kern w:val="0"/>
          <w:sz w:val="24"/>
          <w:highlight w:val="none"/>
        </w:rPr>
        <w:t>（</w:t>
      </w:r>
      <w:r>
        <w:rPr>
          <w:rFonts w:hint="eastAsia"/>
          <w:color w:val="auto"/>
          <w:sz w:val="24"/>
          <w:szCs w:val="22"/>
          <w:highlight w:val="none"/>
        </w:rPr>
        <w:t>3</w:t>
      </w:r>
      <w:r>
        <w:rPr>
          <w:rFonts w:hint="eastAsia" w:ascii="宋体" w:hAnsi="宋体"/>
          <w:color w:val="auto"/>
          <w:kern w:val="0"/>
          <w:sz w:val="24"/>
          <w:highlight w:val="none"/>
        </w:rPr>
        <w:t>）评标委员会推荐排序第一的供应商为唯一中标候选人。</w:t>
      </w:r>
    </w:p>
    <w:p w14:paraId="4C40C157">
      <w:pPr>
        <w:spacing w:line="300" w:lineRule="exact"/>
        <w:ind w:right="-506" w:rightChars="-241"/>
        <w:rPr>
          <w:rFonts w:hAnsi="宋体"/>
          <w:color w:val="auto"/>
          <w:sz w:val="24"/>
          <w:szCs w:val="24"/>
          <w:highlight w:val="none"/>
        </w:rPr>
      </w:pPr>
    </w:p>
    <w:p w14:paraId="6FE7279B">
      <w:pPr>
        <w:spacing w:line="360" w:lineRule="exact"/>
        <w:ind w:right="-506" w:rightChars="-241"/>
        <w:rPr>
          <w:b/>
          <w:color w:val="auto"/>
          <w:sz w:val="24"/>
          <w:szCs w:val="24"/>
          <w:highlight w:val="none"/>
        </w:rPr>
      </w:pPr>
      <w:r>
        <w:rPr>
          <w:rFonts w:hint="eastAsia"/>
          <w:b/>
          <w:color w:val="auto"/>
          <w:sz w:val="24"/>
          <w:szCs w:val="24"/>
          <w:highlight w:val="none"/>
        </w:rPr>
        <w:t>4. 确定中标供应商：</w:t>
      </w:r>
    </w:p>
    <w:p w14:paraId="0058A626">
      <w:pPr>
        <w:spacing w:line="360" w:lineRule="exact"/>
        <w:ind w:right="-506" w:rightChars="-241"/>
        <w:rPr>
          <w:rFonts w:hAnsi="宋体"/>
          <w:color w:val="auto"/>
          <w:sz w:val="24"/>
          <w:szCs w:val="24"/>
          <w:highlight w:val="none"/>
        </w:rPr>
      </w:pPr>
      <w:r>
        <w:rPr>
          <w:rFonts w:hint="eastAsia"/>
          <w:color w:val="auto"/>
          <w:sz w:val="24"/>
          <w:highlight w:val="none"/>
        </w:rPr>
        <w:t>（1）</w:t>
      </w:r>
      <w:r>
        <w:rPr>
          <w:rFonts w:hint="eastAsia" w:hAnsi="宋体"/>
          <w:color w:val="auto"/>
          <w:sz w:val="24"/>
          <w:highlight w:val="none"/>
        </w:rPr>
        <w:t>采购人自收到评标报告之日起5个工作日内，按评标报告推荐的中标候选人确定为中标人。</w:t>
      </w:r>
    </w:p>
    <w:p w14:paraId="043EA7BC">
      <w:pPr>
        <w:spacing w:line="300" w:lineRule="exact"/>
        <w:ind w:right="-506" w:rightChars="-241"/>
        <w:rPr>
          <w:color w:val="auto"/>
          <w:sz w:val="24"/>
          <w:highlight w:val="none"/>
        </w:rPr>
      </w:pPr>
    </w:p>
    <w:p w14:paraId="44C1D46D">
      <w:pPr>
        <w:spacing w:line="360" w:lineRule="exact"/>
        <w:ind w:right="-506" w:rightChars="-241"/>
        <w:rPr>
          <w:b/>
          <w:color w:val="auto"/>
          <w:sz w:val="24"/>
          <w:highlight w:val="none"/>
        </w:rPr>
      </w:pPr>
      <w:r>
        <w:rPr>
          <w:b/>
          <w:color w:val="auto"/>
          <w:sz w:val="24"/>
          <w:highlight w:val="none"/>
        </w:rPr>
        <w:t>三、</w:t>
      </w:r>
      <w:r>
        <w:rPr>
          <w:rFonts w:hint="eastAsia"/>
          <w:b/>
          <w:color w:val="auto"/>
          <w:sz w:val="24"/>
          <w:highlight w:val="none"/>
        </w:rPr>
        <w:t>中标结果公告及</w:t>
      </w:r>
      <w:r>
        <w:rPr>
          <w:b/>
          <w:color w:val="auto"/>
          <w:sz w:val="24"/>
          <w:highlight w:val="none"/>
        </w:rPr>
        <w:t>其他</w:t>
      </w:r>
    </w:p>
    <w:p w14:paraId="2DE5F479">
      <w:pPr>
        <w:spacing w:line="360" w:lineRule="exact"/>
        <w:ind w:right="-506" w:rightChars="-241"/>
        <w:rPr>
          <w:color w:val="auto"/>
          <w:sz w:val="24"/>
          <w:highlight w:val="none"/>
        </w:rPr>
      </w:pPr>
      <w:r>
        <w:rPr>
          <w:rFonts w:hint="eastAsia" w:hAnsi="宋体"/>
          <w:color w:val="auto"/>
          <w:sz w:val="24"/>
          <w:szCs w:val="24"/>
          <w:highlight w:val="none"/>
        </w:rPr>
        <w:t xml:space="preserve">1. </w:t>
      </w:r>
      <w:r>
        <w:rPr>
          <w:rFonts w:hAnsi="宋体"/>
          <w:color w:val="auto"/>
          <w:sz w:val="24"/>
          <w:szCs w:val="24"/>
          <w:highlight w:val="none"/>
        </w:rPr>
        <w:t>采购人根据评标报告中推荐的中标候选</w:t>
      </w:r>
      <w:r>
        <w:rPr>
          <w:rFonts w:hint="eastAsia" w:hAnsi="宋体"/>
          <w:color w:val="auto"/>
          <w:sz w:val="24"/>
          <w:szCs w:val="24"/>
          <w:highlight w:val="none"/>
        </w:rPr>
        <w:t>人</w:t>
      </w:r>
      <w:r>
        <w:rPr>
          <w:rFonts w:hAnsi="宋体"/>
          <w:color w:val="auto"/>
          <w:sz w:val="24"/>
          <w:szCs w:val="24"/>
          <w:highlight w:val="none"/>
        </w:rPr>
        <w:t>顺序确定中标供应商（或评标委员会受采购人授权</w:t>
      </w:r>
      <w:r>
        <w:rPr>
          <w:rFonts w:hint="eastAsia" w:hAnsi="宋体"/>
          <w:color w:val="auto"/>
          <w:sz w:val="24"/>
          <w:szCs w:val="24"/>
          <w:highlight w:val="none"/>
        </w:rPr>
        <w:t>直接确定中标供应商</w:t>
      </w:r>
      <w:r>
        <w:rPr>
          <w:rFonts w:hAnsi="宋体"/>
          <w:color w:val="auto"/>
          <w:sz w:val="24"/>
          <w:szCs w:val="24"/>
          <w:highlight w:val="none"/>
        </w:rPr>
        <w:t>）。中标供应商一经确定，采购代理公司在规定的政府采购信息发布媒体上发布中标公告</w:t>
      </w:r>
      <w:r>
        <w:rPr>
          <w:rFonts w:hint="eastAsia" w:hAnsi="宋体"/>
          <w:color w:val="auto"/>
          <w:sz w:val="24"/>
          <w:szCs w:val="24"/>
          <w:highlight w:val="none"/>
        </w:rPr>
        <w:t>。</w:t>
      </w:r>
    </w:p>
    <w:p w14:paraId="2DB85F40">
      <w:pPr>
        <w:spacing w:line="360" w:lineRule="exact"/>
        <w:ind w:right="-506" w:rightChars="-241"/>
        <w:rPr>
          <w:color w:val="auto"/>
          <w:sz w:val="24"/>
          <w:highlight w:val="none"/>
        </w:rPr>
      </w:pPr>
      <w:r>
        <w:rPr>
          <w:rFonts w:hint="eastAsia"/>
          <w:color w:val="auto"/>
          <w:sz w:val="24"/>
          <w:highlight w:val="none"/>
        </w:rPr>
        <w:t>2</w:t>
      </w:r>
      <w:r>
        <w:rPr>
          <w:color w:val="auto"/>
          <w:sz w:val="24"/>
          <w:highlight w:val="none"/>
        </w:rPr>
        <w:t>．</w:t>
      </w:r>
      <w:r>
        <w:rPr>
          <w:rFonts w:hAnsi="宋体"/>
          <w:color w:val="auto"/>
          <w:sz w:val="24"/>
          <w:szCs w:val="24"/>
          <w:highlight w:val="none"/>
        </w:rPr>
        <w:t>至投标截止时间，如投标人不足三家，</w:t>
      </w:r>
      <w:r>
        <w:rPr>
          <w:rFonts w:hint="eastAsia" w:hAnsi="宋体"/>
          <w:color w:val="auto"/>
          <w:sz w:val="24"/>
          <w:szCs w:val="24"/>
          <w:highlight w:val="none"/>
        </w:rPr>
        <w:t>或经评审有效标不足三家，</w:t>
      </w:r>
      <w:r>
        <w:rPr>
          <w:rFonts w:hAnsi="宋体"/>
          <w:color w:val="auto"/>
          <w:sz w:val="24"/>
          <w:szCs w:val="24"/>
          <w:highlight w:val="none"/>
        </w:rPr>
        <w:t>则</w:t>
      </w:r>
      <w:r>
        <w:rPr>
          <w:rFonts w:hint="eastAsia" w:hAnsi="宋体"/>
          <w:color w:val="auto"/>
          <w:sz w:val="24"/>
          <w:szCs w:val="24"/>
          <w:highlight w:val="none"/>
        </w:rPr>
        <w:t>招标程序依法终止，</w:t>
      </w:r>
      <w:r>
        <w:rPr>
          <w:rFonts w:hAnsi="宋体"/>
          <w:color w:val="auto"/>
          <w:sz w:val="24"/>
          <w:szCs w:val="24"/>
          <w:highlight w:val="none"/>
        </w:rPr>
        <w:t>重新</w:t>
      </w:r>
      <w:r>
        <w:rPr>
          <w:rFonts w:hint="eastAsia" w:hAnsi="宋体"/>
          <w:color w:val="auto"/>
          <w:sz w:val="24"/>
          <w:szCs w:val="24"/>
          <w:highlight w:val="none"/>
        </w:rPr>
        <w:t>组织采购活动</w:t>
      </w:r>
      <w:r>
        <w:rPr>
          <w:rFonts w:hAnsi="宋体"/>
          <w:color w:val="auto"/>
          <w:sz w:val="24"/>
          <w:szCs w:val="24"/>
          <w:highlight w:val="none"/>
        </w:rPr>
        <w:t>。</w:t>
      </w:r>
    </w:p>
    <w:p w14:paraId="265F30D7">
      <w:pPr>
        <w:jc w:val="center"/>
        <w:rPr>
          <w:b/>
          <w:color w:val="auto"/>
          <w:sz w:val="24"/>
          <w:szCs w:val="24"/>
          <w:highlight w:val="none"/>
        </w:rPr>
      </w:pPr>
      <w:r>
        <w:rPr>
          <w:rFonts w:hint="eastAsia" w:ascii="宋体"/>
          <w:b/>
          <w:color w:val="auto"/>
          <w:sz w:val="30"/>
          <w:szCs w:val="30"/>
          <w:highlight w:val="none"/>
        </w:rPr>
        <w:t>评分标准（评委打分表）</w:t>
      </w:r>
    </w:p>
    <w:p w14:paraId="2DEB8050">
      <w:pPr>
        <w:spacing w:line="340" w:lineRule="exact"/>
        <w:rPr>
          <w:rFonts w:ascii="宋体"/>
          <w:color w:val="auto"/>
          <w:spacing w:val="14"/>
          <w:highlight w:val="none"/>
        </w:rPr>
      </w:pPr>
      <w:r>
        <w:rPr>
          <w:rFonts w:hint="eastAsia" w:ascii="宋体"/>
          <w:color w:val="auto"/>
          <w:spacing w:val="14"/>
          <w:highlight w:val="none"/>
        </w:rPr>
        <w:t xml:space="preserve"> </w:t>
      </w:r>
    </w:p>
    <w:tbl>
      <w:tblPr>
        <w:tblStyle w:val="30"/>
        <w:tblW w:w="9593" w:type="dxa"/>
        <w:tblInd w:w="-17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0"/>
        <w:gridCol w:w="1408"/>
        <w:gridCol w:w="5852"/>
        <w:gridCol w:w="777"/>
        <w:gridCol w:w="846"/>
      </w:tblGrid>
      <w:tr w14:paraId="1FAA0C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10" w:type="dxa"/>
            <w:tcBorders>
              <w:top w:val="single" w:color="auto" w:sz="4" w:space="0"/>
              <w:left w:val="single" w:color="auto" w:sz="4" w:space="0"/>
              <w:bottom w:val="single" w:color="auto" w:sz="4" w:space="0"/>
              <w:right w:val="single" w:color="auto" w:sz="4" w:space="0"/>
            </w:tcBorders>
            <w:vAlign w:val="center"/>
          </w:tcPr>
          <w:p w14:paraId="6A8A243E">
            <w:pPr>
              <w:keepNext w:val="0"/>
              <w:keepLines w:val="0"/>
              <w:pageBreakBefore w:val="0"/>
              <w:kinsoku/>
              <w:wordWrap/>
              <w:overflowPunct/>
              <w:topLinePunct w:val="0"/>
              <w:autoSpaceDE/>
              <w:autoSpaceDN/>
              <w:bidi w:val="0"/>
              <w:adjustRightInd/>
              <w:snapToGrid/>
              <w:spacing w:line="360" w:lineRule="exact"/>
              <w:jc w:val="center"/>
              <w:textAlignment w:val="auto"/>
              <w:rPr>
                <w:rFonts w:hint="eastAsia" w:ascii="宋体" w:hAnsi="宋体" w:eastAsia="宋体" w:cs="宋体"/>
                <w:b/>
                <w:bCs/>
                <w:color w:val="auto"/>
                <w:sz w:val="21"/>
                <w:szCs w:val="21"/>
              </w:rPr>
            </w:pPr>
            <w:r>
              <w:rPr>
                <w:rFonts w:hint="eastAsia" w:ascii="宋体" w:hAnsi="宋体" w:eastAsia="宋体" w:cs="宋体"/>
                <w:b/>
                <w:bCs/>
                <w:color w:val="auto"/>
                <w:sz w:val="21"/>
                <w:szCs w:val="21"/>
              </w:rPr>
              <w:t>评分项目</w:t>
            </w:r>
          </w:p>
        </w:tc>
        <w:tc>
          <w:tcPr>
            <w:tcW w:w="7260" w:type="dxa"/>
            <w:gridSpan w:val="2"/>
            <w:tcBorders>
              <w:top w:val="single" w:color="auto" w:sz="4" w:space="0"/>
              <w:left w:val="nil"/>
              <w:bottom w:val="single" w:color="auto" w:sz="4" w:space="0"/>
              <w:right w:val="single" w:color="auto" w:sz="4" w:space="0"/>
            </w:tcBorders>
            <w:vAlign w:val="center"/>
          </w:tcPr>
          <w:p w14:paraId="34B67D70">
            <w:pPr>
              <w:keepNext w:val="0"/>
              <w:keepLines w:val="0"/>
              <w:pageBreakBefore w:val="0"/>
              <w:kinsoku/>
              <w:wordWrap/>
              <w:overflowPunct/>
              <w:topLinePunct w:val="0"/>
              <w:autoSpaceDE/>
              <w:autoSpaceDN/>
              <w:bidi w:val="0"/>
              <w:adjustRightInd/>
              <w:snapToGrid/>
              <w:spacing w:line="360" w:lineRule="exact"/>
              <w:ind w:firstLine="422" w:firstLineChars="200"/>
              <w:jc w:val="center"/>
              <w:textAlignment w:val="auto"/>
              <w:rPr>
                <w:rFonts w:hint="eastAsia" w:ascii="宋体" w:hAnsi="宋体" w:eastAsia="宋体" w:cs="宋体"/>
                <w:b/>
                <w:bCs/>
                <w:color w:val="auto"/>
                <w:sz w:val="21"/>
                <w:szCs w:val="21"/>
              </w:rPr>
            </w:pPr>
            <w:r>
              <w:rPr>
                <w:rFonts w:hint="eastAsia" w:ascii="宋体" w:hAnsi="宋体" w:eastAsia="宋体" w:cs="宋体"/>
                <w:b/>
                <w:bCs/>
                <w:color w:val="auto"/>
                <w:sz w:val="21"/>
                <w:szCs w:val="21"/>
              </w:rPr>
              <w:t>评分细则</w:t>
            </w:r>
          </w:p>
        </w:tc>
        <w:tc>
          <w:tcPr>
            <w:tcW w:w="777" w:type="dxa"/>
            <w:tcBorders>
              <w:top w:val="single" w:color="auto" w:sz="4" w:space="0"/>
              <w:left w:val="nil"/>
              <w:bottom w:val="single" w:color="auto" w:sz="4" w:space="0"/>
              <w:right w:val="single" w:color="auto" w:sz="4" w:space="0"/>
            </w:tcBorders>
            <w:vAlign w:val="center"/>
          </w:tcPr>
          <w:p w14:paraId="1D945A99">
            <w:pPr>
              <w:keepNext w:val="0"/>
              <w:keepLines w:val="0"/>
              <w:pageBreakBefore w:val="0"/>
              <w:kinsoku/>
              <w:wordWrap/>
              <w:overflowPunct/>
              <w:topLinePunct w:val="0"/>
              <w:autoSpaceDE/>
              <w:autoSpaceDN/>
              <w:bidi w:val="0"/>
              <w:adjustRightInd/>
              <w:snapToGrid/>
              <w:spacing w:line="360" w:lineRule="exact"/>
              <w:jc w:val="center"/>
              <w:textAlignment w:val="auto"/>
              <w:rPr>
                <w:rFonts w:hint="eastAsia" w:ascii="宋体" w:hAnsi="宋体" w:eastAsia="宋体" w:cs="宋体"/>
                <w:b/>
                <w:bCs/>
                <w:color w:val="auto"/>
                <w:sz w:val="21"/>
                <w:szCs w:val="21"/>
              </w:rPr>
            </w:pPr>
            <w:r>
              <w:rPr>
                <w:rFonts w:hint="eastAsia" w:ascii="宋体" w:hAnsi="宋体" w:eastAsia="宋体" w:cs="宋体"/>
                <w:b/>
                <w:bCs/>
                <w:color w:val="auto"/>
                <w:sz w:val="21"/>
                <w:szCs w:val="21"/>
              </w:rPr>
              <w:t>分值</w:t>
            </w:r>
          </w:p>
        </w:tc>
        <w:tc>
          <w:tcPr>
            <w:tcW w:w="846" w:type="dxa"/>
            <w:tcBorders>
              <w:top w:val="single" w:color="auto" w:sz="4" w:space="0"/>
              <w:left w:val="nil"/>
              <w:bottom w:val="single" w:color="auto" w:sz="4" w:space="0"/>
              <w:right w:val="single" w:color="auto" w:sz="4" w:space="0"/>
            </w:tcBorders>
            <w:vAlign w:val="center"/>
          </w:tcPr>
          <w:p w14:paraId="50FEA0F9">
            <w:pPr>
              <w:keepNext w:val="0"/>
              <w:keepLines w:val="0"/>
              <w:pageBreakBefore w:val="0"/>
              <w:kinsoku/>
              <w:wordWrap/>
              <w:overflowPunct/>
              <w:topLinePunct w:val="0"/>
              <w:autoSpaceDE/>
              <w:autoSpaceDN/>
              <w:bidi w:val="0"/>
              <w:adjustRightInd/>
              <w:snapToGrid/>
              <w:spacing w:line="360" w:lineRule="exact"/>
              <w:jc w:val="center"/>
              <w:textAlignment w:val="auto"/>
              <w:rPr>
                <w:rFonts w:hint="eastAsia" w:ascii="宋体" w:hAnsi="宋体" w:eastAsia="宋体" w:cs="宋体"/>
                <w:b/>
                <w:bCs/>
                <w:color w:val="auto"/>
                <w:sz w:val="21"/>
                <w:szCs w:val="21"/>
              </w:rPr>
            </w:pPr>
            <w:r>
              <w:rPr>
                <w:rFonts w:hint="eastAsia" w:ascii="宋体" w:hAnsi="宋体" w:eastAsia="宋体" w:cs="宋体"/>
                <w:b/>
                <w:bCs/>
                <w:color w:val="auto"/>
                <w:sz w:val="21"/>
                <w:szCs w:val="21"/>
              </w:rPr>
              <w:t>备注</w:t>
            </w:r>
          </w:p>
        </w:tc>
      </w:tr>
      <w:tr w14:paraId="21EAC1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10" w:type="dxa"/>
            <w:vMerge w:val="restart"/>
            <w:tcBorders>
              <w:top w:val="nil"/>
              <w:left w:val="single" w:color="auto" w:sz="4" w:space="0"/>
              <w:right w:val="single" w:color="auto" w:sz="4" w:space="0"/>
            </w:tcBorders>
            <w:vAlign w:val="center"/>
          </w:tcPr>
          <w:p w14:paraId="2AC58BC2">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技术商务分85分</w:t>
            </w:r>
          </w:p>
        </w:tc>
        <w:tc>
          <w:tcPr>
            <w:tcW w:w="1408" w:type="dxa"/>
            <w:vMerge w:val="restart"/>
            <w:tcBorders>
              <w:top w:val="single" w:color="auto" w:sz="4" w:space="0"/>
              <w:left w:val="nil"/>
              <w:right w:val="single" w:color="auto" w:sz="4" w:space="0"/>
            </w:tcBorders>
            <w:vAlign w:val="center"/>
          </w:tcPr>
          <w:p w14:paraId="585B794C">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zh-CN" w:eastAsia="zh-CN"/>
              </w:rPr>
              <w:t>1</w:t>
            </w:r>
            <w:bookmarkStart w:id="7" w:name="_Hlk87275254"/>
            <w:r>
              <w:rPr>
                <w:rFonts w:hint="eastAsia" w:ascii="宋体" w:hAnsi="宋体" w:eastAsia="宋体" w:cs="宋体"/>
                <w:color w:val="auto"/>
                <w:sz w:val="21"/>
                <w:szCs w:val="21"/>
                <w:lang w:val="en-US" w:eastAsia="zh-CN"/>
              </w:rPr>
              <w:t>.项目与需求分析以及</w:t>
            </w:r>
            <w:bookmarkEnd w:id="7"/>
            <w:r>
              <w:rPr>
                <w:rFonts w:hint="eastAsia" w:ascii="宋体" w:hAnsi="宋体" w:eastAsia="宋体" w:cs="宋体"/>
                <w:color w:val="auto"/>
                <w:sz w:val="21"/>
                <w:szCs w:val="21"/>
                <w:lang w:val="en-US" w:eastAsia="zh-CN"/>
              </w:rPr>
              <w:t>提出的意见与建议（10分）</w:t>
            </w:r>
          </w:p>
        </w:tc>
        <w:tc>
          <w:tcPr>
            <w:tcW w:w="5852" w:type="dxa"/>
            <w:tcBorders>
              <w:top w:val="single" w:color="auto" w:sz="4" w:space="0"/>
              <w:left w:val="single" w:color="auto" w:sz="4" w:space="0"/>
              <w:bottom w:val="single" w:color="auto" w:sz="4" w:space="0"/>
              <w:right w:val="single" w:color="auto" w:sz="4" w:space="0"/>
            </w:tcBorders>
            <w:shd w:val="clear" w:color="auto" w:fill="auto"/>
            <w:vAlign w:val="center"/>
          </w:tcPr>
          <w:p w14:paraId="212AFD02">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1.1现状与需求分析：</w:t>
            </w:r>
          </w:p>
          <w:p w14:paraId="37EA1550">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宋体" w:hAnsi="宋体" w:eastAsia="宋体" w:cs="宋体"/>
                <w:color w:val="auto"/>
                <w:sz w:val="21"/>
                <w:szCs w:val="21"/>
                <w:shd w:val="clear" w:color="auto" w:fill="FFFFFF"/>
                <w:lang w:val="en-US" w:eastAsia="zh-CN"/>
              </w:rPr>
            </w:pPr>
            <w:r>
              <w:rPr>
                <w:rFonts w:hint="eastAsia" w:ascii="宋体" w:hAnsi="宋体" w:eastAsia="宋体" w:cs="宋体"/>
                <w:color w:val="auto"/>
                <w:sz w:val="21"/>
                <w:szCs w:val="21"/>
                <w:lang w:val="en-US" w:eastAsia="zh-CN"/>
              </w:rPr>
              <w:t>①针</w:t>
            </w:r>
            <w:r>
              <w:rPr>
                <w:rFonts w:hint="eastAsia" w:ascii="宋体" w:hAnsi="宋体" w:eastAsia="宋体" w:cs="宋体"/>
                <w:color w:val="auto"/>
                <w:sz w:val="21"/>
                <w:szCs w:val="21"/>
                <w:shd w:val="clear" w:color="auto" w:fill="FFFFFF"/>
                <w:lang w:val="en-US" w:eastAsia="zh-CN"/>
              </w:rPr>
              <w:t>对北仑区高危老旧储罐的安全生产现状分析</w:t>
            </w:r>
            <w:r>
              <w:rPr>
                <w:rFonts w:hint="eastAsia" w:ascii="宋体" w:hAnsi="宋体" w:eastAsia="宋体" w:cs="宋体"/>
                <w:color w:val="auto"/>
                <w:sz w:val="21"/>
                <w:szCs w:val="21"/>
                <w:shd w:val="clear" w:color="auto" w:fill="FFFFFF"/>
              </w:rPr>
              <w:t>透彻</w:t>
            </w:r>
            <w:r>
              <w:rPr>
                <w:rFonts w:hint="eastAsia" w:ascii="宋体" w:hAnsi="宋体" w:eastAsia="宋体" w:cs="宋体"/>
                <w:color w:val="auto"/>
                <w:sz w:val="21"/>
                <w:szCs w:val="21"/>
                <w:shd w:val="clear" w:color="auto" w:fill="FFFFFF"/>
                <w:lang w:eastAsia="zh-CN"/>
              </w:rPr>
              <w:t>、</w:t>
            </w:r>
            <w:r>
              <w:rPr>
                <w:rFonts w:hint="eastAsia" w:ascii="宋体" w:hAnsi="宋体" w:cs="宋体"/>
                <w:color w:val="auto"/>
                <w:sz w:val="21"/>
                <w:szCs w:val="21"/>
                <w:shd w:val="clear" w:color="auto" w:fill="FFFFFF"/>
                <w:lang w:val="en-US" w:eastAsia="zh-CN"/>
              </w:rPr>
              <w:t>对</w:t>
            </w:r>
            <w:r>
              <w:rPr>
                <w:rFonts w:hint="default" w:ascii="宋体" w:hAnsi="宋体" w:eastAsia="宋体" w:cs="宋体"/>
                <w:color w:val="auto"/>
                <w:sz w:val="21"/>
                <w:szCs w:val="21"/>
                <w:shd w:val="clear" w:color="auto" w:fill="FFFFFF"/>
                <w:lang w:eastAsia="zh-CN"/>
              </w:rPr>
              <w:t>《港口危险货物常压储罐检测工作指南》</w:t>
            </w:r>
            <w:r>
              <w:rPr>
                <w:rFonts w:hint="eastAsia" w:ascii="宋体" w:hAnsi="宋体" w:cs="宋体"/>
                <w:color w:val="auto"/>
                <w:sz w:val="21"/>
                <w:szCs w:val="21"/>
                <w:shd w:val="clear" w:color="auto" w:fill="FFFFFF"/>
                <w:lang w:eastAsia="zh-CN"/>
              </w:rPr>
              <w:t>、</w:t>
            </w:r>
            <w:r>
              <w:rPr>
                <w:rFonts w:hint="default" w:ascii="宋体" w:hAnsi="宋体" w:eastAsia="宋体" w:cs="宋体"/>
                <w:color w:val="auto"/>
                <w:sz w:val="21"/>
                <w:szCs w:val="21"/>
                <w:shd w:val="clear" w:color="auto" w:fill="FFFFFF"/>
                <w:lang w:eastAsia="zh-CN"/>
              </w:rPr>
              <w:t>《在用危险化学品常压储罐检验要求》等标准规范</w:t>
            </w:r>
            <w:r>
              <w:rPr>
                <w:rFonts w:hint="eastAsia" w:ascii="宋体" w:hAnsi="宋体" w:eastAsia="宋体" w:cs="宋体"/>
                <w:color w:val="auto"/>
                <w:sz w:val="21"/>
                <w:szCs w:val="21"/>
                <w:shd w:val="clear" w:color="auto" w:fill="FFFFFF"/>
              </w:rPr>
              <w:t>与项目背景情况了解熟悉</w:t>
            </w:r>
            <w:r>
              <w:rPr>
                <w:rFonts w:hint="eastAsia" w:ascii="宋体" w:hAnsi="宋体" w:eastAsia="宋体" w:cs="宋体"/>
                <w:color w:val="auto"/>
                <w:sz w:val="21"/>
                <w:szCs w:val="21"/>
                <w:shd w:val="clear" w:color="auto" w:fill="FFFFFF"/>
                <w:lang w:val="en-US" w:eastAsia="zh-CN"/>
              </w:rPr>
              <w:t>、对现存</w:t>
            </w:r>
            <w:r>
              <w:rPr>
                <w:rFonts w:hint="eastAsia" w:ascii="宋体" w:hAnsi="宋体" w:eastAsia="宋体" w:cs="宋体"/>
                <w:color w:val="auto"/>
                <w:sz w:val="21"/>
                <w:szCs w:val="21"/>
                <w:shd w:val="clear" w:color="auto" w:fill="FFFFFF"/>
              </w:rPr>
              <w:t>问题剖析</w:t>
            </w:r>
            <w:r>
              <w:rPr>
                <w:rFonts w:hint="eastAsia" w:ascii="宋体" w:hAnsi="宋体" w:eastAsia="宋体" w:cs="宋体"/>
                <w:color w:val="auto"/>
                <w:sz w:val="21"/>
                <w:szCs w:val="21"/>
                <w:shd w:val="clear" w:color="auto" w:fill="FFFFFF"/>
                <w:lang w:val="en-US" w:eastAsia="zh-CN"/>
              </w:rPr>
              <w:t>深入</w:t>
            </w:r>
            <w:r>
              <w:rPr>
                <w:rFonts w:hint="eastAsia" w:ascii="宋体" w:hAnsi="宋体" w:eastAsia="宋体" w:cs="宋体"/>
                <w:color w:val="auto"/>
                <w:sz w:val="21"/>
                <w:szCs w:val="21"/>
                <w:shd w:val="clear" w:color="auto" w:fill="FFFFFF"/>
              </w:rPr>
              <w:t>的得</w:t>
            </w:r>
            <w:r>
              <w:rPr>
                <w:rFonts w:hint="eastAsia" w:ascii="宋体" w:hAnsi="宋体" w:eastAsia="宋体" w:cs="宋体"/>
                <w:color w:val="auto"/>
                <w:sz w:val="21"/>
                <w:szCs w:val="21"/>
                <w:shd w:val="clear" w:color="auto" w:fill="FFFFFF"/>
                <w:lang w:val="en-US" w:eastAsia="zh-CN"/>
              </w:rPr>
              <w:t>5分；</w:t>
            </w:r>
          </w:p>
          <w:p w14:paraId="42754A15">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②对</w:t>
            </w:r>
            <w:r>
              <w:rPr>
                <w:rFonts w:hint="eastAsia" w:ascii="宋体" w:hAnsi="宋体" w:eastAsia="宋体" w:cs="宋体"/>
                <w:color w:val="auto"/>
                <w:sz w:val="21"/>
                <w:szCs w:val="21"/>
                <w:shd w:val="clear" w:color="auto" w:fill="FFFFFF"/>
                <w:lang w:val="en-US" w:eastAsia="zh-CN"/>
              </w:rPr>
              <w:t>北仑区高危老旧储罐的安全生产现状分析</w:t>
            </w:r>
            <w:r>
              <w:rPr>
                <w:rFonts w:hint="eastAsia" w:ascii="宋体" w:hAnsi="宋体" w:eastAsia="宋体" w:cs="宋体"/>
                <w:color w:val="auto"/>
                <w:sz w:val="21"/>
                <w:szCs w:val="21"/>
                <w:lang w:val="en-US" w:eastAsia="zh-CN"/>
              </w:rPr>
              <w:t>与项目实际情况基本吻合、</w:t>
            </w:r>
            <w:r>
              <w:rPr>
                <w:rFonts w:hint="eastAsia" w:ascii="宋体" w:hAnsi="宋体" w:cs="宋体"/>
                <w:color w:val="auto"/>
                <w:sz w:val="21"/>
                <w:szCs w:val="21"/>
                <w:shd w:val="clear" w:color="auto" w:fill="FFFFFF"/>
                <w:lang w:val="en-US" w:eastAsia="zh-CN"/>
              </w:rPr>
              <w:t>对</w:t>
            </w:r>
            <w:r>
              <w:rPr>
                <w:rFonts w:hint="default" w:ascii="宋体" w:hAnsi="宋体" w:eastAsia="宋体" w:cs="宋体"/>
                <w:color w:val="auto"/>
                <w:sz w:val="21"/>
                <w:szCs w:val="21"/>
                <w:shd w:val="clear" w:color="auto" w:fill="FFFFFF"/>
                <w:lang w:eastAsia="zh-CN"/>
              </w:rPr>
              <w:t>《港口危险货物常压储罐检测工作指南》</w:t>
            </w:r>
            <w:r>
              <w:rPr>
                <w:rFonts w:hint="eastAsia" w:ascii="宋体" w:hAnsi="宋体" w:cs="宋体"/>
                <w:color w:val="auto"/>
                <w:sz w:val="21"/>
                <w:szCs w:val="21"/>
                <w:shd w:val="clear" w:color="auto" w:fill="FFFFFF"/>
                <w:lang w:eastAsia="zh-CN"/>
              </w:rPr>
              <w:t>、</w:t>
            </w:r>
            <w:r>
              <w:rPr>
                <w:rFonts w:hint="default" w:ascii="宋体" w:hAnsi="宋体" w:eastAsia="宋体" w:cs="宋体"/>
                <w:color w:val="auto"/>
                <w:sz w:val="21"/>
                <w:szCs w:val="21"/>
                <w:shd w:val="clear" w:color="auto" w:fill="FFFFFF"/>
                <w:lang w:eastAsia="zh-CN"/>
              </w:rPr>
              <w:t>《在用危险化学品常压储罐检验要求》等标准规范</w:t>
            </w:r>
            <w:r>
              <w:rPr>
                <w:rFonts w:hint="eastAsia" w:ascii="宋体" w:hAnsi="宋体" w:eastAsia="宋体" w:cs="宋体"/>
                <w:color w:val="auto"/>
                <w:sz w:val="21"/>
                <w:szCs w:val="21"/>
                <w:shd w:val="clear" w:color="auto" w:fill="FFFFFF"/>
              </w:rPr>
              <w:t>与</w:t>
            </w:r>
            <w:r>
              <w:rPr>
                <w:rFonts w:hint="eastAsia" w:ascii="宋体" w:hAnsi="宋体" w:eastAsia="宋体" w:cs="宋体"/>
                <w:color w:val="auto"/>
                <w:sz w:val="21"/>
                <w:szCs w:val="21"/>
              </w:rPr>
              <w:t>项目</w:t>
            </w:r>
            <w:r>
              <w:rPr>
                <w:rFonts w:hint="eastAsia" w:ascii="宋体" w:hAnsi="宋体" w:eastAsia="宋体" w:cs="宋体"/>
                <w:color w:val="auto"/>
                <w:sz w:val="21"/>
                <w:szCs w:val="21"/>
                <w:shd w:val="clear" w:color="auto" w:fill="FFFFFF"/>
              </w:rPr>
              <w:t>背景</w:t>
            </w:r>
            <w:r>
              <w:rPr>
                <w:rFonts w:hint="eastAsia" w:ascii="宋体" w:hAnsi="宋体" w:eastAsia="宋体" w:cs="宋体"/>
                <w:color w:val="auto"/>
                <w:sz w:val="21"/>
                <w:szCs w:val="21"/>
              </w:rPr>
              <w:t>情况</w:t>
            </w:r>
            <w:r>
              <w:rPr>
                <w:rFonts w:hint="eastAsia" w:ascii="宋体" w:hAnsi="宋体" w:eastAsia="宋体" w:cs="宋体"/>
                <w:color w:val="auto"/>
                <w:sz w:val="21"/>
                <w:szCs w:val="21"/>
                <w:lang w:val="en-US" w:eastAsia="zh-CN"/>
              </w:rPr>
              <w:t>有所</w:t>
            </w:r>
            <w:r>
              <w:rPr>
                <w:rFonts w:hint="eastAsia" w:ascii="宋体" w:hAnsi="宋体" w:eastAsia="宋体" w:cs="宋体"/>
                <w:color w:val="auto"/>
                <w:sz w:val="21"/>
                <w:szCs w:val="21"/>
              </w:rPr>
              <w:t>了解但不够全面</w:t>
            </w:r>
            <w:r>
              <w:rPr>
                <w:rFonts w:hint="eastAsia" w:ascii="宋体" w:hAnsi="宋体" w:eastAsia="宋体" w:cs="宋体"/>
                <w:color w:val="auto"/>
                <w:sz w:val="21"/>
                <w:szCs w:val="21"/>
                <w:lang w:val="en-US" w:eastAsia="zh-CN"/>
              </w:rPr>
              <w:t>的得3分；</w:t>
            </w:r>
          </w:p>
          <w:p w14:paraId="28F9E7B1">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③提供的现状分析与需求理解与项目实际情况不符，</w:t>
            </w:r>
            <w:r>
              <w:rPr>
                <w:rFonts w:hint="eastAsia" w:ascii="宋体" w:hAnsi="宋体" w:eastAsia="宋体" w:cs="宋体"/>
                <w:color w:val="auto"/>
                <w:sz w:val="21"/>
                <w:szCs w:val="21"/>
              </w:rPr>
              <w:t>对</w:t>
            </w:r>
            <w:r>
              <w:rPr>
                <w:rFonts w:hint="eastAsia" w:ascii="宋体" w:hAnsi="宋体" w:cs="宋体"/>
                <w:color w:val="auto"/>
                <w:sz w:val="21"/>
                <w:szCs w:val="21"/>
                <w:shd w:val="clear" w:color="auto" w:fill="FFFFFF"/>
                <w:lang w:val="en-US" w:eastAsia="zh-CN"/>
              </w:rPr>
              <w:t>相关标标准规范</w:t>
            </w:r>
            <w:r>
              <w:rPr>
                <w:rFonts w:hint="eastAsia" w:ascii="宋体" w:hAnsi="宋体" w:eastAsia="宋体" w:cs="宋体"/>
                <w:color w:val="auto"/>
                <w:sz w:val="21"/>
                <w:szCs w:val="21"/>
                <w:shd w:val="clear" w:color="auto" w:fill="FFFFFF"/>
              </w:rPr>
              <w:t>与</w:t>
            </w:r>
            <w:r>
              <w:rPr>
                <w:rFonts w:hint="eastAsia" w:ascii="宋体" w:hAnsi="宋体" w:eastAsia="宋体" w:cs="宋体"/>
                <w:color w:val="auto"/>
                <w:sz w:val="21"/>
                <w:szCs w:val="21"/>
              </w:rPr>
              <w:t>项目</w:t>
            </w:r>
            <w:r>
              <w:rPr>
                <w:rFonts w:hint="eastAsia" w:ascii="宋体" w:hAnsi="宋体" w:eastAsia="宋体" w:cs="宋体"/>
                <w:color w:val="auto"/>
                <w:sz w:val="21"/>
                <w:szCs w:val="21"/>
                <w:shd w:val="clear" w:color="auto" w:fill="FFFFFF"/>
              </w:rPr>
              <w:t>背景</w:t>
            </w:r>
            <w:r>
              <w:rPr>
                <w:rFonts w:hint="eastAsia" w:ascii="宋体" w:hAnsi="宋体" w:eastAsia="宋体" w:cs="宋体"/>
                <w:color w:val="auto"/>
                <w:sz w:val="21"/>
                <w:szCs w:val="21"/>
              </w:rPr>
              <w:t>情况</w:t>
            </w:r>
            <w:r>
              <w:rPr>
                <w:rFonts w:hint="eastAsia" w:ascii="宋体" w:hAnsi="宋体" w:eastAsia="宋体" w:cs="宋体"/>
                <w:color w:val="auto"/>
                <w:sz w:val="21"/>
                <w:szCs w:val="21"/>
                <w:lang w:val="en-US" w:eastAsia="zh-CN"/>
              </w:rPr>
              <w:t>不了解的得1分；</w:t>
            </w:r>
          </w:p>
          <w:p w14:paraId="23CF601D">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宋体" w:hAnsi="宋体" w:eastAsia="宋体" w:cs="宋体"/>
                <w:color w:val="auto"/>
                <w:kern w:val="2"/>
                <w:sz w:val="21"/>
                <w:szCs w:val="21"/>
                <w:lang w:val="zh-CN" w:eastAsia="zh-CN" w:bidi="ar-SA"/>
              </w:rPr>
            </w:pPr>
            <w:r>
              <w:rPr>
                <w:rFonts w:hint="eastAsia" w:ascii="宋体" w:hAnsi="宋体" w:eastAsia="宋体" w:cs="宋体"/>
                <w:color w:val="auto"/>
                <w:sz w:val="21"/>
                <w:szCs w:val="21"/>
                <w:lang w:val="en-US" w:eastAsia="zh-CN"/>
              </w:rPr>
              <w:t>④未提供相关内容不得分。</w:t>
            </w:r>
          </w:p>
        </w:tc>
        <w:tc>
          <w:tcPr>
            <w:tcW w:w="777" w:type="dxa"/>
            <w:tcBorders>
              <w:top w:val="single" w:color="auto" w:sz="4" w:space="0"/>
              <w:left w:val="nil"/>
              <w:bottom w:val="single" w:color="auto" w:sz="4" w:space="0"/>
              <w:right w:val="single" w:color="auto" w:sz="4" w:space="0"/>
            </w:tcBorders>
            <w:vAlign w:val="center"/>
          </w:tcPr>
          <w:p w14:paraId="26F03051">
            <w:pPr>
              <w:keepNext w:val="0"/>
              <w:keepLines w:val="0"/>
              <w:pageBreakBefore w:val="0"/>
              <w:kinsoku/>
              <w:wordWrap/>
              <w:overflowPunct/>
              <w:topLinePunct w:val="0"/>
              <w:autoSpaceDE/>
              <w:autoSpaceDN/>
              <w:bidi w:val="0"/>
              <w:adjustRightInd/>
              <w:snapToGrid/>
              <w:spacing w:line="360" w:lineRule="exact"/>
              <w:contextualSpacing/>
              <w:jc w:val="center"/>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5</w:t>
            </w:r>
          </w:p>
        </w:tc>
        <w:tc>
          <w:tcPr>
            <w:tcW w:w="846" w:type="dxa"/>
            <w:tcBorders>
              <w:top w:val="single" w:color="auto" w:sz="4" w:space="0"/>
              <w:left w:val="nil"/>
              <w:bottom w:val="single" w:color="auto" w:sz="4" w:space="0"/>
              <w:right w:val="single" w:color="auto" w:sz="4" w:space="0"/>
            </w:tcBorders>
            <w:vAlign w:val="center"/>
          </w:tcPr>
          <w:p w14:paraId="42D9FFB2">
            <w:pPr>
              <w:keepNext w:val="0"/>
              <w:keepLines w:val="0"/>
              <w:pageBreakBefore w:val="0"/>
              <w:kinsoku/>
              <w:wordWrap/>
              <w:overflowPunct/>
              <w:topLinePunct w:val="0"/>
              <w:autoSpaceDE/>
              <w:autoSpaceDN/>
              <w:bidi w:val="0"/>
              <w:adjustRightInd/>
              <w:snapToGrid/>
              <w:spacing w:line="360" w:lineRule="exact"/>
              <w:contextualSpacing/>
              <w:jc w:val="center"/>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rPr>
              <w:t>主观分</w:t>
            </w:r>
          </w:p>
        </w:tc>
      </w:tr>
      <w:tr w14:paraId="5C6006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10" w:type="dxa"/>
            <w:vMerge w:val="continue"/>
            <w:tcBorders>
              <w:left w:val="single" w:color="auto" w:sz="4" w:space="0"/>
              <w:right w:val="single" w:color="auto" w:sz="4" w:space="0"/>
            </w:tcBorders>
            <w:vAlign w:val="center"/>
          </w:tcPr>
          <w:p w14:paraId="59E2821C">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宋体" w:hAnsi="宋体" w:eastAsia="宋体" w:cs="宋体"/>
                <w:color w:val="auto"/>
                <w:sz w:val="21"/>
                <w:szCs w:val="21"/>
              </w:rPr>
            </w:pPr>
          </w:p>
        </w:tc>
        <w:tc>
          <w:tcPr>
            <w:tcW w:w="1408" w:type="dxa"/>
            <w:vMerge w:val="continue"/>
            <w:tcBorders>
              <w:left w:val="nil"/>
              <w:right w:val="single" w:color="auto" w:sz="4" w:space="0"/>
            </w:tcBorders>
            <w:vAlign w:val="center"/>
          </w:tcPr>
          <w:p w14:paraId="45D4580D">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宋体" w:hAnsi="宋体" w:eastAsia="宋体" w:cs="宋体"/>
                <w:color w:val="auto"/>
                <w:sz w:val="21"/>
                <w:szCs w:val="21"/>
                <w:lang w:val="en-US" w:eastAsia="zh-CN"/>
              </w:rPr>
            </w:pPr>
          </w:p>
        </w:tc>
        <w:tc>
          <w:tcPr>
            <w:tcW w:w="5852" w:type="dxa"/>
            <w:tcBorders>
              <w:top w:val="single" w:color="auto" w:sz="4" w:space="0"/>
              <w:left w:val="single" w:color="auto" w:sz="4" w:space="0"/>
              <w:bottom w:val="single" w:color="auto" w:sz="4" w:space="0"/>
              <w:right w:val="single" w:color="auto" w:sz="4" w:space="0"/>
            </w:tcBorders>
            <w:vAlign w:val="center"/>
          </w:tcPr>
          <w:p w14:paraId="3E930924">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1.2提出的意见与建议：</w:t>
            </w:r>
          </w:p>
          <w:p w14:paraId="6289B314">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①根据现状分析提出的意见与建议切合项目实际，具有很强的可操作性，能有效</w:t>
            </w:r>
            <w:r>
              <w:rPr>
                <w:rFonts w:hint="default" w:ascii="宋体" w:hAnsi="宋体" w:eastAsia="宋体" w:cs="宋体"/>
                <w:color w:val="auto"/>
                <w:sz w:val="21"/>
                <w:szCs w:val="21"/>
                <w:lang w:val="en-US" w:eastAsia="zh-CN"/>
              </w:rPr>
              <w:t>加强储罐安全监管力度，降低港口危险货物作业风险</w:t>
            </w:r>
            <w:r>
              <w:rPr>
                <w:rFonts w:hint="eastAsia" w:ascii="宋体" w:hAnsi="宋体" w:eastAsia="宋体" w:cs="宋体"/>
                <w:color w:val="auto"/>
                <w:sz w:val="21"/>
                <w:szCs w:val="21"/>
                <w:lang w:val="en-US" w:eastAsia="zh-CN"/>
              </w:rPr>
              <w:t>的得5分；</w:t>
            </w:r>
          </w:p>
          <w:p w14:paraId="0DD4B9F5">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②根据现状分析提出的意见与建议部分切合项目实际，有一定的可操作性的得3分；</w:t>
            </w:r>
          </w:p>
          <w:p w14:paraId="39920418">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③根据现状分析提出的意见与建议与项目实际不符的得1分；</w:t>
            </w:r>
          </w:p>
          <w:p w14:paraId="43D700FC">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④未提供相关内容不得分。</w:t>
            </w:r>
          </w:p>
        </w:tc>
        <w:tc>
          <w:tcPr>
            <w:tcW w:w="777" w:type="dxa"/>
            <w:tcBorders>
              <w:top w:val="single" w:color="auto" w:sz="4" w:space="0"/>
              <w:left w:val="nil"/>
              <w:bottom w:val="single" w:color="auto" w:sz="4" w:space="0"/>
              <w:right w:val="single" w:color="auto" w:sz="4" w:space="0"/>
            </w:tcBorders>
            <w:shd w:val="clear" w:color="auto" w:fill="auto"/>
            <w:vAlign w:val="center"/>
          </w:tcPr>
          <w:p w14:paraId="1025E690">
            <w:pPr>
              <w:keepNext w:val="0"/>
              <w:keepLines w:val="0"/>
              <w:pageBreakBefore w:val="0"/>
              <w:kinsoku/>
              <w:wordWrap/>
              <w:overflowPunct/>
              <w:topLinePunct w:val="0"/>
              <w:autoSpaceDE/>
              <w:autoSpaceDN/>
              <w:bidi w:val="0"/>
              <w:adjustRightInd/>
              <w:snapToGrid/>
              <w:spacing w:line="360" w:lineRule="exact"/>
              <w:contextualSpacing/>
              <w:jc w:val="center"/>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 w:val="21"/>
                <w:szCs w:val="21"/>
                <w:lang w:val="en-US" w:eastAsia="zh-CN"/>
              </w:rPr>
              <w:t>5</w:t>
            </w:r>
          </w:p>
        </w:tc>
        <w:tc>
          <w:tcPr>
            <w:tcW w:w="846" w:type="dxa"/>
            <w:tcBorders>
              <w:top w:val="single" w:color="auto" w:sz="4" w:space="0"/>
              <w:left w:val="nil"/>
              <w:bottom w:val="single" w:color="auto" w:sz="4" w:space="0"/>
              <w:right w:val="single" w:color="auto" w:sz="4" w:space="0"/>
            </w:tcBorders>
            <w:shd w:val="clear" w:color="auto" w:fill="auto"/>
            <w:vAlign w:val="center"/>
          </w:tcPr>
          <w:p w14:paraId="19C90AE2">
            <w:pPr>
              <w:keepNext w:val="0"/>
              <w:keepLines w:val="0"/>
              <w:pageBreakBefore w:val="0"/>
              <w:kinsoku/>
              <w:wordWrap/>
              <w:overflowPunct/>
              <w:topLinePunct w:val="0"/>
              <w:autoSpaceDE/>
              <w:autoSpaceDN/>
              <w:bidi w:val="0"/>
              <w:adjustRightInd/>
              <w:snapToGrid/>
              <w:spacing w:line="360" w:lineRule="exact"/>
              <w:contextualSpacing/>
              <w:jc w:val="center"/>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 w:val="21"/>
                <w:szCs w:val="21"/>
              </w:rPr>
              <w:t>主观分</w:t>
            </w:r>
          </w:p>
        </w:tc>
      </w:tr>
      <w:tr w14:paraId="53F9D8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10" w:type="dxa"/>
            <w:vMerge w:val="continue"/>
            <w:tcBorders>
              <w:left w:val="single" w:color="auto" w:sz="4" w:space="0"/>
              <w:right w:val="single" w:color="auto" w:sz="4" w:space="0"/>
            </w:tcBorders>
            <w:vAlign w:val="center"/>
          </w:tcPr>
          <w:p w14:paraId="4DEDB326">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宋体" w:hAnsi="宋体" w:eastAsia="宋体" w:cs="宋体"/>
                <w:color w:val="auto"/>
                <w:sz w:val="21"/>
                <w:szCs w:val="21"/>
              </w:rPr>
            </w:pPr>
          </w:p>
        </w:tc>
        <w:tc>
          <w:tcPr>
            <w:tcW w:w="1408" w:type="dxa"/>
            <w:vMerge w:val="restart"/>
            <w:tcBorders>
              <w:left w:val="nil"/>
              <w:right w:val="single" w:color="auto" w:sz="4" w:space="0"/>
            </w:tcBorders>
            <w:vAlign w:val="center"/>
          </w:tcPr>
          <w:p w14:paraId="1AB757BA">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zh-CN" w:eastAsia="zh-CN"/>
              </w:rPr>
              <w:t>2</w:t>
            </w:r>
            <w:r>
              <w:rPr>
                <w:rFonts w:hint="eastAsia" w:ascii="宋体" w:hAnsi="宋体" w:eastAsia="宋体" w:cs="宋体"/>
                <w:color w:val="auto"/>
                <w:sz w:val="21"/>
                <w:szCs w:val="21"/>
                <w:lang w:val="en-US" w:eastAsia="zh-CN"/>
              </w:rPr>
              <w:t>.项目</w:t>
            </w:r>
            <w:r>
              <w:rPr>
                <w:rFonts w:hint="eastAsia" w:ascii="宋体" w:hAnsi="宋体" w:cs="宋体"/>
                <w:color w:val="auto"/>
                <w:sz w:val="21"/>
                <w:szCs w:val="21"/>
                <w:lang w:val="en-US" w:eastAsia="zh-CN"/>
              </w:rPr>
              <w:t>服务</w:t>
            </w:r>
            <w:r>
              <w:rPr>
                <w:rFonts w:hint="eastAsia" w:ascii="宋体" w:hAnsi="宋体" w:eastAsia="宋体" w:cs="宋体"/>
                <w:color w:val="auto"/>
                <w:sz w:val="21"/>
                <w:szCs w:val="21"/>
                <w:lang w:val="en-US" w:eastAsia="zh-CN"/>
              </w:rPr>
              <w:t>方案（12分）</w:t>
            </w:r>
          </w:p>
        </w:tc>
        <w:tc>
          <w:tcPr>
            <w:tcW w:w="5852" w:type="dxa"/>
            <w:tcBorders>
              <w:top w:val="single" w:color="auto" w:sz="4" w:space="0"/>
              <w:left w:val="single" w:color="auto" w:sz="4" w:space="0"/>
              <w:bottom w:val="single" w:color="auto" w:sz="4" w:space="0"/>
              <w:right w:val="single" w:color="auto" w:sz="4" w:space="0"/>
            </w:tcBorders>
            <w:shd w:val="clear" w:color="auto" w:fill="auto"/>
            <w:vAlign w:val="center"/>
          </w:tcPr>
          <w:p w14:paraId="74D3F45F">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2.</w:t>
            </w:r>
            <w:r>
              <w:rPr>
                <w:rFonts w:hint="eastAsia" w:ascii="宋体" w:hAnsi="宋体" w:cs="宋体"/>
                <w:color w:val="auto"/>
                <w:sz w:val="21"/>
                <w:szCs w:val="21"/>
                <w:lang w:val="en-US" w:eastAsia="zh-CN"/>
              </w:rPr>
              <w:t>1</w:t>
            </w:r>
            <w:r>
              <w:rPr>
                <w:rFonts w:hint="default" w:ascii="宋体" w:hAnsi="宋体" w:eastAsia="宋体" w:cs="宋体"/>
                <w:color w:val="auto"/>
                <w:sz w:val="21"/>
                <w:szCs w:val="21"/>
                <w:lang w:val="en-US" w:eastAsia="zh-CN"/>
              </w:rPr>
              <w:t>对储罐检测报告和维护情况开展复核检查</w:t>
            </w:r>
            <w:r>
              <w:rPr>
                <w:rFonts w:hint="eastAsia" w:ascii="宋体" w:hAnsi="宋体" w:eastAsia="宋体" w:cs="宋体"/>
                <w:color w:val="auto"/>
                <w:sz w:val="21"/>
                <w:szCs w:val="21"/>
                <w:lang w:val="en-US" w:eastAsia="zh-CN"/>
              </w:rPr>
              <w:t>方案：</w:t>
            </w:r>
          </w:p>
          <w:p w14:paraId="4162AC35">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宋体" w:hAnsi="宋体" w:eastAsia="宋体" w:cs="宋体"/>
                <w:color w:val="auto"/>
                <w:sz w:val="21"/>
                <w:szCs w:val="21"/>
                <w:lang w:val="en-US" w:eastAsia="zh-CN"/>
              </w:rPr>
            </w:pPr>
            <w:r>
              <w:rPr>
                <w:rFonts w:hint="default" w:ascii="宋体" w:hAnsi="宋体" w:eastAsia="宋体" w:cs="宋体"/>
                <w:color w:val="auto"/>
                <w:sz w:val="21"/>
                <w:szCs w:val="21"/>
                <w:lang w:val="en-US" w:eastAsia="zh-CN"/>
              </w:rPr>
              <w:t>对储罐检测报告和维护情况开展复核检查</w:t>
            </w:r>
            <w:r>
              <w:rPr>
                <w:rFonts w:hint="eastAsia" w:ascii="宋体" w:hAnsi="宋体" w:eastAsia="宋体" w:cs="宋体"/>
                <w:color w:val="auto"/>
                <w:sz w:val="21"/>
                <w:szCs w:val="21"/>
                <w:lang w:val="en-US" w:eastAsia="zh-CN"/>
              </w:rPr>
              <w:t>方案进行评议，包括</w:t>
            </w:r>
            <w:r>
              <w:rPr>
                <w:rFonts w:hint="default" w:ascii="宋体" w:hAnsi="宋体" w:eastAsia="宋体" w:cs="宋体"/>
                <w:color w:val="auto"/>
                <w:sz w:val="21"/>
                <w:szCs w:val="21"/>
                <w:lang w:val="en-US" w:eastAsia="zh-CN"/>
              </w:rPr>
              <w:fldChar w:fldCharType="begin"/>
            </w:r>
            <w:r>
              <w:rPr>
                <w:rFonts w:hint="default" w:ascii="宋体" w:hAnsi="宋体" w:eastAsia="宋体" w:cs="宋体"/>
                <w:color w:val="auto"/>
                <w:sz w:val="21"/>
                <w:szCs w:val="21"/>
                <w:lang w:val="en-US" w:eastAsia="zh-CN"/>
              </w:rPr>
              <w:instrText xml:space="preserve"> = 1 \* GB3 </w:instrText>
            </w:r>
            <w:r>
              <w:rPr>
                <w:rFonts w:hint="default" w:ascii="宋体" w:hAnsi="宋体" w:eastAsia="宋体" w:cs="宋体"/>
                <w:color w:val="auto"/>
                <w:sz w:val="21"/>
                <w:szCs w:val="21"/>
                <w:lang w:val="en-US" w:eastAsia="zh-CN"/>
              </w:rPr>
              <w:fldChar w:fldCharType="separate"/>
            </w:r>
            <w:r>
              <w:rPr>
                <w:rFonts w:hint="default" w:ascii="宋体" w:hAnsi="宋体" w:eastAsia="宋体" w:cs="宋体"/>
                <w:color w:val="auto"/>
                <w:sz w:val="21"/>
                <w:szCs w:val="21"/>
                <w:lang w:val="en-US" w:eastAsia="zh-CN"/>
              </w:rPr>
              <w:t>①</w:t>
            </w:r>
            <w:r>
              <w:rPr>
                <w:rFonts w:hint="default" w:ascii="宋体" w:hAnsi="宋体" w:eastAsia="宋体" w:cs="宋体"/>
                <w:color w:val="auto"/>
                <w:sz w:val="21"/>
                <w:szCs w:val="21"/>
                <w:lang w:val="en-US" w:eastAsia="zh-CN"/>
              </w:rPr>
              <w:fldChar w:fldCharType="end"/>
            </w:r>
            <w:r>
              <w:rPr>
                <w:rFonts w:hint="default" w:ascii="宋体" w:hAnsi="宋体" w:eastAsia="宋体" w:cs="宋体"/>
                <w:color w:val="auto"/>
                <w:sz w:val="21"/>
                <w:szCs w:val="21"/>
                <w:lang w:val="en-US" w:eastAsia="zh-CN"/>
              </w:rPr>
              <w:t>报告内容是否全面、检测方法是否适用、检测布点是否合规、检测结论是否可信等；</w:t>
            </w:r>
            <w:r>
              <w:rPr>
                <w:rFonts w:hint="default" w:ascii="宋体" w:hAnsi="宋体" w:eastAsia="宋体" w:cs="宋体"/>
                <w:color w:val="auto"/>
                <w:sz w:val="21"/>
                <w:szCs w:val="21"/>
                <w:lang w:val="en-US" w:eastAsia="zh-CN"/>
              </w:rPr>
              <w:fldChar w:fldCharType="begin"/>
            </w:r>
            <w:r>
              <w:rPr>
                <w:rFonts w:hint="default" w:ascii="宋体" w:hAnsi="宋体" w:eastAsia="宋体" w:cs="宋体"/>
                <w:color w:val="auto"/>
                <w:sz w:val="21"/>
                <w:szCs w:val="21"/>
                <w:lang w:val="en-US" w:eastAsia="zh-CN"/>
              </w:rPr>
              <w:instrText xml:space="preserve"> = 2 \* GB3 </w:instrText>
            </w:r>
            <w:r>
              <w:rPr>
                <w:rFonts w:hint="default" w:ascii="宋体" w:hAnsi="宋体" w:eastAsia="宋体" w:cs="宋体"/>
                <w:color w:val="auto"/>
                <w:sz w:val="21"/>
                <w:szCs w:val="21"/>
                <w:lang w:val="en-US" w:eastAsia="zh-CN"/>
              </w:rPr>
              <w:fldChar w:fldCharType="separate"/>
            </w:r>
            <w:r>
              <w:rPr>
                <w:rFonts w:hint="default" w:ascii="宋体" w:hAnsi="宋体" w:eastAsia="宋体" w:cs="宋体"/>
                <w:color w:val="auto"/>
                <w:sz w:val="21"/>
                <w:szCs w:val="21"/>
                <w:lang w:val="en-US" w:eastAsia="zh-CN"/>
              </w:rPr>
              <w:t>②</w:t>
            </w:r>
            <w:r>
              <w:rPr>
                <w:rFonts w:hint="default" w:ascii="宋体" w:hAnsi="宋体" w:eastAsia="宋体" w:cs="宋体"/>
                <w:color w:val="auto"/>
                <w:sz w:val="21"/>
                <w:szCs w:val="21"/>
                <w:lang w:val="en-US" w:eastAsia="zh-CN"/>
              </w:rPr>
              <w:fldChar w:fldCharType="end"/>
            </w:r>
            <w:r>
              <w:rPr>
                <w:rFonts w:hint="default" w:ascii="宋体" w:hAnsi="宋体" w:eastAsia="宋体" w:cs="宋体"/>
                <w:color w:val="auto"/>
                <w:sz w:val="21"/>
                <w:szCs w:val="21"/>
                <w:lang w:val="en-US" w:eastAsia="zh-CN"/>
              </w:rPr>
              <w:t>维护情况检查内容包括企业是否建立落实“一台一档”、定期检验、年度检查等制度，是否符合《港口危险货物常压储罐检测工作指南》《在用危险化学品常压储罐检验要求》等有关要求；</w:t>
            </w:r>
            <w:r>
              <w:rPr>
                <w:rFonts w:hint="eastAsia" w:ascii="宋体" w:hAnsi="宋体" w:eastAsia="宋体" w:cs="宋体"/>
                <w:color w:val="auto"/>
                <w:sz w:val="21"/>
                <w:szCs w:val="21"/>
                <w:lang w:val="en-US" w:eastAsia="zh-CN"/>
              </w:rPr>
              <w:t>③</w:t>
            </w:r>
            <w:r>
              <w:rPr>
                <w:rFonts w:hint="default" w:ascii="宋体" w:hAnsi="宋体" w:eastAsia="宋体" w:cs="宋体"/>
                <w:color w:val="auto"/>
                <w:sz w:val="21"/>
                <w:szCs w:val="21"/>
                <w:lang w:val="en-US" w:eastAsia="zh-CN"/>
              </w:rPr>
              <w:t>企业对储罐检测发现的问题或缺陷是否采取维护措施，维护措施是否符合报告要求等</w:t>
            </w:r>
            <w:r>
              <w:rPr>
                <w:rFonts w:hint="eastAsia" w:ascii="宋体" w:hAnsi="宋体" w:eastAsia="宋体" w:cs="宋体"/>
                <w:color w:val="auto"/>
                <w:sz w:val="21"/>
                <w:szCs w:val="21"/>
                <w:lang w:val="en-US" w:eastAsia="zh-CN"/>
              </w:rPr>
              <w:t>。</w:t>
            </w:r>
          </w:p>
          <w:p w14:paraId="7D94EA4E">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①方案完整涵盖以上内容，针对性明确且各项</w:t>
            </w:r>
            <w:r>
              <w:rPr>
                <w:rFonts w:hint="eastAsia" w:ascii="宋体" w:hAnsi="宋体" w:cs="宋体"/>
                <w:color w:val="auto"/>
                <w:sz w:val="21"/>
                <w:szCs w:val="21"/>
                <w:lang w:val="en-US" w:eastAsia="zh-CN"/>
              </w:rPr>
              <w:t>检查方法</w:t>
            </w:r>
            <w:r>
              <w:rPr>
                <w:rFonts w:hint="eastAsia" w:ascii="宋体" w:hAnsi="宋体" w:eastAsia="宋体" w:cs="宋体"/>
                <w:color w:val="auto"/>
                <w:sz w:val="21"/>
                <w:szCs w:val="21"/>
                <w:lang w:val="en-US" w:eastAsia="zh-CN"/>
              </w:rPr>
              <w:t>措施到位，能有效</w:t>
            </w:r>
            <w:r>
              <w:rPr>
                <w:rFonts w:hint="eastAsia" w:ascii="宋体" w:hAnsi="宋体" w:cs="宋体"/>
                <w:color w:val="auto"/>
                <w:sz w:val="21"/>
                <w:szCs w:val="21"/>
                <w:lang w:val="en-US" w:eastAsia="zh-CN"/>
              </w:rPr>
              <w:t>保障本项目顺利实施的</w:t>
            </w:r>
            <w:r>
              <w:rPr>
                <w:rFonts w:hint="eastAsia" w:ascii="宋体" w:hAnsi="宋体" w:eastAsia="宋体" w:cs="宋体"/>
                <w:color w:val="auto"/>
                <w:sz w:val="21"/>
                <w:szCs w:val="21"/>
                <w:lang w:val="en-US" w:eastAsia="zh-CN"/>
              </w:rPr>
              <w:t>得6分；</w:t>
            </w:r>
          </w:p>
          <w:p w14:paraId="49D6E80E">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②方案完整涵盖以上内容，</w:t>
            </w:r>
            <w:r>
              <w:rPr>
                <w:rFonts w:hint="eastAsia" w:ascii="宋体" w:hAnsi="宋体" w:cs="宋体"/>
                <w:color w:val="auto"/>
                <w:sz w:val="21"/>
                <w:szCs w:val="21"/>
                <w:lang w:val="en-US" w:eastAsia="zh-CN"/>
              </w:rPr>
              <w:t>各项检查方法措施基本</w:t>
            </w:r>
            <w:r>
              <w:rPr>
                <w:rFonts w:hint="eastAsia" w:ascii="宋体" w:hAnsi="宋体" w:eastAsia="宋体" w:cs="宋体"/>
                <w:color w:val="auto"/>
                <w:sz w:val="21"/>
                <w:szCs w:val="21"/>
                <w:lang w:val="en-US" w:eastAsia="zh-CN"/>
              </w:rPr>
              <w:t>满足</w:t>
            </w:r>
            <w:r>
              <w:rPr>
                <w:rFonts w:hint="eastAsia" w:ascii="宋体" w:hAnsi="宋体" w:cs="宋体"/>
                <w:color w:val="auto"/>
                <w:sz w:val="21"/>
                <w:szCs w:val="21"/>
                <w:lang w:val="en-US" w:eastAsia="zh-CN"/>
              </w:rPr>
              <w:t>本项目需求</w:t>
            </w:r>
            <w:r>
              <w:rPr>
                <w:rFonts w:hint="eastAsia" w:ascii="宋体" w:hAnsi="宋体" w:eastAsia="宋体" w:cs="宋体"/>
                <w:color w:val="auto"/>
                <w:sz w:val="21"/>
                <w:szCs w:val="21"/>
                <w:lang w:val="en-US" w:eastAsia="zh-CN"/>
              </w:rPr>
              <w:t>，能基本</w:t>
            </w:r>
            <w:r>
              <w:rPr>
                <w:rFonts w:hint="eastAsia" w:ascii="宋体" w:hAnsi="宋体" w:cs="宋体"/>
                <w:color w:val="auto"/>
                <w:sz w:val="21"/>
                <w:szCs w:val="21"/>
                <w:lang w:val="en-US" w:eastAsia="zh-CN"/>
              </w:rPr>
              <w:t>保障本项目实施</w:t>
            </w:r>
            <w:r>
              <w:rPr>
                <w:rFonts w:hint="eastAsia" w:ascii="宋体" w:hAnsi="宋体" w:eastAsia="宋体" w:cs="宋体"/>
                <w:color w:val="auto"/>
                <w:sz w:val="21"/>
                <w:szCs w:val="21"/>
                <w:lang w:val="en-US" w:eastAsia="zh-CN"/>
              </w:rPr>
              <w:t>的得4分；</w:t>
            </w:r>
          </w:p>
          <w:p w14:paraId="4B14177B">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③方案不完整、</w:t>
            </w:r>
            <w:r>
              <w:rPr>
                <w:rFonts w:hint="eastAsia" w:ascii="宋体" w:hAnsi="宋体" w:cs="宋体"/>
                <w:color w:val="auto"/>
                <w:sz w:val="21"/>
                <w:szCs w:val="21"/>
                <w:lang w:val="en-US" w:eastAsia="zh-CN"/>
              </w:rPr>
              <w:t>各项检查方法措施</w:t>
            </w:r>
            <w:r>
              <w:rPr>
                <w:rFonts w:hint="eastAsia" w:ascii="宋体" w:hAnsi="宋体" w:eastAsia="宋体" w:cs="宋体"/>
                <w:color w:val="auto"/>
                <w:sz w:val="21"/>
                <w:szCs w:val="21"/>
                <w:lang w:val="en-US" w:eastAsia="zh-CN"/>
              </w:rPr>
              <w:t>存在</w:t>
            </w:r>
            <w:r>
              <w:rPr>
                <w:rFonts w:hint="eastAsia" w:ascii="宋体" w:hAnsi="宋体" w:cs="宋体"/>
                <w:color w:val="auto"/>
                <w:sz w:val="21"/>
                <w:szCs w:val="21"/>
                <w:lang w:val="en-US" w:eastAsia="zh-CN"/>
              </w:rPr>
              <w:t>明显</w:t>
            </w:r>
            <w:r>
              <w:rPr>
                <w:rFonts w:hint="eastAsia" w:ascii="宋体" w:hAnsi="宋体" w:eastAsia="宋体" w:cs="宋体"/>
                <w:color w:val="auto"/>
                <w:sz w:val="21"/>
                <w:szCs w:val="21"/>
                <w:lang w:val="en-US" w:eastAsia="zh-CN"/>
              </w:rPr>
              <w:t>缺陷，不能有效</w:t>
            </w:r>
            <w:r>
              <w:rPr>
                <w:rFonts w:hint="eastAsia" w:ascii="宋体" w:hAnsi="宋体" w:cs="宋体"/>
                <w:color w:val="auto"/>
                <w:sz w:val="21"/>
                <w:szCs w:val="21"/>
                <w:lang w:val="en-US" w:eastAsia="zh-CN"/>
              </w:rPr>
              <w:t>保障项目实施</w:t>
            </w:r>
            <w:r>
              <w:rPr>
                <w:rFonts w:hint="eastAsia" w:ascii="宋体" w:hAnsi="宋体" w:eastAsia="宋体" w:cs="宋体"/>
                <w:color w:val="auto"/>
                <w:sz w:val="21"/>
                <w:szCs w:val="21"/>
                <w:lang w:val="en-US" w:eastAsia="zh-CN"/>
              </w:rPr>
              <w:t>的得2分；</w:t>
            </w:r>
          </w:p>
          <w:p w14:paraId="4D837FE7">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④未提供相关内容不得分。</w:t>
            </w:r>
          </w:p>
        </w:tc>
        <w:tc>
          <w:tcPr>
            <w:tcW w:w="777" w:type="dxa"/>
            <w:tcBorders>
              <w:top w:val="single" w:color="auto" w:sz="4" w:space="0"/>
              <w:left w:val="nil"/>
              <w:bottom w:val="single" w:color="auto" w:sz="4" w:space="0"/>
              <w:right w:val="single" w:color="auto" w:sz="4" w:space="0"/>
            </w:tcBorders>
            <w:shd w:val="clear" w:color="auto" w:fill="auto"/>
            <w:vAlign w:val="center"/>
          </w:tcPr>
          <w:p w14:paraId="1B9A1230">
            <w:pPr>
              <w:keepNext w:val="0"/>
              <w:keepLines w:val="0"/>
              <w:pageBreakBefore w:val="0"/>
              <w:kinsoku/>
              <w:wordWrap/>
              <w:overflowPunct/>
              <w:topLinePunct w:val="0"/>
              <w:autoSpaceDE/>
              <w:autoSpaceDN/>
              <w:bidi w:val="0"/>
              <w:adjustRightInd/>
              <w:snapToGrid/>
              <w:spacing w:line="360" w:lineRule="exact"/>
              <w:contextualSpacing/>
              <w:jc w:val="center"/>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 w:val="21"/>
                <w:szCs w:val="21"/>
                <w:lang w:val="en-US" w:eastAsia="zh-CN"/>
              </w:rPr>
              <w:t>6</w:t>
            </w:r>
          </w:p>
        </w:tc>
        <w:tc>
          <w:tcPr>
            <w:tcW w:w="846" w:type="dxa"/>
            <w:tcBorders>
              <w:top w:val="single" w:color="auto" w:sz="4" w:space="0"/>
              <w:left w:val="nil"/>
              <w:bottom w:val="single" w:color="auto" w:sz="4" w:space="0"/>
              <w:right w:val="single" w:color="auto" w:sz="4" w:space="0"/>
            </w:tcBorders>
            <w:shd w:val="clear" w:color="auto" w:fill="auto"/>
            <w:vAlign w:val="center"/>
          </w:tcPr>
          <w:p w14:paraId="716B4B0C">
            <w:pPr>
              <w:keepNext w:val="0"/>
              <w:keepLines w:val="0"/>
              <w:pageBreakBefore w:val="0"/>
              <w:kinsoku/>
              <w:wordWrap/>
              <w:overflowPunct/>
              <w:topLinePunct w:val="0"/>
              <w:autoSpaceDE/>
              <w:autoSpaceDN/>
              <w:bidi w:val="0"/>
              <w:adjustRightInd/>
              <w:snapToGrid/>
              <w:spacing w:line="360" w:lineRule="exact"/>
              <w:contextualSpacing/>
              <w:jc w:val="center"/>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 w:val="21"/>
                <w:szCs w:val="21"/>
              </w:rPr>
              <w:t>主观分</w:t>
            </w:r>
          </w:p>
        </w:tc>
      </w:tr>
      <w:tr w14:paraId="22F328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10" w:type="dxa"/>
            <w:vMerge w:val="continue"/>
            <w:tcBorders>
              <w:left w:val="single" w:color="auto" w:sz="4" w:space="0"/>
              <w:right w:val="single" w:color="auto" w:sz="4" w:space="0"/>
            </w:tcBorders>
            <w:vAlign w:val="center"/>
          </w:tcPr>
          <w:p w14:paraId="3AB895BB">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宋体" w:hAnsi="宋体" w:eastAsia="宋体" w:cs="宋体"/>
                <w:color w:val="auto"/>
                <w:sz w:val="21"/>
                <w:szCs w:val="21"/>
              </w:rPr>
            </w:pPr>
          </w:p>
        </w:tc>
        <w:tc>
          <w:tcPr>
            <w:tcW w:w="1408" w:type="dxa"/>
            <w:vMerge w:val="continue"/>
            <w:tcBorders>
              <w:left w:val="nil"/>
              <w:right w:val="single" w:color="auto" w:sz="4" w:space="0"/>
            </w:tcBorders>
            <w:vAlign w:val="center"/>
          </w:tcPr>
          <w:p w14:paraId="275CA91F">
            <w:pPr>
              <w:keepNext w:val="0"/>
              <w:keepLines w:val="0"/>
              <w:pageBreakBefore w:val="0"/>
              <w:tabs>
                <w:tab w:val="left" w:pos="4915"/>
              </w:tabs>
              <w:kinsoku/>
              <w:wordWrap/>
              <w:overflowPunct/>
              <w:topLinePunct w:val="0"/>
              <w:autoSpaceDE/>
              <w:autoSpaceDN/>
              <w:bidi w:val="0"/>
              <w:adjustRightInd/>
              <w:snapToGrid/>
              <w:spacing w:line="360" w:lineRule="exact"/>
              <w:textAlignment w:val="auto"/>
              <w:rPr>
                <w:rFonts w:hint="eastAsia" w:ascii="宋体" w:hAnsi="宋体" w:eastAsia="宋体" w:cs="宋体"/>
                <w:color w:val="auto"/>
                <w:sz w:val="21"/>
                <w:szCs w:val="21"/>
                <w:lang w:val="zh-CN"/>
              </w:rPr>
            </w:pPr>
          </w:p>
        </w:tc>
        <w:tc>
          <w:tcPr>
            <w:tcW w:w="5852" w:type="dxa"/>
            <w:tcBorders>
              <w:top w:val="single" w:color="auto" w:sz="4" w:space="0"/>
              <w:left w:val="single" w:color="auto" w:sz="4" w:space="0"/>
              <w:bottom w:val="single" w:color="auto" w:sz="4" w:space="0"/>
              <w:right w:val="single" w:color="auto" w:sz="4" w:space="0"/>
            </w:tcBorders>
            <w:shd w:val="clear" w:color="auto" w:fill="auto"/>
            <w:vAlign w:val="center"/>
          </w:tcPr>
          <w:p w14:paraId="143BEEBE">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2.2对</w:t>
            </w:r>
            <w:r>
              <w:rPr>
                <w:rFonts w:hint="default" w:ascii="宋体" w:hAnsi="宋体" w:eastAsia="宋体" w:cs="宋体"/>
                <w:color w:val="auto"/>
                <w:sz w:val="21"/>
                <w:szCs w:val="21"/>
                <w:lang w:val="en-US" w:eastAsia="zh-CN"/>
              </w:rPr>
              <w:t>储罐开展抽检</w:t>
            </w:r>
            <w:r>
              <w:rPr>
                <w:rFonts w:hint="eastAsia" w:ascii="宋体" w:hAnsi="宋体" w:eastAsia="宋体" w:cs="宋体"/>
                <w:color w:val="auto"/>
                <w:sz w:val="21"/>
                <w:szCs w:val="21"/>
                <w:lang w:val="en-US" w:eastAsia="zh-CN"/>
              </w:rPr>
              <w:t>方案：</w:t>
            </w:r>
          </w:p>
          <w:p w14:paraId="266009EB">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对</w:t>
            </w:r>
            <w:r>
              <w:rPr>
                <w:rFonts w:hint="default" w:ascii="宋体" w:hAnsi="宋体" w:eastAsia="宋体" w:cs="宋体"/>
                <w:color w:val="auto"/>
                <w:sz w:val="21"/>
                <w:szCs w:val="21"/>
                <w:lang w:val="en-US" w:eastAsia="zh-CN"/>
              </w:rPr>
              <w:t>储罐开展抽检</w:t>
            </w:r>
            <w:r>
              <w:rPr>
                <w:rFonts w:hint="eastAsia" w:ascii="宋体" w:hAnsi="宋体" w:eastAsia="宋体" w:cs="宋体"/>
                <w:color w:val="auto"/>
                <w:sz w:val="21"/>
                <w:szCs w:val="21"/>
                <w:lang w:val="en-US" w:eastAsia="zh-CN"/>
              </w:rPr>
              <w:t>方案进行评议，</w:t>
            </w:r>
            <w:r>
              <w:rPr>
                <w:rFonts w:hint="eastAsia" w:ascii="宋体" w:hAnsi="宋体" w:eastAsia="宋体" w:cs="宋体"/>
                <w:i w:val="0"/>
                <w:iCs w:val="0"/>
                <w:color w:val="auto"/>
                <w:sz w:val="21"/>
                <w:szCs w:val="21"/>
                <w:lang w:eastAsia="zh-CN"/>
              </w:rPr>
              <w:t>包括储罐的信息资料收集与现场检测，资料包括其设计、安装、竣工验收及日常检维修、维护资料等；现场检测可以根据实际情况采用在线检测或开罐检测。检测内容包括：宏观检查、罐体腐蚀检测、焊缝无损检测、安全附件检查等。根据储罐使用情况，必要时还可增加材质分析、金相检验、应力测定、真空泄漏检测、充水试验、储罐基础检测、储罐沉降检测、阴极保护检测、防腐层检测、保温层检测等内容。</w:t>
            </w:r>
          </w:p>
          <w:p w14:paraId="3B2905D3">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①方案完整涵盖以上内容，针对性明确且各项</w:t>
            </w:r>
            <w:r>
              <w:rPr>
                <w:rFonts w:hint="eastAsia" w:ascii="宋体" w:hAnsi="宋体" w:cs="宋体"/>
                <w:color w:val="auto"/>
                <w:sz w:val="21"/>
                <w:szCs w:val="21"/>
                <w:lang w:val="en-US" w:eastAsia="zh-CN"/>
              </w:rPr>
              <w:t>检查方法</w:t>
            </w:r>
            <w:r>
              <w:rPr>
                <w:rFonts w:hint="eastAsia" w:ascii="宋体" w:hAnsi="宋体" w:eastAsia="宋体" w:cs="宋体"/>
                <w:color w:val="auto"/>
                <w:sz w:val="21"/>
                <w:szCs w:val="21"/>
                <w:lang w:val="en-US" w:eastAsia="zh-CN"/>
              </w:rPr>
              <w:t>措施到位，能有效</w:t>
            </w:r>
            <w:r>
              <w:rPr>
                <w:rFonts w:hint="eastAsia" w:ascii="宋体" w:hAnsi="宋体" w:cs="宋体"/>
                <w:color w:val="auto"/>
                <w:sz w:val="21"/>
                <w:szCs w:val="21"/>
                <w:lang w:val="en-US" w:eastAsia="zh-CN"/>
              </w:rPr>
              <w:t>保障本项目顺利实施的</w:t>
            </w:r>
            <w:r>
              <w:rPr>
                <w:rFonts w:hint="eastAsia" w:ascii="宋体" w:hAnsi="宋体" w:eastAsia="宋体" w:cs="宋体"/>
                <w:color w:val="auto"/>
                <w:sz w:val="21"/>
                <w:szCs w:val="21"/>
                <w:lang w:val="en-US" w:eastAsia="zh-CN"/>
              </w:rPr>
              <w:t>得6分；</w:t>
            </w:r>
          </w:p>
          <w:p w14:paraId="253F773F">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②方案完整涵盖以上内容，</w:t>
            </w:r>
            <w:r>
              <w:rPr>
                <w:rFonts w:hint="eastAsia" w:ascii="宋体" w:hAnsi="宋体" w:cs="宋体"/>
                <w:color w:val="auto"/>
                <w:sz w:val="21"/>
                <w:szCs w:val="21"/>
                <w:lang w:val="en-US" w:eastAsia="zh-CN"/>
              </w:rPr>
              <w:t>各项检查方法措施基本</w:t>
            </w:r>
            <w:r>
              <w:rPr>
                <w:rFonts w:hint="eastAsia" w:ascii="宋体" w:hAnsi="宋体" w:eastAsia="宋体" w:cs="宋体"/>
                <w:color w:val="auto"/>
                <w:sz w:val="21"/>
                <w:szCs w:val="21"/>
                <w:lang w:val="en-US" w:eastAsia="zh-CN"/>
              </w:rPr>
              <w:t>满足</w:t>
            </w:r>
            <w:r>
              <w:rPr>
                <w:rFonts w:hint="eastAsia" w:ascii="宋体" w:hAnsi="宋体" w:cs="宋体"/>
                <w:color w:val="auto"/>
                <w:sz w:val="21"/>
                <w:szCs w:val="21"/>
                <w:lang w:val="en-US" w:eastAsia="zh-CN"/>
              </w:rPr>
              <w:t>本项目需求</w:t>
            </w:r>
            <w:r>
              <w:rPr>
                <w:rFonts w:hint="eastAsia" w:ascii="宋体" w:hAnsi="宋体" w:eastAsia="宋体" w:cs="宋体"/>
                <w:color w:val="auto"/>
                <w:sz w:val="21"/>
                <w:szCs w:val="21"/>
                <w:lang w:val="en-US" w:eastAsia="zh-CN"/>
              </w:rPr>
              <w:t>，能基本</w:t>
            </w:r>
            <w:r>
              <w:rPr>
                <w:rFonts w:hint="eastAsia" w:ascii="宋体" w:hAnsi="宋体" w:cs="宋体"/>
                <w:color w:val="auto"/>
                <w:sz w:val="21"/>
                <w:szCs w:val="21"/>
                <w:lang w:val="en-US" w:eastAsia="zh-CN"/>
              </w:rPr>
              <w:t>保障本项目实施</w:t>
            </w:r>
            <w:r>
              <w:rPr>
                <w:rFonts w:hint="eastAsia" w:ascii="宋体" w:hAnsi="宋体" w:eastAsia="宋体" w:cs="宋体"/>
                <w:color w:val="auto"/>
                <w:sz w:val="21"/>
                <w:szCs w:val="21"/>
                <w:lang w:val="en-US" w:eastAsia="zh-CN"/>
              </w:rPr>
              <w:t>的得4分；</w:t>
            </w:r>
          </w:p>
          <w:p w14:paraId="3D66F302">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③方案不完整、</w:t>
            </w:r>
            <w:r>
              <w:rPr>
                <w:rFonts w:hint="eastAsia" w:ascii="宋体" w:hAnsi="宋体" w:cs="宋体"/>
                <w:color w:val="auto"/>
                <w:sz w:val="21"/>
                <w:szCs w:val="21"/>
                <w:lang w:val="en-US" w:eastAsia="zh-CN"/>
              </w:rPr>
              <w:t>各项检查方法措施</w:t>
            </w:r>
            <w:r>
              <w:rPr>
                <w:rFonts w:hint="eastAsia" w:ascii="宋体" w:hAnsi="宋体" w:eastAsia="宋体" w:cs="宋体"/>
                <w:color w:val="auto"/>
                <w:sz w:val="21"/>
                <w:szCs w:val="21"/>
                <w:lang w:val="en-US" w:eastAsia="zh-CN"/>
              </w:rPr>
              <w:t>存在</w:t>
            </w:r>
            <w:r>
              <w:rPr>
                <w:rFonts w:hint="eastAsia" w:ascii="宋体" w:hAnsi="宋体" w:cs="宋体"/>
                <w:color w:val="auto"/>
                <w:sz w:val="21"/>
                <w:szCs w:val="21"/>
                <w:lang w:val="en-US" w:eastAsia="zh-CN"/>
              </w:rPr>
              <w:t>明显</w:t>
            </w:r>
            <w:r>
              <w:rPr>
                <w:rFonts w:hint="eastAsia" w:ascii="宋体" w:hAnsi="宋体" w:eastAsia="宋体" w:cs="宋体"/>
                <w:color w:val="auto"/>
                <w:sz w:val="21"/>
                <w:szCs w:val="21"/>
                <w:lang w:val="en-US" w:eastAsia="zh-CN"/>
              </w:rPr>
              <w:t>缺陷，不能有效</w:t>
            </w:r>
            <w:r>
              <w:rPr>
                <w:rFonts w:hint="eastAsia" w:ascii="宋体" w:hAnsi="宋体" w:cs="宋体"/>
                <w:color w:val="auto"/>
                <w:sz w:val="21"/>
                <w:szCs w:val="21"/>
                <w:lang w:val="en-US" w:eastAsia="zh-CN"/>
              </w:rPr>
              <w:t>保障项目实施</w:t>
            </w:r>
            <w:r>
              <w:rPr>
                <w:rFonts w:hint="eastAsia" w:ascii="宋体" w:hAnsi="宋体" w:eastAsia="宋体" w:cs="宋体"/>
                <w:color w:val="auto"/>
                <w:sz w:val="21"/>
                <w:szCs w:val="21"/>
                <w:lang w:val="en-US" w:eastAsia="zh-CN"/>
              </w:rPr>
              <w:t>的得2分；</w:t>
            </w:r>
          </w:p>
          <w:p w14:paraId="1DEEA1C1">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④未提供相关内容不得分。</w:t>
            </w:r>
          </w:p>
        </w:tc>
        <w:tc>
          <w:tcPr>
            <w:tcW w:w="777" w:type="dxa"/>
            <w:tcBorders>
              <w:top w:val="single" w:color="auto" w:sz="4" w:space="0"/>
              <w:left w:val="nil"/>
              <w:bottom w:val="single" w:color="auto" w:sz="4" w:space="0"/>
              <w:right w:val="single" w:color="auto" w:sz="4" w:space="0"/>
            </w:tcBorders>
            <w:shd w:val="clear" w:color="auto" w:fill="auto"/>
            <w:vAlign w:val="center"/>
          </w:tcPr>
          <w:p w14:paraId="6F75092D">
            <w:pPr>
              <w:keepNext w:val="0"/>
              <w:keepLines w:val="0"/>
              <w:pageBreakBefore w:val="0"/>
              <w:kinsoku/>
              <w:wordWrap/>
              <w:overflowPunct/>
              <w:topLinePunct w:val="0"/>
              <w:autoSpaceDE/>
              <w:autoSpaceDN/>
              <w:bidi w:val="0"/>
              <w:adjustRightInd/>
              <w:snapToGrid/>
              <w:spacing w:line="360" w:lineRule="exact"/>
              <w:contextualSpacing/>
              <w:jc w:val="center"/>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 w:val="21"/>
                <w:szCs w:val="21"/>
                <w:lang w:val="en-US" w:eastAsia="zh-CN"/>
              </w:rPr>
              <w:t>6</w:t>
            </w:r>
          </w:p>
        </w:tc>
        <w:tc>
          <w:tcPr>
            <w:tcW w:w="846" w:type="dxa"/>
            <w:tcBorders>
              <w:top w:val="single" w:color="auto" w:sz="4" w:space="0"/>
              <w:left w:val="nil"/>
              <w:bottom w:val="single" w:color="auto" w:sz="4" w:space="0"/>
              <w:right w:val="single" w:color="auto" w:sz="4" w:space="0"/>
            </w:tcBorders>
            <w:shd w:val="clear" w:color="auto" w:fill="auto"/>
            <w:vAlign w:val="center"/>
          </w:tcPr>
          <w:p w14:paraId="5041F5DD">
            <w:pPr>
              <w:keepNext w:val="0"/>
              <w:keepLines w:val="0"/>
              <w:pageBreakBefore w:val="0"/>
              <w:kinsoku/>
              <w:wordWrap/>
              <w:overflowPunct/>
              <w:topLinePunct w:val="0"/>
              <w:autoSpaceDE/>
              <w:autoSpaceDN/>
              <w:bidi w:val="0"/>
              <w:adjustRightInd/>
              <w:snapToGrid/>
              <w:spacing w:line="360" w:lineRule="exact"/>
              <w:contextualSpacing/>
              <w:jc w:val="center"/>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 w:val="21"/>
                <w:szCs w:val="21"/>
              </w:rPr>
              <w:t>主观分</w:t>
            </w:r>
          </w:p>
        </w:tc>
      </w:tr>
      <w:tr w14:paraId="6CCA94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10" w:type="dxa"/>
            <w:vMerge w:val="continue"/>
            <w:tcBorders>
              <w:left w:val="single" w:color="auto" w:sz="4" w:space="0"/>
              <w:right w:val="single" w:color="auto" w:sz="4" w:space="0"/>
            </w:tcBorders>
            <w:vAlign w:val="center"/>
          </w:tcPr>
          <w:p w14:paraId="7D731FC9">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宋体" w:hAnsi="宋体" w:eastAsia="宋体" w:cs="宋体"/>
                <w:color w:val="auto"/>
                <w:sz w:val="21"/>
                <w:szCs w:val="21"/>
              </w:rPr>
            </w:pPr>
          </w:p>
        </w:tc>
        <w:tc>
          <w:tcPr>
            <w:tcW w:w="1408" w:type="dxa"/>
            <w:vMerge w:val="restart"/>
            <w:tcBorders>
              <w:left w:val="nil"/>
              <w:right w:val="single" w:color="auto" w:sz="4" w:space="0"/>
            </w:tcBorders>
            <w:vAlign w:val="center"/>
          </w:tcPr>
          <w:p w14:paraId="78FD2D59">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宋体" w:hAnsi="宋体" w:eastAsia="宋体" w:cs="宋体"/>
                <w:color w:val="auto"/>
                <w:sz w:val="21"/>
                <w:szCs w:val="21"/>
                <w:lang w:val="zh-CN" w:eastAsia="zh-CN"/>
              </w:rPr>
            </w:pPr>
            <w:r>
              <w:rPr>
                <w:rFonts w:hint="eastAsia" w:ascii="宋体" w:hAnsi="宋体" w:eastAsia="宋体" w:cs="宋体"/>
                <w:color w:val="auto"/>
                <w:sz w:val="21"/>
                <w:szCs w:val="21"/>
                <w:lang w:val="en-US" w:eastAsia="zh-CN"/>
              </w:rPr>
              <w:t>3.</w:t>
            </w:r>
            <w:r>
              <w:rPr>
                <w:rFonts w:hint="eastAsia" w:ascii="宋体" w:hAnsi="宋体" w:cs="宋体"/>
                <w:color w:val="auto"/>
                <w:sz w:val="21"/>
                <w:szCs w:val="21"/>
                <w:lang w:val="en-US" w:eastAsia="zh-CN"/>
              </w:rPr>
              <w:t>工作</w:t>
            </w:r>
            <w:r>
              <w:rPr>
                <w:rFonts w:hint="eastAsia" w:ascii="宋体" w:hAnsi="宋体" w:eastAsia="宋体" w:cs="宋体"/>
                <w:color w:val="auto"/>
                <w:sz w:val="21"/>
                <w:szCs w:val="21"/>
                <w:lang w:val="zh-CN" w:eastAsia="zh-CN"/>
              </w:rPr>
              <w:t>流程及质控措施（</w:t>
            </w:r>
            <w:r>
              <w:rPr>
                <w:rFonts w:hint="eastAsia" w:ascii="宋体" w:hAnsi="宋体" w:eastAsia="宋体" w:cs="宋体"/>
                <w:color w:val="auto"/>
                <w:sz w:val="21"/>
                <w:szCs w:val="21"/>
                <w:lang w:val="en-US" w:eastAsia="zh-CN"/>
              </w:rPr>
              <w:t>12</w:t>
            </w:r>
            <w:r>
              <w:rPr>
                <w:rFonts w:hint="eastAsia" w:ascii="宋体" w:hAnsi="宋体" w:eastAsia="宋体" w:cs="宋体"/>
                <w:color w:val="auto"/>
                <w:sz w:val="21"/>
                <w:szCs w:val="21"/>
                <w:lang w:val="zh-CN" w:eastAsia="zh-CN"/>
              </w:rPr>
              <w:t>分）</w:t>
            </w:r>
          </w:p>
        </w:tc>
        <w:tc>
          <w:tcPr>
            <w:tcW w:w="5852" w:type="dxa"/>
            <w:tcBorders>
              <w:top w:val="single" w:color="auto" w:sz="4" w:space="0"/>
              <w:left w:val="single" w:color="auto" w:sz="4" w:space="0"/>
              <w:bottom w:val="single" w:color="auto" w:sz="4" w:space="0"/>
              <w:right w:val="single" w:color="auto" w:sz="4" w:space="0"/>
            </w:tcBorders>
            <w:shd w:val="clear" w:color="auto" w:fill="auto"/>
            <w:vAlign w:val="center"/>
          </w:tcPr>
          <w:p w14:paraId="67FCDFB2">
            <w:pPr>
              <w:keepNext w:val="0"/>
              <w:keepLines w:val="0"/>
              <w:pageBreakBefore w:val="0"/>
              <w:tabs>
                <w:tab w:val="left" w:pos="4915"/>
              </w:tabs>
              <w:kinsoku/>
              <w:wordWrap/>
              <w:overflowPunct/>
              <w:topLinePunct w:val="0"/>
              <w:autoSpaceDE/>
              <w:autoSpaceDN/>
              <w:bidi w:val="0"/>
              <w:adjustRightInd/>
              <w:snapToGrid/>
              <w:spacing w:line="360" w:lineRule="exact"/>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3.1根据本项目</w:t>
            </w:r>
            <w:r>
              <w:rPr>
                <w:rFonts w:hint="default" w:ascii="宋体" w:hAnsi="宋体" w:eastAsia="宋体" w:cs="宋体"/>
                <w:color w:val="auto"/>
                <w:sz w:val="21"/>
                <w:szCs w:val="21"/>
                <w:lang w:val="en-US" w:eastAsia="zh-CN"/>
              </w:rPr>
              <w:t>储罐检测报告</w:t>
            </w:r>
            <w:r>
              <w:rPr>
                <w:rFonts w:hint="eastAsia" w:ascii="宋体" w:hAnsi="宋体" w:eastAsia="宋体" w:cs="宋体"/>
                <w:color w:val="auto"/>
                <w:sz w:val="21"/>
                <w:szCs w:val="21"/>
                <w:lang w:val="en-US" w:eastAsia="zh-CN"/>
              </w:rPr>
              <w:t>和维护情况复核检查、</w:t>
            </w:r>
            <w:r>
              <w:rPr>
                <w:rFonts w:hint="default" w:ascii="宋体" w:hAnsi="宋体" w:eastAsia="宋体" w:cs="宋体"/>
                <w:color w:val="auto"/>
                <w:sz w:val="21"/>
                <w:szCs w:val="21"/>
                <w:lang w:val="en-US" w:eastAsia="zh-CN"/>
              </w:rPr>
              <w:t>储罐抽检</w:t>
            </w:r>
            <w:r>
              <w:rPr>
                <w:rFonts w:hint="eastAsia" w:ascii="宋体" w:hAnsi="宋体" w:eastAsia="宋体" w:cs="宋体"/>
                <w:color w:val="auto"/>
                <w:sz w:val="21"/>
                <w:szCs w:val="21"/>
                <w:lang w:val="en-US" w:eastAsia="zh-CN"/>
              </w:rPr>
              <w:t>拟定的各项工作流程：</w:t>
            </w:r>
          </w:p>
          <w:p w14:paraId="08A02228">
            <w:pPr>
              <w:keepNext w:val="0"/>
              <w:keepLines w:val="0"/>
              <w:pageBreakBefore w:val="0"/>
              <w:tabs>
                <w:tab w:val="left" w:pos="4915"/>
              </w:tabs>
              <w:kinsoku/>
              <w:wordWrap/>
              <w:overflowPunct/>
              <w:topLinePunct w:val="0"/>
              <w:autoSpaceDE/>
              <w:autoSpaceDN/>
              <w:bidi w:val="0"/>
              <w:adjustRightInd/>
              <w:snapToGrid/>
              <w:spacing w:line="360" w:lineRule="exact"/>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①</w:t>
            </w:r>
            <w:r>
              <w:rPr>
                <w:rFonts w:hint="eastAsia" w:ascii="宋体" w:hAnsi="宋体" w:cs="宋体"/>
                <w:color w:val="auto"/>
                <w:sz w:val="21"/>
                <w:szCs w:val="21"/>
                <w:lang w:val="en-US" w:eastAsia="zh-CN"/>
              </w:rPr>
              <w:t>工作</w:t>
            </w:r>
            <w:r>
              <w:rPr>
                <w:rFonts w:hint="eastAsia" w:ascii="宋体" w:hAnsi="宋体" w:eastAsia="宋体" w:cs="宋体"/>
                <w:color w:val="auto"/>
                <w:sz w:val="21"/>
                <w:szCs w:val="21"/>
              </w:rPr>
              <w:t>流程细致、完整，符合国家和省市相关规定，能有效保障</w:t>
            </w:r>
            <w:r>
              <w:rPr>
                <w:rFonts w:hint="eastAsia" w:ascii="宋体" w:hAnsi="宋体" w:cs="宋体"/>
                <w:color w:val="auto"/>
                <w:sz w:val="21"/>
                <w:szCs w:val="21"/>
                <w:lang w:val="en-US" w:eastAsia="zh-CN"/>
              </w:rPr>
              <w:t>项目顺利实施</w:t>
            </w:r>
            <w:r>
              <w:rPr>
                <w:rFonts w:hint="eastAsia" w:ascii="宋体" w:hAnsi="宋体" w:eastAsia="宋体" w:cs="宋体"/>
                <w:color w:val="auto"/>
                <w:sz w:val="21"/>
                <w:szCs w:val="21"/>
              </w:rPr>
              <w:t>的</w:t>
            </w:r>
            <w:r>
              <w:rPr>
                <w:rFonts w:hint="eastAsia" w:ascii="宋体" w:hAnsi="宋体" w:eastAsia="宋体" w:cs="宋体"/>
                <w:color w:val="auto"/>
                <w:sz w:val="21"/>
                <w:szCs w:val="21"/>
                <w:lang w:val="en-US" w:eastAsia="zh-CN"/>
              </w:rPr>
              <w:t>得6分；</w:t>
            </w:r>
          </w:p>
          <w:p w14:paraId="4122CCA2">
            <w:pPr>
              <w:keepNext w:val="0"/>
              <w:keepLines w:val="0"/>
              <w:pageBreakBefore w:val="0"/>
              <w:tabs>
                <w:tab w:val="left" w:pos="4915"/>
              </w:tabs>
              <w:kinsoku/>
              <w:wordWrap/>
              <w:overflowPunct/>
              <w:topLinePunct w:val="0"/>
              <w:autoSpaceDE/>
              <w:autoSpaceDN/>
              <w:bidi w:val="0"/>
              <w:adjustRightInd/>
              <w:snapToGrid/>
              <w:spacing w:line="360" w:lineRule="exact"/>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②</w:t>
            </w:r>
            <w:r>
              <w:rPr>
                <w:rFonts w:hint="eastAsia" w:ascii="宋体" w:hAnsi="宋体" w:cs="宋体"/>
                <w:color w:val="auto"/>
                <w:sz w:val="21"/>
                <w:szCs w:val="21"/>
                <w:lang w:val="en-US" w:eastAsia="zh-CN"/>
              </w:rPr>
              <w:t>工作</w:t>
            </w:r>
            <w:r>
              <w:rPr>
                <w:rFonts w:hint="eastAsia" w:ascii="宋体" w:hAnsi="宋体" w:eastAsia="宋体" w:cs="宋体"/>
                <w:color w:val="auto"/>
                <w:sz w:val="21"/>
                <w:szCs w:val="21"/>
              </w:rPr>
              <w:t>流程较规范，</w:t>
            </w:r>
            <w:r>
              <w:rPr>
                <w:rFonts w:hint="eastAsia" w:ascii="宋体" w:hAnsi="宋体" w:eastAsia="宋体" w:cs="宋体"/>
                <w:bCs/>
                <w:color w:val="auto"/>
                <w:sz w:val="21"/>
                <w:szCs w:val="21"/>
              </w:rPr>
              <w:t>符合国家和省市</w:t>
            </w:r>
            <w:r>
              <w:rPr>
                <w:rFonts w:hint="eastAsia" w:ascii="宋体" w:hAnsi="宋体" w:eastAsia="宋体" w:cs="宋体"/>
                <w:color w:val="auto"/>
                <w:sz w:val="21"/>
                <w:szCs w:val="21"/>
              </w:rPr>
              <w:t>相关</w:t>
            </w:r>
            <w:r>
              <w:rPr>
                <w:rFonts w:hint="eastAsia" w:ascii="宋体" w:hAnsi="宋体" w:eastAsia="宋体" w:cs="宋体"/>
                <w:bCs/>
                <w:color w:val="auto"/>
                <w:sz w:val="21"/>
                <w:szCs w:val="21"/>
              </w:rPr>
              <w:t>规定，能基本保障项目实施，</w:t>
            </w:r>
            <w:r>
              <w:rPr>
                <w:rFonts w:hint="eastAsia" w:ascii="宋体" w:hAnsi="宋体" w:cs="宋体"/>
                <w:bCs/>
                <w:color w:val="auto"/>
                <w:sz w:val="21"/>
                <w:szCs w:val="21"/>
                <w:lang w:val="en-US" w:eastAsia="zh-CN"/>
              </w:rPr>
              <w:t>少部分细节内容</w:t>
            </w:r>
            <w:r>
              <w:rPr>
                <w:rFonts w:hint="eastAsia" w:ascii="宋体" w:hAnsi="宋体" w:eastAsia="宋体" w:cs="宋体"/>
                <w:color w:val="auto"/>
                <w:sz w:val="21"/>
                <w:szCs w:val="21"/>
              </w:rPr>
              <w:t>存在缺陷的</w:t>
            </w:r>
            <w:r>
              <w:rPr>
                <w:rFonts w:hint="eastAsia" w:ascii="宋体" w:hAnsi="宋体" w:eastAsia="宋体" w:cs="宋体"/>
                <w:color w:val="auto"/>
                <w:sz w:val="21"/>
                <w:szCs w:val="21"/>
                <w:lang w:val="en-US" w:eastAsia="zh-CN"/>
              </w:rPr>
              <w:t>得4分；</w:t>
            </w:r>
          </w:p>
          <w:p w14:paraId="1A050016">
            <w:pPr>
              <w:keepNext w:val="0"/>
              <w:keepLines w:val="0"/>
              <w:pageBreakBefore w:val="0"/>
              <w:tabs>
                <w:tab w:val="left" w:pos="4915"/>
              </w:tabs>
              <w:kinsoku/>
              <w:wordWrap/>
              <w:overflowPunct/>
              <w:topLinePunct w:val="0"/>
              <w:autoSpaceDE/>
              <w:autoSpaceDN/>
              <w:bidi w:val="0"/>
              <w:adjustRightInd/>
              <w:snapToGrid/>
              <w:spacing w:line="360" w:lineRule="exact"/>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③</w:t>
            </w:r>
            <w:r>
              <w:rPr>
                <w:rFonts w:hint="eastAsia" w:ascii="宋体" w:hAnsi="宋体" w:cs="宋体"/>
                <w:color w:val="auto"/>
                <w:sz w:val="21"/>
                <w:szCs w:val="21"/>
                <w:lang w:val="en-US" w:eastAsia="zh-CN"/>
              </w:rPr>
              <w:t>工作</w:t>
            </w:r>
            <w:r>
              <w:rPr>
                <w:rFonts w:hint="eastAsia" w:ascii="宋体" w:hAnsi="宋体" w:eastAsia="宋体" w:cs="宋体"/>
                <w:color w:val="auto"/>
                <w:sz w:val="21"/>
                <w:szCs w:val="21"/>
              </w:rPr>
              <w:t>流程有明显的错漏或不合理之处，难以保障项目顺利实施的</w:t>
            </w:r>
            <w:r>
              <w:rPr>
                <w:rFonts w:hint="eastAsia" w:ascii="宋体" w:hAnsi="宋体" w:eastAsia="宋体" w:cs="宋体"/>
                <w:color w:val="auto"/>
                <w:sz w:val="21"/>
                <w:szCs w:val="21"/>
                <w:lang w:val="en-US" w:eastAsia="zh-CN"/>
              </w:rPr>
              <w:t>得2分；</w:t>
            </w:r>
          </w:p>
          <w:p w14:paraId="55A7F258">
            <w:pPr>
              <w:keepNext w:val="0"/>
              <w:keepLines w:val="0"/>
              <w:pageBreakBefore w:val="0"/>
              <w:tabs>
                <w:tab w:val="left" w:pos="4915"/>
              </w:tabs>
              <w:kinsoku/>
              <w:wordWrap/>
              <w:overflowPunct/>
              <w:topLinePunct w:val="0"/>
              <w:autoSpaceDE/>
              <w:autoSpaceDN/>
              <w:bidi w:val="0"/>
              <w:adjustRightInd/>
              <w:snapToGrid/>
              <w:spacing w:line="360" w:lineRule="exact"/>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④未提供相关内容不得分。</w:t>
            </w:r>
          </w:p>
        </w:tc>
        <w:tc>
          <w:tcPr>
            <w:tcW w:w="777" w:type="dxa"/>
            <w:tcBorders>
              <w:top w:val="single" w:color="auto" w:sz="4" w:space="0"/>
              <w:left w:val="nil"/>
              <w:bottom w:val="single" w:color="auto" w:sz="4" w:space="0"/>
              <w:right w:val="single" w:color="auto" w:sz="4" w:space="0"/>
            </w:tcBorders>
            <w:shd w:val="clear" w:color="auto" w:fill="auto"/>
            <w:vAlign w:val="center"/>
          </w:tcPr>
          <w:p w14:paraId="4E2E1B4E">
            <w:pPr>
              <w:keepNext w:val="0"/>
              <w:keepLines w:val="0"/>
              <w:pageBreakBefore w:val="0"/>
              <w:kinsoku/>
              <w:wordWrap/>
              <w:overflowPunct/>
              <w:topLinePunct w:val="0"/>
              <w:autoSpaceDE/>
              <w:autoSpaceDN/>
              <w:bidi w:val="0"/>
              <w:adjustRightInd/>
              <w:snapToGrid/>
              <w:spacing w:line="360" w:lineRule="exact"/>
              <w:contextualSpacing/>
              <w:jc w:val="center"/>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6</w:t>
            </w:r>
          </w:p>
        </w:tc>
        <w:tc>
          <w:tcPr>
            <w:tcW w:w="846" w:type="dxa"/>
            <w:tcBorders>
              <w:top w:val="single" w:color="auto" w:sz="4" w:space="0"/>
              <w:left w:val="nil"/>
              <w:bottom w:val="single" w:color="auto" w:sz="4" w:space="0"/>
              <w:right w:val="single" w:color="auto" w:sz="4" w:space="0"/>
            </w:tcBorders>
            <w:shd w:val="clear" w:color="auto" w:fill="auto"/>
            <w:vAlign w:val="center"/>
          </w:tcPr>
          <w:p w14:paraId="1DB36E38">
            <w:pPr>
              <w:keepNext w:val="0"/>
              <w:keepLines w:val="0"/>
              <w:pageBreakBefore w:val="0"/>
              <w:kinsoku/>
              <w:wordWrap/>
              <w:overflowPunct/>
              <w:topLinePunct w:val="0"/>
              <w:autoSpaceDE/>
              <w:autoSpaceDN/>
              <w:bidi w:val="0"/>
              <w:adjustRightInd/>
              <w:snapToGrid/>
              <w:spacing w:line="360" w:lineRule="exact"/>
              <w:contextualSpacing/>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主观分</w:t>
            </w:r>
          </w:p>
        </w:tc>
      </w:tr>
      <w:tr w14:paraId="61AC25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10" w:type="dxa"/>
            <w:vMerge w:val="continue"/>
            <w:tcBorders>
              <w:left w:val="single" w:color="auto" w:sz="4" w:space="0"/>
              <w:right w:val="single" w:color="auto" w:sz="4" w:space="0"/>
            </w:tcBorders>
            <w:vAlign w:val="center"/>
          </w:tcPr>
          <w:p w14:paraId="110BEFFF">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宋体" w:hAnsi="宋体" w:eastAsia="宋体" w:cs="宋体"/>
                <w:color w:val="auto"/>
                <w:sz w:val="21"/>
                <w:szCs w:val="21"/>
              </w:rPr>
            </w:pPr>
          </w:p>
        </w:tc>
        <w:tc>
          <w:tcPr>
            <w:tcW w:w="1408" w:type="dxa"/>
            <w:vMerge w:val="continue"/>
            <w:tcBorders>
              <w:left w:val="nil"/>
              <w:right w:val="single" w:color="auto" w:sz="4" w:space="0"/>
            </w:tcBorders>
            <w:vAlign w:val="center"/>
          </w:tcPr>
          <w:p w14:paraId="44A1DF53">
            <w:pPr>
              <w:keepNext w:val="0"/>
              <w:keepLines w:val="0"/>
              <w:pageBreakBefore w:val="0"/>
              <w:tabs>
                <w:tab w:val="left" w:pos="4915"/>
              </w:tabs>
              <w:kinsoku/>
              <w:wordWrap/>
              <w:overflowPunct/>
              <w:topLinePunct w:val="0"/>
              <w:autoSpaceDE/>
              <w:autoSpaceDN/>
              <w:bidi w:val="0"/>
              <w:adjustRightInd/>
              <w:snapToGrid/>
              <w:spacing w:line="360" w:lineRule="exact"/>
              <w:textAlignment w:val="auto"/>
              <w:rPr>
                <w:rFonts w:hint="eastAsia" w:ascii="宋体" w:hAnsi="宋体" w:eastAsia="宋体" w:cs="宋体"/>
                <w:color w:val="auto"/>
                <w:sz w:val="21"/>
                <w:szCs w:val="21"/>
                <w:lang w:val="zh-CN"/>
              </w:rPr>
            </w:pPr>
          </w:p>
        </w:tc>
        <w:tc>
          <w:tcPr>
            <w:tcW w:w="5852" w:type="dxa"/>
            <w:tcBorders>
              <w:top w:val="single" w:color="auto" w:sz="4" w:space="0"/>
              <w:left w:val="single" w:color="auto" w:sz="4" w:space="0"/>
              <w:bottom w:val="single" w:color="auto" w:sz="4" w:space="0"/>
              <w:right w:val="single" w:color="auto" w:sz="4" w:space="0"/>
            </w:tcBorders>
            <w:shd w:val="clear" w:color="auto" w:fill="auto"/>
            <w:vAlign w:val="center"/>
          </w:tcPr>
          <w:p w14:paraId="23679F00">
            <w:pPr>
              <w:keepNext w:val="0"/>
              <w:keepLines w:val="0"/>
              <w:pageBreakBefore w:val="0"/>
              <w:tabs>
                <w:tab w:val="left" w:pos="4915"/>
              </w:tabs>
              <w:kinsoku/>
              <w:wordWrap/>
              <w:overflowPunct/>
              <w:topLinePunct w:val="0"/>
              <w:autoSpaceDE/>
              <w:autoSpaceDN/>
              <w:bidi w:val="0"/>
              <w:adjustRightInd/>
              <w:snapToGrid/>
              <w:spacing w:line="360" w:lineRule="exact"/>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3.2根据本项目</w:t>
            </w:r>
            <w:r>
              <w:rPr>
                <w:rFonts w:hint="default" w:ascii="宋体" w:hAnsi="宋体" w:eastAsia="宋体" w:cs="宋体"/>
                <w:color w:val="auto"/>
                <w:sz w:val="21"/>
                <w:szCs w:val="21"/>
                <w:lang w:val="en-US" w:eastAsia="zh-CN"/>
              </w:rPr>
              <w:t>储罐检测报告</w:t>
            </w:r>
            <w:r>
              <w:rPr>
                <w:rFonts w:hint="eastAsia" w:ascii="宋体" w:hAnsi="宋体" w:eastAsia="宋体" w:cs="宋体"/>
                <w:color w:val="auto"/>
                <w:sz w:val="21"/>
                <w:szCs w:val="21"/>
                <w:lang w:val="en-US" w:eastAsia="zh-CN"/>
              </w:rPr>
              <w:t>和维护情况复核检查、</w:t>
            </w:r>
            <w:r>
              <w:rPr>
                <w:rFonts w:hint="default" w:ascii="宋体" w:hAnsi="宋体" w:eastAsia="宋体" w:cs="宋体"/>
                <w:color w:val="auto"/>
                <w:sz w:val="21"/>
                <w:szCs w:val="21"/>
                <w:lang w:val="en-US" w:eastAsia="zh-CN"/>
              </w:rPr>
              <w:t>储罐抽检</w:t>
            </w:r>
            <w:r>
              <w:rPr>
                <w:rFonts w:hint="eastAsia" w:ascii="宋体" w:hAnsi="宋体" w:eastAsia="宋体" w:cs="宋体"/>
                <w:color w:val="auto"/>
                <w:sz w:val="21"/>
                <w:szCs w:val="21"/>
                <w:lang w:val="en-US" w:eastAsia="zh-CN"/>
              </w:rPr>
              <w:t>拟定的各项质控措施：</w:t>
            </w:r>
          </w:p>
          <w:p w14:paraId="63A02064">
            <w:pPr>
              <w:keepNext w:val="0"/>
              <w:keepLines w:val="0"/>
              <w:pageBreakBefore w:val="0"/>
              <w:tabs>
                <w:tab w:val="left" w:pos="4915"/>
              </w:tabs>
              <w:kinsoku/>
              <w:wordWrap/>
              <w:overflowPunct/>
              <w:topLinePunct w:val="0"/>
              <w:autoSpaceDE/>
              <w:autoSpaceDN/>
              <w:bidi w:val="0"/>
              <w:adjustRightInd/>
              <w:snapToGrid/>
              <w:spacing w:line="360" w:lineRule="exact"/>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①质控措施针对性强，完全</w:t>
            </w:r>
            <w:r>
              <w:rPr>
                <w:rFonts w:hint="eastAsia" w:ascii="宋体" w:hAnsi="宋体" w:eastAsia="宋体" w:cs="宋体"/>
                <w:color w:val="auto"/>
                <w:sz w:val="21"/>
                <w:szCs w:val="21"/>
              </w:rPr>
              <w:t>符合国家和省市相关规定</w:t>
            </w:r>
            <w:r>
              <w:rPr>
                <w:rFonts w:hint="eastAsia" w:ascii="宋体" w:hAnsi="宋体" w:eastAsia="宋体" w:cs="宋体"/>
                <w:color w:val="auto"/>
                <w:sz w:val="21"/>
                <w:szCs w:val="21"/>
                <w:lang w:val="en-US" w:eastAsia="zh-CN"/>
              </w:rPr>
              <w:t>，完全满足项目需求的得6分；</w:t>
            </w:r>
          </w:p>
          <w:p w14:paraId="61226716">
            <w:pPr>
              <w:keepNext w:val="0"/>
              <w:keepLines w:val="0"/>
              <w:pageBreakBefore w:val="0"/>
              <w:tabs>
                <w:tab w:val="left" w:pos="4915"/>
              </w:tabs>
              <w:kinsoku/>
              <w:wordWrap/>
              <w:overflowPunct/>
              <w:topLinePunct w:val="0"/>
              <w:autoSpaceDE/>
              <w:autoSpaceDN/>
              <w:bidi w:val="0"/>
              <w:adjustRightInd/>
              <w:snapToGrid/>
              <w:spacing w:line="360" w:lineRule="exact"/>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②质控措施有一定的针对性和可操作性，基本</w:t>
            </w:r>
            <w:r>
              <w:rPr>
                <w:rFonts w:hint="eastAsia" w:ascii="宋体" w:hAnsi="宋体" w:eastAsia="宋体" w:cs="宋体"/>
                <w:color w:val="auto"/>
                <w:sz w:val="21"/>
                <w:szCs w:val="21"/>
              </w:rPr>
              <w:t>符合国家和省市相关规定，</w:t>
            </w:r>
            <w:r>
              <w:rPr>
                <w:rFonts w:hint="eastAsia" w:ascii="宋体" w:hAnsi="宋体" w:eastAsia="宋体" w:cs="宋体"/>
                <w:color w:val="auto"/>
                <w:sz w:val="21"/>
                <w:szCs w:val="21"/>
                <w:lang w:val="en-US" w:eastAsia="zh-CN"/>
              </w:rPr>
              <w:t>基本满足项目需求的得4分；</w:t>
            </w:r>
          </w:p>
          <w:p w14:paraId="7C3D2EF1">
            <w:pPr>
              <w:keepNext w:val="0"/>
              <w:keepLines w:val="0"/>
              <w:pageBreakBefore w:val="0"/>
              <w:tabs>
                <w:tab w:val="left" w:pos="4915"/>
              </w:tabs>
              <w:kinsoku/>
              <w:wordWrap/>
              <w:overflowPunct/>
              <w:topLinePunct w:val="0"/>
              <w:autoSpaceDE/>
              <w:autoSpaceDN/>
              <w:bidi w:val="0"/>
              <w:adjustRightInd/>
              <w:snapToGrid/>
              <w:spacing w:line="360" w:lineRule="exact"/>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③质控措施存在明显缺陷、部分内容不</w:t>
            </w:r>
            <w:r>
              <w:rPr>
                <w:rFonts w:hint="eastAsia" w:ascii="宋体" w:hAnsi="宋体" w:eastAsia="宋体" w:cs="宋体"/>
                <w:color w:val="auto"/>
                <w:sz w:val="21"/>
                <w:szCs w:val="21"/>
              </w:rPr>
              <w:t>符合国家和省市相关规定</w:t>
            </w:r>
            <w:r>
              <w:rPr>
                <w:rFonts w:hint="eastAsia" w:ascii="宋体" w:hAnsi="宋体" w:eastAsia="宋体" w:cs="宋体"/>
                <w:color w:val="auto"/>
                <w:sz w:val="21"/>
                <w:szCs w:val="21"/>
                <w:lang w:val="en-US" w:eastAsia="zh-CN"/>
              </w:rPr>
              <w:t>，难以满足项目需求的得2分；</w:t>
            </w:r>
          </w:p>
          <w:p w14:paraId="1B80898D">
            <w:pPr>
              <w:keepNext w:val="0"/>
              <w:keepLines w:val="0"/>
              <w:pageBreakBefore w:val="0"/>
              <w:tabs>
                <w:tab w:val="left" w:pos="4915"/>
              </w:tabs>
              <w:kinsoku/>
              <w:wordWrap/>
              <w:overflowPunct/>
              <w:topLinePunct w:val="0"/>
              <w:autoSpaceDE/>
              <w:autoSpaceDN/>
              <w:bidi w:val="0"/>
              <w:adjustRightInd/>
              <w:snapToGrid/>
              <w:spacing w:line="360" w:lineRule="exact"/>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④未提供相关内容不得分。</w:t>
            </w:r>
          </w:p>
        </w:tc>
        <w:tc>
          <w:tcPr>
            <w:tcW w:w="777" w:type="dxa"/>
            <w:tcBorders>
              <w:top w:val="single" w:color="auto" w:sz="4" w:space="0"/>
              <w:left w:val="nil"/>
              <w:bottom w:val="single" w:color="auto" w:sz="4" w:space="0"/>
              <w:right w:val="single" w:color="auto" w:sz="4" w:space="0"/>
            </w:tcBorders>
            <w:shd w:val="clear" w:color="auto" w:fill="auto"/>
            <w:vAlign w:val="center"/>
          </w:tcPr>
          <w:p w14:paraId="63533367">
            <w:pPr>
              <w:keepNext w:val="0"/>
              <w:keepLines w:val="0"/>
              <w:pageBreakBefore w:val="0"/>
              <w:kinsoku/>
              <w:wordWrap/>
              <w:overflowPunct/>
              <w:topLinePunct w:val="0"/>
              <w:autoSpaceDE/>
              <w:autoSpaceDN/>
              <w:bidi w:val="0"/>
              <w:adjustRightInd/>
              <w:snapToGrid/>
              <w:spacing w:line="360" w:lineRule="exact"/>
              <w:contextualSpacing/>
              <w:jc w:val="center"/>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6</w:t>
            </w:r>
          </w:p>
        </w:tc>
        <w:tc>
          <w:tcPr>
            <w:tcW w:w="846" w:type="dxa"/>
            <w:tcBorders>
              <w:top w:val="single" w:color="auto" w:sz="4" w:space="0"/>
              <w:left w:val="nil"/>
              <w:bottom w:val="single" w:color="auto" w:sz="4" w:space="0"/>
              <w:right w:val="single" w:color="auto" w:sz="4" w:space="0"/>
            </w:tcBorders>
            <w:shd w:val="clear" w:color="auto" w:fill="auto"/>
            <w:vAlign w:val="center"/>
          </w:tcPr>
          <w:p w14:paraId="74100A01">
            <w:pPr>
              <w:keepNext w:val="0"/>
              <w:keepLines w:val="0"/>
              <w:pageBreakBefore w:val="0"/>
              <w:kinsoku/>
              <w:wordWrap/>
              <w:overflowPunct/>
              <w:topLinePunct w:val="0"/>
              <w:autoSpaceDE/>
              <w:autoSpaceDN/>
              <w:bidi w:val="0"/>
              <w:adjustRightInd/>
              <w:snapToGrid/>
              <w:spacing w:line="360" w:lineRule="exact"/>
              <w:contextualSpacing/>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主观分</w:t>
            </w:r>
          </w:p>
        </w:tc>
      </w:tr>
      <w:tr w14:paraId="43B36E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10" w:type="dxa"/>
            <w:vMerge w:val="continue"/>
            <w:tcBorders>
              <w:left w:val="single" w:color="auto" w:sz="4" w:space="0"/>
              <w:right w:val="single" w:color="auto" w:sz="4" w:space="0"/>
            </w:tcBorders>
            <w:vAlign w:val="center"/>
          </w:tcPr>
          <w:p w14:paraId="2606A8E9">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宋体" w:hAnsi="宋体" w:eastAsia="宋体" w:cs="宋体"/>
                <w:color w:val="auto"/>
                <w:sz w:val="21"/>
                <w:szCs w:val="21"/>
              </w:rPr>
            </w:pPr>
          </w:p>
        </w:tc>
        <w:tc>
          <w:tcPr>
            <w:tcW w:w="1408" w:type="dxa"/>
            <w:vMerge w:val="restart"/>
            <w:tcBorders>
              <w:left w:val="nil"/>
              <w:right w:val="single" w:color="auto" w:sz="4" w:space="0"/>
            </w:tcBorders>
            <w:vAlign w:val="center"/>
          </w:tcPr>
          <w:p w14:paraId="7E791EB4">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4.重点、难点分析和解决措施（10分）</w:t>
            </w:r>
          </w:p>
        </w:tc>
        <w:tc>
          <w:tcPr>
            <w:tcW w:w="5852" w:type="dxa"/>
            <w:tcBorders>
              <w:top w:val="single" w:color="auto" w:sz="4" w:space="0"/>
              <w:left w:val="single" w:color="auto" w:sz="4" w:space="0"/>
              <w:bottom w:val="single" w:color="auto" w:sz="4" w:space="0"/>
              <w:right w:val="single" w:color="auto" w:sz="4" w:space="0"/>
            </w:tcBorders>
            <w:shd w:val="clear" w:color="auto" w:fill="auto"/>
            <w:vAlign w:val="center"/>
          </w:tcPr>
          <w:p w14:paraId="073A33B6">
            <w:pPr>
              <w:keepNext w:val="0"/>
              <w:keepLines w:val="0"/>
              <w:pageBreakBefore w:val="0"/>
              <w:tabs>
                <w:tab w:val="left" w:pos="4915"/>
              </w:tabs>
              <w:kinsoku/>
              <w:wordWrap/>
              <w:overflowPunct/>
              <w:topLinePunct w:val="0"/>
              <w:autoSpaceDE/>
              <w:autoSpaceDN/>
              <w:bidi w:val="0"/>
              <w:adjustRightInd/>
              <w:snapToGrid/>
              <w:spacing w:line="360" w:lineRule="exact"/>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4.1针对北仑区港口危险货物储罐抽检项目服务过程中的重难点分析，比如</w:t>
            </w:r>
            <w:r>
              <w:rPr>
                <w:rFonts w:hint="default" w:ascii="宋体" w:hAnsi="宋体" w:eastAsia="宋体" w:cs="宋体"/>
                <w:color w:val="auto"/>
                <w:sz w:val="21"/>
                <w:szCs w:val="21"/>
                <w:lang w:val="en-US" w:eastAsia="zh-CN"/>
              </w:rPr>
              <w:t>项目抽检储罐选取</w:t>
            </w:r>
            <w:r>
              <w:rPr>
                <w:rFonts w:hint="eastAsia" w:ascii="宋体" w:hAnsi="宋体" w:eastAsia="宋体" w:cs="宋体"/>
                <w:color w:val="auto"/>
                <w:sz w:val="21"/>
                <w:szCs w:val="21"/>
                <w:lang w:val="en-US" w:eastAsia="zh-CN"/>
              </w:rPr>
              <w:t>的</w:t>
            </w:r>
            <w:r>
              <w:rPr>
                <w:rFonts w:hint="eastAsia" w:ascii="宋体" w:hAnsi="宋体" w:cs="宋体"/>
                <w:color w:val="auto"/>
                <w:sz w:val="21"/>
                <w:szCs w:val="21"/>
                <w:lang w:val="en-US" w:eastAsia="zh-CN"/>
              </w:rPr>
              <w:t>综合</w:t>
            </w:r>
            <w:r>
              <w:rPr>
                <w:rFonts w:hint="eastAsia" w:ascii="宋体" w:hAnsi="宋体" w:eastAsia="宋体" w:cs="宋体"/>
                <w:color w:val="auto"/>
                <w:sz w:val="21"/>
                <w:szCs w:val="21"/>
                <w:lang w:val="en-US" w:eastAsia="zh-CN"/>
              </w:rPr>
              <w:t>考虑因素、储罐检测过程中的重点、难点分析和解决措施进行评议：</w:t>
            </w:r>
          </w:p>
          <w:p w14:paraId="1DFB0F47">
            <w:pPr>
              <w:keepNext w:val="0"/>
              <w:keepLines w:val="0"/>
              <w:pageBreakBefore w:val="0"/>
              <w:tabs>
                <w:tab w:val="left" w:pos="4915"/>
              </w:tabs>
              <w:kinsoku/>
              <w:wordWrap/>
              <w:overflowPunct/>
              <w:topLinePunct w:val="0"/>
              <w:autoSpaceDE/>
              <w:autoSpaceDN/>
              <w:bidi w:val="0"/>
              <w:adjustRightInd/>
              <w:snapToGrid/>
              <w:spacing w:line="360" w:lineRule="exact"/>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①</w:t>
            </w:r>
            <w:r>
              <w:rPr>
                <w:rFonts w:hint="eastAsia" w:ascii="宋体" w:hAnsi="宋体" w:eastAsia="宋体" w:cs="宋体"/>
                <w:color w:val="auto"/>
                <w:sz w:val="21"/>
                <w:szCs w:val="21"/>
                <w:highlight w:val="none"/>
                <w:shd w:val="clear" w:color="auto" w:fill="FFFFFF"/>
              </w:rPr>
              <w:t>对</w:t>
            </w:r>
            <w:r>
              <w:rPr>
                <w:rFonts w:hint="eastAsia" w:ascii="宋体" w:hAnsi="宋体" w:cs="宋体"/>
                <w:color w:val="auto"/>
                <w:sz w:val="21"/>
                <w:szCs w:val="21"/>
                <w:highlight w:val="none"/>
                <w:shd w:val="clear" w:color="auto" w:fill="FFFFFF"/>
                <w:lang w:eastAsia="zh-CN"/>
              </w:rPr>
              <w:t>宁波市北仑区港口危险货物储罐抽检</w:t>
            </w:r>
            <w:r>
              <w:rPr>
                <w:rFonts w:hint="eastAsia" w:ascii="宋体" w:hAnsi="宋体" w:eastAsia="宋体" w:cs="宋体"/>
                <w:color w:val="auto"/>
                <w:sz w:val="21"/>
                <w:szCs w:val="21"/>
                <w:highlight w:val="none"/>
              </w:rPr>
              <w:t>重点难</w:t>
            </w:r>
            <w:r>
              <w:rPr>
                <w:rFonts w:hint="eastAsia" w:ascii="宋体" w:hAnsi="宋体" w:eastAsia="宋体" w:cs="宋体"/>
                <w:color w:val="auto"/>
                <w:sz w:val="21"/>
                <w:szCs w:val="21"/>
              </w:rPr>
              <w:t>点分析准确，能针对项目实施过程中可能产生的问题提出切实可行的解决措施的</w:t>
            </w:r>
            <w:r>
              <w:rPr>
                <w:rFonts w:hint="eastAsia" w:ascii="宋体" w:hAnsi="宋体" w:eastAsia="宋体" w:cs="宋体"/>
                <w:color w:val="auto"/>
                <w:sz w:val="21"/>
                <w:szCs w:val="21"/>
                <w:lang w:val="en-US" w:eastAsia="zh-CN"/>
              </w:rPr>
              <w:t>得5分；</w:t>
            </w:r>
          </w:p>
          <w:p w14:paraId="35071821">
            <w:pPr>
              <w:keepNext w:val="0"/>
              <w:keepLines w:val="0"/>
              <w:pageBreakBefore w:val="0"/>
              <w:tabs>
                <w:tab w:val="left" w:pos="4915"/>
              </w:tabs>
              <w:kinsoku/>
              <w:wordWrap/>
              <w:overflowPunct/>
              <w:topLinePunct w:val="0"/>
              <w:autoSpaceDE/>
              <w:autoSpaceDN/>
              <w:bidi w:val="0"/>
              <w:adjustRightInd/>
              <w:snapToGrid/>
              <w:spacing w:line="360" w:lineRule="exact"/>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②</w:t>
            </w:r>
            <w:r>
              <w:rPr>
                <w:rFonts w:hint="eastAsia" w:ascii="宋体" w:hAnsi="宋体" w:eastAsia="宋体" w:cs="宋体"/>
                <w:color w:val="auto"/>
                <w:sz w:val="21"/>
                <w:szCs w:val="21"/>
                <w:shd w:val="clear" w:color="auto" w:fill="FFFFFF"/>
              </w:rPr>
              <w:t>对</w:t>
            </w:r>
            <w:r>
              <w:rPr>
                <w:rFonts w:hint="eastAsia" w:ascii="宋体" w:hAnsi="宋体" w:cs="宋体"/>
                <w:color w:val="auto"/>
                <w:sz w:val="21"/>
                <w:szCs w:val="21"/>
                <w:shd w:val="clear" w:color="auto" w:fill="FFFFFF"/>
                <w:lang w:eastAsia="zh-CN"/>
              </w:rPr>
              <w:t>宁波市北仑区港口危险货物储罐抽检</w:t>
            </w:r>
            <w:r>
              <w:rPr>
                <w:rFonts w:hint="eastAsia" w:ascii="宋体" w:hAnsi="宋体" w:eastAsia="宋体" w:cs="宋体"/>
                <w:color w:val="auto"/>
                <w:sz w:val="21"/>
                <w:szCs w:val="21"/>
              </w:rPr>
              <w:t>重点难点分析略有欠缺，能针对项目实施过程中可能产生的问题提出解决措施，基本满足采购需求</w:t>
            </w:r>
            <w:r>
              <w:rPr>
                <w:rFonts w:hint="eastAsia" w:ascii="宋体" w:hAnsi="宋体" w:eastAsia="宋体" w:cs="宋体"/>
                <w:color w:val="auto"/>
                <w:sz w:val="21"/>
                <w:szCs w:val="21"/>
                <w:lang w:val="en-US" w:eastAsia="zh-CN"/>
              </w:rPr>
              <w:t>的得3分；</w:t>
            </w:r>
          </w:p>
          <w:p w14:paraId="64F55A39">
            <w:pPr>
              <w:keepNext w:val="0"/>
              <w:keepLines w:val="0"/>
              <w:pageBreakBefore w:val="0"/>
              <w:tabs>
                <w:tab w:val="left" w:pos="4915"/>
              </w:tabs>
              <w:kinsoku/>
              <w:wordWrap/>
              <w:overflowPunct/>
              <w:topLinePunct w:val="0"/>
              <w:autoSpaceDE/>
              <w:autoSpaceDN/>
              <w:bidi w:val="0"/>
              <w:adjustRightInd/>
              <w:snapToGrid/>
              <w:spacing w:line="360" w:lineRule="exact"/>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③</w:t>
            </w:r>
            <w:r>
              <w:rPr>
                <w:rFonts w:hint="eastAsia" w:ascii="宋体" w:hAnsi="宋体" w:eastAsia="宋体" w:cs="宋体"/>
                <w:color w:val="auto"/>
                <w:sz w:val="21"/>
                <w:szCs w:val="21"/>
                <w:shd w:val="clear" w:color="auto" w:fill="FFFFFF"/>
              </w:rPr>
              <w:t>对</w:t>
            </w:r>
            <w:r>
              <w:rPr>
                <w:rFonts w:hint="eastAsia" w:ascii="宋体" w:hAnsi="宋体" w:cs="宋体"/>
                <w:color w:val="auto"/>
                <w:sz w:val="21"/>
                <w:szCs w:val="21"/>
                <w:shd w:val="clear" w:color="auto" w:fill="FFFFFF"/>
                <w:lang w:eastAsia="zh-CN"/>
              </w:rPr>
              <w:t>宁波市北仑区港口危险货物储罐抽检</w:t>
            </w:r>
            <w:r>
              <w:rPr>
                <w:rFonts w:hint="eastAsia" w:ascii="宋体" w:hAnsi="宋体" w:eastAsia="宋体" w:cs="宋体"/>
                <w:color w:val="auto"/>
                <w:sz w:val="21"/>
                <w:szCs w:val="21"/>
              </w:rPr>
              <w:t>重点难点分析不够准确，对项目实施过程中可能产生的问题提出的解决措施不切实际，</w:t>
            </w:r>
            <w:r>
              <w:rPr>
                <w:rFonts w:hint="eastAsia" w:ascii="宋体" w:hAnsi="宋体" w:eastAsia="宋体" w:cs="宋体"/>
                <w:color w:val="auto"/>
                <w:sz w:val="21"/>
                <w:szCs w:val="21"/>
                <w:lang w:val="en-US" w:eastAsia="zh-CN"/>
              </w:rPr>
              <w:t>难以</w:t>
            </w:r>
            <w:r>
              <w:rPr>
                <w:rFonts w:hint="eastAsia" w:ascii="宋体" w:hAnsi="宋体" w:eastAsia="宋体" w:cs="宋体"/>
                <w:color w:val="auto"/>
                <w:sz w:val="21"/>
                <w:szCs w:val="21"/>
              </w:rPr>
              <w:t>满足采购需求的</w:t>
            </w:r>
            <w:r>
              <w:rPr>
                <w:rFonts w:hint="eastAsia" w:ascii="宋体" w:hAnsi="宋体" w:eastAsia="宋体" w:cs="宋体"/>
                <w:color w:val="auto"/>
                <w:sz w:val="21"/>
                <w:szCs w:val="21"/>
                <w:lang w:val="en-US" w:eastAsia="zh-CN"/>
              </w:rPr>
              <w:t>得1分；</w:t>
            </w:r>
          </w:p>
          <w:p w14:paraId="253BBA24">
            <w:pPr>
              <w:keepNext w:val="0"/>
              <w:keepLines w:val="0"/>
              <w:pageBreakBefore w:val="0"/>
              <w:tabs>
                <w:tab w:val="left" w:pos="4915"/>
              </w:tabs>
              <w:kinsoku/>
              <w:wordWrap/>
              <w:overflowPunct/>
              <w:topLinePunct w:val="0"/>
              <w:autoSpaceDE/>
              <w:autoSpaceDN/>
              <w:bidi w:val="0"/>
              <w:adjustRightInd/>
              <w:snapToGrid/>
              <w:spacing w:line="360" w:lineRule="exact"/>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④未提供相关内容不得分。</w:t>
            </w:r>
          </w:p>
        </w:tc>
        <w:tc>
          <w:tcPr>
            <w:tcW w:w="777" w:type="dxa"/>
            <w:tcBorders>
              <w:top w:val="single" w:color="auto" w:sz="4" w:space="0"/>
              <w:left w:val="nil"/>
              <w:bottom w:val="single" w:color="auto" w:sz="4" w:space="0"/>
              <w:right w:val="single" w:color="auto" w:sz="4" w:space="0"/>
            </w:tcBorders>
            <w:shd w:val="clear" w:color="auto" w:fill="auto"/>
            <w:vAlign w:val="center"/>
          </w:tcPr>
          <w:p w14:paraId="258BA923">
            <w:pPr>
              <w:keepNext w:val="0"/>
              <w:keepLines w:val="0"/>
              <w:pageBreakBefore w:val="0"/>
              <w:kinsoku/>
              <w:wordWrap/>
              <w:overflowPunct/>
              <w:topLinePunct w:val="0"/>
              <w:autoSpaceDE/>
              <w:autoSpaceDN/>
              <w:bidi w:val="0"/>
              <w:adjustRightInd/>
              <w:snapToGrid/>
              <w:spacing w:line="360" w:lineRule="exact"/>
              <w:contextualSpacing/>
              <w:jc w:val="center"/>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 w:val="21"/>
                <w:szCs w:val="21"/>
                <w:lang w:val="en-US" w:eastAsia="zh-CN"/>
              </w:rPr>
              <w:t>5</w:t>
            </w:r>
          </w:p>
        </w:tc>
        <w:tc>
          <w:tcPr>
            <w:tcW w:w="846" w:type="dxa"/>
            <w:tcBorders>
              <w:top w:val="single" w:color="auto" w:sz="4" w:space="0"/>
              <w:left w:val="nil"/>
              <w:bottom w:val="single" w:color="auto" w:sz="4" w:space="0"/>
              <w:right w:val="single" w:color="auto" w:sz="4" w:space="0"/>
            </w:tcBorders>
            <w:shd w:val="clear" w:color="auto" w:fill="auto"/>
            <w:vAlign w:val="center"/>
          </w:tcPr>
          <w:p w14:paraId="16F15F8D">
            <w:pPr>
              <w:keepNext w:val="0"/>
              <w:keepLines w:val="0"/>
              <w:pageBreakBefore w:val="0"/>
              <w:kinsoku/>
              <w:wordWrap/>
              <w:overflowPunct/>
              <w:topLinePunct w:val="0"/>
              <w:autoSpaceDE/>
              <w:autoSpaceDN/>
              <w:bidi w:val="0"/>
              <w:adjustRightInd/>
              <w:snapToGrid/>
              <w:spacing w:line="360" w:lineRule="exact"/>
              <w:contextualSpacing/>
              <w:jc w:val="center"/>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 w:val="21"/>
                <w:szCs w:val="21"/>
              </w:rPr>
              <w:t>主观分</w:t>
            </w:r>
          </w:p>
        </w:tc>
      </w:tr>
      <w:tr w14:paraId="2239E2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10" w:type="dxa"/>
            <w:vMerge w:val="continue"/>
            <w:tcBorders>
              <w:left w:val="single" w:color="auto" w:sz="4" w:space="0"/>
              <w:right w:val="single" w:color="auto" w:sz="4" w:space="0"/>
            </w:tcBorders>
            <w:vAlign w:val="center"/>
          </w:tcPr>
          <w:p w14:paraId="10A3E071">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宋体" w:hAnsi="宋体" w:eastAsia="宋体" w:cs="宋体"/>
                <w:color w:val="auto"/>
                <w:sz w:val="21"/>
                <w:szCs w:val="21"/>
              </w:rPr>
            </w:pPr>
          </w:p>
        </w:tc>
        <w:tc>
          <w:tcPr>
            <w:tcW w:w="1408" w:type="dxa"/>
            <w:vMerge w:val="continue"/>
            <w:tcBorders>
              <w:left w:val="nil"/>
              <w:right w:val="single" w:color="auto" w:sz="4" w:space="0"/>
            </w:tcBorders>
            <w:vAlign w:val="center"/>
          </w:tcPr>
          <w:p w14:paraId="75C7D989">
            <w:pPr>
              <w:keepNext w:val="0"/>
              <w:keepLines w:val="0"/>
              <w:pageBreakBefore w:val="0"/>
              <w:tabs>
                <w:tab w:val="left" w:pos="4915"/>
              </w:tabs>
              <w:kinsoku/>
              <w:wordWrap/>
              <w:overflowPunct/>
              <w:topLinePunct w:val="0"/>
              <w:autoSpaceDE/>
              <w:autoSpaceDN/>
              <w:bidi w:val="0"/>
              <w:adjustRightInd/>
              <w:snapToGrid/>
              <w:spacing w:line="360" w:lineRule="exact"/>
              <w:textAlignment w:val="auto"/>
              <w:rPr>
                <w:rFonts w:hint="eastAsia" w:ascii="宋体" w:hAnsi="宋体" w:eastAsia="宋体" w:cs="宋体"/>
                <w:color w:val="auto"/>
                <w:sz w:val="21"/>
                <w:szCs w:val="21"/>
                <w:lang w:val="zh-CN"/>
              </w:rPr>
            </w:pPr>
          </w:p>
        </w:tc>
        <w:tc>
          <w:tcPr>
            <w:tcW w:w="5852" w:type="dxa"/>
            <w:tcBorders>
              <w:top w:val="single" w:color="auto" w:sz="4" w:space="0"/>
              <w:left w:val="single" w:color="auto" w:sz="4" w:space="0"/>
              <w:bottom w:val="single" w:color="auto" w:sz="4" w:space="0"/>
              <w:right w:val="single" w:color="auto" w:sz="4" w:space="0"/>
            </w:tcBorders>
            <w:shd w:val="clear" w:color="auto" w:fill="auto"/>
            <w:vAlign w:val="center"/>
          </w:tcPr>
          <w:p w14:paraId="79EED52B">
            <w:pPr>
              <w:keepNext w:val="0"/>
              <w:keepLines w:val="0"/>
              <w:pageBreakBefore w:val="0"/>
              <w:tabs>
                <w:tab w:val="left" w:pos="4915"/>
              </w:tabs>
              <w:kinsoku/>
              <w:wordWrap/>
              <w:overflowPunct/>
              <w:topLinePunct w:val="0"/>
              <w:autoSpaceDE/>
              <w:autoSpaceDN/>
              <w:bidi w:val="0"/>
              <w:adjustRightInd/>
              <w:snapToGrid/>
              <w:spacing w:line="360" w:lineRule="exact"/>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4.2根据重难点分析提出的解决措施：</w:t>
            </w:r>
          </w:p>
          <w:p w14:paraId="3D9635CC">
            <w:pPr>
              <w:keepNext w:val="0"/>
              <w:keepLines w:val="0"/>
              <w:pageBreakBefore w:val="0"/>
              <w:tabs>
                <w:tab w:val="left" w:pos="4915"/>
              </w:tabs>
              <w:kinsoku/>
              <w:wordWrap/>
              <w:overflowPunct/>
              <w:topLinePunct w:val="0"/>
              <w:autoSpaceDE/>
              <w:autoSpaceDN/>
              <w:bidi w:val="0"/>
              <w:adjustRightInd/>
              <w:snapToGrid/>
              <w:spacing w:line="360" w:lineRule="exact"/>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①根据重难点分析提出的解决措施具体、有效、完全满足项目需求的得5分；</w:t>
            </w:r>
          </w:p>
          <w:p w14:paraId="2AD987D5">
            <w:pPr>
              <w:keepNext w:val="0"/>
              <w:keepLines w:val="0"/>
              <w:pageBreakBefore w:val="0"/>
              <w:tabs>
                <w:tab w:val="left" w:pos="4915"/>
              </w:tabs>
              <w:kinsoku/>
              <w:wordWrap/>
              <w:overflowPunct/>
              <w:topLinePunct w:val="0"/>
              <w:autoSpaceDE/>
              <w:autoSpaceDN/>
              <w:bidi w:val="0"/>
              <w:adjustRightInd/>
              <w:snapToGrid/>
              <w:spacing w:line="360" w:lineRule="exact"/>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②根据重难点分析提出的解决措施较为具体、部分内容有效、基本满足项目需求的得3分；</w:t>
            </w:r>
          </w:p>
          <w:p w14:paraId="3B0646A5">
            <w:pPr>
              <w:keepNext w:val="0"/>
              <w:keepLines w:val="0"/>
              <w:pageBreakBefore w:val="0"/>
              <w:tabs>
                <w:tab w:val="left" w:pos="4915"/>
              </w:tabs>
              <w:kinsoku/>
              <w:wordWrap/>
              <w:overflowPunct/>
              <w:topLinePunct w:val="0"/>
              <w:autoSpaceDE/>
              <w:autoSpaceDN/>
              <w:bidi w:val="0"/>
              <w:adjustRightInd/>
              <w:snapToGrid/>
              <w:spacing w:line="360" w:lineRule="exact"/>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③根据重难点分析提出的解决措施过于笼统、或不具有针对性、难以满足项目需求的得1分；</w:t>
            </w:r>
          </w:p>
          <w:p w14:paraId="074A5343">
            <w:pPr>
              <w:keepNext w:val="0"/>
              <w:keepLines w:val="0"/>
              <w:pageBreakBefore w:val="0"/>
              <w:tabs>
                <w:tab w:val="left" w:pos="4915"/>
              </w:tabs>
              <w:kinsoku/>
              <w:wordWrap/>
              <w:overflowPunct/>
              <w:topLinePunct w:val="0"/>
              <w:autoSpaceDE/>
              <w:autoSpaceDN/>
              <w:bidi w:val="0"/>
              <w:adjustRightInd/>
              <w:snapToGrid/>
              <w:spacing w:line="360" w:lineRule="exact"/>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④未提供相关内容不得分。</w:t>
            </w:r>
          </w:p>
        </w:tc>
        <w:tc>
          <w:tcPr>
            <w:tcW w:w="777" w:type="dxa"/>
            <w:tcBorders>
              <w:top w:val="single" w:color="auto" w:sz="4" w:space="0"/>
              <w:left w:val="nil"/>
              <w:bottom w:val="single" w:color="auto" w:sz="4" w:space="0"/>
              <w:right w:val="single" w:color="auto" w:sz="4" w:space="0"/>
            </w:tcBorders>
            <w:shd w:val="clear" w:color="auto" w:fill="auto"/>
            <w:vAlign w:val="center"/>
          </w:tcPr>
          <w:p w14:paraId="6F1768A6">
            <w:pPr>
              <w:keepNext w:val="0"/>
              <w:keepLines w:val="0"/>
              <w:pageBreakBefore w:val="0"/>
              <w:kinsoku/>
              <w:wordWrap/>
              <w:overflowPunct/>
              <w:topLinePunct w:val="0"/>
              <w:autoSpaceDE/>
              <w:autoSpaceDN/>
              <w:bidi w:val="0"/>
              <w:adjustRightInd/>
              <w:snapToGrid/>
              <w:spacing w:line="360" w:lineRule="exact"/>
              <w:contextualSpacing/>
              <w:jc w:val="center"/>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 w:val="21"/>
                <w:szCs w:val="21"/>
                <w:lang w:val="en-US" w:eastAsia="zh-CN"/>
              </w:rPr>
              <w:t>5</w:t>
            </w:r>
          </w:p>
        </w:tc>
        <w:tc>
          <w:tcPr>
            <w:tcW w:w="846" w:type="dxa"/>
            <w:tcBorders>
              <w:top w:val="single" w:color="auto" w:sz="4" w:space="0"/>
              <w:left w:val="nil"/>
              <w:bottom w:val="single" w:color="auto" w:sz="4" w:space="0"/>
              <w:right w:val="single" w:color="auto" w:sz="4" w:space="0"/>
            </w:tcBorders>
            <w:shd w:val="clear" w:color="auto" w:fill="auto"/>
            <w:vAlign w:val="center"/>
          </w:tcPr>
          <w:p w14:paraId="1EAC1CC6">
            <w:pPr>
              <w:keepNext w:val="0"/>
              <w:keepLines w:val="0"/>
              <w:pageBreakBefore w:val="0"/>
              <w:kinsoku/>
              <w:wordWrap/>
              <w:overflowPunct/>
              <w:topLinePunct w:val="0"/>
              <w:autoSpaceDE/>
              <w:autoSpaceDN/>
              <w:bidi w:val="0"/>
              <w:adjustRightInd/>
              <w:snapToGrid/>
              <w:spacing w:line="360" w:lineRule="exact"/>
              <w:contextualSpacing/>
              <w:jc w:val="center"/>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 w:val="21"/>
                <w:szCs w:val="21"/>
              </w:rPr>
              <w:t>主观分</w:t>
            </w:r>
          </w:p>
        </w:tc>
      </w:tr>
      <w:tr w14:paraId="31A2E1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10" w:type="dxa"/>
            <w:vMerge w:val="continue"/>
            <w:tcBorders>
              <w:left w:val="single" w:color="auto" w:sz="4" w:space="0"/>
              <w:right w:val="single" w:color="auto" w:sz="4" w:space="0"/>
            </w:tcBorders>
            <w:vAlign w:val="center"/>
          </w:tcPr>
          <w:p w14:paraId="648F3F0F">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宋体" w:hAnsi="宋体" w:eastAsia="宋体" w:cs="宋体"/>
                <w:color w:val="auto"/>
                <w:sz w:val="21"/>
                <w:szCs w:val="21"/>
              </w:rPr>
            </w:pPr>
          </w:p>
        </w:tc>
        <w:tc>
          <w:tcPr>
            <w:tcW w:w="1408" w:type="dxa"/>
            <w:tcBorders>
              <w:left w:val="nil"/>
              <w:right w:val="single" w:color="auto" w:sz="4" w:space="0"/>
            </w:tcBorders>
            <w:vAlign w:val="center"/>
          </w:tcPr>
          <w:p w14:paraId="6AADA2DB">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5.安全保障方案（</w:t>
            </w:r>
            <w:r>
              <w:rPr>
                <w:rFonts w:hint="eastAsia" w:ascii="宋体" w:hAnsi="宋体" w:cs="宋体"/>
                <w:color w:val="auto"/>
                <w:sz w:val="21"/>
                <w:szCs w:val="21"/>
                <w:lang w:val="en-US" w:eastAsia="zh-CN"/>
              </w:rPr>
              <w:t>6</w:t>
            </w:r>
            <w:r>
              <w:rPr>
                <w:rFonts w:hint="eastAsia" w:ascii="宋体" w:hAnsi="宋体" w:eastAsia="宋体" w:cs="宋体"/>
                <w:color w:val="auto"/>
                <w:sz w:val="21"/>
                <w:szCs w:val="21"/>
                <w:lang w:val="en-US" w:eastAsia="zh-CN"/>
              </w:rPr>
              <w:t>分）</w:t>
            </w:r>
          </w:p>
        </w:tc>
        <w:tc>
          <w:tcPr>
            <w:tcW w:w="5852" w:type="dxa"/>
            <w:tcBorders>
              <w:top w:val="single" w:color="auto" w:sz="4" w:space="0"/>
              <w:left w:val="single" w:color="auto" w:sz="4" w:space="0"/>
              <w:bottom w:val="single" w:color="auto" w:sz="4" w:space="0"/>
              <w:right w:val="single" w:color="auto" w:sz="4" w:space="0"/>
            </w:tcBorders>
            <w:shd w:val="clear" w:color="auto" w:fill="auto"/>
            <w:vAlign w:val="center"/>
          </w:tcPr>
          <w:p w14:paraId="3E13EF99">
            <w:pPr>
              <w:keepNext w:val="0"/>
              <w:keepLines w:val="0"/>
              <w:pageBreakBefore w:val="0"/>
              <w:tabs>
                <w:tab w:val="left" w:pos="4915"/>
              </w:tabs>
              <w:kinsoku/>
              <w:wordWrap/>
              <w:overflowPunct/>
              <w:topLinePunct w:val="0"/>
              <w:autoSpaceDE/>
              <w:autoSpaceDN/>
              <w:bidi w:val="0"/>
              <w:adjustRightInd/>
              <w:snapToGrid/>
              <w:spacing w:line="360" w:lineRule="exact"/>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5.1针对本项目的安全保障方案：</w:t>
            </w:r>
          </w:p>
          <w:p w14:paraId="3155092C">
            <w:pPr>
              <w:keepNext w:val="0"/>
              <w:keepLines w:val="0"/>
              <w:pageBreakBefore w:val="0"/>
              <w:tabs>
                <w:tab w:val="left" w:pos="4915"/>
              </w:tabs>
              <w:kinsoku/>
              <w:wordWrap/>
              <w:overflowPunct/>
              <w:topLinePunct w:val="0"/>
              <w:autoSpaceDE/>
              <w:autoSpaceDN/>
              <w:bidi w:val="0"/>
              <w:adjustRightInd/>
              <w:snapToGrid/>
              <w:spacing w:line="360" w:lineRule="exact"/>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①方案内容完整、针对性强、切实可行、能很好地保障</w:t>
            </w:r>
            <w:r>
              <w:rPr>
                <w:rFonts w:hint="eastAsia" w:ascii="宋体" w:hAnsi="宋体" w:cs="宋体"/>
                <w:color w:val="auto"/>
                <w:sz w:val="21"/>
                <w:szCs w:val="21"/>
                <w:lang w:val="en-US" w:eastAsia="zh-CN"/>
              </w:rPr>
              <w:t>项目实施过程人员和财产安全</w:t>
            </w:r>
            <w:r>
              <w:rPr>
                <w:rFonts w:hint="eastAsia" w:ascii="宋体" w:hAnsi="宋体" w:eastAsia="宋体" w:cs="宋体"/>
                <w:color w:val="auto"/>
                <w:sz w:val="21"/>
                <w:szCs w:val="21"/>
                <w:lang w:val="en-US" w:eastAsia="zh-CN"/>
              </w:rPr>
              <w:t>的得</w:t>
            </w:r>
            <w:r>
              <w:rPr>
                <w:rFonts w:hint="eastAsia" w:ascii="宋体" w:hAnsi="宋体" w:cs="宋体"/>
                <w:color w:val="auto"/>
                <w:sz w:val="21"/>
                <w:szCs w:val="21"/>
                <w:lang w:val="en-US" w:eastAsia="zh-CN"/>
              </w:rPr>
              <w:t>6</w:t>
            </w:r>
            <w:r>
              <w:rPr>
                <w:rFonts w:hint="eastAsia" w:ascii="宋体" w:hAnsi="宋体" w:eastAsia="宋体" w:cs="宋体"/>
                <w:color w:val="auto"/>
                <w:sz w:val="21"/>
                <w:szCs w:val="21"/>
                <w:lang w:val="en-US" w:eastAsia="zh-CN"/>
              </w:rPr>
              <w:t>分；</w:t>
            </w:r>
          </w:p>
          <w:p w14:paraId="6D37E69F">
            <w:pPr>
              <w:keepNext w:val="0"/>
              <w:keepLines w:val="0"/>
              <w:pageBreakBefore w:val="0"/>
              <w:tabs>
                <w:tab w:val="left" w:pos="4915"/>
              </w:tabs>
              <w:kinsoku/>
              <w:wordWrap/>
              <w:overflowPunct/>
              <w:topLinePunct w:val="0"/>
              <w:autoSpaceDE/>
              <w:autoSpaceDN/>
              <w:bidi w:val="0"/>
              <w:adjustRightInd/>
              <w:snapToGrid/>
              <w:spacing w:line="360" w:lineRule="exact"/>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②方案内容完整、有一定的针对性和可行性、能基本保障</w:t>
            </w:r>
            <w:r>
              <w:rPr>
                <w:rFonts w:hint="eastAsia" w:ascii="宋体" w:hAnsi="宋体" w:cs="宋体"/>
                <w:color w:val="auto"/>
                <w:sz w:val="21"/>
                <w:szCs w:val="21"/>
                <w:lang w:val="en-US" w:eastAsia="zh-CN"/>
              </w:rPr>
              <w:t>项目实施过程中人员和财产安全</w:t>
            </w:r>
            <w:r>
              <w:rPr>
                <w:rFonts w:hint="eastAsia" w:ascii="宋体" w:hAnsi="宋体" w:eastAsia="宋体" w:cs="宋体"/>
                <w:color w:val="auto"/>
                <w:sz w:val="21"/>
                <w:szCs w:val="21"/>
                <w:lang w:val="en-US" w:eastAsia="zh-CN"/>
              </w:rPr>
              <w:t>的得</w:t>
            </w:r>
            <w:r>
              <w:rPr>
                <w:rFonts w:hint="eastAsia" w:ascii="宋体" w:hAnsi="宋体" w:cs="宋体"/>
                <w:color w:val="auto"/>
                <w:sz w:val="21"/>
                <w:szCs w:val="21"/>
                <w:lang w:val="en-US" w:eastAsia="zh-CN"/>
              </w:rPr>
              <w:t>4</w:t>
            </w:r>
            <w:r>
              <w:rPr>
                <w:rFonts w:hint="eastAsia" w:ascii="宋体" w:hAnsi="宋体" w:eastAsia="宋体" w:cs="宋体"/>
                <w:color w:val="auto"/>
                <w:sz w:val="21"/>
                <w:szCs w:val="21"/>
                <w:lang w:val="en-US" w:eastAsia="zh-CN"/>
              </w:rPr>
              <w:t>分；</w:t>
            </w:r>
          </w:p>
          <w:p w14:paraId="61E77A14">
            <w:pPr>
              <w:keepNext w:val="0"/>
              <w:keepLines w:val="0"/>
              <w:pageBreakBefore w:val="0"/>
              <w:tabs>
                <w:tab w:val="left" w:pos="4915"/>
              </w:tabs>
              <w:kinsoku/>
              <w:wordWrap/>
              <w:overflowPunct/>
              <w:topLinePunct w:val="0"/>
              <w:autoSpaceDE/>
              <w:autoSpaceDN/>
              <w:bidi w:val="0"/>
              <w:adjustRightInd/>
              <w:snapToGrid/>
              <w:spacing w:line="360" w:lineRule="exact"/>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③方案内容不完整、或没有针对性和可行性、难以保障</w:t>
            </w:r>
            <w:r>
              <w:rPr>
                <w:rFonts w:hint="eastAsia" w:ascii="宋体" w:hAnsi="宋体" w:cs="宋体"/>
                <w:color w:val="auto"/>
                <w:sz w:val="21"/>
                <w:szCs w:val="21"/>
                <w:lang w:val="en-US" w:eastAsia="zh-CN"/>
              </w:rPr>
              <w:t>项目实施过程中人员和财产安全</w:t>
            </w:r>
            <w:r>
              <w:rPr>
                <w:rFonts w:hint="eastAsia" w:ascii="宋体" w:hAnsi="宋体" w:eastAsia="宋体" w:cs="宋体"/>
                <w:color w:val="auto"/>
                <w:sz w:val="21"/>
                <w:szCs w:val="21"/>
                <w:lang w:val="en-US" w:eastAsia="zh-CN"/>
              </w:rPr>
              <w:t>的得</w:t>
            </w:r>
            <w:r>
              <w:rPr>
                <w:rFonts w:hint="eastAsia" w:ascii="宋体" w:hAnsi="宋体" w:cs="宋体"/>
                <w:color w:val="auto"/>
                <w:sz w:val="21"/>
                <w:szCs w:val="21"/>
                <w:lang w:val="en-US" w:eastAsia="zh-CN"/>
              </w:rPr>
              <w:t>2</w:t>
            </w:r>
            <w:r>
              <w:rPr>
                <w:rFonts w:hint="eastAsia" w:ascii="宋体" w:hAnsi="宋体" w:eastAsia="宋体" w:cs="宋体"/>
                <w:color w:val="auto"/>
                <w:sz w:val="21"/>
                <w:szCs w:val="21"/>
                <w:lang w:val="en-US" w:eastAsia="zh-CN"/>
              </w:rPr>
              <w:t>分；</w:t>
            </w:r>
          </w:p>
          <w:p w14:paraId="59E2A634">
            <w:pPr>
              <w:keepNext w:val="0"/>
              <w:keepLines w:val="0"/>
              <w:pageBreakBefore w:val="0"/>
              <w:tabs>
                <w:tab w:val="left" w:pos="4915"/>
              </w:tabs>
              <w:kinsoku/>
              <w:wordWrap/>
              <w:overflowPunct/>
              <w:topLinePunct w:val="0"/>
              <w:autoSpaceDE/>
              <w:autoSpaceDN/>
              <w:bidi w:val="0"/>
              <w:adjustRightInd/>
              <w:snapToGrid/>
              <w:spacing w:line="360" w:lineRule="exact"/>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④未提供相关内容不得分。</w:t>
            </w:r>
          </w:p>
        </w:tc>
        <w:tc>
          <w:tcPr>
            <w:tcW w:w="777" w:type="dxa"/>
            <w:tcBorders>
              <w:top w:val="single" w:color="auto" w:sz="4" w:space="0"/>
              <w:left w:val="nil"/>
              <w:bottom w:val="single" w:color="auto" w:sz="4" w:space="0"/>
              <w:right w:val="single" w:color="auto" w:sz="4" w:space="0"/>
            </w:tcBorders>
            <w:shd w:val="clear" w:color="auto" w:fill="auto"/>
            <w:vAlign w:val="center"/>
          </w:tcPr>
          <w:p w14:paraId="0A54EEE1">
            <w:pPr>
              <w:keepNext w:val="0"/>
              <w:keepLines w:val="0"/>
              <w:pageBreakBefore w:val="0"/>
              <w:kinsoku/>
              <w:wordWrap/>
              <w:overflowPunct/>
              <w:topLinePunct w:val="0"/>
              <w:autoSpaceDE/>
              <w:autoSpaceDN/>
              <w:bidi w:val="0"/>
              <w:adjustRightInd/>
              <w:snapToGrid/>
              <w:spacing w:line="360" w:lineRule="exact"/>
              <w:contextualSpacing/>
              <w:jc w:val="center"/>
              <w:textAlignment w:val="auto"/>
              <w:rPr>
                <w:rFonts w:hint="eastAsia" w:ascii="宋体" w:hAnsi="宋体" w:eastAsia="宋体" w:cs="宋体"/>
                <w:color w:val="auto"/>
                <w:kern w:val="2"/>
                <w:sz w:val="21"/>
                <w:szCs w:val="21"/>
                <w:lang w:val="en-US" w:eastAsia="zh-CN" w:bidi="ar-SA"/>
              </w:rPr>
            </w:pPr>
            <w:r>
              <w:rPr>
                <w:rFonts w:hint="eastAsia" w:ascii="宋体" w:hAnsi="宋体" w:cs="宋体"/>
                <w:color w:val="auto"/>
                <w:sz w:val="21"/>
                <w:szCs w:val="21"/>
                <w:lang w:val="en-US" w:eastAsia="zh-CN"/>
              </w:rPr>
              <w:t>6</w:t>
            </w:r>
          </w:p>
        </w:tc>
        <w:tc>
          <w:tcPr>
            <w:tcW w:w="846" w:type="dxa"/>
            <w:tcBorders>
              <w:top w:val="single" w:color="auto" w:sz="4" w:space="0"/>
              <w:left w:val="nil"/>
              <w:bottom w:val="single" w:color="auto" w:sz="4" w:space="0"/>
              <w:right w:val="single" w:color="auto" w:sz="4" w:space="0"/>
            </w:tcBorders>
            <w:shd w:val="clear" w:color="auto" w:fill="auto"/>
            <w:vAlign w:val="center"/>
          </w:tcPr>
          <w:p w14:paraId="33C9401E">
            <w:pPr>
              <w:keepNext w:val="0"/>
              <w:keepLines w:val="0"/>
              <w:pageBreakBefore w:val="0"/>
              <w:kinsoku/>
              <w:wordWrap/>
              <w:overflowPunct/>
              <w:topLinePunct w:val="0"/>
              <w:autoSpaceDE/>
              <w:autoSpaceDN/>
              <w:bidi w:val="0"/>
              <w:adjustRightInd/>
              <w:snapToGrid/>
              <w:spacing w:line="360" w:lineRule="exact"/>
              <w:contextualSpacing/>
              <w:jc w:val="center"/>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 w:val="21"/>
                <w:szCs w:val="21"/>
              </w:rPr>
              <w:t>主观分</w:t>
            </w:r>
          </w:p>
        </w:tc>
      </w:tr>
      <w:tr w14:paraId="5C5CB4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10" w:type="dxa"/>
            <w:vMerge w:val="continue"/>
            <w:tcBorders>
              <w:left w:val="single" w:color="auto" w:sz="4" w:space="0"/>
              <w:right w:val="single" w:color="auto" w:sz="4" w:space="0"/>
            </w:tcBorders>
            <w:vAlign w:val="center"/>
          </w:tcPr>
          <w:p w14:paraId="5BD16675">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宋体" w:hAnsi="宋体" w:eastAsia="宋体" w:cs="宋体"/>
                <w:color w:val="auto"/>
                <w:sz w:val="21"/>
                <w:szCs w:val="21"/>
              </w:rPr>
            </w:pPr>
          </w:p>
        </w:tc>
        <w:tc>
          <w:tcPr>
            <w:tcW w:w="1408" w:type="dxa"/>
            <w:vMerge w:val="restart"/>
            <w:tcBorders>
              <w:left w:val="nil"/>
              <w:right w:val="single" w:color="auto" w:sz="4" w:space="0"/>
            </w:tcBorders>
            <w:vAlign w:val="center"/>
          </w:tcPr>
          <w:p w14:paraId="76A41F94">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宋体" w:hAnsi="宋体" w:eastAsia="宋体" w:cs="宋体"/>
                <w:color w:val="auto"/>
                <w:sz w:val="21"/>
                <w:szCs w:val="21"/>
                <w:lang w:val="zh-CN" w:eastAsia="zh-CN"/>
              </w:rPr>
            </w:pPr>
            <w:r>
              <w:rPr>
                <w:rFonts w:hint="eastAsia" w:ascii="宋体" w:hAnsi="宋体" w:eastAsia="宋体" w:cs="宋体"/>
                <w:color w:val="auto"/>
                <w:sz w:val="21"/>
                <w:szCs w:val="21"/>
                <w:lang w:val="en-US" w:eastAsia="zh-CN"/>
              </w:rPr>
              <w:t>6.内部管理制度和档案管理制度（10分）</w:t>
            </w:r>
          </w:p>
        </w:tc>
        <w:tc>
          <w:tcPr>
            <w:tcW w:w="5852" w:type="dxa"/>
            <w:tcBorders>
              <w:top w:val="single" w:color="auto" w:sz="4" w:space="0"/>
              <w:left w:val="single" w:color="auto" w:sz="4" w:space="0"/>
              <w:bottom w:val="single" w:color="auto" w:sz="4" w:space="0"/>
              <w:right w:val="single" w:color="auto" w:sz="4" w:space="0"/>
            </w:tcBorders>
            <w:shd w:val="clear" w:color="auto" w:fill="auto"/>
            <w:vAlign w:val="center"/>
          </w:tcPr>
          <w:p w14:paraId="037B03A1">
            <w:pPr>
              <w:keepNext w:val="0"/>
              <w:keepLines w:val="0"/>
              <w:pageBreakBefore w:val="0"/>
              <w:tabs>
                <w:tab w:val="left" w:pos="4915"/>
              </w:tabs>
              <w:kinsoku/>
              <w:wordWrap/>
              <w:overflowPunct/>
              <w:topLinePunct w:val="0"/>
              <w:autoSpaceDE/>
              <w:autoSpaceDN/>
              <w:bidi w:val="0"/>
              <w:adjustRightInd/>
              <w:snapToGrid/>
              <w:spacing w:line="360" w:lineRule="exact"/>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6.1针对本项目的内部管理制度进行评议，包括</w:t>
            </w:r>
            <w:r>
              <w:rPr>
                <w:rFonts w:hint="eastAsia" w:ascii="宋体" w:hAnsi="宋体" w:eastAsia="宋体" w:cs="宋体"/>
                <w:color w:val="auto"/>
                <w:sz w:val="21"/>
                <w:szCs w:val="21"/>
              </w:rPr>
              <w:t>服务机制、服务操作规范性等</w:t>
            </w:r>
            <w:r>
              <w:rPr>
                <w:rFonts w:hint="eastAsia" w:ascii="宋体" w:hAnsi="宋体" w:eastAsia="宋体" w:cs="宋体"/>
                <w:color w:val="auto"/>
                <w:sz w:val="21"/>
                <w:szCs w:val="21"/>
                <w:lang w:val="en-US" w:eastAsia="zh-CN"/>
              </w:rPr>
              <w:t>：</w:t>
            </w:r>
          </w:p>
          <w:p w14:paraId="5CA703AD">
            <w:pPr>
              <w:keepNext w:val="0"/>
              <w:keepLines w:val="0"/>
              <w:pageBreakBefore w:val="0"/>
              <w:tabs>
                <w:tab w:val="left" w:pos="4915"/>
              </w:tabs>
              <w:kinsoku/>
              <w:wordWrap/>
              <w:overflowPunct/>
              <w:topLinePunct w:val="0"/>
              <w:autoSpaceDE/>
              <w:autoSpaceDN/>
              <w:bidi w:val="0"/>
              <w:adjustRightInd/>
              <w:snapToGrid/>
              <w:spacing w:line="360" w:lineRule="exact"/>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①内部管理制度完善、条理清晰、</w:t>
            </w:r>
            <w:r>
              <w:rPr>
                <w:rFonts w:hint="eastAsia" w:ascii="宋体" w:hAnsi="宋体" w:eastAsia="宋体" w:cs="宋体"/>
                <w:color w:val="auto"/>
                <w:sz w:val="21"/>
                <w:szCs w:val="21"/>
              </w:rPr>
              <w:t>提供的</w:t>
            </w:r>
            <w:r>
              <w:rPr>
                <w:rFonts w:hint="eastAsia" w:ascii="宋体" w:hAnsi="宋体" w:cs="宋体"/>
                <w:color w:val="auto"/>
                <w:sz w:val="21"/>
                <w:szCs w:val="21"/>
                <w:lang w:val="en-US" w:eastAsia="zh-CN"/>
              </w:rPr>
              <w:t>检查</w:t>
            </w:r>
            <w:r>
              <w:rPr>
                <w:rFonts w:hint="eastAsia" w:ascii="宋体" w:hAnsi="宋体" w:eastAsia="宋体" w:cs="宋体"/>
                <w:color w:val="auto"/>
                <w:sz w:val="21"/>
                <w:szCs w:val="21"/>
              </w:rPr>
              <w:t>记录</w:t>
            </w:r>
            <w:r>
              <w:rPr>
                <w:rFonts w:hint="eastAsia" w:ascii="宋体" w:hAnsi="宋体" w:eastAsia="宋体" w:cs="宋体"/>
                <w:color w:val="auto"/>
                <w:sz w:val="21"/>
                <w:szCs w:val="21"/>
                <w:lang w:val="en-US" w:eastAsia="zh-CN"/>
              </w:rPr>
              <w:t>范本</w:t>
            </w:r>
            <w:r>
              <w:rPr>
                <w:rFonts w:hint="eastAsia" w:ascii="宋体" w:hAnsi="宋体" w:eastAsia="宋体" w:cs="宋体"/>
                <w:color w:val="auto"/>
                <w:sz w:val="21"/>
                <w:szCs w:val="21"/>
              </w:rPr>
              <w:t>符合规范、符合国家和省市的行业相关规定</w:t>
            </w:r>
            <w:r>
              <w:rPr>
                <w:rFonts w:hint="eastAsia" w:ascii="宋体" w:hAnsi="宋体" w:eastAsia="宋体" w:cs="宋体"/>
                <w:color w:val="auto"/>
                <w:sz w:val="21"/>
                <w:szCs w:val="21"/>
                <w:lang w:val="en-US" w:eastAsia="zh-CN"/>
              </w:rPr>
              <w:t>的得5分；</w:t>
            </w:r>
          </w:p>
          <w:p w14:paraId="3EC91210">
            <w:pPr>
              <w:keepNext w:val="0"/>
              <w:keepLines w:val="0"/>
              <w:pageBreakBefore w:val="0"/>
              <w:tabs>
                <w:tab w:val="left" w:pos="4915"/>
              </w:tabs>
              <w:kinsoku/>
              <w:wordWrap/>
              <w:overflowPunct/>
              <w:topLinePunct w:val="0"/>
              <w:autoSpaceDE/>
              <w:autoSpaceDN/>
              <w:bidi w:val="0"/>
              <w:adjustRightInd/>
              <w:snapToGrid/>
              <w:spacing w:line="360" w:lineRule="exact"/>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②内部管理制度较为完善，</w:t>
            </w:r>
            <w:r>
              <w:rPr>
                <w:rFonts w:hint="eastAsia" w:ascii="宋体" w:hAnsi="宋体" w:eastAsia="宋体" w:cs="宋体"/>
                <w:color w:val="auto"/>
                <w:sz w:val="21"/>
                <w:szCs w:val="21"/>
              </w:rPr>
              <w:t>提供的</w:t>
            </w:r>
            <w:r>
              <w:rPr>
                <w:rFonts w:hint="eastAsia" w:ascii="宋体" w:hAnsi="宋体" w:cs="宋体"/>
                <w:color w:val="auto"/>
                <w:sz w:val="21"/>
                <w:szCs w:val="21"/>
                <w:lang w:val="en-US" w:eastAsia="zh-CN"/>
              </w:rPr>
              <w:t>检查</w:t>
            </w:r>
            <w:r>
              <w:rPr>
                <w:rFonts w:hint="eastAsia" w:ascii="宋体" w:hAnsi="宋体" w:eastAsia="宋体" w:cs="宋体"/>
                <w:color w:val="auto"/>
                <w:sz w:val="21"/>
                <w:szCs w:val="21"/>
              </w:rPr>
              <w:t>记录</w:t>
            </w:r>
            <w:r>
              <w:rPr>
                <w:rFonts w:hint="eastAsia" w:ascii="宋体" w:hAnsi="宋体" w:eastAsia="宋体" w:cs="宋体"/>
                <w:color w:val="auto"/>
                <w:sz w:val="21"/>
                <w:szCs w:val="21"/>
                <w:lang w:val="en-US" w:eastAsia="zh-CN"/>
              </w:rPr>
              <w:t>范本基本</w:t>
            </w:r>
            <w:r>
              <w:rPr>
                <w:rFonts w:hint="eastAsia" w:ascii="宋体" w:hAnsi="宋体" w:eastAsia="宋体" w:cs="宋体"/>
                <w:color w:val="auto"/>
                <w:sz w:val="21"/>
                <w:szCs w:val="21"/>
              </w:rPr>
              <w:t>符合规范、</w:t>
            </w:r>
            <w:r>
              <w:rPr>
                <w:rFonts w:hint="eastAsia" w:ascii="宋体" w:hAnsi="宋体" w:eastAsia="宋体" w:cs="宋体"/>
                <w:color w:val="auto"/>
                <w:sz w:val="21"/>
                <w:szCs w:val="21"/>
                <w:lang w:val="en-US" w:eastAsia="zh-CN"/>
              </w:rPr>
              <w:t>但存在部分细节内容缺失或错误的得3分；</w:t>
            </w:r>
          </w:p>
          <w:p w14:paraId="0EE37F17">
            <w:pPr>
              <w:keepNext w:val="0"/>
              <w:keepLines w:val="0"/>
              <w:pageBreakBefore w:val="0"/>
              <w:tabs>
                <w:tab w:val="left" w:pos="4915"/>
              </w:tabs>
              <w:kinsoku/>
              <w:wordWrap/>
              <w:overflowPunct/>
              <w:topLinePunct w:val="0"/>
              <w:autoSpaceDE/>
              <w:autoSpaceDN/>
              <w:bidi w:val="0"/>
              <w:adjustRightInd/>
              <w:snapToGrid/>
              <w:spacing w:line="360" w:lineRule="exact"/>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③内部管理制度不完善，</w:t>
            </w:r>
            <w:r>
              <w:rPr>
                <w:rFonts w:hint="eastAsia" w:ascii="宋体" w:hAnsi="宋体" w:eastAsia="宋体" w:cs="宋体"/>
                <w:color w:val="auto"/>
                <w:sz w:val="21"/>
                <w:szCs w:val="21"/>
              </w:rPr>
              <w:t>提供的</w:t>
            </w:r>
            <w:r>
              <w:rPr>
                <w:rFonts w:hint="eastAsia" w:ascii="宋体" w:hAnsi="宋体" w:cs="宋体"/>
                <w:color w:val="auto"/>
                <w:sz w:val="21"/>
                <w:szCs w:val="21"/>
                <w:lang w:val="en-US" w:eastAsia="zh-CN"/>
              </w:rPr>
              <w:t>检查</w:t>
            </w:r>
            <w:r>
              <w:rPr>
                <w:rFonts w:hint="eastAsia" w:ascii="宋体" w:hAnsi="宋体" w:eastAsia="宋体" w:cs="宋体"/>
                <w:color w:val="auto"/>
                <w:sz w:val="21"/>
                <w:szCs w:val="21"/>
              </w:rPr>
              <w:t>记录</w:t>
            </w:r>
            <w:r>
              <w:rPr>
                <w:rFonts w:hint="eastAsia" w:ascii="宋体" w:hAnsi="宋体" w:eastAsia="宋体" w:cs="宋体"/>
                <w:color w:val="auto"/>
                <w:sz w:val="21"/>
                <w:szCs w:val="21"/>
                <w:lang w:val="en-US" w:eastAsia="zh-CN"/>
              </w:rPr>
              <w:t>范本明显不</w:t>
            </w:r>
            <w:r>
              <w:rPr>
                <w:rFonts w:hint="eastAsia" w:ascii="宋体" w:hAnsi="宋体" w:eastAsia="宋体" w:cs="宋体"/>
                <w:color w:val="auto"/>
                <w:sz w:val="21"/>
                <w:szCs w:val="21"/>
              </w:rPr>
              <w:t>符合规范、</w:t>
            </w:r>
            <w:r>
              <w:rPr>
                <w:rFonts w:hint="eastAsia" w:ascii="宋体" w:hAnsi="宋体" w:eastAsia="宋体" w:cs="宋体"/>
                <w:color w:val="auto"/>
                <w:sz w:val="21"/>
                <w:szCs w:val="21"/>
                <w:lang w:val="en-US" w:eastAsia="zh-CN"/>
              </w:rPr>
              <w:t>存在明显不符合行业规定之处的得1分；</w:t>
            </w:r>
          </w:p>
          <w:p w14:paraId="0A02C061">
            <w:pPr>
              <w:keepNext w:val="0"/>
              <w:keepLines w:val="0"/>
              <w:pageBreakBefore w:val="0"/>
              <w:tabs>
                <w:tab w:val="left" w:pos="4915"/>
              </w:tabs>
              <w:kinsoku/>
              <w:wordWrap/>
              <w:overflowPunct/>
              <w:topLinePunct w:val="0"/>
              <w:autoSpaceDE/>
              <w:autoSpaceDN/>
              <w:bidi w:val="0"/>
              <w:adjustRightInd/>
              <w:snapToGrid/>
              <w:spacing w:line="360" w:lineRule="exact"/>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④未提供相关内容不得分。</w:t>
            </w:r>
          </w:p>
        </w:tc>
        <w:tc>
          <w:tcPr>
            <w:tcW w:w="777" w:type="dxa"/>
            <w:tcBorders>
              <w:top w:val="single" w:color="auto" w:sz="4" w:space="0"/>
              <w:left w:val="nil"/>
              <w:bottom w:val="single" w:color="auto" w:sz="4" w:space="0"/>
              <w:right w:val="single" w:color="auto" w:sz="4" w:space="0"/>
            </w:tcBorders>
            <w:shd w:val="clear" w:color="auto" w:fill="auto"/>
            <w:vAlign w:val="center"/>
          </w:tcPr>
          <w:p w14:paraId="297719FD">
            <w:pPr>
              <w:keepNext w:val="0"/>
              <w:keepLines w:val="0"/>
              <w:pageBreakBefore w:val="0"/>
              <w:kinsoku/>
              <w:wordWrap/>
              <w:overflowPunct/>
              <w:topLinePunct w:val="0"/>
              <w:autoSpaceDE/>
              <w:autoSpaceDN/>
              <w:bidi w:val="0"/>
              <w:adjustRightInd/>
              <w:snapToGrid/>
              <w:spacing w:line="360" w:lineRule="exact"/>
              <w:contextualSpacing/>
              <w:jc w:val="center"/>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 w:val="21"/>
                <w:szCs w:val="21"/>
                <w:lang w:val="en-US" w:eastAsia="zh-CN"/>
              </w:rPr>
              <w:t>5</w:t>
            </w:r>
          </w:p>
        </w:tc>
        <w:tc>
          <w:tcPr>
            <w:tcW w:w="846" w:type="dxa"/>
            <w:tcBorders>
              <w:top w:val="single" w:color="auto" w:sz="4" w:space="0"/>
              <w:left w:val="nil"/>
              <w:bottom w:val="single" w:color="auto" w:sz="4" w:space="0"/>
              <w:right w:val="single" w:color="auto" w:sz="4" w:space="0"/>
            </w:tcBorders>
            <w:shd w:val="clear" w:color="auto" w:fill="auto"/>
            <w:vAlign w:val="center"/>
          </w:tcPr>
          <w:p w14:paraId="1D9A902B">
            <w:pPr>
              <w:keepNext w:val="0"/>
              <w:keepLines w:val="0"/>
              <w:pageBreakBefore w:val="0"/>
              <w:kinsoku/>
              <w:wordWrap/>
              <w:overflowPunct/>
              <w:topLinePunct w:val="0"/>
              <w:autoSpaceDE/>
              <w:autoSpaceDN/>
              <w:bidi w:val="0"/>
              <w:adjustRightInd/>
              <w:snapToGrid/>
              <w:spacing w:line="360" w:lineRule="exact"/>
              <w:contextualSpacing/>
              <w:jc w:val="center"/>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 w:val="21"/>
                <w:szCs w:val="21"/>
              </w:rPr>
              <w:t>主观分</w:t>
            </w:r>
          </w:p>
        </w:tc>
      </w:tr>
      <w:tr w14:paraId="41E205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10" w:type="dxa"/>
            <w:vMerge w:val="continue"/>
            <w:tcBorders>
              <w:left w:val="single" w:color="auto" w:sz="4" w:space="0"/>
              <w:right w:val="single" w:color="auto" w:sz="4" w:space="0"/>
            </w:tcBorders>
            <w:vAlign w:val="center"/>
          </w:tcPr>
          <w:p w14:paraId="432D0042">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宋体" w:hAnsi="宋体" w:eastAsia="宋体" w:cs="宋体"/>
                <w:color w:val="auto"/>
                <w:sz w:val="21"/>
                <w:szCs w:val="21"/>
              </w:rPr>
            </w:pPr>
          </w:p>
        </w:tc>
        <w:tc>
          <w:tcPr>
            <w:tcW w:w="1408" w:type="dxa"/>
            <w:vMerge w:val="continue"/>
            <w:tcBorders>
              <w:left w:val="nil"/>
              <w:right w:val="single" w:color="auto" w:sz="4" w:space="0"/>
            </w:tcBorders>
            <w:vAlign w:val="center"/>
          </w:tcPr>
          <w:p w14:paraId="3F7DD7B7">
            <w:pPr>
              <w:keepNext w:val="0"/>
              <w:keepLines w:val="0"/>
              <w:pageBreakBefore w:val="0"/>
              <w:tabs>
                <w:tab w:val="left" w:pos="4915"/>
              </w:tabs>
              <w:kinsoku/>
              <w:wordWrap/>
              <w:overflowPunct/>
              <w:topLinePunct w:val="0"/>
              <w:autoSpaceDE/>
              <w:autoSpaceDN/>
              <w:bidi w:val="0"/>
              <w:adjustRightInd/>
              <w:snapToGrid/>
              <w:spacing w:line="360" w:lineRule="exact"/>
              <w:textAlignment w:val="auto"/>
              <w:rPr>
                <w:rFonts w:hint="eastAsia" w:ascii="宋体" w:hAnsi="宋体" w:eastAsia="宋体" w:cs="宋体"/>
                <w:color w:val="auto"/>
                <w:sz w:val="21"/>
                <w:szCs w:val="21"/>
                <w:lang w:val="zh-CN"/>
              </w:rPr>
            </w:pPr>
          </w:p>
        </w:tc>
        <w:tc>
          <w:tcPr>
            <w:tcW w:w="5852" w:type="dxa"/>
            <w:tcBorders>
              <w:top w:val="single" w:color="auto" w:sz="4" w:space="0"/>
              <w:left w:val="single" w:color="auto" w:sz="4" w:space="0"/>
              <w:bottom w:val="single" w:color="auto" w:sz="4" w:space="0"/>
              <w:right w:val="single" w:color="auto" w:sz="4" w:space="0"/>
            </w:tcBorders>
            <w:shd w:val="clear" w:color="auto" w:fill="auto"/>
            <w:vAlign w:val="center"/>
          </w:tcPr>
          <w:p w14:paraId="4F864E7D">
            <w:pPr>
              <w:keepNext w:val="0"/>
              <w:keepLines w:val="0"/>
              <w:pageBreakBefore w:val="0"/>
              <w:tabs>
                <w:tab w:val="left" w:pos="4915"/>
              </w:tabs>
              <w:kinsoku/>
              <w:wordWrap/>
              <w:overflowPunct/>
              <w:topLinePunct w:val="0"/>
              <w:autoSpaceDE/>
              <w:autoSpaceDN/>
              <w:bidi w:val="0"/>
              <w:adjustRightInd/>
              <w:snapToGrid/>
              <w:spacing w:line="360" w:lineRule="exact"/>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6.2针对本项目的档案管理制度：</w:t>
            </w:r>
          </w:p>
          <w:p w14:paraId="01C6538A">
            <w:pPr>
              <w:keepNext w:val="0"/>
              <w:keepLines w:val="0"/>
              <w:pageBreakBefore w:val="0"/>
              <w:tabs>
                <w:tab w:val="left" w:pos="4915"/>
              </w:tabs>
              <w:kinsoku/>
              <w:wordWrap/>
              <w:overflowPunct/>
              <w:topLinePunct w:val="0"/>
              <w:autoSpaceDE/>
              <w:autoSpaceDN/>
              <w:bidi w:val="0"/>
              <w:adjustRightInd/>
              <w:snapToGrid/>
              <w:spacing w:line="360" w:lineRule="exact"/>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①档案管理制度完善、</w:t>
            </w:r>
            <w:r>
              <w:rPr>
                <w:rFonts w:hint="eastAsia" w:ascii="宋体" w:hAnsi="宋体" w:eastAsia="宋体" w:cs="宋体"/>
                <w:color w:val="auto"/>
                <w:sz w:val="21"/>
                <w:szCs w:val="21"/>
              </w:rPr>
              <w:t>提供的档案报告范本详细、符合规范、符合国家和省市的行业相关规定</w:t>
            </w:r>
            <w:r>
              <w:rPr>
                <w:rFonts w:hint="eastAsia" w:ascii="宋体" w:hAnsi="宋体" w:eastAsia="宋体" w:cs="宋体"/>
                <w:color w:val="auto"/>
                <w:sz w:val="21"/>
                <w:szCs w:val="21"/>
                <w:lang w:val="en-US" w:eastAsia="zh-CN"/>
              </w:rPr>
              <w:t>得5分；</w:t>
            </w:r>
          </w:p>
          <w:p w14:paraId="1FFD04F9">
            <w:pPr>
              <w:keepNext w:val="0"/>
              <w:keepLines w:val="0"/>
              <w:pageBreakBefore w:val="0"/>
              <w:tabs>
                <w:tab w:val="left" w:pos="4915"/>
              </w:tabs>
              <w:kinsoku/>
              <w:wordWrap/>
              <w:overflowPunct/>
              <w:topLinePunct w:val="0"/>
              <w:autoSpaceDE/>
              <w:autoSpaceDN/>
              <w:bidi w:val="0"/>
              <w:adjustRightInd/>
              <w:snapToGrid/>
              <w:spacing w:line="360" w:lineRule="exact"/>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②档案管理制度较为完善、</w:t>
            </w:r>
            <w:r>
              <w:rPr>
                <w:rFonts w:hint="eastAsia" w:ascii="宋体" w:hAnsi="宋体" w:eastAsia="宋体" w:cs="宋体"/>
                <w:color w:val="auto"/>
                <w:sz w:val="21"/>
                <w:szCs w:val="21"/>
              </w:rPr>
              <w:t>提供的档案报告范本整体符合规范、但存在部分细节内容的缺失或错误的</w:t>
            </w:r>
            <w:r>
              <w:rPr>
                <w:rFonts w:hint="eastAsia" w:ascii="宋体" w:hAnsi="宋体" w:eastAsia="宋体" w:cs="宋体"/>
                <w:color w:val="auto"/>
                <w:sz w:val="21"/>
                <w:szCs w:val="21"/>
                <w:lang w:val="en-US" w:eastAsia="zh-CN"/>
              </w:rPr>
              <w:t>的得3分；</w:t>
            </w:r>
          </w:p>
          <w:p w14:paraId="451B6341">
            <w:pPr>
              <w:keepNext w:val="0"/>
              <w:keepLines w:val="0"/>
              <w:pageBreakBefore w:val="0"/>
              <w:tabs>
                <w:tab w:val="left" w:pos="4915"/>
              </w:tabs>
              <w:kinsoku/>
              <w:wordWrap/>
              <w:overflowPunct/>
              <w:topLinePunct w:val="0"/>
              <w:autoSpaceDE/>
              <w:autoSpaceDN/>
              <w:bidi w:val="0"/>
              <w:adjustRightInd/>
              <w:snapToGrid/>
              <w:spacing w:line="360" w:lineRule="exact"/>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③管理制度不完善，</w:t>
            </w:r>
            <w:r>
              <w:rPr>
                <w:rFonts w:hint="eastAsia" w:ascii="宋体" w:hAnsi="宋体" w:eastAsia="宋体" w:cs="宋体"/>
                <w:color w:val="auto"/>
                <w:sz w:val="21"/>
                <w:szCs w:val="21"/>
              </w:rPr>
              <w:t>提供的档案报告范本不规范、存在明显不符合行业规定</w:t>
            </w:r>
            <w:r>
              <w:rPr>
                <w:rFonts w:hint="eastAsia" w:ascii="宋体" w:hAnsi="宋体" w:eastAsia="宋体" w:cs="宋体"/>
                <w:color w:val="auto"/>
                <w:sz w:val="21"/>
                <w:szCs w:val="21"/>
                <w:lang w:val="en-US" w:eastAsia="zh-CN"/>
              </w:rPr>
              <w:t>的得1分；</w:t>
            </w:r>
          </w:p>
          <w:p w14:paraId="6E66365C">
            <w:pPr>
              <w:keepNext w:val="0"/>
              <w:keepLines w:val="0"/>
              <w:pageBreakBefore w:val="0"/>
              <w:tabs>
                <w:tab w:val="left" w:pos="4915"/>
              </w:tabs>
              <w:kinsoku/>
              <w:wordWrap/>
              <w:overflowPunct/>
              <w:topLinePunct w:val="0"/>
              <w:autoSpaceDE/>
              <w:autoSpaceDN/>
              <w:bidi w:val="0"/>
              <w:adjustRightInd/>
              <w:snapToGrid/>
              <w:spacing w:line="360" w:lineRule="exact"/>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④未提供相关内容不得分。</w:t>
            </w:r>
          </w:p>
        </w:tc>
        <w:tc>
          <w:tcPr>
            <w:tcW w:w="777" w:type="dxa"/>
            <w:tcBorders>
              <w:top w:val="single" w:color="auto" w:sz="4" w:space="0"/>
              <w:left w:val="nil"/>
              <w:bottom w:val="single" w:color="auto" w:sz="4" w:space="0"/>
              <w:right w:val="single" w:color="auto" w:sz="4" w:space="0"/>
            </w:tcBorders>
            <w:shd w:val="clear" w:color="auto" w:fill="auto"/>
            <w:vAlign w:val="center"/>
          </w:tcPr>
          <w:p w14:paraId="6B92C6CB">
            <w:pPr>
              <w:keepNext w:val="0"/>
              <w:keepLines w:val="0"/>
              <w:pageBreakBefore w:val="0"/>
              <w:kinsoku/>
              <w:wordWrap/>
              <w:overflowPunct/>
              <w:topLinePunct w:val="0"/>
              <w:autoSpaceDE/>
              <w:autoSpaceDN/>
              <w:bidi w:val="0"/>
              <w:adjustRightInd/>
              <w:snapToGrid/>
              <w:spacing w:line="360" w:lineRule="exact"/>
              <w:contextualSpacing/>
              <w:jc w:val="center"/>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 w:val="21"/>
                <w:szCs w:val="21"/>
                <w:lang w:val="en-US" w:eastAsia="zh-CN"/>
              </w:rPr>
              <w:t>5</w:t>
            </w:r>
          </w:p>
        </w:tc>
        <w:tc>
          <w:tcPr>
            <w:tcW w:w="846" w:type="dxa"/>
            <w:tcBorders>
              <w:top w:val="single" w:color="auto" w:sz="4" w:space="0"/>
              <w:left w:val="nil"/>
              <w:bottom w:val="single" w:color="auto" w:sz="4" w:space="0"/>
              <w:right w:val="single" w:color="auto" w:sz="4" w:space="0"/>
            </w:tcBorders>
            <w:shd w:val="clear" w:color="auto" w:fill="auto"/>
            <w:vAlign w:val="center"/>
          </w:tcPr>
          <w:p w14:paraId="6BAAB41E">
            <w:pPr>
              <w:keepNext w:val="0"/>
              <w:keepLines w:val="0"/>
              <w:pageBreakBefore w:val="0"/>
              <w:kinsoku/>
              <w:wordWrap/>
              <w:overflowPunct/>
              <w:topLinePunct w:val="0"/>
              <w:autoSpaceDE/>
              <w:autoSpaceDN/>
              <w:bidi w:val="0"/>
              <w:adjustRightInd/>
              <w:snapToGrid/>
              <w:spacing w:line="360" w:lineRule="exact"/>
              <w:contextualSpacing/>
              <w:jc w:val="center"/>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 w:val="21"/>
                <w:szCs w:val="21"/>
              </w:rPr>
              <w:t>主观分</w:t>
            </w:r>
          </w:p>
        </w:tc>
      </w:tr>
      <w:tr w14:paraId="21A60E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10" w:type="dxa"/>
            <w:vMerge w:val="continue"/>
            <w:tcBorders>
              <w:left w:val="single" w:color="auto" w:sz="4" w:space="0"/>
              <w:right w:val="single" w:color="auto" w:sz="4" w:space="0"/>
            </w:tcBorders>
            <w:vAlign w:val="center"/>
          </w:tcPr>
          <w:p w14:paraId="20775443">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宋体" w:hAnsi="宋体" w:eastAsia="宋体" w:cs="宋体"/>
                <w:color w:val="auto"/>
                <w:sz w:val="21"/>
                <w:szCs w:val="21"/>
              </w:rPr>
            </w:pPr>
          </w:p>
        </w:tc>
        <w:tc>
          <w:tcPr>
            <w:tcW w:w="1408" w:type="dxa"/>
            <w:tcBorders>
              <w:left w:val="nil"/>
              <w:right w:val="single" w:color="auto" w:sz="4" w:space="0"/>
            </w:tcBorders>
            <w:vAlign w:val="center"/>
          </w:tcPr>
          <w:p w14:paraId="43FCA1D6">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7.应急预案（6分）</w:t>
            </w:r>
          </w:p>
        </w:tc>
        <w:tc>
          <w:tcPr>
            <w:tcW w:w="5852" w:type="dxa"/>
            <w:tcBorders>
              <w:top w:val="single" w:color="auto" w:sz="4" w:space="0"/>
              <w:left w:val="single" w:color="auto" w:sz="4" w:space="0"/>
              <w:bottom w:val="single" w:color="auto" w:sz="4" w:space="0"/>
              <w:right w:val="single" w:color="auto" w:sz="4" w:space="0"/>
            </w:tcBorders>
            <w:shd w:val="clear" w:color="auto" w:fill="auto"/>
            <w:vAlign w:val="center"/>
          </w:tcPr>
          <w:p w14:paraId="562E4A8B">
            <w:pPr>
              <w:keepNext w:val="0"/>
              <w:keepLines w:val="0"/>
              <w:pageBreakBefore w:val="0"/>
              <w:tabs>
                <w:tab w:val="left" w:pos="4915"/>
              </w:tabs>
              <w:kinsoku/>
              <w:wordWrap/>
              <w:overflowPunct/>
              <w:topLinePunct w:val="0"/>
              <w:autoSpaceDE/>
              <w:autoSpaceDN/>
              <w:bidi w:val="0"/>
              <w:adjustRightInd/>
              <w:snapToGrid/>
              <w:spacing w:line="360" w:lineRule="exact"/>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7.1针对本项目服务中的突发事件</w:t>
            </w:r>
            <w:r>
              <w:rPr>
                <w:rFonts w:hint="eastAsia" w:ascii="宋体" w:hAnsi="宋体" w:cs="宋体"/>
                <w:color w:val="auto"/>
                <w:sz w:val="21"/>
                <w:szCs w:val="21"/>
                <w:lang w:val="en-US" w:eastAsia="zh-CN"/>
              </w:rPr>
              <w:t>（包括自然灾害和社会事件）</w:t>
            </w:r>
            <w:r>
              <w:rPr>
                <w:rFonts w:hint="eastAsia" w:ascii="宋体" w:hAnsi="宋体" w:eastAsia="宋体" w:cs="宋体"/>
                <w:color w:val="auto"/>
                <w:sz w:val="21"/>
                <w:szCs w:val="21"/>
                <w:lang w:val="en-US" w:eastAsia="zh-CN"/>
              </w:rPr>
              <w:t>制定的应急预案进行评议，</w:t>
            </w:r>
            <w:r>
              <w:rPr>
                <w:rFonts w:hint="eastAsia" w:ascii="宋体" w:hAnsi="宋体" w:eastAsia="宋体" w:cs="宋体"/>
                <w:color w:val="auto"/>
                <w:sz w:val="21"/>
                <w:szCs w:val="21"/>
              </w:rPr>
              <w:t>包括故障响应和处理等的应急预案及处置措施</w:t>
            </w:r>
            <w:r>
              <w:rPr>
                <w:rFonts w:hint="eastAsia" w:ascii="宋体" w:hAnsi="宋体" w:eastAsia="宋体" w:cs="宋体"/>
                <w:color w:val="auto"/>
                <w:sz w:val="21"/>
                <w:szCs w:val="21"/>
                <w:lang w:val="en-US" w:eastAsia="zh-CN"/>
              </w:rPr>
              <w:t>：</w:t>
            </w:r>
          </w:p>
          <w:p w14:paraId="32886E79">
            <w:pPr>
              <w:keepNext w:val="0"/>
              <w:keepLines w:val="0"/>
              <w:pageBreakBefore w:val="0"/>
              <w:tabs>
                <w:tab w:val="left" w:pos="4915"/>
              </w:tabs>
              <w:kinsoku/>
              <w:wordWrap/>
              <w:overflowPunct/>
              <w:topLinePunct w:val="0"/>
              <w:autoSpaceDE/>
              <w:autoSpaceDN/>
              <w:bidi w:val="0"/>
              <w:adjustRightInd/>
              <w:snapToGrid/>
              <w:spacing w:line="360" w:lineRule="exact"/>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①应急预案内容完整，考虑周全，</w:t>
            </w:r>
            <w:r>
              <w:rPr>
                <w:rFonts w:hint="eastAsia" w:ascii="宋体" w:hAnsi="宋体" w:eastAsia="宋体" w:cs="宋体"/>
                <w:color w:val="auto"/>
                <w:sz w:val="21"/>
                <w:szCs w:val="21"/>
              </w:rPr>
              <w:t>对突发事件的响应、处理、协调、跟踪、反馈措施得当的</w:t>
            </w:r>
            <w:r>
              <w:rPr>
                <w:rFonts w:hint="eastAsia" w:ascii="宋体" w:hAnsi="宋体" w:eastAsia="宋体" w:cs="宋体"/>
                <w:color w:val="auto"/>
                <w:sz w:val="21"/>
                <w:szCs w:val="21"/>
                <w:lang w:val="en-US" w:eastAsia="zh-CN"/>
              </w:rPr>
              <w:t>得6分；</w:t>
            </w:r>
          </w:p>
          <w:p w14:paraId="2A524DE6">
            <w:pPr>
              <w:keepNext w:val="0"/>
              <w:keepLines w:val="0"/>
              <w:pageBreakBefore w:val="0"/>
              <w:tabs>
                <w:tab w:val="left" w:pos="4915"/>
              </w:tabs>
              <w:kinsoku/>
              <w:wordWrap/>
              <w:overflowPunct/>
              <w:topLinePunct w:val="0"/>
              <w:autoSpaceDE/>
              <w:autoSpaceDN/>
              <w:bidi w:val="0"/>
              <w:adjustRightInd/>
              <w:snapToGrid/>
              <w:spacing w:line="360" w:lineRule="exact"/>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②应急预案内容完整，措施有一定针对性，</w:t>
            </w:r>
            <w:r>
              <w:rPr>
                <w:rFonts w:hint="eastAsia" w:ascii="宋体" w:hAnsi="宋体" w:eastAsia="宋体" w:cs="宋体"/>
                <w:color w:val="auto"/>
                <w:sz w:val="21"/>
                <w:szCs w:val="21"/>
              </w:rPr>
              <w:t>对突发事件的处置措施基本满足项目运行的</w:t>
            </w:r>
            <w:r>
              <w:rPr>
                <w:rFonts w:hint="eastAsia" w:ascii="宋体" w:hAnsi="宋体" w:eastAsia="宋体" w:cs="宋体"/>
                <w:color w:val="auto"/>
                <w:sz w:val="21"/>
                <w:szCs w:val="21"/>
                <w:lang w:val="en-US" w:eastAsia="zh-CN"/>
              </w:rPr>
              <w:t>的得4分；</w:t>
            </w:r>
          </w:p>
          <w:p w14:paraId="5EC06F14">
            <w:pPr>
              <w:keepNext w:val="0"/>
              <w:keepLines w:val="0"/>
              <w:pageBreakBefore w:val="0"/>
              <w:tabs>
                <w:tab w:val="left" w:pos="4915"/>
              </w:tabs>
              <w:kinsoku/>
              <w:wordWrap/>
              <w:overflowPunct/>
              <w:topLinePunct w:val="0"/>
              <w:autoSpaceDE/>
              <w:autoSpaceDN/>
              <w:bidi w:val="0"/>
              <w:adjustRightInd/>
              <w:snapToGrid/>
              <w:spacing w:line="360" w:lineRule="exact"/>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③应急预案内容不完整，考虑不周，或措施不具有针对性和可操作性的得2分；</w:t>
            </w:r>
          </w:p>
          <w:p w14:paraId="67B12937">
            <w:pPr>
              <w:keepNext w:val="0"/>
              <w:keepLines w:val="0"/>
              <w:pageBreakBefore w:val="0"/>
              <w:tabs>
                <w:tab w:val="left" w:pos="4915"/>
              </w:tabs>
              <w:kinsoku/>
              <w:wordWrap/>
              <w:overflowPunct/>
              <w:topLinePunct w:val="0"/>
              <w:autoSpaceDE/>
              <w:autoSpaceDN/>
              <w:bidi w:val="0"/>
              <w:adjustRightInd/>
              <w:snapToGrid/>
              <w:spacing w:line="360" w:lineRule="exact"/>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④未提供相关内容不得分。</w:t>
            </w:r>
          </w:p>
        </w:tc>
        <w:tc>
          <w:tcPr>
            <w:tcW w:w="777" w:type="dxa"/>
            <w:tcBorders>
              <w:top w:val="single" w:color="auto" w:sz="4" w:space="0"/>
              <w:left w:val="nil"/>
              <w:bottom w:val="single" w:color="auto" w:sz="4" w:space="0"/>
              <w:right w:val="single" w:color="auto" w:sz="4" w:space="0"/>
            </w:tcBorders>
            <w:shd w:val="clear" w:color="auto" w:fill="auto"/>
            <w:vAlign w:val="center"/>
          </w:tcPr>
          <w:p w14:paraId="02BEC2B1">
            <w:pPr>
              <w:keepNext w:val="0"/>
              <w:keepLines w:val="0"/>
              <w:pageBreakBefore w:val="0"/>
              <w:kinsoku/>
              <w:wordWrap/>
              <w:overflowPunct/>
              <w:topLinePunct w:val="0"/>
              <w:autoSpaceDE/>
              <w:autoSpaceDN/>
              <w:bidi w:val="0"/>
              <w:adjustRightInd/>
              <w:snapToGrid/>
              <w:spacing w:line="360" w:lineRule="exact"/>
              <w:contextualSpacing/>
              <w:jc w:val="center"/>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6</w:t>
            </w:r>
          </w:p>
        </w:tc>
        <w:tc>
          <w:tcPr>
            <w:tcW w:w="846" w:type="dxa"/>
            <w:tcBorders>
              <w:top w:val="single" w:color="auto" w:sz="4" w:space="0"/>
              <w:left w:val="nil"/>
              <w:bottom w:val="single" w:color="auto" w:sz="4" w:space="0"/>
              <w:right w:val="single" w:color="auto" w:sz="4" w:space="0"/>
            </w:tcBorders>
            <w:shd w:val="clear" w:color="auto" w:fill="auto"/>
            <w:vAlign w:val="center"/>
          </w:tcPr>
          <w:p w14:paraId="669053E8">
            <w:pPr>
              <w:keepNext w:val="0"/>
              <w:keepLines w:val="0"/>
              <w:pageBreakBefore w:val="0"/>
              <w:kinsoku/>
              <w:wordWrap/>
              <w:overflowPunct/>
              <w:topLinePunct w:val="0"/>
              <w:autoSpaceDE/>
              <w:autoSpaceDN/>
              <w:bidi w:val="0"/>
              <w:adjustRightInd/>
              <w:snapToGrid/>
              <w:spacing w:line="360" w:lineRule="exact"/>
              <w:contextualSpacing/>
              <w:jc w:val="center"/>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 w:val="21"/>
                <w:szCs w:val="21"/>
              </w:rPr>
              <w:t>主观分</w:t>
            </w:r>
          </w:p>
        </w:tc>
      </w:tr>
      <w:tr w14:paraId="7BAF46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10" w:type="dxa"/>
            <w:vMerge w:val="continue"/>
            <w:tcBorders>
              <w:left w:val="single" w:color="auto" w:sz="4" w:space="0"/>
              <w:right w:val="single" w:color="auto" w:sz="4" w:space="0"/>
            </w:tcBorders>
            <w:vAlign w:val="center"/>
          </w:tcPr>
          <w:p w14:paraId="30FBE2F1">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宋体" w:hAnsi="宋体" w:eastAsia="宋体" w:cs="宋体"/>
                <w:color w:val="auto"/>
                <w:sz w:val="21"/>
                <w:szCs w:val="21"/>
              </w:rPr>
            </w:pPr>
          </w:p>
        </w:tc>
        <w:tc>
          <w:tcPr>
            <w:tcW w:w="1408" w:type="dxa"/>
            <w:vMerge w:val="restart"/>
            <w:tcBorders>
              <w:left w:val="nil"/>
              <w:right w:val="single" w:color="auto" w:sz="4" w:space="0"/>
            </w:tcBorders>
            <w:vAlign w:val="center"/>
          </w:tcPr>
          <w:p w14:paraId="1261A6FF">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8.拟派本</w:t>
            </w:r>
            <w:r>
              <w:rPr>
                <w:rFonts w:hint="eastAsia" w:ascii="宋体" w:hAnsi="宋体" w:eastAsia="宋体" w:cs="宋体"/>
                <w:color w:val="auto"/>
                <w:sz w:val="21"/>
                <w:szCs w:val="21"/>
              </w:rPr>
              <w:t>项目团队（</w:t>
            </w:r>
            <w:r>
              <w:rPr>
                <w:rFonts w:hint="eastAsia" w:ascii="宋体" w:hAnsi="宋体" w:cs="宋体"/>
                <w:color w:val="auto"/>
                <w:sz w:val="21"/>
                <w:szCs w:val="21"/>
                <w:lang w:val="en-US" w:eastAsia="zh-CN"/>
              </w:rPr>
              <w:t>9</w:t>
            </w:r>
            <w:r>
              <w:rPr>
                <w:rFonts w:hint="eastAsia" w:ascii="宋体" w:hAnsi="宋体" w:eastAsia="宋体" w:cs="宋体"/>
                <w:color w:val="auto"/>
                <w:sz w:val="21"/>
                <w:szCs w:val="21"/>
              </w:rPr>
              <w:t>分）</w:t>
            </w:r>
          </w:p>
        </w:tc>
        <w:tc>
          <w:tcPr>
            <w:tcW w:w="5852" w:type="dxa"/>
            <w:tcBorders>
              <w:top w:val="single" w:color="auto" w:sz="4" w:space="0"/>
              <w:left w:val="single" w:color="auto" w:sz="4" w:space="0"/>
              <w:bottom w:val="single" w:color="auto" w:sz="4" w:space="0"/>
              <w:right w:val="single" w:color="auto" w:sz="4" w:space="0"/>
            </w:tcBorders>
            <w:shd w:val="clear" w:color="auto" w:fill="auto"/>
            <w:vAlign w:val="center"/>
          </w:tcPr>
          <w:p w14:paraId="25BDE5A2">
            <w:pPr>
              <w:keepNext w:val="0"/>
              <w:keepLines w:val="0"/>
              <w:pageBreakBefore w:val="0"/>
              <w:tabs>
                <w:tab w:val="left" w:pos="4915"/>
              </w:tabs>
              <w:kinsoku/>
              <w:wordWrap/>
              <w:overflowPunct/>
              <w:topLinePunct w:val="0"/>
              <w:autoSpaceDE/>
              <w:autoSpaceDN/>
              <w:bidi w:val="0"/>
              <w:adjustRightInd/>
              <w:snapToGrid/>
              <w:spacing w:line="360" w:lineRule="exact"/>
              <w:textAlignment w:val="auto"/>
              <w:rPr>
                <w:rFonts w:hint="eastAsia" w:ascii="宋体" w:hAnsi="宋体" w:cs="宋体"/>
                <w:color w:val="auto"/>
                <w:sz w:val="21"/>
                <w:szCs w:val="21"/>
                <w:lang w:val="en-US" w:eastAsia="zh-CN"/>
              </w:rPr>
            </w:pPr>
            <w:r>
              <w:rPr>
                <w:rFonts w:hint="eastAsia" w:ascii="宋体" w:hAnsi="宋体" w:eastAsia="宋体" w:cs="宋体"/>
                <w:color w:val="auto"/>
                <w:sz w:val="21"/>
                <w:szCs w:val="21"/>
                <w:lang w:val="en-US" w:eastAsia="zh-CN"/>
              </w:rPr>
              <w:t>8.</w:t>
            </w:r>
            <w:r>
              <w:rPr>
                <w:rFonts w:hint="eastAsia" w:ascii="宋体" w:hAnsi="宋体" w:eastAsia="宋体" w:cs="宋体"/>
                <w:color w:val="auto"/>
                <w:sz w:val="21"/>
                <w:szCs w:val="21"/>
              </w:rPr>
              <w:t>1拟派项目负责人</w:t>
            </w:r>
            <w:r>
              <w:rPr>
                <w:rFonts w:hint="eastAsia" w:ascii="宋体" w:hAnsi="宋体" w:cs="宋体"/>
                <w:color w:val="auto"/>
                <w:sz w:val="21"/>
                <w:szCs w:val="21"/>
                <w:lang w:eastAsia="zh-CN"/>
              </w:rPr>
              <w:t>：</w:t>
            </w:r>
          </w:p>
          <w:p w14:paraId="46D4396E">
            <w:pPr>
              <w:tabs>
                <w:tab w:val="left" w:pos="4915"/>
              </w:tabs>
              <w:spacing w:line="360" w:lineRule="exact"/>
              <w:rPr>
                <w:rFonts w:hint="eastAsia" w:ascii="宋体" w:hAnsi="宋体" w:eastAsia="宋体" w:cs="宋体"/>
                <w:color w:val="auto"/>
                <w:sz w:val="21"/>
                <w:szCs w:val="21"/>
                <w:lang w:val="en-US" w:eastAsia="zh-CN"/>
              </w:rPr>
            </w:pPr>
            <w:r>
              <w:rPr>
                <w:rFonts w:hint="eastAsia" w:ascii="宋体" w:hAnsi="宋体" w:eastAsia="宋体" w:cs="宋体"/>
                <w:color w:val="auto"/>
                <w:kern w:val="2"/>
                <w:szCs w:val="21"/>
                <w:lang w:val="en-US" w:eastAsia="zh-CN"/>
              </w:rPr>
              <w:t>(1)</w:t>
            </w:r>
            <w:r>
              <w:rPr>
                <w:rFonts w:hint="eastAsia" w:ascii="宋体" w:hAnsi="宋体" w:eastAsia="宋体" w:cs="宋体"/>
                <w:color w:val="auto"/>
                <w:kern w:val="2"/>
                <w:szCs w:val="21"/>
              </w:rPr>
              <w:t>具有与本项目相关专业的高级工程师及以上职称</w:t>
            </w:r>
            <w:r>
              <w:rPr>
                <w:rFonts w:hint="eastAsia" w:ascii="宋体" w:hAnsi="宋体" w:eastAsia="宋体" w:cs="宋体"/>
                <w:color w:val="auto"/>
                <w:sz w:val="21"/>
                <w:szCs w:val="21"/>
                <w:lang w:val="en-US" w:eastAsia="zh-CN"/>
              </w:rPr>
              <w:t>得1分；</w:t>
            </w:r>
          </w:p>
          <w:p w14:paraId="6BA29544">
            <w:pPr>
              <w:tabs>
                <w:tab w:val="left" w:pos="4915"/>
              </w:tabs>
              <w:spacing w:line="360" w:lineRule="exact"/>
              <w:rPr>
                <w:rFonts w:hint="eastAsia" w:ascii="宋体" w:hAnsi="宋体" w:eastAsia="宋体" w:cs="宋体"/>
                <w:color w:val="auto"/>
                <w:kern w:val="2"/>
                <w:szCs w:val="21"/>
                <w:lang w:val="en-US" w:eastAsia="zh-CN"/>
              </w:rPr>
            </w:pPr>
            <w:r>
              <w:rPr>
                <w:rFonts w:hint="eastAsia" w:ascii="宋体" w:hAnsi="宋体" w:eastAsia="宋体" w:cs="宋体"/>
                <w:color w:val="auto"/>
                <w:sz w:val="21"/>
                <w:szCs w:val="21"/>
                <w:lang w:val="en-US" w:eastAsia="zh-CN"/>
              </w:rPr>
              <w:t>(2)</w:t>
            </w:r>
            <w:r>
              <w:rPr>
                <w:rFonts w:hint="eastAsia" w:ascii="宋体" w:hAnsi="宋体" w:eastAsia="宋体" w:cs="宋体"/>
                <w:color w:val="auto"/>
                <w:kern w:val="2"/>
                <w:szCs w:val="21"/>
                <w:lang w:val="en-US" w:eastAsia="zh-CN"/>
              </w:rPr>
              <w:t>具有</w:t>
            </w:r>
            <w:r>
              <w:rPr>
                <w:rFonts w:hint="eastAsia" w:ascii="宋体" w:hAnsi="宋体" w:cs="宋体"/>
                <w:color w:val="auto"/>
                <w:szCs w:val="21"/>
                <w:lang w:val="en-US" w:eastAsia="zh-CN"/>
              </w:rPr>
              <w:t>注册安全工程师证书或至少1项本项目相关的无损检测三级证书（漏磁检测、声发射检测、超声检测、磁粉检测、渗透检测、射线检测）</w:t>
            </w:r>
            <w:r>
              <w:rPr>
                <w:rFonts w:hint="eastAsia" w:ascii="宋体" w:hAnsi="宋体" w:eastAsia="宋体" w:cs="宋体"/>
                <w:color w:val="auto"/>
                <w:kern w:val="2"/>
                <w:szCs w:val="21"/>
                <w:lang w:val="en-US" w:eastAsia="zh-CN"/>
              </w:rPr>
              <w:t>得1分；</w:t>
            </w:r>
          </w:p>
          <w:p w14:paraId="072841F2">
            <w:pPr>
              <w:tabs>
                <w:tab w:val="left" w:pos="4915"/>
              </w:tabs>
              <w:spacing w:line="360" w:lineRule="exact"/>
              <w:rPr>
                <w:rFonts w:hint="eastAsia" w:ascii="宋体" w:hAnsi="宋体" w:eastAsia="宋体" w:cs="宋体"/>
                <w:color w:val="auto"/>
                <w:szCs w:val="21"/>
                <w:lang w:val="en-US" w:eastAsia="zh-CN"/>
              </w:rPr>
            </w:pPr>
            <w:r>
              <w:rPr>
                <w:rFonts w:hint="eastAsia" w:ascii="宋体" w:hAnsi="宋体" w:eastAsia="宋体" w:cs="宋体"/>
                <w:color w:val="auto"/>
                <w:szCs w:val="21"/>
                <w:lang w:val="en-US" w:eastAsia="zh-CN"/>
              </w:rPr>
              <w:t>(3)有相关工作经验，担任过同类</w:t>
            </w:r>
            <w:r>
              <w:rPr>
                <w:rFonts w:hint="eastAsia" w:ascii="宋体" w:hAnsi="宋体" w:eastAsia="宋体" w:cs="宋体"/>
                <w:color w:val="auto"/>
                <w:szCs w:val="21"/>
              </w:rPr>
              <w:t>储罐抽检项目负责人</w:t>
            </w:r>
            <w:r>
              <w:rPr>
                <w:rFonts w:hint="eastAsia" w:ascii="宋体" w:hAnsi="宋体" w:cs="宋体"/>
                <w:color w:val="auto"/>
                <w:szCs w:val="21"/>
                <w:u w:val="none"/>
                <w:lang w:val="en-US" w:eastAsia="zh-CN"/>
              </w:rPr>
              <w:t>或技术负责人</w:t>
            </w:r>
            <w:r>
              <w:rPr>
                <w:rFonts w:hint="eastAsia" w:ascii="宋体" w:hAnsi="宋体" w:eastAsia="宋体" w:cs="宋体"/>
                <w:color w:val="auto"/>
                <w:szCs w:val="21"/>
                <w:lang w:val="en-US" w:eastAsia="zh-CN"/>
              </w:rPr>
              <w:t>的得1分。</w:t>
            </w:r>
          </w:p>
          <w:p w14:paraId="0B4A1730">
            <w:pPr>
              <w:keepNext w:val="0"/>
              <w:keepLines w:val="0"/>
              <w:pageBreakBefore w:val="0"/>
              <w:tabs>
                <w:tab w:val="left" w:pos="4915"/>
              </w:tabs>
              <w:kinsoku/>
              <w:wordWrap/>
              <w:overflowPunct/>
              <w:topLinePunct w:val="0"/>
              <w:autoSpaceDE/>
              <w:autoSpaceDN/>
              <w:bidi w:val="0"/>
              <w:adjustRightInd/>
              <w:snapToGrid/>
              <w:spacing w:line="360" w:lineRule="exact"/>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rPr>
              <w:t>提供证书</w:t>
            </w:r>
            <w:r>
              <w:rPr>
                <w:rFonts w:hint="eastAsia" w:ascii="宋体" w:hAnsi="宋体" w:cs="宋体"/>
                <w:color w:val="auto"/>
                <w:sz w:val="21"/>
                <w:szCs w:val="21"/>
                <w:lang w:eastAsia="zh-CN"/>
              </w:rPr>
              <w:t>、</w:t>
            </w:r>
            <w:r>
              <w:rPr>
                <w:rFonts w:hint="eastAsia" w:ascii="宋体" w:hAnsi="宋体" w:cs="宋体"/>
                <w:color w:val="auto"/>
                <w:sz w:val="21"/>
                <w:szCs w:val="21"/>
                <w:lang w:val="en-US" w:eastAsia="zh-CN"/>
              </w:rPr>
              <w:t>工作经验证明材料复印件</w:t>
            </w:r>
            <w:r>
              <w:rPr>
                <w:rFonts w:hint="eastAsia" w:ascii="宋体" w:hAnsi="宋体" w:eastAsia="宋体" w:cs="宋体"/>
                <w:color w:val="auto"/>
                <w:sz w:val="21"/>
                <w:szCs w:val="21"/>
              </w:rPr>
              <w:t>和</w:t>
            </w:r>
            <w:r>
              <w:rPr>
                <w:rFonts w:hint="eastAsia" w:ascii="宋体" w:hAnsi="宋体" w:cs="宋体"/>
                <w:color w:val="auto"/>
                <w:sz w:val="21"/>
                <w:szCs w:val="21"/>
                <w:lang w:val="en-US" w:eastAsia="zh-CN"/>
              </w:rPr>
              <w:t>距离开标日</w:t>
            </w:r>
            <w:r>
              <w:rPr>
                <w:rFonts w:hint="eastAsia" w:ascii="宋体" w:hAnsi="宋体" w:eastAsia="宋体" w:cs="宋体"/>
                <w:color w:val="auto"/>
                <w:sz w:val="21"/>
                <w:szCs w:val="21"/>
              </w:rPr>
              <w:t>近3个月</w:t>
            </w:r>
            <w:r>
              <w:rPr>
                <w:rFonts w:hint="eastAsia" w:ascii="宋体" w:hAnsi="宋体" w:eastAsia="宋体" w:cs="宋体"/>
                <w:color w:val="auto"/>
                <w:sz w:val="21"/>
                <w:szCs w:val="21"/>
                <w:lang w:val="en-US" w:eastAsia="zh-CN"/>
              </w:rPr>
              <w:t>内</w:t>
            </w:r>
            <w:r>
              <w:rPr>
                <w:rFonts w:hint="eastAsia" w:ascii="宋体" w:hAnsi="宋体" w:eastAsia="宋体" w:cs="宋体"/>
                <w:color w:val="auto"/>
                <w:sz w:val="21"/>
                <w:szCs w:val="21"/>
              </w:rPr>
              <w:t>任意1个月的社保证明。</w:t>
            </w:r>
          </w:p>
        </w:tc>
        <w:tc>
          <w:tcPr>
            <w:tcW w:w="777" w:type="dxa"/>
            <w:tcBorders>
              <w:top w:val="single" w:color="auto" w:sz="4" w:space="0"/>
              <w:left w:val="nil"/>
              <w:bottom w:val="single" w:color="auto" w:sz="4" w:space="0"/>
              <w:right w:val="single" w:color="auto" w:sz="4" w:space="0"/>
            </w:tcBorders>
            <w:shd w:val="clear" w:color="auto" w:fill="auto"/>
            <w:vAlign w:val="center"/>
          </w:tcPr>
          <w:p w14:paraId="553D68A9">
            <w:pPr>
              <w:keepNext w:val="0"/>
              <w:keepLines w:val="0"/>
              <w:pageBreakBefore w:val="0"/>
              <w:kinsoku/>
              <w:wordWrap/>
              <w:overflowPunct/>
              <w:topLinePunct w:val="0"/>
              <w:autoSpaceDE/>
              <w:autoSpaceDN/>
              <w:bidi w:val="0"/>
              <w:adjustRightInd/>
              <w:snapToGrid/>
              <w:spacing w:line="360" w:lineRule="exact"/>
              <w:contextualSpacing/>
              <w:jc w:val="center"/>
              <w:textAlignment w:val="auto"/>
              <w:rPr>
                <w:rFonts w:hint="eastAsia" w:ascii="宋体" w:hAnsi="宋体" w:eastAsia="宋体" w:cs="宋体"/>
                <w:color w:val="auto"/>
                <w:kern w:val="2"/>
                <w:sz w:val="21"/>
                <w:szCs w:val="21"/>
                <w:lang w:val="en-US" w:eastAsia="zh-CN" w:bidi="ar-SA"/>
              </w:rPr>
            </w:pPr>
            <w:r>
              <w:rPr>
                <w:rFonts w:hint="eastAsia" w:ascii="宋体" w:hAnsi="宋体" w:cs="宋体"/>
                <w:color w:val="auto"/>
                <w:kern w:val="2"/>
                <w:sz w:val="21"/>
                <w:szCs w:val="21"/>
                <w:lang w:val="en-US" w:eastAsia="zh-CN" w:bidi="ar-SA"/>
              </w:rPr>
              <w:t>3</w:t>
            </w:r>
          </w:p>
        </w:tc>
        <w:tc>
          <w:tcPr>
            <w:tcW w:w="846" w:type="dxa"/>
            <w:tcBorders>
              <w:top w:val="single" w:color="auto" w:sz="4" w:space="0"/>
              <w:left w:val="nil"/>
              <w:bottom w:val="single" w:color="auto" w:sz="4" w:space="0"/>
              <w:right w:val="single" w:color="auto" w:sz="4" w:space="0"/>
            </w:tcBorders>
            <w:shd w:val="clear" w:color="auto" w:fill="auto"/>
            <w:vAlign w:val="center"/>
          </w:tcPr>
          <w:p w14:paraId="0604F525">
            <w:pPr>
              <w:keepNext w:val="0"/>
              <w:keepLines w:val="0"/>
              <w:pageBreakBefore w:val="0"/>
              <w:kinsoku/>
              <w:wordWrap/>
              <w:overflowPunct/>
              <w:topLinePunct w:val="0"/>
              <w:autoSpaceDE/>
              <w:autoSpaceDN/>
              <w:bidi w:val="0"/>
              <w:adjustRightInd/>
              <w:snapToGrid/>
              <w:spacing w:line="360" w:lineRule="exact"/>
              <w:contextualSpacing/>
              <w:jc w:val="center"/>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客观分</w:t>
            </w:r>
          </w:p>
        </w:tc>
      </w:tr>
      <w:tr w14:paraId="2229D1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10" w:type="dxa"/>
            <w:vMerge w:val="continue"/>
            <w:tcBorders>
              <w:left w:val="single" w:color="auto" w:sz="4" w:space="0"/>
              <w:right w:val="single" w:color="auto" w:sz="4" w:space="0"/>
            </w:tcBorders>
            <w:vAlign w:val="center"/>
          </w:tcPr>
          <w:p w14:paraId="3C3AF002">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宋体" w:hAnsi="宋体" w:eastAsia="宋体" w:cs="宋体"/>
                <w:color w:val="auto"/>
                <w:sz w:val="21"/>
                <w:szCs w:val="21"/>
              </w:rPr>
            </w:pPr>
          </w:p>
        </w:tc>
        <w:tc>
          <w:tcPr>
            <w:tcW w:w="1408" w:type="dxa"/>
            <w:vMerge w:val="continue"/>
            <w:tcBorders>
              <w:left w:val="nil"/>
              <w:right w:val="single" w:color="auto" w:sz="4" w:space="0"/>
            </w:tcBorders>
            <w:vAlign w:val="center"/>
          </w:tcPr>
          <w:p w14:paraId="1F5A2E83">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宋体" w:hAnsi="宋体" w:eastAsia="宋体" w:cs="宋体"/>
                <w:color w:val="auto"/>
                <w:sz w:val="21"/>
                <w:szCs w:val="21"/>
                <w:lang w:val="en-US" w:eastAsia="zh-CN"/>
              </w:rPr>
            </w:pPr>
          </w:p>
        </w:tc>
        <w:tc>
          <w:tcPr>
            <w:tcW w:w="5852" w:type="dxa"/>
            <w:tcBorders>
              <w:top w:val="single" w:color="auto" w:sz="4" w:space="0"/>
              <w:left w:val="single" w:color="auto" w:sz="4" w:space="0"/>
              <w:bottom w:val="single" w:color="auto" w:sz="4" w:space="0"/>
              <w:right w:val="single" w:color="auto" w:sz="4" w:space="0"/>
            </w:tcBorders>
            <w:shd w:val="clear" w:color="auto" w:fill="auto"/>
            <w:vAlign w:val="center"/>
          </w:tcPr>
          <w:p w14:paraId="1A1464E6">
            <w:pPr>
              <w:keepNext w:val="0"/>
              <w:keepLines w:val="0"/>
              <w:pageBreakBefore w:val="0"/>
              <w:tabs>
                <w:tab w:val="left" w:pos="4915"/>
              </w:tabs>
              <w:kinsoku/>
              <w:wordWrap/>
              <w:overflowPunct/>
              <w:topLinePunct w:val="0"/>
              <w:autoSpaceDE/>
              <w:autoSpaceDN/>
              <w:bidi w:val="0"/>
              <w:adjustRightInd/>
              <w:snapToGrid/>
              <w:spacing w:line="360" w:lineRule="exact"/>
              <w:textAlignment w:val="auto"/>
              <w:rPr>
                <w:rFonts w:hint="eastAsia" w:ascii="宋体" w:hAnsi="宋体" w:cs="宋体"/>
                <w:color w:val="auto"/>
                <w:sz w:val="21"/>
                <w:szCs w:val="21"/>
                <w:highlight w:val="none"/>
                <w:lang w:val="en-US" w:eastAsia="zh-CN"/>
              </w:rPr>
            </w:pPr>
            <w:r>
              <w:rPr>
                <w:rFonts w:hint="eastAsia" w:ascii="宋体" w:hAnsi="宋体" w:eastAsia="宋体" w:cs="宋体"/>
                <w:color w:val="auto"/>
                <w:sz w:val="21"/>
                <w:szCs w:val="21"/>
                <w:lang w:val="en-US" w:eastAsia="zh-CN"/>
              </w:rPr>
              <w:t>8</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拟派技术负责人</w:t>
            </w:r>
            <w:r>
              <w:rPr>
                <w:rFonts w:hint="eastAsia" w:ascii="宋体" w:hAnsi="宋体" w:cs="宋体"/>
                <w:color w:val="auto"/>
                <w:sz w:val="21"/>
                <w:szCs w:val="21"/>
                <w:highlight w:val="none"/>
                <w:lang w:eastAsia="zh-CN"/>
              </w:rPr>
              <w:t>：</w:t>
            </w:r>
          </w:p>
          <w:p w14:paraId="2127089B">
            <w:pPr>
              <w:tabs>
                <w:tab w:val="left" w:pos="4915"/>
              </w:tabs>
              <w:spacing w:line="360" w:lineRule="exac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w:t>
            </w:r>
            <w:r>
              <w:rPr>
                <w:rFonts w:hint="eastAsia" w:ascii="宋体" w:hAnsi="宋体" w:cs="宋体"/>
                <w:color w:val="auto"/>
                <w:kern w:val="2"/>
                <w:szCs w:val="21"/>
                <w:highlight w:val="none"/>
              </w:rPr>
              <w:t>具有与本项目相关专业的</w:t>
            </w:r>
            <w:r>
              <w:rPr>
                <w:rFonts w:hint="eastAsia" w:ascii="宋体" w:hAnsi="宋体" w:cs="宋体"/>
                <w:color w:val="auto"/>
                <w:kern w:val="2"/>
                <w:szCs w:val="21"/>
                <w:highlight w:val="none"/>
                <w:lang w:val="en-US" w:eastAsia="zh-CN"/>
              </w:rPr>
              <w:t>中</w:t>
            </w:r>
            <w:r>
              <w:rPr>
                <w:rFonts w:hint="eastAsia" w:ascii="宋体" w:hAnsi="宋体" w:cs="宋体"/>
                <w:color w:val="auto"/>
                <w:kern w:val="2"/>
                <w:szCs w:val="21"/>
                <w:highlight w:val="none"/>
              </w:rPr>
              <w:t>级工程师及以上职称</w:t>
            </w:r>
            <w:r>
              <w:rPr>
                <w:rFonts w:hint="eastAsia" w:ascii="宋体" w:hAnsi="宋体" w:cs="宋体"/>
                <w:color w:val="auto"/>
                <w:sz w:val="21"/>
                <w:szCs w:val="21"/>
                <w:highlight w:val="none"/>
                <w:lang w:val="en-US" w:eastAsia="zh-CN"/>
              </w:rPr>
              <w:t>得1分；</w:t>
            </w:r>
          </w:p>
          <w:p w14:paraId="6FC9C215">
            <w:pPr>
              <w:tabs>
                <w:tab w:val="left" w:pos="4915"/>
              </w:tabs>
              <w:spacing w:line="360" w:lineRule="exact"/>
              <w:rPr>
                <w:rFonts w:hint="eastAsia" w:ascii="宋体" w:hAnsi="宋体" w:eastAsia="宋体" w:cs="宋体"/>
                <w:color w:val="auto"/>
                <w:szCs w:val="21"/>
                <w:highlight w:val="none"/>
                <w:lang w:val="en-US" w:eastAsia="zh-CN"/>
              </w:rPr>
            </w:pPr>
            <w:r>
              <w:rPr>
                <w:rFonts w:hint="eastAsia" w:ascii="宋体" w:hAnsi="宋体" w:eastAsia="宋体" w:cs="宋体"/>
                <w:color w:val="auto"/>
                <w:sz w:val="21"/>
                <w:szCs w:val="21"/>
                <w:highlight w:val="none"/>
                <w:lang w:val="en-US" w:eastAsia="zh-CN"/>
              </w:rPr>
              <w:t>(2)</w:t>
            </w:r>
            <w:r>
              <w:rPr>
                <w:rFonts w:hint="eastAsia" w:ascii="宋体" w:hAnsi="宋体" w:cs="宋体"/>
                <w:color w:val="auto"/>
                <w:kern w:val="2"/>
                <w:szCs w:val="21"/>
                <w:highlight w:val="none"/>
                <w:lang w:val="en-US" w:eastAsia="zh-CN"/>
              </w:rPr>
              <w:t>具有至少4项本项目相关的无损检测三级证书（</w:t>
            </w:r>
            <w:r>
              <w:rPr>
                <w:rFonts w:hint="eastAsia" w:ascii="宋体" w:hAnsi="宋体" w:eastAsia="宋体" w:cs="宋体"/>
                <w:color w:val="auto"/>
                <w:szCs w:val="21"/>
                <w:highlight w:val="none"/>
                <w:lang w:val="en-US" w:eastAsia="zh-CN"/>
              </w:rPr>
              <w:t>声发射检测、超声检测、</w:t>
            </w:r>
            <w:r>
              <w:rPr>
                <w:rFonts w:hint="eastAsia" w:ascii="宋体" w:hAnsi="宋体" w:eastAsia="宋体" w:cs="宋体"/>
                <w:color w:val="auto"/>
                <w:szCs w:val="21"/>
                <w:highlight w:val="none"/>
                <w:lang w:eastAsia="zh-CN"/>
              </w:rPr>
              <w:t>磁粉</w:t>
            </w:r>
            <w:r>
              <w:rPr>
                <w:rFonts w:hint="eastAsia" w:ascii="宋体" w:hAnsi="宋体" w:eastAsia="宋体" w:cs="宋体"/>
                <w:color w:val="auto"/>
                <w:szCs w:val="21"/>
                <w:highlight w:val="none"/>
                <w:lang w:val="en-US" w:eastAsia="zh-CN"/>
              </w:rPr>
              <w:t>检测、渗透检测、射线检测</w:t>
            </w:r>
            <w:r>
              <w:rPr>
                <w:rFonts w:hint="eastAsia" w:ascii="宋体" w:hAnsi="宋体" w:cs="宋体"/>
                <w:color w:val="auto"/>
                <w:kern w:val="2"/>
                <w:szCs w:val="21"/>
                <w:highlight w:val="none"/>
                <w:lang w:val="en-US" w:eastAsia="zh-CN"/>
              </w:rPr>
              <w:t>）得2分。</w:t>
            </w:r>
          </w:p>
          <w:p w14:paraId="58EB5B59">
            <w:pPr>
              <w:keepNext w:val="0"/>
              <w:keepLines w:val="0"/>
              <w:pageBreakBefore w:val="0"/>
              <w:tabs>
                <w:tab w:val="left" w:pos="4915"/>
              </w:tabs>
              <w:kinsoku/>
              <w:wordWrap/>
              <w:overflowPunct/>
              <w:topLinePunct w:val="0"/>
              <w:autoSpaceDE/>
              <w:autoSpaceDN/>
              <w:bidi w:val="0"/>
              <w:adjustRightInd/>
              <w:snapToGrid/>
              <w:spacing w:line="360" w:lineRule="exact"/>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highlight w:val="none"/>
              </w:rPr>
              <w:t>提供证书复印件和</w:t>
            </w:r>
            <w:r>
              <w:rPr>
                <w:rFonts w:hint="eastAsia" w:ascii="宋体" w:hAnsi="宋体" w:cs="宋体"/>
                <w:color w:val="auto"/>
                <w:sz w:val="21"/>
                <w:szCs w:val="21"/>
                <w:highlight w:val="none"/>
                <w:lang w:val="en-US" w:eastAsia="zh-CN"/>
              </w:rPr>
              <w:t>距离开标日</w:t>
            </w:r>
            <w:r>
              <w:rPr>
                <w:rFonts w:hint="eastAsia" w:ascii="宋体" w:hAnsi="宋体" w:eastAsia="宋体" w:cs="宋体"/>
                <w:color w:val="auto"/>
                <w:sz w:val="21"/>
                <w:szCs w:val="21"/>
                <w:highlight w:val="none"/>
              </w:rPr>
              <w:t>近3个月</w:t>
            </w:r>
            <w:r>
              <w:rPr>
                <w:rFonts w:hint="eastAsia" w:ascii="宋体" w:hAnsi="宋体" w:eastAsia="宋体" w:cs="宋体"/>
                <w:color w:val="auto"/>
                <w:sz w:val="21"/>
                <w:szCs w:val="21"/>
                <w:highlight w:val="none"/>
                <w:lang w:val="en-US" w:eastAsia="zh-CN"/>
              </w:rPr>
              <w:t>内</w:t>
            </w:r>
            <w:r>
              <w:rPr>
                <w:rFonts w:hint="eastAsia" w:ascii="宋体" w:hAnsi="宋体" w:eastAsia="宋体" w:cs="宋体"/>
                <w:color w:val="auto"/>
                <w:sz w:val="21"/>
                <w:szCs w:val="21"/>
                <w:highlight w:val="none"/>
              </w:rPr>
              <w:t>任意1个月的社保证明。</w:t>
            </w:r>
          </w:p>
        </w:tc>
        <w:tc>
          <w:tcPr>
            <w:tcW w:w="777" w:type="dxa"/>
            <w:tcBorders>
              <w:top w:val="single" w:color="auto" w:sz="4" w:space="0"/>
              <w:left w:val="nil"/>
              <w:bottom w:val="single" w:color="auto" w:sz="4" w:space="0"/>
              <w:right w:val="single" w:color="auto" w:sz="4" w:space="0"/>
            </w:tcBorders>
            <w:shd w:val="clear" w:color="auto" w:fill="auto"/>
            <w:vAlign w:val="center"/>
          </w:tcPr>
          <w:p w14:paraId="177236DF">
            <w:pPr>
              <w:keepNext w:val="0"/>
              <w:keepLines w:val="0"/>
              <w:pageBreakBefore w:val="0"/>
              <w:kinsoku/>
              <w:wordWrap/>
              <w:overflowPunct/>
              <w:topLinePunct w:val="0"/>
              <w:autoSpaceDE/>
              <w:autoSpaceDN/>
              <w:bidi w:val="0"/>
              <w:adjustRightInd/>
              <w:snapToGrid/>
              <w:spacing w:line="360" w:lineRule="exact"/>
              <w:contextualSpacing/>
              <w:jc w:val="center"/>
              <w:textAlignment w:val="auto"/>
              <w:rPr>
                <w:rFonts w:hint="eastAsia" w:ascii="宋体" w:hAnsi="宋体" w:eastAsia="宋体" w:cs="宋体"/>
                <w:color w:val="auto"/>
                <w:kern w:val="2"/>
                <w:sz w:val="21"/>
                <w:szCs w:val="21"/>
                <w:lang w:val="en-US" w:eastAsia="zh-CN" w:bidi="ar-SA"/>
              </w:rPr>
            </w:pPr>
            <w:r>
              <w:rPr>
                <w:rFonts w:hint="eastAsia" w:ascii="宋体" w:hAnsi="宋体" w:cs="宋体"/>
                <w:color w:val="auto"/>
                <w:kern w:val="2"/>
                <w:sz w:val="21"/>
                <w:szCs w:val="21"/>
                <w:lang w:val="en-US" w:eastAsia="zh-CN" w:bidi="ar-SA"/>
              </w:rPr>
              <w:t>3</w:t>
            </w:r>
          </w:p>
        </w:tc>
        <w:tc>
          <w:tcPr>
            <w:tcW w:w="846" w:type="dxa"/>
            <w:tcBorders>
              <w:top w:val="single" w:color="auto" w:sz="4" w:space="0"/>
              <w:left w:val="nil"/>
              <w:bottom w:val="single" w:color="auto" w:sz="4" w:space="0"/>
              <w:right w:val="single" w:color="auto" w:sz="4" w:space="0"/>
            </w:tcBorders>
            <w:shd w:val="clear" w:color="auto" w:fill="auto"/>
            <w:vAlign w:val="center"/>
          </w:tcPr>
          <w:p w14:paraId="15D70002">
            <w:pPr>
              <w:keepNext w:val="0"/>
              <w:keepLines w:val="0"/>
              <w:pageBreakBefore w:val="0"/>
              <w:kinsoku/>
              <w:wordWrap/>
              <w:overflowPunct/>
              <w:topLinePunct w:val="0"/>
              <w:autoSpaceDE/>
              <w:autoSpaceDN/>
              <w:bidi w:val="0"/>
              <w:adjustRightInd/>
              <w:snapToGrid/>
              <w:spacing w:line="360" w:lineRule="exact"/>
              <w:contextualSpacing/>
              <w:jc w:val="center"/>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客观分</w:t>
            </w:r>
          </w:p>
        </w:tc>
      </w:tr>
      <w:tr w14:paraId="0167E1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10" w:type="dxa"/>
            <w:vMerge w:val="continue"/>
            <w:tcBorders>
              <w:left w:val="single" w:color="auto" w:sz="4" w:space="0"/>
              <w:right w:val="single" w:color="auto" w:sz="4" w:space="0"/>
            </w:tcBorders>
            <w:vAlign w:val="center"/>
          </w:tcPr>
          <w:p w14:paraId="15A069A7">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宋体" w:hAnsi="宋体" w:eastAsia="宋体" w:cs="宋体"/>
                <w:color w:val="auto"/>
                <w:sz w:val="21"/>
                <w:szCs w:val="21"/>
              </w:rPr>
            </w:pPr>
          </w:p>
        </w:tc>
        <w:tc>
          <w:tcPr>
            <w:tcW w:w="1408" w:type="dxa"/>
            <w:vMerge w:val="continue"/>
            <w:tcBorders>
              <w:left w:val="nil"/>
              <w:right w:val="single" w:color="auto" w:sz="4" w:space="0"/>
            </w:tcBorders>
            <w:vAlign w:val="center"/>
          </w:tcPr>
          <w:p w14:paraId="169F72D4">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宋体" w:hAnsi="宋体" w:eastAsia="宋体" w:cs="宋体"/>
                <w:color w:val="auto"/>
                <w:sz w:val="21"/>
                <w:szCs w:val="21"/>
                <w:lang w:val="en-US" w:eastAsia="zh-CN"/>
              </w:rPr>
            </w:pPr>
          </w:p>
        </w:tc>
        <w:tc>
          <w:tcPr>
            <w:tcW w:w="5852" w:type="dxa"/>
            <w:tcBorders>
              <w:top w:val="single" w:color="auto" w:sz="4" w:space="0"/>
              <w:left w:val="single" w:color="auto" w:sz="4" w:space="0"/>
              <w:bottom w:val="single" w:color="auto" w:sz="4" w:space="0"/>
              <w:right w:val="single" w:color="auto" w:sz="4" w:space="0"/>
            </w:tcBorders>
            <w:shd w:val="clear" w:color="auto" w:fill="auto"/>
            <w:vAlign w:val="center"/>
          </w:tcPr>
          <w:p w14:paraId="4D9EC657">
            <w:pPr>
              <w:keepNext w:val="0"/>
              <w:keepLines w:val="0"/>
              <w:pageBreakBefore w:val="0"/>
              <w:tabs>
                <w:tab w:val="left" w:pos="4915"/>
              </w:tabs>
              <w:kinsoku/>
              <w:wordWrap/>
              <w:overflowPunct/>
              <w:topLinePunct w:val="0"/>
              <w:autoSpaceDE/>
              <w:autoSpaceDN/>
              <w:bidi w:val="0"/>
              <w:adjustRightInd/>
              <w:snapToGrid/>
              <w:spacing w:line="360" w:lineRule="exact"/>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8.3</w:t>
            </w:r>
            <w:r>
              <w:rPr>
                <w:rFonts w:hint="eastAsia" w:ascii="宋体" w:hAnsi="宋体" w:eastAsia="宋体" w:cs="宋体"/>
                <w:color w:val="auto"/>
                <w:sz w:val="21"/>
                <w:szCs w:val="21"/>
                <w:highlight w:val="none"/>
              </w:rPr>
              <w:t>拟派项目团队中（项目负责人、技术负责人除外）</w:t>
            </w:r>
            <w:r>
              <w:rPr>
                <w:rFonts w:hint="eastAsia" w:ascii="宋体" w:hAnsi="宋体" w:cs="宋体"/>
                <w:color w:val="auto"/>
                <w:sz w:val="21"/>
                <w:szCs w:val="21"/>
                <w:highlight w:val="none"/>
                <w:lang w:eastAsia="zh-CN"/>
              </w:rPr>
              <w:t>：</w:t>
            </w:r>
          </w:p>
          <w:p w14:paraId="54E19256">
            <w:pPr>
              <w:keepNext w:val="0"/>
              <w:keepLines w:val="0"/>
              <w:pageBreakBefore w:val="0"/>
              <w:tabs>
                <w:tab w:val="left" w:pos="4915"/>
              </w:tabs>
              <w:kinsoku/>
              <w:wordWrap/>
              <w:overflowPunct/>
              <w:topLinePunct w:val="0"/>
              <w:autoSpaceDE/>
              <w:autoSpaceDN/>
              <w:bidi w:val="0"/>
              <w:adjustRightInd/>
              <w:snapToGrid/>
              <w:spacing w:line="360" w:lineRule="exact"/>
              <w:textAlignment w:val="auto"/>
              <w:rPr>
                <w:rFonts w:hint="eastAsia" w:ascii="宋体" w:hAnsi="宋体" w:eastAsia="宋体" w:cs="宋体"/>
                <w:color w:val="auto"/>
                <w:sz w:val="21"/>
                <w:szCs w:val="21"/>
                <w:highlight w:val="none"/>
              </w:rPr>
            </w:pPr>
            <w:r>
              <w:rPr>
                <w:rFonts w:hint="eastAsia" w:ascii="宋体" w:hAnsi="宋体" w:cs="宋体"/>
                <w:color w:val="auto"/>
                <w:kern w:val="2"/>
                <w:szCs w:val="21"/>
                <w:highlight w:val="none"/>
                <w:lang w:val="en-US" w:eastAsia="zh-CN"/>
              </w:rPr>
              <w:t>具有至少1项本项目相关的无损检测二级或以上证书（</w:t>
            </w:r>
            <w:r>
              <w:rPr>
                <w:rFonts w:hint="eastAsia" w:ascii="宋体" w:hAnsi="宋体" w:eastAsia="宋体" w:cs="宋体"/>
                <w:color w:val="auto"/>
                <w:szCs w:val="21"/>
                <w:highlight w:val="none"/>
                <w:lang w:val="en-US" w:eastAsia="zh-CN"/>
              </w:rPr>
              <w:t>声发射检测、超声检测、</w:t>
            </w:r>
            <w:r>
              <w:rPr>
                <w:rFonts w:hint="eastAsia" w:ascii="宋体" w:hAnsi="宋体" w:eastAsia="宋体" w:cs="宋体"/>
                <w:color w:val="auto"/>
                <w:szCs w:val="21"/>
                <w:highlight w:val="none"/>
                <w:lang w:eastAsia="zh-CN"/>
              </w:rPr>
              <w:t>磁粉</w:t>
            </w:r>
            <w:r>
              <w:rPr>
                <w:rFonts w:hint="eastAsia" w:ascii="宋体" w:hAnsi="宋体" w:eastAsia="宋体" w:cs="宋体"/>
                <w:color w:val="auto"/>
                <w:szCs w:val="21"/>
                <w:highlight w:val="none"/>
                <w:lang w:val="en-US" w:eastAsia="zh-CN"/>
              </w:rPr>
              <w:t>检测、渗透检测</w:t>
            </w:r>
            <w:r>
              <w:rPr>
                <w:rFonts w:hint="eastAsia" w:ascii="宋体" w:hAnsi="宋体" w:cs="宋体"/>
                <w:color w:val="auto"/>
                <w:kern w:val="2"/>
                <w:szCs w:val="21"/>
                <w:highlight w:val="none"/>
                <w:lang w:val="en-US" w:eastAsia="zh-CN"/>
              </w:rPr>
              <w:t>），每1人得1分，最高3分。同一人多证不重复得分。</w:t>
            </w:r>
          </w:p>
          <w:p w14:paraId="320AE0FB">
            <w:pPr>
              <w:keepNext w:val="0"/>
              <w:keepLines w:val="0"/>
              <w:pageBreakBefore w:val="0"/>
              <w:tabs>
                <w:tab w:val="left" w:pos="4915"/>
              </w:tabs>
              <w:kinsoku/>
              <w:wordWrap/>
              <w:overflowPunct/>
              <w:topLinePunct w:val="0"/>
              <w:autoSpaceDE/>
              <w:autoSpaceDN/>
              <w:bidi w:val="0"/>
              <w:adjustRightInd/>
              <w:snapToGrid/>
              <w:spacing w:line="360" w:lineRule="exac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提供证书复印件和</w:t>
            </w:r>
            <w:r>
              <w:rPr>
                <w:rFonts w:hint="eastAsia" w:ascii="宋体" w:hAnsi="宋体" w:cs="宋体"/>
                <w:color w:val="auto"/>
                <w:sz w:val="21"/>
                <w:szCs w:val="21"/>
                <w:highlight w:val="none"/>
                <w:lang w:val="en-US" w:eastAsia="zh-CN"/>
              </w:rPr>
              <w:t>距离开标日</w:t>
            </w:r>
            <w:r>
              <w:rPr>
                <w:rFonts w:hint="eastAsia" w:ascii="宋体" w:hAnsi="宋体" w:eastAsia="宋体" w:cs="宋体"/>
                <w:color w:val="auto"/>
                <w:sz w:val="21"/>
                <w:szCs w:val="21"/>
                <w:highlight w:val="none"/>
              </w:rPr>
              <w:t>近3个月</w:t>
            </w:r>
            <w:r>
              <w:rPr>
                <w:rFonts w:hint="eastAsia" w:ascii="宋体" w:hAnsi="宋体" w:eastAsia="宋体" w:cs="宋体"/>
                <w:color w:val="auto"/>
                <w:sz w:val="21"/>
                <w:szCs w:val="21"/>
                <w:highlight w:val="none"/>
                <w:lang w:val="en-US" w:eastAsia="zh-CN"/>
              </w:rPr>
              <w:t>内</w:t>
            </w:r>
            <w:r>
              <w:rPr>
                <w:rFonts w:hint="eastAsia" w:ascii="宋体" w:hAnsi="宋体" w:eastAsia="宋体" w:cs="宋体"/>
                <w:color w:val="auto"/>
                <w:sz w:val="21"/>
                <w:szCs w:val="21"/>
                <w:highlight w:val="none"/>
              </w:rPr>
              <w:t>任意1个月的社保证明。</w:t>
            </w:r>
          </w:p>
        </w:tc>
        <w:tc>
          <w:tcPr>
            <w:tcW w:w="777" w:type="dxa"/>
            <w:tcBorders>
              <w:top w:val="single" w:color="auto" w:sz="4" w:space="0"/>
              <w:left w:val="nil"/>
              <w:bottom w:val="single" w:color="auto" w:sz="4" w:space="0"/>
              <w:right w:val="single" w:color="auto" w:sz="4" w:space="0"/>
            </w:tcBorders>
            <w:shd w:val="clear" w:color="auto" w:fill="auto"/>
            <w:vAlign w:val="center"/>
          </w:tcPr>
          <w:p w14:paraId="1E5570D6">
            <w:pPr>
              <w:keepNext w:val="0"/>
              <w:keepLines w:val="0"/>
              <w:pageBreakBefore w:val="0"/>
              <w:kinsoku/>
              <w:wordWrap/>
              <w:overflowPunct/>
              <w:topLinePunct w:val="0"/>
              <w:autoSpaceDE/>
              <w:autoSpaceDN/>
              <w:bidi w:val="0"/>
              <w:adjustRightInd/>
              <w:snapToGrid/>
              <w:spacing w:line="360" w:lineRule="exact"/>
              <w:contextualSpacing/>
              <w:jc w:val="center"/>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kern w:val="2"/>
                <w:sz w:val="21"/>
                <w:szCs w:val="21"/>
                <w:lang w:val="en-US" w:eastAsia="zh-CN" w:bidi="ar-SA"/>
              </w:rPr>
              <w:t>3</w:t>
            </w:r>
          </w:p>
        </w:tc>
        <w:tc>
          <w:tcPr>
            <w:tcW w:w="846" w:type="dxa"/>
            <w:tcBorders>
              <w:top w:val="single" w:color="auto" w:sz="4" w:space="0"/>
              <w:left w:val="nil"/>
              <w:bottom w:val="single" w:color="auto" w:sz="4" w:space="0"/>
              <w:right w:val="single" w:color="auto" w:sz="4" w:space="0"/>
            </w:tcBorders>
            <w:shd w:val="clear" w:color="auto" w:fill="auto"/>
            <w:vAlign w:val="center"/>
          </w:tcPr>
          <w:p w14:paraId="7705904E">
            <w:pPr>
              <w:keepNext w:val="0"/>
              <w:keepLines w:val="0"/>
              <w:pageBreakBefore w:val="0"/>
              <w:kinsoku/>
              <w:wordWrap/>
              <w:overflowPunct/>
              <w:topLinePunct w:val="0"/>
              <w:autoSpaceDE/>
              <w:autoSpaceDN/>
              <w:bidi w:val="0"/>
              <w:adjustRightInd/>
              <w:snapToGrid/>
              <w:spacing w:line="360" w:lineRule="exact"/>
              <w:contextualSpacing/>
              <w:jc w:val="center"/>
              <w:textAlignment w:val="auto"/>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 w:val="21"/>
                <w:szCs w:val="21"/>
                <w:lang w:val="en-US" w:eastAsia="zh-CN"/>
              </w:rPr>
              <w:t>客观分</w:t>
            </w:r>
          </w:p>
        </w:tc>
      </w:tr>
      <w:tr w14:paraId="352B1E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10" w:type="dxa"/>
            <w:vMerge w:val="continue"/>
            <w:tcBorders>
              <w:left w:val="single" w:color="auto" w:sz="4" w:space="0"/>
              <w:right w:val="single" w:color="auto" w:sz="4" w:space="0"/>
            </w:tcBorders>
            <w:vAlign w:val="center"/>
          </w:tcPr>
          <w:p w14:paraId="0FDA804A">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宋体" w:hAnsi="宋体" w:eastAsia="宋体" w:cs="宋体"/>
                <w:color w:val="auto"/>
                <w:sz w:val="21"/>
                <w:szCs w:val="21"/>
              </w:rPr>
            </w:pPr>
          </w:p>
        </w:tc>
        <w:tc>
          <w:tcPr>
            <w:tcW w:w="1408" w:type="dxa"/>
            <w:tcBorders>
              <w:left w:val="nil"/>
              <w:right w:val="single" w:color="auto" w:sz="4" w:space="0"/>
            </w:tcBorders>
            <w:vAlign w:val="center"/>
          </w:tcPr>
          <w:p w14:paraId="502345F0">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宋体" w:hAnsi="宋体" w:eastAsia="宋体" w:cs="宋体"/>
                <w:color w:val="auto"/>
                <w:sz w:val="21"/>
                <w:szCs w:val="21"/>
                <w:lang w:val="zh-CN" w:eastAsia="zh-CN"/>
              </w:rPr>
            </w:pPr>
            <w:r>
              <w:rPr>
                <w:rFonts w:hint="eastAsia" w:ascii="宋体" w:hAnsi="宋体" w:eastAsia="宋体" w:cs="宋体"/>
                <w:color w:val="auto"/>
                <w:sz w:val="21"/>
                <w:szCs w:val="21"/>
                <w:lang w:val="en-US" w:eastAsia="zh-CN"/>
              </w:rPr>
              <w:t>9.体系认证（</w:t>
            </w:r>
            <w:r>
              <w:rPr>
                <w:rFonts w:hint="eastAsia" w:ascii="宋体" w:hAnsi="宋体" w:cs="宋体"/>
                <w:color w:val="auto"/>
                <w:sz w:val="21"/>
                <w:szCs w:val="21"/>
                <w:lang w:val="en-US" w:eastAsia="zh-CN"/>
              </w:rPr>
              <w:t>3</w:t>
            </w:r>
            <w:r>
              <w:rPr>
                <w:rFonts w:hint="eastAsia" w:ascii="宋体" w:hAnsi="宋体" w:eastAsia="宋体" w:cs="宋体"/>
                <w:color w:val="auto"/>
                <w:sz w:val="21"/>
                <w:szCs w:val="21"/>
                <w:lang w:val="en-US" w:eastAsia="zh-CN"/>
              </w:rPr>
              <w:t>分）</w:t>
            </w:r>
          </w:p>
        </w:tc>
        <w:tc>
          <w:tcPr>
            <w:tcW w:w="5852" w:type="dxa"/>
            <w:tcBorders>
              <w:top w:val="single" w:color="auto" w:sz="4" w:space="0"/>
              <w:left w:val="single" w:color="auto" w:sz="4" w:space="0"/>
              <w:bottom w:val="single" w:color="auto" w:sz="4" w:space="0"/>
              <w:right w:val="single" w:color="auto" w:sz="4" w:space="0"/>
            </w:tcBorders>
            <w:shd w:val="clear" w:color="auto" w:fill="auto"/>
          </w:tcPr>
          <w:p w14:paraId="18994EC0">
            <w:pPr>
              <w:keepNext w:val="0"/>
              <w:keepLines w:val="0"/>
              <w:pageBreakBefore w:val="0"/>
              <w:tabs>
                <w:tab w:val="left" w:pos="4915"/>
              </w:tabs>
              <w:kinsoku/>
              <w:wordWrap/>
              <w:overflowPunct/>
              <w:topLinePunct w:val="0"/>
              <w:autoSpaceDE/>
              <w:autoSpaceDN/>
              <w:bidi w:val="0"/>
              <w:adjustRightInd/>
              <w:snapToGrid/>
              <w:spacing w:line="360" w:lineRule="exact"/>
              <w:textAlignment w:val="auto"/>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9.1</w:t>
            </w:r>
            <w:r>
              <w:rPr>
                <w:rFonts w:hint="eastAsia" w:ascii="宋体" w:hAnsi="宋体" w:cs="宋体"/>
                <w:color w:val="auto"/>
                <w:szCs w:val="21"/>
                <w:highlight w:val="none"/>
              </w:rPr>
              <w:t>投标人具有ISO9001质量体系认证证书、ISO14001环境管理体系认证证书、ISO45001职业健康安全管理体系认证证书</w:t>
            </w:r>
            <w:r>
              <w:rPr>
                <w:rFonts w:hint="eastAsia" w:ascii="宋体" w:hAnsi="宋体" w:cs="宋体"/>
                <w:color w:val="auto"/>
                <w:sz w:val="21"/>
                <w:szCs w:val="21"/>
                <w:highlight w:val="none"/>
                <w:lang w:val="en-US" w:eastAsia="zh-CN"/>
              </w:rPr>
              <w:t>，每份证书得1分，最高得3分。</w:t>
            </w:r>
          </w:p>
          <w:p w14:paraId="71F9A67F">
            <w:pPr>
              <w:keepNext w:val="0"/>
              <w:keepLines w:val="0"/>
              <w:pageBreakBefore w:val="0"/>
              <w:tabs>
                <w:tab w:val="left" w:pos="4915"/>
              </w:tabs>
              <w:kinsoku/>
              <w:wordWrap/>
              <w:overflowPunct/>
              <w:topLinePunct w:val="0"/>
              <w:autoSpaceDE/>
              <w:autoSpaceDN/>
              <w:bidi w:val="0"/>
              <w:adjustRightInd/>
              <w:snapToGrid/>
              <w:spacing w:line="360" w:lineRule="exact"/>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提供证书复印件。</w:t>
            </w:r>
          </w:p>
        </w:tc>
        <w:tc>
          <w:tcPr>
            <w:tcW w:w="777" w:type="dxa"/>
            <w:tcBorders>
              <w:top w:val="single" w:color="auto" w:sz="4" w:space="0"/>
              <w:left w:val="nil"/>
              <w:bottom w:val="single" w:color="auto" w:sz="4" w:space="0"/>
              <w:right w:val="single" w:color="auto" w:sz="4" w:space="0"/>
            </w:tcBorders>
            <w:shd w:val="clear" w:color="auto" w:fill="auto"/>
            <w:vAlign w:val="center"/>
          </w:tcPr>
          <w:p w14:paraId="081C0187">
            <w:pPr>
              <w:keepNext w:val="0"/>
              <w:keepLines w:val="0"/>
              <w:pageBreakBefore w:val="0"/>
              <w:kinsoku/>
              <w:wordWrap/>
              <w:overflowPunct/>
              <w:topLinePunct w:val="0"/>
              <w:autoSpaceDE/>
              <w:autoSpaceDN/>
              <w:bidi w:val="0"/>
              <w:adjustRightInd/>
              <w:snapToGrid/>
              <w:spacing w:line="360" w:lineRule="exact"/>
              <w:contextualSpacing/>
              <w:jc w:val="center"/>
              <w:textAlignment w:val="auto"/>
              <w:rPr>
                <w:rFonts w:hint="default" w:ascii="宋体" w:hAnsi="宋体" w:eastAsia="宋体" w:cs="宋体"/>
                <w:color w:val="auto"/>
                <w:sz w:val="21"/>
                <w:szCs w:val="21"/>
                <w:lang w:val="en-US" w:eastAsia="zh-CN"/>
              </w:rPr>
            </w:pPr>
            <w:r>
              <w:rPr>
                <w:rFonts w:hint="eastAsia" w:ascii="宋体" w:hAnsi="宋体" w:cs="宋体"/>
                <w:color w:val="auto"/>
                <w:sz w:val="21"/>
                <w:szCs w:val="21"/>
                <w:lang w:val="en-US" w:eastAsia="zh-CN"/>
              </w:rPr>
              <w:t>3</w:t>
            </w:r>
          </w:p>
        </w:tc>
        <w:tc>
          <w:tcPr>
            <w:tcW w:w="846" w:type="dxa"/>
            <w:tcBorders>
              <w:top w:val="single" w:color="auto" w:sz="4" w:space="0"/>
              <w:left w:val="nil"/>
              <w:bottom w:val="single" w:color="auto" w:sz="4" w:space="0"/>
              <w:right w:val="single" w:color="auto" w:sz="4" w:space="0"/>
            </w:tcBorders>
            <w:shd w:val="clear" w:color="auto" w:fill="auto"/>
            <w:vAlign w:val="center"/>
          </w:tcPr>
          <w:p w14:paraId="36AE0760">
            <w:pPr>
              <w:keepNext w:val="0"/>
              <w:keepLines w:val="0"/>
              <w:pageBreakBefore w:val="0"/>
              <w:kinsoku/>
              <w:wordWrap/>
              <w:overflowPunct/>
              <w:topLinePunct w:val="0"/>
              <w:autoSpaceDE/>
              <w:autoSpaceDN/>
              <w:bidi w:val="0"/>
              <w:adjustRightInd/>
              <w:snapToGrid/>
              <w:spacing w:line="360" w:lineRule="exact"/>
              <w:contextualSpacing/>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客观分</w:t>
            </w:r>
          </w:p>
        </w:tc>
      </w:tr>
      <w:tr w14:paraId="0FBBD1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10" w:type="dxa"/>
            <w:vMerge w:val="continue"/>
            <w:tcBorders>
              <w:left w:val="single" w:color="auto" w:sz="4" w:space="0"/>
              <w:right w:val="single" w:color="auto" w:sz="4" w:space="0"/>
            </w:tcBorders>
            <w:vAlign w:val="center"/>
          </w:tcPr>
          <w:p w14:paraId="60B7BDFA">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宋体" w:hAnsi="宋体" w:eastAsia="宋体" w:cs="宋体"/>
                <w:color w:val="auto"/>
                <w:sz w:val="21"/>
                <w:szCs w:val="21"/>
              </w:rPr>
            </w:pPr>
          </w:p>
        </w:tc>
        <w:tc>
          <w:tcPr>
            <w:tcW w:w="1408" w:type="dxa"/>
            <w:tcBorders>
              <w:left w:val="nil"/>
              <w:right w:val="single" w:color="auto" w:sz="4" w:space="0"/>
            </w:tcBorders>
            <w:vAlign w:val="center"/>
          </w:tcPr>
          <w:p w14:paraId="37F6D078">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宋体" w:hAnsi="宋体" w:eastAsia="宋体" w:cs="宋体"/>
                <w:color w:val="auto"/>
                <w:sz w:val="21"/>
                <w:szCs w:val="21"/>
                <w:lang w:val="zh-CN" w:eastAsia="zh-CN"/>
              </w:rPr>
            </w:pPr>
            <w:r>
              <w:rPr>
                <w:rFonts w:hint="eastAsia" w:ascii="宋体" w:hAnsi="宋体" w:eastAsia="宋体" w:cs="宋体"/>
                <w:color w:val="auto"/>
                <w:sz w:val="21"/>
                <w:szCs w:val="21"/>
                <w:lang w:val="en-US" w:eastAsia="zh-CN"/>
              </w:rPr>
              <w:t>10.同类案例（1分）</w:t>
            </w:r>
          </w:p>
        </w:tc>
        <w:tc>
          <w:tcPr>
            <w:tcW w:w="5852" w:type="dxa"/>
            <w:tcBorders>
              <w:top w:val="single" w:color="auto" w:sz="4" w:space="0"/>
              <w:left w:val="single" w:color="auto" w:sz="4" w:space="0"/>
              <w:bottom w:val="single" w:color="auto" w:sz="4" w:space="0"/>
              <w:right w:val="single" w:color="auto" w:sz="4" w:space="0"/>
            </w:tcBorders>
            <w:shd w:val="clear" w:color="auto" w:fill="auto"/>
          </w:tcPr>
          <w:p w14:paraId="1C5FB598">
            <w:pPr>
              <w:keepNext w:val="0"/>
              <w:keepLines w:val="0"/>
              <w:pageBreakBefore w:val="0"/>
              <w:tabs>
                <w:tab w:val="left" w:pos="4915"/>
              </w:tabs>
              <w:kinsoku/>
              <w:wordWrap/>
              <w:overflowPunct/>
              <w:topLinePunct w:val="0"/>
              <w:autoSpaceDE/>
              <w:autoSpaceDN/>
              <w:bidi w:val="0"/>
              <w:adjustRightInd/>
              <w:snapToGrid/>
              <w:spacing w:line="360" w:lineRule="exact"/>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10.1自2022年1月1日以来（以合同签订时间为准）投标人具有同类项目业绩的，每个业绩得0.5分，最多1分。</w:t>
            </w:r>
          </w:p>
          <w:p w14:paraId="02742702">
            <w:pPr>
              <w:keepNext w:val="0"/>
              <w:keepLines w:val="0"/>
              <w:pageBreakBefore w:val="0"/>
              <w:tabs>
                <w:tab w:val="left" w:pos="4915"/>
              </w:tabs>
              <w:kinsoku/>
              <w:wordWrap/>
              <w:overflowPunct/>
              <w:topLinePunct w:val="0"/>
              <w:autoSpaceDE/>
              <w:autoSpaceDN/>
              <w:bidi w:val="0"/>
              <w:adjustRightInd/>
              <w:snapToGrid/>
              <w:spacing w:line="360" w:lineRule="exact"/>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提供合同复印件。</w:t>
            </w:r>
          </w:p>
        </w:tc>
        <w:tc>
          <w:tcPr>
            <w:tcW w:w="777" w:type="dxa"/>
            <w:tcBorders>
              <w:top w:val="single" w:color="auto" w:sz="4" w:space="0"/>
              <w:left w:val="nil"/>
              <w:bottom w:val="single" w:color="auto" w:sz="4" w:space="0"/>
              <w:right w:val="single" w:color="auto" w:sz="4" w:space="0"/>
            </w:tcBorders>
            <w:shd w:val="clear" w:color="auto" w:fill="auto"/>
            <w:vAlign w:val="center"/>
          </w:tcPr>
          <w:p w14:paraId="324CAEF1">
            <w:pPr>
              <w:keepNext w:val="0"/>
              <w:keepLines w:val="0"/>
              <w:pageBreakBefore w:val="0"/>
              <w:kinsoku/>
              <w:wordWrap/>
              <w:overflowPunct/>
              <w:topLinePunct w:val="0"/>
              <w:autoSpaceDE/>
              <w:autoSpaceDN/>
              <w:bidi w:val="0"/>
              <w:adjustRightInd/>
              <w:snapToGrid/>
              <w:spacing w:line="360" w:lineRule="exact"/>
              <w:contextualSpacing/>
              <w:jc w:val="center"/>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rPr>
              <w:t>1</w:t>
            </w:r>
          </w:p>
        </w:tc>
        <w:tc>
          <w:tcPr>
            <w:tcW w:w="846" w:type="dxa"/>
            <w:tcBorders>
              <w:top w:val="single" w:color="auto" w:sz="4" w:space="0"/>
              <w:left w:val="nil"/>
              <w:bottom w:val="single" w:color="auto" w:sz="4" w:space="0"/>
              <w:right w:val="single" w:color="auto" w:sz="4" w:space="0"/>
            </w:tcBorders>
            <w:shd w:val="clear" w:color="auto" w:fill="auto"/>
            <w:vAlign w:val="center"/>
          </w:tcPr>
          <w:p w14:paraId="2B5B8D03">
            <w:pPr>
              <w:keepNext w:val="0"/>
              <w:keepLines w:val="0"/>
              <w:pageBreakBefore w:val="0"/>
              <w:kinsoku/>
              <w:wordWrap/>
              <w:overflowPunct/>
              <w:topLinePunct w:val="0"/>
              <w:autoSpaceDE/>
              <w:autoSpaceDN/>
              <w:bidi w:val="0"/>
              <w:adjustRightInd/>
              <w:snapToGrid/>
              <w:spacing w:line="360" w:lineRule="exact"/>
              <w:contextualSpacing/>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客观分</w:t>
            </w:r>
          </w:p>
        </w:tc>
      </w:tr>
      <w:tr w14:paraId="7DCC8E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10" w:type="dxa"/>
            <w:vMerge w:val="continue"/>
            <w:tcBorders>
              <w:left w:val="single" w:color="auto" w:sz="4" w:space="0"/>
              <w:right w:val="single" w:color="auto" w:sz="4" w:space="0"/>
            </w:tcBorders>
            <w:vAlign w:val="center"/>
          </w:tcPr>
          <w:p w14:paraId="4D881AAE">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宋体" w:hAnsi="宋体" w:eastAsia="宋体" w:cs="宋体"/>
                <w:color w:val="auto"/>
                <w:sz w:val="21"/>
                <w:szCs w:val="21"/>
              </w:rPr>
            </w:pPr>
          </w:p>
        </w:tc>
        <w:tc>
          <w:tcPr>
            <w:tcW w:w="1408" w:type="dxa"/>
            <w:tcBorders>
              <w:left w:val="nil"/>
              <w:right w:val="single" w:color="auto" w:sz="4" w:space="0"/>
            </w:tcBorders>
            <w:vAlign w:val="center"/>
          </w:tcPr>
          <w:p w14:paraId="179665E0">
            <w:pPr>
              <w:keepNext w:val="0"/>
              <w:keepLines w:val="0"/>
              <w:pageBreakBefore w:val="0"/>
              <w:widowControl/>
              <w:kinsoku/>
              <w:wordWrap/>
              <w:overflowPunct/>
              <w:topLinePunct w:val="0"/>
              <w:autoSpaceDE/>
              <w:autoSpaceDN/>
              <w:bidi w:val="0"/>
              <w:adjustRightInd/>
              <w:snapToGrid/>
              <w:spacing w:line="360" w:lineRule="exact"/>
              <w:jc w:val="left"/>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11.服务承诺（6分）</w:t>
            </w:r>
          </w:p>
        </w:tc>
        <w:tc>
          <w:tcPr>
            <w:tcW w:w="5852" w:type="dxa"/>
            <w:tcBorders>
              <w:top w:val="single" w:color="auto" w:sz="4" w:space="0"/>
              <w:left w:val="single" w:color="auto" w:sz="4" w:space="0"/>
              <w:bottom w:val="single" w:color="auto" w:sz="4" w:space="0"/>
              <w:right w:val="single" w:color="auto" w:sz="4" w:space="0"/>
            </w:tcBorders>
            <w:shd w:val="clear" w:color="auto" w:fill="auto"/>
          </w:tcPr>
          <w:p w14:paraId="7993343C">
            <w:pPr>
              <w:keepNext w:val="0"/>
              <w:keepLines w:val="0"/>
              <w:pageBreakBefore w:val="0"/>
              <w:tabs>
                <w:tab w:val="left" w:pos="4915"/>
              </w:tabs>
              <w:kinsoku/>
              <w:wordWrap/>
              <w:overflowPunct/>
              <w:topLinePunct w:val="0"/>
              <w:autoSpaceDE/>
              <w:autoSpaceDN/>
              <w:bidi w:val="0"/>
              <w:adjustRightInd/>
              <w:snapToGrid/>
              <w:spacing w:line="360" w:lineRule="exact"/>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11.1根据投标人为</w:t>
            </w:r>
            <w:r>
              <w:rPr>
                <w:rFonts w:hint="eastAsia" w:ascii="宋体" w:hAnsi="宋体" w:cs="宋体"/>
                <w:color w:val="auto"/>
                <w:sz w:val="21"/>
                <w:szCs w:val="21"/>
                <w:lang w:val="en-US" w:eastAsia="zh-CN"/>
              </w:rPr>
              <w:t>本</w:t>
            </w:r>
            <w:r>
              <w:rPr>
                <w:rFonts w:hint="eastAsia" w:ascii="宋体" w:hAnsi="宋体" w:eastAsia="宋体" w:cs="宋体"/>
                <w:color w:val="auto"/>
                <w:sz w:val="21"/>
                <w:szCs w:val="21"/>
                <w:lang w:val="en-US" w:eastAsia="zh-CN"/>
              </w:rPr>
              <w:t>服务项目提供的服务承诺进行评议：</w:t>
            </w:r>
          </w:p>
          <w:p w14:paraId="021ABA1B">
            <w:pPr>
              <w:keepNext w:val="0"/>
              <w:keepLines w:val="0"/>
              <w:pageBreakBefore w:val="0"/>
              <w:tabs>
                <w:tab w:val="left" w:pos="4915"/>
              </w:tabs>
              <w:kinsoku/>
              <w:wordWrap/>
              <w:overflowPunct/>
              <w:topLinePunct w:val="0"/>
              <w:autoSpaceDE/>
              <w:autoSpaceDN/>
              <w:bidi w:val="0"/>
              <w:adjustRightInd/>
              <w:snapToGrid/>
              <w:spacing w:line="360" w:lineRule="exact"/>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①承诺保障措施完整可行，响应及时，服务便捷，</w:t>
            </w:r>
            <w:r>
              <w:rPr>
                <w:rFonts w:hint="eastAsia" w:ascii="宋体" w:hAnsi="宋体" w:cs="宋体"/>
                <w:color w:val="auto"/>
                <w:sz w:val="21"/>
                <w:szCs w:val="21"/>
                <w:lang w:val="en-US" w:eastAsia="zh-CN"/>
              </w:rPr>
              <w:t>各项</w:t>
            </w:r>
            <w:r>
              <w:rPr>
                <w:rFonts w:hint="eastAsia" w:ascii="宋体" w:hAnsi="宋体" w:cs="宋体"/>
                <w:bCs/>
                <w:color w:val="auto"/>
                <w:sz w:val="21"/>
                <w:szCs w:val="21"/>
                <w:lang w:val="en-US" w:eastAsia="zh-CN"/>
              </w:rPr>
              <w:t>服务承诺</w:t>
            </w:r>
            <w:r>
              <w:rPr>
                <w:rFonts w:hint="eastAsia" w:ascii="宋体" w:hAnsi="宋体" w:eastAsia="宋体" w:cs="宋体"/>
                <w:bCs/>
                <w:color w:val="auto"/>
                <w:sz w:val="21"/>
                <w:szCs w:val="21"/>
              </w:rPr>
              <w:t>与</w:t>
            </w:r>
            <w:r>
              <w:rPr>
                <w:rFonts w:hint="eastAsia" w:ascii="宋体" w:hAnsi="宋体" w:cs="宋体"/>
                <w:bCs/>
                <w:color w:val="auto"/>
                <w:sz w:val="21"/>
                <w:szCs w:val="21"/>
                <w:lang w:val="en-US" w:eastAsia="zh-CN"/>
              </w:rPr>
              <w:t>项目实际</w:t>
            </w:r>
            <w:r>
              <w:rPr>
                <w:rFonts w:hint="eastAsia" w:ascii="宋体" w:hAnsi="宋体" w:eastAsia="宋体" w:cs="宋体"/>
                <w:bCs/>
                <w:color w:val="auto"/>
                <w:sz w:val="21"/>
                <w:szCs w:val="21"/>
              </w:rPr>
              <w:t>需求匹配度高，能</w:t>
            </w:r>
            <w:r>
              <w:rPr>
                <w:rFonts w:hint="eastAsia" w:ascii="宋体" w:hAnsi="宋体" w:cs="宋体"/>
                <w:bCs/>
                <w:color w:val="auto"/>
                <w:sz w:val="21"/>
                <w:szCs w:val="21"/>
                <w:lang w:val="en-US" w:eastAsia="zh-CN"/>
              </w:rPr>
              <w:t>有效保障项目顺利实施</w:t>
            </w:r>
            <w:r>
              <w:rPr>
                <w:rFonts w:hint="eastAsia" w:ascii="宋体" w:hAnsi="宋体" w:eastAsia="宋体" w:cs="宋体"/>
                <w:bCs/>
                <w:color w:val="auto"/>
                <w:sz w:val="21"/>
                <w:szCs w:val="21"/>
              </w:rPr>
              <w:t>的</w:t>
            </w:r>
            <w:r>
              <w:rPr>
                <w:rFonts w:hint="eastAsia" w:ascii="宋体" w:hAnsi="宋体" w:eastAsia="宋体" w:cs="宋体"/>
                <w:color w:val="auto"/>
                <w:sz w:val="21"/>
                <w:szCs w:val="21"/>
                <w:lang w:val="en-US" w:eastAsia="zh-CN"/>
              </w:rPr>
              <w:t>得6分；</w:t>
            </w:r>
          </w:p>
          <w:p w14:paraId="551B87C7">
            <w:pPr>
              <w:keepNext w:val="0"/>
              <w:keepLines w:val="0"/>
              <w:pageBreakBefore w:val="0"/>
              <w:tabs>
                <w:tab w:val="left" w:pos="4915"/>
              </w:tabs>
              <w:kinsoku/>
              <w:wordWrap/>
              <w:overflowPunct/>
              <w:topLinePunct w:val="0"/>
              <w:autoSpaceDE/>
              <w:autoSpaceDN/>
              <w:bidi w:val="0"/>
              <w:adjustRightInd/>
              <w:snapToGrid/>
              <w:spacing w:line="360" w:lineRule="exact"/>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②承诺保障措施完整、响应较及时，服务较为便捷，</w:t>
            </w:r>
            <w:r>
              <w:rPr>
                <w:rFonts w:hint="eastAsia" w:ascii="宋体" w:hAnsi="宋体" w:cs="宋体"/>
                <w:color w:val="auto"/>
                <w:sz w:val="21"/>
                <w:szCs w:val="21"/>
                <w:lang w:val="en-US" w:eastAsia="zh-CN"/>
              </w:rPr>
              <w:t>各项</w:t>
            </w:r>
            <w:r>
              <w:rPr>
                <w:rFonts w:hint="eastAsia" w:ascii="宋体" w:hAnsi="宋体" w:cs="宋体"/>
                <w:bCs/>
                <w:color w:val="auto"/>
                <w:sz w:val="21"/>
                <w:szCs w:val="21"/>
                <w:lang w:val="en-US" w:eastAsia="zh-CN"/>
              </w:rPr>
              <w:t>服务承诺</w:t>
            </w:r>
            <w:r>
              <w:rPr>
                <w:rFonts w:hint="eastAsia" w:ascii="宋体" w:hAnsi="宋体" w:eastAsia="宋体" w:cs="宋体"/>
                <w:bCs/>
                <w:color w:val="auto"/>
                <w:sz w:val="21"/>
                <w:szCs w:val="21"/>
              </w:rPr>
              <w:t>基本满足采购需求的</w:t>
            </w:r>
            <w:r>
              <w:rPr>
                <w:rFonts w:hint="eastAsia" w:ascii="宋体" w:hAnsi="宋体" w:eastAsia="宋体" w:cs="宋体"/>
                <w:color w:val="auto"/>
                <w:sz w:val="21"/>
                <w:szCs w:val="21"/>
                <w:lang w:val="en-US" w:eastAsia="zh-CN"/>
              </w:rPr>
              <w:t>的得4分；</w:t>
            </w:r>
          </w:p>
          <w:p w14:paraId="74FF022D">
            <w:pPr>
              <w:keepNext w:val="0"/>
              <w:keepLines w:val="0"/>
              <w:pageBreakBefore w:val="0"/>
              <w:tabs>
                <w:tab w:val="left" w:pos="4915"/>
              </w:tabs>
              <w:kinsoku/>
              <w:wordWrap/>
              <w:overflowPunct/>
              <w:topLinePunct w:val="0"/>
              <w:autoSpaceDE/>
              <w:autoSpaceDN/>
              <w:bidi w:val="0"/>
              <w:adjustRightInd/>
              <w:snapToGrid/>
              <w:spacing w:line="360" w:lineRule="exact"/>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③承诺保障措施不完整，或服务响应不及时，</w:t>
            </w:r>
            <w:r>
              <w:rPr>
                <w:rFonts w:hint="eastAsia" w:ascii="宋体" w:hAnsi="宋体" w:cs="宋体"/>
                <w:bCs/>
                <w:color w:val="auto"/>
                <w:sz w:val="21"/>
                <w:szCs w:val="21"/>
                <w:lang w:val="en-US" w:eastAsia="zh-CN"/>
              </w:rPr>
              <w:t>各项服务承诺</w:t>
            </w:r>
            <w:r>
              <w:rPr>
                <w:rFonts w:hint="eastAsia" w:ascii="宋体" w:hAnsi="宋体" w:eastAsia="宋体" w:cs="宋体"/>
                <w:bCs/>
                <w:color w:val="auto"/>
                <w:sz w:val="21"/>
                <w:szCs w:val="21"/>
                <w:lang w:val="en-US" w:eastAsia="zh-CN"/>
              </w:rPr>
              <w:t>难以</w:t>
            </w:r>
            <w:r>
              <w:rPr>
                <w:rFonts w:hint="eastAsia" w:ascii="宋体" w:hAnsi="宋体" w:eastAsia="宋体" w:cs="宋体"/>
                <w:bCs/>
                <w:color w:val="auto"/>
                <w:sz w:val="21"/>
                <w:szCs w:val="21"/>
              </w:rPr>
              <w:t>满足采购需求</w:t>
            </w:r>
            <w:r>
              <w:rPr>
                <w:rFonts w:hint="eastAsia" w:ascii="宋体" w:hAnsi="宋体" w:eastAsia="宋体" w:cs="宋体"/>
                <w:color w:val="auto"/>
                <w:sz w:val="21"/>
                <w:szCs w:val="21"/>
                <w:lang w:val="en-US" w:eastAsia="zh-CN"/>
              </w:rPr>
              <w:t>的得2分；</w:t>
            </w:r>
          </w:p>
          <w:p w14:paraId="36D3EECE">
            <w:pPr>
              <w:keepNext w:val="0"/>
              <w:keepLines w:val="0"/>
              <w:pageBreakBefore w:val="0"/>
              <w:tabs>
                <w:tab w:val="left" w:pos="4915"/>
              </w:tabs>
              <w:kinsoku/>
              <w:wordWrap/>
              <w:overflowPunct/>
              <w:topLinePunct w:val="0"/>
              <w:autoSpaceDE/>
              <w:autoSpaceDN/>
              <w:bidi w:val="0"/>
              <w:adjustRightInd/>
              <w:snapToGrid/>
              <w:spacing w:line="360" w:lineRule="exact"/>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④未提供相关内容不得分。</w:t>
            </w:r>
          </w:p>
        </w:tc>
        <w:tc>
          <w:tcPr>
            <w:tcW w:w="777" w:type="dxa"/>
            <w:tcBorders>
              <w:top w:val="single" w:color="auto" w:sz="4" w:space="0"/>
              <w:left w:val="nil"/>
              <w:bottom w:val="single" w:color="auto" w:sz="4" w:space="0"/>
              <w:right w:val="single" w:color="auto" w:sz="4" w:space="0"/>
            </w:tcBorders>
            <w:shd w:val="clear" w:color="auto" w:fill="auto"/>
            <w:vAlign w:val="center"/>
          </w:tcPr>
          <w:p w14:paraId="071865B3">
            <w:pPr>
              <w:keepNext w:val="0"/>
              <w:keepLines w:val="0"/>
              <w:pageBreakBefore w:val="0"/>
              <w:kinsoku/>
              <w:wordWrap/>
              <w:overflowPunct/>
              <w:topLinePunct w:val="0"/>
              <w:autoSpaceDE/>
              <w:autoSpaceDN/>
              <w:bidi w:val="0"/>
              <w:adjustRightInd/>
              <w:snapToGrid/>
              <w:spacing w:line="360" w:lineRule="exact"/>
              <w:contextualSpacing/>
              <w:jc w:val="center"/>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6</w:t>
            </w:r>
          </w:p>
        </w:tc>
        <w:tc>
          <w:tcPr>
            <w:tcW w:w="846" w:type="dxa"/>
            <w:tcBorders>
              <w:top w:val="single" w:color="auto" w:sz="4" w:space="0"/>
              <w:left w:val="nil"/>
              <w:bottom w:val="single" w:color="auto" w:sz="4" w:space="0"/>
              <w:right w:val="single" w:color="auto" w:sz="4" w:space="0"/>
            </w:tcBorders>
            <w:shd w:val="clear" w:color="auto" w:fill="auto"/>
            <w:vAlign w:val="center"/>
          </w:tcPr>
          <w:p w14:paraId="77E14235">
            <w:pPr>
              <w:keepNext w:val="0"/>
              <w:keepLines w:val="0"/>
              <w:pageBreakBefore w:val="0"/>
              <w:kinsoku/>
              <w:wordWrap/>
              <w:overflowPunct/>
              <w:topLinePunct w:val="0"/>
              <w:autoSpaceDE/>
              <w:autoSpaceDN/>
              <w:bidi w:val="0"/>
              <w:adjustRightInd/>
              <w:snapToGrid/>
              <w:spacing w:line="360" w:lineRule="exact"/>
              <w:contextualSpacing/>
              <w:jc w:val="center"/>
              <w:textAlignment w:val="auto"/>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主观分</w:t>
            </w:r>
          </w:p>
        </w:tc>
      </w:tr>
      <w:tr w14:paraId="64CC13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10" w:type="dxa"/>
            <w:tcBorders>
              <w:top w:val="nil"/>
              <w:left w:val="single" w:color="auto" w:sz="4" w:space="0"/>
              <w:bottom w:val="single" w:color="auto" w:sz="4" w:space="0"/>
              <w:right w:val="single" w:color="auto" w:sz="4" w:space="0"/>
            </w:tcBorders>
            <w:vAlign w:val="center"/>
          </w:tcPr>
          <w:p w14:paraId="5271831A">
            <w:pPr>
              <w:keepNext w:val="0"/>
              <w:keepLines w:val="0"/>
              <w:pageBreakBefore w:val="0"/>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价格部分</w:t>
            </w:r>
          </w:p>
          <w:p w14:paraId="6E13D976">
            <w:pPr>
              <w:keepNext w:val="0"/>
              <w:keepLines w:val="0"/>
              <w:pageBreakBefore w:val="0"/>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15分</w:t>
            </w:r>
          </w:p>
        </w:tc>
        <w:tc>
          <w:tcPr>
            <w:tcW w:w="7260" w:type="dxa"/>
            <w:gridSpan w:val="2"/>
            <w:tcBorders>
              <w:top w:val="single" w:color="auto" w:sz="4" w:space="0"/>
              <w:left w:val="nil"/>
              <w:bottom w:val="single" w:color="auto" w:sz="4" w:space="0"/>
              <w:right w:val="single" w:color="auto" w:sz="4" w:space="0"/>
            </w:tcBorders>
            <w:vAlign w:val="center"/>
          </w:tcPr>
          <w:p w14:paraId="0081E42F">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满足招标文件要求且最低的参与评审价格为评标基准价，其价格分为满分。</w:t>
            </w:r>
          </w:p>
          <w:p w14:paraId="3E9526A4">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color w:val="auto"/>
                <w:kern w:val="0"/>
                <w:sz w:val="21"/>
                <w:szCs w:val="21"/>
                <w:lang w:val="zh-CN"/>
              </w:rPr>
            </w:pPr>
            <w:r>
              <w:rPr>
                <w:rFonts w:hint="eastAsia" w:ascii="宋体" w:hAnsi="宋体" w:eastAsia="宋体" w:cs="宋体"/>
                <w:color w:val="auto"/>
                <w:kern w:val="0"/>
                <w:sz w:val="21"/>
                <w:szCs w:val="21"/>
                <w:lang w:val="zh-CN"/>
              </w:rPr>
              <w:t>其余投标人价格分为：</w:t>
            </w:r>
          </w:p>
          <w:p w14:paraId="30B9128C">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color w:val="auto"/>
                <w:kern w:val="0"/>
                <w:sz w:val="21"/>
                <w:szCs w:val="21"/>
                <w:lang w:val="en-US"/>
              </w:rPr>
            </w:pPr>
            <w:r>
              <w:rPr>
                <w:rFonts w:hint="eastAsia" w:ascii="宋体" w:hAnsi="宋体" w:eastAsia="宋体" w:cs="宋体"/>
                <w:color w:val="auto"/>
                <w:kern w:val="0"/>
                <w:sz w:val="21"/>
                <w:szCs w:val="21"/>
                <w:lang w:val="zh-CN"/>
              </w:rPr>
              <w:t>报价得分=（评标基准价/参与评审的价格）×</w:t>
            </w:r>
            <w:r>
              <w:rPr>
                <w:rFonts w:hint="eastAsia" w:ascii="宋体" w:hAnsi="宋体" w:eastAsia="宋体" w:cs="宋体"/>
                <w:color w:val="auto"/>
                <w:kern w:val="0"/>
                <w:sz w:val="21"/>
                <w:szCs w:val="21"/>
                <w:lang w:val="en-US" w:eastAsia="zh-CN"/>
              </w:rPr>
              <w:t>15</w:t>
            </w:r>
          </w:p>
          <w:p w14:paraId="433C0DEF">
            <w:pPr>
              <w:keepNext w:val="0"/>
              <w:keepLines w:val="0"/>
              <w:pageBreakBefore w:val="0"/>
              <w:kinsoku/>
              <w:wordWrap/>
              <w:overflowPunct/>
              <w:topLinePunct w:val="0"/>
              <w:autoSpaceDE/>
              <w:autoSpaceDN/>
              <w:bidi w:val="0"/>
              <w:adjustRightInd/>
              <w:snapToGrid/>
              <w:spacing w:line="360" w:lineRule="exact"/>
              <w:textAlignment w:val="auto"/>
              <w:rPr>
                <w:rFonts w:hint="eastAsia" w:ascii="宋体" w:hAnsi="宋体" w:eastAsia="宋体" w:cs="宋体"/>
                <w:color w:val="auto"/>
                <w:sz w:val="21"/>
                <w:szCs w:val="21"/>
              </w:rPr>
            </w:pPr>
            <w:r>
              <w:rPr>
                <w:rFonts w:hint="eastAsia" w:ascii="宋体" w:hAnsi="宋体" w:eastAsia="宋体" w:cs="宋体"/>
                <w:color w:val="auto"/>
                <w:kern w:val="0"/>
                <w:sz w:val="21"/>
                <w:szCs w:val="21"/>
                <w:lang w:val="zh-CN"/>
              </w:rPr>
              <w:t>参与评审的价格=投标价格×（1-小微企业价格优惠值</w:t>
            </w:r>
            <w:r>
              <w:rPr>
                <w:rFonts w:hint="eastAsia" w:ascii="宋体" w:hAnsi="宋体" w:eastAsia="宋体" w:cs="宋体"/>
                <w:color w:val="auto"/>
                <w:kern w:val="0"/>
                <w:sz w:val="21"/>
                <w:szCs w:val="21"/>
              </w:rPr>
              <w:t xml:space="preserve"> </w:t>
            </w:r>
            <w:r>
              <w:rPr>
                <w:rFonts w:hint="eastAsia" w:ascii="宋体" w:hAnsi="宋体" w:eastAsia="宋体" w:cs="宋体"/>
                <w:color w:val="auto"/>
                <w:kern w:val="0"/>
                <w:sz w:val="21"/>
                <w:szCs w:val="21"/>
                <w:lang w:val="en-US" w:eastAsia="zh-CN"/>
              </w:rPr>
              <w:t>10</w:t>
            </w:r>
            <w:r>
              <w:rPr>
                <w:rFonts w:hint="eastAsia" w:ascii="宋体" w:hAnsi="宋体" w:eastAsia="宋体" w:cs="宋体"/>
                <w:color w:val="auto"/>
                <w:kern w:val="0"/>
                <w:sz w:val="21"/>
                <w:szCs w:val="21"/>
                <w:lang w:val="zh-CN"/>
              </w:rPr>
              <w:t>%）</w:t>
            </w:r>
          </w:p>
        </w:tc>
        <w:tc>
          <w:tcPr>
            <w:tcW w:w="777" w:type="dxa"/>
            <w:tcBorders>
              <w:top w:val="single" w:color="auto" w:sz="4" w:space="0"/>
              <w:left w:val="nil"/>
              <w:bottom w:val="single" w:color="auto" w:sz="4" w:space="0"/>
              <w:right w:val="single" w:color="auto" w:sz="4" w:space="0"/>
            </w:tcBorders>
            <w:vAlign w:val="center"/>
          </w:tcPr>
          <w:p w14:paraId="23F12046">
            <w:pPr>
              <w:keepNext w:val="0"/>
              <w:keepLines w:val="0"/>
              <w:pageBreakBefore w:val="0"/>
              <w:kinsoku/>
              <w:wordWrap/>
              <w:overflowPunct/>
              <w:topLinePunct w:val="0"/>
              <w:autoSpaceDE/>
              <w:autoSpaceDN/>
              <w:bidi w:val="0"/>
              <w:adjustRightInd/>
              <w:snapToGrid/>
              <w:spacing w:line="360" w:lineRule="exact"/>
              <w:contextualSpacing/>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15</w:t>
            </w:r>
          </w:p>
        </w:tc>
        <w:tc>
          <w:tcPr>
            <w:tcW w:w="846" w:type="dxa"/>
            <w:tcBorders>
              <w:top w:val="single" w:color="auto" w:sz="4" w:space="0"/>
              <w:left w:val="nil"/>
              <w:bottom w:val="single" w:color="auto" w:sz="4" w:space="0"/>
              <w:right w:val="single" w:color="auto" w:sz="4" w:space="0"/>
            </w:tcBorders>
            <w:vAlign w:val="center"/>
          </w:tcPr>
          <w:p w14:paraId="7D878B9B">
            <w:pPr>
              <w:keepNext w:val="0"/>
              <w:keepLines w:val="0"/>
              <w:pageBreakBefore w:val="0"/>
              <w:kinsoku/>
              <w:wordWrap/>
              <w:overflowPunct/>
              <w:topLinePunct w:val="0"/>
              <w:autoSpaceDE/>
              <w:autoSpaceDN/>
              <w:bidi w:val="0"/>
              <w:adjustRightInd/>
              <w:snapToGrid/>
              <w:spacing w:line="360" w:lineRule="exact"/>
              <w:contextualSpacing/>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客观分</w:t>
            </w:r>
          </w:p>
        </w:tc>
      </w:tr>
      <w:tr w14:paraId="6B8E2B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7970" w:type="dxa"/>
            <w:gridSpan w:val="3"/>
            <w:tcBorders>
              <w:top w:val="single" w:color="auto" w:sz="4" w:space="0"/>
              <w:left w:val="single" w:color="auto" w:sz="4" w:space="0"/>
              <w:bottom w:val="single" w:color="auto" w:sz="4" w:space="0"/>
              <w:right w:val="single" w:color="auto" w:sz="4" w:space="0"/>
            </w:tcBorders>
            <w:vAlign w:val="center"/>
          </w:tcPr>
          <w:p w14:paraId="36B79E41">
            <w:pPr>
              <w:keepNext w:val="0"/>
              <w:keepLines w:val="0"/>
              <w:pageBreakBefore w:val="0"/>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总分</w:t>
            </w:r>
          </w:p>
        </w:tc>
        <w:tc>
          <w:tcPr>
            <w:tcW w:w="777" w:type="dxa"/>
            <w:tcBorders>
              <w:top w:val="single" w:color="auto" w:sz="4" w:space="0"/>
              <w:left w:val="nil"/>
              <w:bottom w:val="single" w:color="auto" w:sz="4" w:space="0"/>
              <w:right w:val="single" w:color="auto" w:sz="4" w:space="0"/>
            </w:tcBorders>
            <w:vAlign w:val="center"/>
          </w:tcPr>
          <w:p w14:paraId="012A3B2F">
            <w:pPr>
              <w:keepNext w:val="0"/>
              <w:keepLines w:val="0"/>
              <w:pageBreakBefore w:val="0"/>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sz w:val="21"/>
                <w:szCs w:val="21"/>
              </w:rPr>
            </w:pPr>
            <w:r>
              <w:rPr>
                <w:rFonts w:hint="eastAsia" w:ascii="宋体" w:hAnsi="宋体" w:eastAsia="宋体" w:cs="宋体"/>
                <w:color w:val="auto"/>
                <w:sz w:val="21"/>
                <w:szCs w:val="21"/>
              </w:rPr>
              <w:t>100</w:t>
            </w:r>
          </w:p>
        </w:tc>
        <w:tc>
          <w:tcPr>
            <w:tcW w:w="846" w:type="dxa"/>
            <w:tcBorders>
              <w:top w:val="single" w:color="auto" w:sz="4" w:space="0"/>
              <w:left w:val="nil"/>
              <w:bottom w:val="single" w:color="auto" w:sz="4" w:space="0"/>
              <w:right w:val="single" w:color="auto" w:sz="4" w:space="0"/>
            </w:tcBorders>
            <w:vAlign w:val="center"/>
          </w:tcPr>
          <w:p w14:paraId="795E5791">
            <w:pPr>
              <w:keepNext w:val="0"/>
              <w:keepLines w:val="0"/>
              <w:pageBreakBefore w:val="0"/>
              <w:kinsoku/>
              <w:wordWrap/>
              <w:overflowPunct/>
              <w:topLinePunct w:val="0"/>
              <w:autoSpaceDE/>
              <w:autoSpaceDN/>
              <w:bidi w:val="0"/>
              <w:adjustRightInd/>
              <w:snapToGrid/>
              <w:spacing w:line="360" w:lineRule="exact"/>
              <w:jc w:val="center"/>
              <w:textAlignment w:val="auto"/>
              <w:rPr>
                <w:rFonts w:hint="eastAsia" w:ascii="宋体" w:hAnsi="宋体" w:eastAsia="宋体" w:cs="宋体"/>
                <w:color w:val="auto"/>
                <w:sz w:val="21"/>
                <w:szCs w:val="21"/>
              </w:rPr>
            </w:pPr>
          </w:p>
        </w:tc>
      </w:tr>
    </w:tbl>
    <w:p w14:paraId="0B5116E2">
      <w:pPr>
        <w:spacing w:line="340" w:lineRule="exact"/>
        <w:rPr>
          <w:b/>
          <w:bCs/>
          <w:color w:val="auto"/>
          <w:sz w:val="24"/>
          <w:highlight w:val="none"/>
        </w:rPr>
      </w:pPr>
    </w:p>
    <w:p w14:paraId="67E7E56F">
      <w:pPr>
        <w:pStyle w:val="40"/>
        <w:rPr>
          <w:rFonts w:ascii="Calibri" w:hAnsi="Calibri"/>
          <w:color w:val="auto"/>
          <w:highlight w:val="none"/>
        </w:rPr>
      </w:pPr>
    </w:p>
    <w:p w14:paraId="18152EA8">
      <w:pPr>
        <w:spacing w:line="340" w:lineRule="exact"/>
        <w:rPr>
          <w:rFonts w:ascii="宋体"/>
          <w:color w:val="auto"/>
          <w:highlight w:val="none"/>
        </w:rPr>
      </w:pPr>
    </w:p>
    <w:p w14:paraId="7E7390B9">
      <w:pPr>
        <w:spacing w:line="340" w:lineRule="exact"/>
        <w:rPr>
          <w:rFonts w:ascii="宋体"/>
          <w:color w:val="auto"/>
          <w:highlight w:val="none"/>
        </w:rPr>
      </w:pPr>
      <w:r>
        <w:rPr>
          <w:rFonts w:hint="eastAsia" w:ascii="宋体"/>
          <w:color w:val="auto"/>
          <w:highlight w:val="none"/>
        </w:rPr>
        <w:t>评委签名：                                  日期：</w:t>
      </w:r>
    </w:p>
    <w:p w14:paraId="143A1A55">
      <w:pPr>
        <w:rPr>
          <w:rFonts w:ascii="宋体"/>
          <w:color w:val="auto"/>
          <w:spacing w:val="14"/>
          <w:highlight w:val="none"/>
        </w:rPr>
      </w:pPr>
    </w:p>
    <w:p w14:paraId="09DADAA4">
      <w:pPr>
        <w:rPr>
          <w:rFonts w:ascii="宋体"/>
          <w:color w:val="auto"/>
          <w:spacing w:val="14"/>
          <w:highlight w:val="none"/>
        </w:rPr>
      </w:pPr>
      <w:r>
        <w:rPr>
          <w:rFonts w:hint="eastAsia" w:ascii="宋体"/>
          <w:color w:val="auto"/>
          <w:spacing w:val="14"/>
          <w:highlight w:val="none"/>
        </w:rPr>
        <w:t>打分说明：</w:t>
      </w:r>
    </w:p>
    <w:p w14:paraId="23218846">
      <w:pPr>
        <w:ind w:left="476" w:hanging="476" w:hangingChars="200"/>
        <w:rPr>
          <w:rFonts w:cs="Calibri"/>
          <w:color w:val="auto"/>
          <w:spacing w:val="14"/>
          <w:highlight w:val="none"/>
        </w:rPr>
      </w:pPr>
      <w:r>
        <w:rPr>
          <w:rFonts w:cs="Calibri"/>
          <w:color w:val="auto"/>
          <w:spacing w:val="14"/>
          <w:highlight w:val="none"/>
        </w:rPr>
        <w:t>（</w:t>
      </w:r>
      <w:r>
        <w:rPr>
          <w:rFonts w:hint="eastAsia" w:cs="Calibri"/>
          <w:color w:val="auto"/>
          <w:spacing w:val="14"/>
          <w:highlight w:val="none"/>
        </w:rPr>
        <w:t>1</w:t>
      </w:r>
      <w:r>
        <w:rPr>
          <w:rFonts w:cs="Calibri"/>
          <w:color w:val="auto"/>
          <w:spacing w:val="14"/>
          <w:highlight w:val="none"/>
        </w:rPr>
        <w:t>）评委根据评标情况逐栏打分，每栏分值不得超出本栏规定的分值范围</w:t>
      </w:r>
      <w:r>
        <w:rPr>
          <w:rFonts w:hint="eastAsia" w:cs="Calibri"/>
          <w:color w:val="auto"/>
          <w:spacing w:val="14"/>
          <w:highlight w:val="none"/>
        </w:rPr>
        <w:t>，客观分必须统一</w:t>
      </w:r>
      <w:r>
        <w:rPr>
          <w:rFonts w:cs="Calibri"/>
          <w:color w:val="auto"/>
          <w:spacing w:val="14"/>
          <w:highlight w:val="none"/>
        </w:rPr>
        <w:t>；</w:t>
      </w:r>
    </w:p>
    <w:p w14:paraId="6F010828">
      <w:pPr>
        <w:spacing w:line="360" w:lineRule="exact"/>
        <w:ind w:right="-506" w:rightChars="-241"/>
        <w:rPr>
          <w:b/>
          <w:color w:val="auto"/>
          <w:sz w:val="32"/>
          <w:highlight w:val="none"/>
        </w:rPr>
        <w:sectPr>
          <w:footerReference r:id="rId5" w:type="default"/>
          <w:pgSz w:w="11907" w:h="16840"/>
          <w:pgMar w:top="1440" w:right="1797" w:bottom="1440" w:left="1377" w:header="720" w:footer="1197" w:gutter="0"/>
          <w:pgBorders>
            <w:top w:val="none" w:sz="0" w:space="0"/>
            <w:left w:val="none" w:sz="0" w:space="0"/>
            <w:bottom w:val="none" w:sz="0" w:space="0"/>
            <w:right w:val="none" w:sz="0" w:space="0"/>
          </w:pgBorders>
          <w:pgNumType w:start="1"/>
          <w:cols w:space="720" w:num="1"/>
          <w:docGrid w:type="lines" w:linePitch="285" w:charSpace="0"/>
        </w:sectPr>
      </w:pPr>
      <w:r>
        <w:rPr>
          <w:rFonts w:cs="Calibri"/>
          <w:color w:val="auto"/>
          <w:spacing w:val="14"/>
          <w:highlight w:val="none"/>
        </w:rPr>
        <w:t>（</w:t>
      </w:r>
      <w:r>
        <w:rPr>
          <w:rFonts w:hint="eastAsia" w:cs="Calibri"/>
          <w:color w:val="auto"/>
          <w:spacing w:val="14"/>
          <w:highlight w:val="none"/>
        </w:rPr>
        <w:t>2</w:t>
      </w:r>
      <w:r>
        <w:rPr>
          <w:rFonts w:cs="Calibri"/>
          <w:color w:val="auto"/>
          <w:spacing w:val="14"/>
          <w:highlight w:val="none"/>
        </w:rPr>
        <w:t>）各评分因素分值精确到小数点后</w:t>
      </w:r>
      <w:r>
        <w:rPr>
          <w:rFonts w:hint="eastAsia" w:cs="Calibri"/>
          <w:color w:val="auto"/>
          <w:spacing w:val="14"/>
          <w:highlight w:val="none"/>
        </w:rPr>
        <w:t>两</w:t>
      </w:r>
      <w:r>
        <w:rPr>
          <w:rFonts w:cs="Calibri"/>
          <w:color w:val="auto"/>
          <w:spacing w:val="14"/>
          <w:highlight w:val="none"/>
        </w:rPr>
        <w:t>位。</w:t>
      </w:r>
    </w:p>
    <w:p w14:paraId="1D1CE48B">
      <w:pPr>
        <w:rPr>
          <w:color w:val="auto"/>
          <w:sz w:val="24"/>
          <w:szCs w:val="24"/>
          <w:highlight w:val="none"/>
        </w:rPr>
      </w:pPr>
    </w:p>
    <w:p w14:paraId="7352A2EB">
      <w:pPr>
        <w:spacing w:line="400" w:lineRule="exact"/>
        <w:ind w:left="1205" w:hanging="1355" w:hangingChars="375"/>
        <w:jc w:val="center"/>
        <w:outlineLvl w:val="0"/>
        <w:rPr>
          <w:rFonts w:hint="default" w:ascii="Times New Roman" w:hAnsi="Times New Roman"/>
          <w:b/>
          <w:color w:val="auto"/>
          <w:sz w:val="36"/>
          <w:szCs w:val="36"/>
          <w:highlight w:val="none"/>
        </w:rPr>
      </w:pPr>
      <w:bookmarkStart w:id="8" w:name="_Toc31702"/>
      <w:bookmarkStart w:id="9" w:name="_Toc50348105"/>
      <w:r>
        <w:rPr>
          <w:rFonts w:hint="default" w:ascii="Times New Roman" w:hAnsi="Times New Roman"/>
          <w:b/>
          <w:color w:val="auto"/>
          <w:sz w:val="36"/>
          <w:szCs w:val="36"/>
          <w:highlight w:val="none"/>
        </w:rPr>
        <w:t>第五部分  合同条款及合同格式</w:t>
      </w:r>
    </w:p>
    <w:p w14:paraId="06EA7377">
      <w:pPr>
        <w:tabs>
          <w:tab w:val="left" w:pos="606"/>
        </w:tabs>
        <w:spacing w:line="360" w:lineRule="exact"/>
        <w:ind w:firstLine="480" w:firstLineChars="200"/>
        <w:jc w:val="left"/>
        <w:outlineLvl w:val="9"/>
        <w:rPr>
          <w:rFonts w:hint="eastAsia" w:ascii="宋体" w:hAnsi="宋体"/>
          <w:b w:val="0"/>
          <w:color w:val="auto"/>
          <w:sz w:val="24"/>
          <w:szCs w:val="24"/>
          <w:highlight w:val="none"/>
        </w:rPr>
      </w:pPr>
    </w:p>
    <w:p w14:paraId="23D0B9F0">
      <w:pPr>
        <w:tabs>
          <w:tab w:val="left" w:pos="606"/>
        </w:tabs>
        <w:spacing w:line="360" w:lineRule="exact"/>
        <w:ind w:firstLine="482" w:firstLineChars="200"/>
        <w:jc w:val="center"/>
        <w:outlineLvl w:val="9"/>
        <w:rPr>
          <w:rFonts w:hint="eastAsia" w:ascii="宋体" w:hAnsi="宋体"/>
          <w:b/>
          <w:bCs/>
          <w:color w:val="auto"/>
          <w:sz w:val="24"/>
          <w:szCs w:val="24"/>
          <w:highlight w:val="none"/>
        </w:rPr>
      </w:pPr>
      <w:r>
        <w:rPr>
          <w:rFonts w:hint="eastAsia" w:ascii="宋体" w:hAnsi="宋体"/>
          <w:b/>
          <w:bCs/>
          <w:color w:val="auto"/>
          <w:sz w:val="24"/>
          <w:szCs w:val="24"/>
          <w:highlight w:val="none"/>
        </w:rPr>
        <w:t>政府采购合同（服务）</w:t>
      </w:r>
    </w:p>
    <w:p w14:paraId="784F437C">
      <w:pPr>
        <w:tabs>
          <w:tab w:val="left" w:pos="606"/>
        </w:tabs>
        <w:spacing w:line="360" w:lineRule="exact"/>
        <w:ind w:firstLine="480" w:firstLineChars="200"/>
        <w:jc w:val="left"/>
        <w:outlineLvl w:val="9"/>
        <w:rPr>
          <w:rFonts w:hint="eastAsia" w:ascii="宋体" w:hAnsi="宋体"/>
          <w:b w:val="0"/>
          <w:color w:val="auto"/>
          <w:sz w:val="24"/>
          <w:szCs w:val="24"/>
          <w:highlight w:val="none"/>
        </w:rPr>
      </w:pPr>
    </w:p>
    <w:p w14:paraId="46062B18">
      <w:pPr>
        <w:tabs>
          <w:tab w:val="left" w:pos="606"/>
        </w:tabs>
        <w:spacing w:line="360" w:lineRule="exact"/>
        <w:ind w:firstLine="480" w:firstLineChars="200"/>
        <w:jc w:val="left"/>
        <w:outlineLvl w:val="9"/>
        <w:rPr>
          <w:rFonts w:hint="eastAsia" w:ascii="宋体" w:hAnsi="宋体"/>
          <w:b w:val="0"/>
          <w:color w:val="auto"/>
          <w:sz w:val="24"/>
          <w:szCs w:val="24"/>
          <w:highlight w:val="none"/>
        </w:rPr>
      </w:pPr>
      <w:r>
        <w:rPr>
          <w:rFonts w:hint="eastAsia" w:ascii="宋体" w:hAnsi="宋体"/>
          <w:b w:val="0"/>
          <w:color w:val="auto"/>
          <w:sz w:val="24"/>
          <w:szCs w:val="24"/>
          <w:highlight w:val="none"/>
        </w:rPr>
        <w:t>项目名称：</w:t>
      </w:r>
      <w:r>
        <w:rPr>
          <w:rFonts w:hint="eastAsia" w:ascii="宋体" w:hAnsi="宋体"/>
          <w:b w:val="0"/>
          <w:color w:val="auto"/>
          <w:sz w:val="24"/>
          <w:szCs w:val="24"/>
          <w:highlight w:val="none"/>
          <w:u w:val="single"/>
        </w:rPr>
        <w:t xml:space="preserve">           </w:t>
      </w:r>
      <w:r>
        <w:rPr>
          <w:rFonts w:hint="eastAsia" w:ascii="宋体" w:hAnsi="宋体"/>
          <w:b w:val="0"/>
          <w:color w:val="auto"/>
          <w:sz w:val="24"/>
          <w:szCs w:val="24"/>
          <w:highlight w:val="none"/>
        </w:rPr>
        <w:t xml:space="preserve">                项目编号：                 </w:t>
      </w:r>
    </w:p>
    <w:p w14:paraId="78E60558">
      <w:pPr>
        <w:tabs>
          <w:tab w:val="left" w:pos="606"/>
        </w:tabs>
        <w:spacing w:line="360" w:lineRule="exact"/>
        <w:ind w:firstLine="480" w:firstLineChars="200"/>
        <w:jc w:val="left"/>
        <w:outlineLvl w:val="9"/>
        <w:rPr>
          <w:rFonts w:hint="eastAsia" w:ascii="宋体" w:hAnsi="宋体"/>
          <w:b w:val="0"/>
          <w:color w:val="auto"/>
          <w:sz w:val="24"/>
          <w:szCs w:val="24"/>
          <w:highlight w:val="none"/>
        </w:rPr>
      </w:pPr>
    </w:p>
    <w:p w14:paraId="2C838B29">
      <w:pPr>
        <w:tabs>
          <w:tab w:val="left" w:pos="606"/>
        </w:tabs>
        <w:spacing w:line="360" w:lineRule="exact"/>
        <w:ind w:firstLine="480" w:firstLineChars="200"/>
        <w:jc w:val="left"/>
        <w:outlineLvl w:val="9"/>
        <w:rPr>
          <w:rFonts w:hint="eastAsia" w:ascii="宋体" w:hAnsi="宋体"/>
          <w:b w:val="0"/>
          <w:color w:val="auto"/>
          <w:sz w:val="24"/>
          <w:szCs w:val="24"/>
          <w:highlight w:val="none"/>
        </w:rPr>
      </w:pPr>
      <w:r>
        <w:rPr>
          <w:rFonts w:hint="eastAsia" w:ascii="宋体" w:hAnsi="宋体"/>
          <w:b w:val="0"/>
          <w:color w:val="auto"/>
          <w:sz w:val="24"/>
          <w:szCs w:val="24"/>
          <w:highlight w:val="none"/>
        </w:rPr>
        <w:t xml:space="preserve">甲方： </w:t>
      </w:r>
      <w:r>
        <w:rPr>
          <w:rFonts w:hint="eastAsia" w:ascii="宋体" w:hAnsi="宋体"/>
          <w:b w:val="0"/>
          <w:color w:val="auto"/>
          <w:sz w:val="24"/>
          <w:szCs w:val="24"/>
          <w:highlight w:val="none"/>
          <w:u w:val="single"/>
        </w:rPr>
        <w:t xml:space="preserve"> 宁波市北仑区港航管理中心</w:t>
      </w:r>
      <w:r>
        <w:rPr>
          <w:rFonts w:hint="eastAsia" w:ascii="宋体" w:hAnsi="宋体"/>
          <w:b w:val="0"/>
          <w:color w:val="auto"/>
          <w:sz w:val="24"/>
          <w:szCs w:val="24"/>
          <w:highlight w:val="none"/>
        </w:rPr>
        <w:t xml:space="preserve">  </w:t>
      </w:r>
    </w:p>
    <w:p w14:paraId="7AB68DD5">
      <w:pPr>
        <w:tabs>
          <w:tab w:val="left" w:pos="606"/>
        </w:tabs>
        <w:spacing w:line="360" w:lineRule="exact"/>
        <w:ind w:firstLine="480" w:firstLineChars="200"/>
        <w:jc w:val="left"/>
        <w:outlineLvl w:val="9"/>
        <w:rPr>
          <w:rFonts w:hint="eastAsia" w:ascii="宋体" w:hAnsi="宋体"/>
          <w:b w:val="0"/>
          <w:color w:val="auto"/>
          <w:sz w:val="24"/>
          <w:szCs w:val="24"/>
          <w:highlight w:val="none"/>
        </w:rPr>
      </w:pPr>
      <w:r>
        <w:rPr>
          <w:rFonts w:hint="eastAsia" w:ascii="宋体" w:hAnsi="宋体"/>
          <w:b w:val="0"/>
          <w:color w:val="auto"/>
          <w:sz w:val="24"/>
          <w:szCs w:val="24"/>
          <w:highlight w:val="none"/>
        </w:rPr>
        <w:t>乙方：</w:t>
      </w:r>
      <w:r>
        <w:rPr>
          <w:rFonts w:hint="eastAsia" w:ascii="宋体" w:hAnsi="宋体"/>
          <w:b w:val="0"/>
          <w:color w:val="auto"/>
          <w:sz w:val="24"/>
          <w:szCs w:val="24"/>
          <w:highlight w:val="none"/>
          <w:u w:val="single"/>
        </w:rPr>
        <w:t xml:space="preserve">（中标供应商）   </w:t>
      </w:r>
      <w:r>
        <w:rPr>
          <w:rFonts w:hint="eastAsia" w:ascii="宋体" w:hAnsi="宋体"/>
          <w:b w:val="0"/>
          <w:color w:val="auto"/>
          <w:sz w:val="24"/>
          <w:szCs w:val="24"/>
          <w:highlight w:val="none"/>
        </w:rPr>
        <w:t xml:space="preserve">            </w:t>
      </w:r>
    </w:p>
    <w:p w14:paraId="047DC891">
      <w:pPr>
        <w:tabs>
          <w:tab w:val="left" w:pos="606"/>
        </w:tabs>
        <w:spacing w:line="360" w:lineRule="exact"/>
        <w:ind w:firstLine="480" w:firstLineChars="200"/>
        <w:jc w:val="left"/>
        <w:outlineLvl w:val="9"/>
        <w:rPr>
          <w:rFonts w:hint="eastAsia" w:ascii="宋体" w:hAnsi="宋体"/>
          <w:b w:val="0"/>
          <w:color w:val="auto"/>
          <w:sz w:val="24"/>
          <w:szCs w:val="24"/>
          <w:highlight w:val="none"/>
        </w:rPr>
      </w:pPr>
      <w:r>
        <w:rPr>
          <w:rFonts w:hint="eastAsia" w:ascii="宋体" w:hAnsi="宋体"/>
          <w:b w:val="0"/>
          <w:color w:val="auto"/>
          <w:sz w:val="24"/>
          <w:szCs w:val="24"/>
          <w:highlight w:val="none"/>
        </w:rPr>
        <w:t xml:space="preserve">    </w:t>
      </w:r>
    </w:p>
    <w:p w14:paraId="2A78D6FA">
      <w:pPr>
        <w:tabs>
          <w:tab w:val="left" w:pos="606"/>
        </w:tabs>
        <w:spacing w:line="360" w:lineRule="exact"/>
        <w:ind w:firstLine="480" w:firstLineChars="200"/>
        <w:jc w:val="left"/>
        <w:outlineLvl w:val="9"/>
        <w:rPr>
          <w:rFonts w:hint="eastAsia" w:ascii="宋体" w:hAnsi="宋体"/>
          <w:b w:val="0"/>
          <w:color w:val="auto"/>
          <w:sz w:val="24"/>
          <w:szCs w:val="24"/>
          <w:highlight w:val="none"/>
        </w:rPr>
      </w:pPr>
      <w:r>
        <w:rPr>
          <w:rFonts w:hint="eastAsia" w:ascii="宋体" w:hAnsi="宋体"/>
          <w:b w:val="0"/>
          <w:color w:val="auto"/>
          <w:sz w:val="24"/>
          <w:szCs w:val="24"/>
          <w:highlight w:val="none"/>
        </w:rPr>
        <w:t>甲、乙双方根据</w:t>
      </w:r>
      <w:r>
        <w:rPr>
          <w:rFonts w:hint="eastAsia" w:ascii="宋体" w:hAnsi="宋体"/>
          <w:b w:val="0"/>
          <w:color w:val="auto"/>
          <w:sz w:val="24"/>
          <w:szCs w:val="24"/>
          <w:highlight w:val="none"/>
          <w:u w:val="single"/>
        </w:rPr>
        <w:t xml:space="preserve">                政府采购</w:t>
      </w:r>
      <w:r>
        <w:rPr>
          <w:rFonts w:hint="eastAsia" w:ascii="宋体" w:hAnsi="宋体"/>
          <w:b w:val="0"/>
          <w:color w:val="auto"/>
          <w:sz w:val="24"/>
          <w:szCs w:val="24"/>
          <w:highlight w:val="none"/>
        </w:rPr>
        <w:t>项目的招标结果，本着平等、自愿的原则、经双方协商一致签署本合同。</w:t>
      </w:r>
    </w:p>
    <w:p w14:paraId="0824D9CD">
      <w:pPr>
        <w:tabs>
          <w:tab w:val="left" w:pos="606"/>
        </w:tabs>
        <w:spacing w:line="360" w:lineRule="exact"/>
        <w:ind w:firstLine="480" w:firstLineChars="200"/>
        <w:jc w:val="left"/>
        <w:outlineLvl w:val="9"/>
        <w:rPr>
          <w:rFonts w:hint="eastAsia" w:ascii="宋体" w:hAnsi="宋体"/>
          <w:b w:val="0"/>
          <w:color w:val="auto"/>
          <w:sz w:val="24"/>
          <w:szCs w:val="24"/>
          <w:highlight w:val="none"/>
        </w:rPr>
      </w:pPr>
    </w:p>
    <w:p w14:paraId="38F2AD0C">
      <w:pPr>
        <w:tabs>
          <w:tab w:val="left" w:pos="606"/>
        </w:tabs>
        <w:spacing w:line="360" w:lineRule="exact"/>
        <w:ind w:firstLine="480" w:firstLineChars="200"/>
        <w:jc w:val="left"/>
        <w:outlineLvl w:val="9"/>
        <w:rPr>
          <w:rFonts w:hint="eastAsia" w:ascii="宋体" w:hAnsi="宋体"/>
          <w:b w:val="0"/>
          <w:color w:val="auto"/>
          <w:sz w:val="24"/>
          <w:szCs w:val="24"/>
          <w:highlight w:val="none"/>
        </w:rPr>
      </w:pPr>
      <w:r>
        <w:rPr>
          <w:rFonts w:hint="eastAsia" w:ascii="宋体" w:hAnsi="宋体"/>
          <w:b w:val="0"/>
          <w:color w:val="auto"/>
          <w:sz w:val="24"/>
          <w:szCs w:val="24"/>
          <w:highlight w:val="none"/>
        </w:rPr>
        <w:t>一、合同文件构成</w:t>
      </w:r>
    </w:p>
    <w:p w14:paraId="258FD89D">
      <w:pPr>
        <w:tabs>
          <w:tab w:val="left" w:pos="606"/>
        </w:tabs>
        <w:spacing w:line="360" w:lineRule="exact"/>
        <w:ind w:firstLine="480" w:firstLineChars="200"/>
        <w:jc w:val="left"/>
        <w:outlineLvl w:val="9"/>
        <w:rPr>
          <w:rFonts w:hint="eastAsia" w:ascii="宋体" w:hAnsi="宋体"/>
          <w:b w:val="0"/>
          <w:color w:val="auto"/>
          <w:sz w:val="24"/>
          <w:szCs w:val="24"/>
          <w:highlight w:val="none"/>
        </w:rPr>
      </w:pPr>
      <w:r>
        <w:rPr>
          <w:rFonts w:hint="eastAsia" w:ascii="宋体" w:hAnsi="宋体"/>
          <w:b w:val="0"/>
          <w:color w:val="auto"/>
          <w:sz w:val="24"/>
          <w:szCs w:val="24"/>
          <w:highlight w:val="none"/>
        </w:rPr>
        <w:t>本合同与下列文件一起构成合同文件：</w:t>
      </w:r>
    </w:p>
    <w:p w14:paraId="0ED5AE91">
      <w:pPr>
        <w:tabs>
          <w:tab w:val="left" w:pos="606"/>
        </w:tabs>
        <w:spacing w:line="360" w:lineRule="exact"/>
        <w:ind w:firstLine="480" w:firstLineChars="200"/>
        <w:jc w:val="left"/>
        <w:outlineLvl w:val="9"/>
        <w:rPr>
          <w:rFonts w:hint="eastAsia" w:ascii="宋体" w:hAnsi="宋体"/>
          <w:b w:val="0"/>
          <w:color w:val="auto"/>
          <w:sz w:val="24"/>
          <w:szCs w:val="24"/>
          <w:highlight w:val="none"/>
        </w:rPr>
      </w:pPr>
      <w:r>
        <w:rPr>
          <w:rFonts w:hint="eastAsia" w:ascii="宋体" w:hAnsi="宋体"/>
          <w:b w:val="0"/>
          <w:color w:val="auto"/>
          <w:sz w:val="24"/>
          <w:szCs w:val="24"/>
          <w:highlight w:val="none"/>
        </w:rPr>
        <w:t>（1）本合同履行过程中双方以书面形式签署的补充和修正文件；</w:t>
      </w:r>
    </w:p>
    <w:p w14:paraId="59B49271">
      <w:pPr>
        <w:tabs>
          <w:tab w:val="left" w:pos="606"/>
        </w:tabs>
        <w:spacing w:line="360" w:lineRule="exact"/>
        <w:ind w:firstLine="480" w:firstLineChars="200"/>
        <w:jc w:val="left"/>
        <w:outlineLvl w:val="9"/>
        <w:rPr>
          <w:rFonts w:hint="eastAsia" w:ascii="宋体" w:hAnsi="宋体"/>
          <w:b w:val="0"/>
          <w:color w:val="auto"/>
          <w:sz w:val="24"/>
          <w:szCs w:val="24"/>
          <w:highlight w:val="none"/>
        </w:rPr>
      </w:pPr>
      <w:r>
        <w:rPr>
          <w:rFonts w:hint="eastAsia" w:ascii="宋体" w:hAnsi="宋体"/>
          <w:b w:val="0"/>
          <w:color w:val="auto"/>
          <w:sz w:val="24"/>
          <w:szCs w:val="24"/>
          <w:highlight w:val="none"/>
        </w:rPr>
        <w:t>（2）本合同协议书；</w:t>
      </w:r>
    </w:p>
    <w:p w14:paraId="6C248B54">
      <w:pPr>
        <w:tabs>
          <w:tab w:val="left" w:pos="606"/>
        </w:tabs>
        <w:spacing w:line="360" w:lineRule="exact"/>
        <w:ind w:firstLine="480" w:firstLineChars="200"/>
        <w:jc w:val="left"/>
        <w:outlineLvl w:val="9"/>
        <w:rPr>
          <w:rFonts w:hint="eastAsia" w:ascii="宋体" w:hAnsi="宋体"/>
          <w:b w:val="0"/>
          <w:color w:val="auto"/>
          <w:sz w:val="24"/>
          <w:szCs w:val="24"/>
          <w:highlight w:val="none"/>
        </w:rPr>
      </w:pPr>
      <w:r>
        <w:rPr>
          <w:rFonts w:hint="eastAsia" w:ascii="宋体" w:hAnsi="宋体"/>
          <w:b w:val="0"/>
          <w:color w:val="auto"/>
          <w:sz w:val="24"/>
          <w:szCs w:val="24"/>
          <w:highlight w:val="none"/>
        </w:rPr>
        <w:t>（3）招投标文件</w:t>
      </w:r>
    </w:p>
    <w:p w14:paraId="4A6D385A">
      <w:pPr>
        <w:tabs>
          <w:tab w:val="left" w:pos="606"/>
        </w:tabs>
        <w:spacing w:line="360" w:lineRule="exact"/>
        <w:ind w:firstLine="480" w:firstLineChars="200"/>
        <w:jc w:val="left"/>
        <w:outlineLvl w:val="9"/>
        <w:rPr>
          <w:rFonts w:hint="eastAsia" w:ascii="宋体" w:hAnsi="宋体"/>
          <w:b w:val="0"/>
          <w:color w:val="auto"/>
          <w:sz w:val="24"/>
          <w:szCs w:val="24"/>
          <w:highlight w:val="none"/>
        </w:rPr>
      </w:pPr>
      <w:r>
        <w:rPr>
          <w:rFonts w:hint="eastAsia" w:ascii="宋体" w:hAnsi="宋体"/>
          <w:b w:val="0"/>
          <w:color w:val="auto"/>
          <w:sz w:val="24"/>
          <w:szCs w:val="24"/>
          <w:highlight w:val="none"/>
        </w:rPr>
        <w:t>（4）双方约定的其他合同文件。</w:t>
      </w:r>
    </w:p>
    <w:p w14:paraId="53D67EFC">
      <w:pPr>
        <w:tabs>
          <w:tab w:val="left" w:pos="606"/>
        </w:tabs>
        <w:spacing w:line="360" w:lineRule="exact"/>
        <w:ind w:firstLine="480" w:firstLineChars="200"/>
        <w:jc w:val="left"/>
        <w:outlineLvl w:val="9"/>
        <w:rPr>
          <w:rFonts w:hint="eastAsia" w:ascii="宋体" w:hAnsi="宋体"/>
          <w:b w:val="0"/>
          <w:color w:val="auto"/>
          <w:sz w:val="24"/>
          <w:szCs w:val="24"/>
          <w:highlight w:val="none"/>
        </w:rPr>
      </w:pPr>
    </w:p>
    <w:p w14:paraId="14CDBDF8">
      <w:pPr>
        <w:tabs>
          <w:tab w:val="left" w:pos="606"/>
        </w:tabs>
        <w:spacing w:line="360" w:lineRule="exact"/>
        <w:ind w:firstLine="480" w:firstLineChars="200"/>
        <w:jc w:val="left"/>
        <w:outlineLvl w:val="9"/>
        <w:rPr>
          <w:rFonts w:hint="eastAsia" w:ascii="宋体" w:hAnsi="宋体"/>
          <w:b w:val="0"/>
          <w:color w:val="auto"/>
          <w:sz w:val="24"/>
          <w:szCs w:val="24"/>
          <w:highlight w:val="none"/>
        </w:rPr>
      </w:pPr>
      <w:r>
        <w:rPr>
          <w:rFonts w:hint="eastAsia" w:ascii="宋体" w:hAnsi="宋体"/>
          <w:b w:val="0"/>
          <w:color w:val="auto"/>
          <w:sz w:val="24"/>
          <w:szCs w:val="24"/>
          <w:highlight w:val="none"/>
        </w:rPr>
        <w:t>二、服务内容</w:t>
      </w:r>
    </w:p>
    <w:p w14:paraId="431DB7F8">
      <w:pPr>
        <w:tabs>
          <w:tab w:val="left" w:pos="606"/>
        </w:tabs>
        <w:spacing w:line="360" w:lineRule="exact"/>
        <w:ind w:firstLine="480" w:firstLineChars="200"/>
        <w:jc w:val="left"/>
        <w:outlineLvl w:val="9"/>
        <w:rPr>
          <w:rFonts w:hint="eastAsia" w:ascii="宋体" w:hAnsi="宋体"/>
          <w:b w:val="0"/>
          <w:color w:val="auto"/>
          <w:sz w:val="24"/>
          <w:szCs w:val="24"/>
          <w:highlight w:val="none"/>
        </w:rPr>
      </w:pPr>
    </w:p>
    <w:p w14:paraId="23EFD697">
      <w:pPr>
        <w:tabs>
          <w:tab w:val="left" w:pos="606"/>
        </w:tabs>
        <w:spacing w:line="360" w:lineRule="exact"/>
        <w:ind w:firstLine="480" w:firstLineChars="200"/>
        <w:jc w:val="left"/>
        <w:outlineLvl w:val="9"/>
        <w:rPr>
          <w:rFonts w:hint="eastAsia" w:ascii="宋体" w:hAnsi="宋体"/>
          <w:b w:val="0"/>
          <w:color w:val="auto"/>
          <w:sz w:val="24"/>
          <w:szCs w:val="24"/>
          <w:highlight w:val="none"/>
        </w:rPr>
      </w:pPr>
      <w:r>
        <w:rPr>
          <w:rFonts w:hint="eastAsia" w:ascii="宋体" w:hAnsi="宋体"/>
          <w:b w:val="0"/>
          <w:color w:val="auto"/>
          <w:sz w:val="24"/>
          <w:szCs w:val="24"/>
          <w:highlight w:val="none"/>
        </w:rPr>
        <w:t>三、合同金额</w:t>
      </w:r>
    </w:p>
    <w:p w14:paraId="6DCBEB33">
      <w:pPr>
        <w:tabs>
          <w:tab w:val="left" w:pos="606"/>
        </w:tabs>
        <w:spacing w:line="360" w:lineRule="exact"/>
        <w:ind w:firstLine="480" w:firstLineChars="200"/>
        <w:jc w:val="left"/>
        <w:outlineLvl w:val="9"/>
        <w:rPr>
          <w:rFonts w:hint="eastAsia" w:ascii="宋体" w:hAnsi="宋体"/>
          <w:b w:val="0"/>
          <w:color w:val="auto"/>
          <w:sz w:val="24"/>
          <w:szCs w:val="24"/>
          <w:highlight w:val="none"/>
        </w:rPr>
      </w:pPr>
      <w:r>
        <w:rPr>
          <w:rFonts w:hint="eastAsia" w:ascii="宋体" w:hAnsi="宋体"/>
          <w:b w:val="0"/>
          <w:color w:val="auto"/>
          <w:sz w:val="24"/>
          <w:szCs w:val="24"/>
          <w:highlight w:val="none"/>
        </w:rPr>
        <w:t>本合同金额为（大写）：_____________元（￥_______________元）人民币。上述费用包含乙方为提供服务所需全部费用，甲方无须支付其他任何费用。</w:t>
      </w:r>
    </w:p>
    <w:p w14:paraId="2BC50BA2">
      <w:pPr>
        <w:tabs>
          <w:tab w:val="left" w:pos="606"/>
        </w:tabs>
        <w:spacing w:line="360" w:lineRule="exact"/>
        <w:ind w:firstLine="480" w:firstLineChars="200"/>
        <w:jc w:val="left"/>
        <w:outlineLvl w:val="9"/>
        <w:rPr>
          <w:rFonts w:hint="eastAsia" w:ascii="宋体" w:hAnsi="宋体"/>
          <w:b w:val="0"/>
          <w:color w:val="auto"/>
          <w:sz w:val="24"/>
          <w:szCs w:val="24"/>
          <w:highlight w:val="none"/>
        </w:rPr>
      </w:pPr>
    </w:p>
    <w:p w14:paraId="1B569F0E">
      <w:pPr>
        <w:tabs>
          <w:tab w:val="left" w:pos="606"/>
        </w:tabs>
        <w:spacing w:line="360" w:lineRule="exact"/>
        <w:ind w:firstLine="480" w:firstLineChars="200"/>
        <w:jc w:val="left"/>
        <w:outlineLvl w:val="9"/>
        <w:rPr>
          <w:rFonts w:hint="eastAsia" w:ascii="宋体" w:hAnsi="宋体"/>
          <w:b w:val="0"/>
          <w:color w:val="auto"/>
          <w:sz w:val="24"/>
          <w:szCs w:val="24"/>
          <w:highlight w:val="none"/>
        </w:rPr>
      </w:pPr>
      <w:r>
        <w:rPr>
          <w:rFonts w:hint="eastAsia" w:ascii="宋体" w:hAnsi="宋体"/>
          <w:b w:val="0"/>
          <w:color w:val="auto"/>
          <w:sz w:val="24"/>
          <w:szCs w:val="24"/>
          <w:highlight w:val="none"/>
        </w:rPr>
        <w:t>四三、技术资料</w:t>
      </w:r>
    </w:p>
    <w:p w14:paraId="4657FE14">
      <w:pPr>
        <w:tabs>
          <w:tab w:val="left" w:pos="606"/>
        </w:tabs>
        <w:spacing w:line="360" w:lineRule="exact"/>
        <w:ind w:firstLine="480" w:firstLineChars="200"/>
        <w:jc w:val="left"/>
        <w:outlineLvl w:val="9"/>
        <w:rPr>
          <w:rFonts w:hint="eastAsia" w:ascii="宋体" w:hAnsi="宋体"/>
          <w:b w:val="0"/>
          <w:color w:val="auto"/>
          <w:sz w:val="24"/>
          <w:szCs w:val="24"/>
          <w:highlight w:val="none"/>
        </w:rPr>
      </w:pPr>
      <w:r>
        <w:rPr>
          <w:rFonts w:hint="eastAsia" w:ascii="宋体" w:hAnsi="宋体"/>
          <w:b w:val="0"/>
          <w:color w:val="auto"/>
          <w:sz w:val="24"/>
          <w:szCs w:val="24"/>
          <w:highlight w:val="none"/>
        </w:rPr>
        <w:t>1.乙方应按采购文件规定的时间向甲方提供有关技术资料。</w:t>
      </w:r>
    </w:p>
    <w:p w14:paraId="6E630A99">
      <w:pPr>
        <w:tabs>
          <w:tab w:val="left" w:pos="606"/>
        </w:tabs>
        <w:spacing w:line="360" w:lineRule="exact"/>
        <w:ind w:firstLine="480" w:firstLineChars="200"/>
        <w:jc w:val="left"/>
        <w:outlineLvl w:val="9"/>
        <w:rPr>
          <w:rFonts w:hint="eastAsia" w:ascii="宋体" w:hAnsi="宋体"/>
          <w:b w:val="0"/>
          <w:color w:val="auto"/>
          <w:sz w:val="24"/>
          <w:szCs w:val="24"/>
          <w:highlight w:val="none"/>
        </w:rPr>
      </w:pPr>
      <w:r>
        <w:rPr>
          <w:rFonts w:hint="eastAsia" w:ascii="宋体" w:hAnsi="宋体"/>
          <w:b w:val="0"/>
          <w:color w:val="auto"/>
          <w:sz w:val="24"/>
          <w:szCs w:val="24"/>
          <w:highlight w:val="none"/>
        </w:rPr>
        <w:t>2. 没有甲方事先书面同意，乙方不得将由甲方提供的有关合同或任何合同条文、规格、计划、图纸、样品或资料提供给与履行本合同无关的任何其他人。即使向履行本合同有关的人员提供，也应注意保密并限于履行合同的必需范围。保密期限为长期有效。</w:t>
      </w:r>
    </w:p>
    <w:p w14:paraId="7B73C013">
      <w:pPr>
        <w:tabs>
          <w:tab w:val="left" w:pos="606"/>
        </w:tabs>
        <w:spacing w:line="360" w:lineRule="exact"/>
        <w:ind w:firstLine="480" w:firstLineChars="200"/>
        <w:jc w:val="left"/>
        <w:outlineLvl w:val="9"/>
        <w:rPr>
          <w:rFonts w:hint="eastAsia" w:ascii="宋体" w:hAnsi="宋体"/>
          <w:b w:val="0"/>
          <w:color w:val="auto"/>
          <w:sz w:val="24"/>
          <w:szCs w:val="24"/>
          <w:highlight w:val="none"/>
        </w:rPr>
      </w:pPr>
    </w:p>
    <w:p w14:paraId="2A3EA760">
      <w:pPr>
        <w:tabs>
          <w:tab w:val="left" w:pos="606"/>
        </w:tabs>
        <w:spacing w:line="360" w:lineRule="exact"/>
        <w:ind w:firstLine="480" w:firstLineChars="200"/>
        <w:jc w:val="left"/>
        <w:outlineLvl w:val="9"/>
        <w:rPr>
          <w:rFonts w:hint="eastAsia" w:ascii="宋体" w:hAnsi="宋体"/>
          <w:b w:val="0"/>
          <w:color w:val="auto"/>
          <w:sz w:val="24"/>
          <w:szCs w:val="24"/>
          <w:highlight w:val="none"/>
        </w:rPr>
      </w:pPr>
      <w:r>
        <w:rPr>
          <w:rFonts w:hint="eastAsia" w:ascii="宋体" w:hAnsi="宋体"/>
          <w:b w:val="0"/>
          <w:color w:val="auto"/>
          <w:sz w:val="24"/>
          <w:szCs w:val="24"/>
          <w:highlight w:val="none"/>
        </w:rPr>
        <w:t>五四、知识产权</w:t>
      </w:r>
    </w:p>
    <w:p w14:paraId="3DC61EEE">
      <w:pPr>
        <w:tabs>
          <w:tab w:val="left" w:pos="606"/>
        </w:tabs>
        <w:spacing w:line="360" w:lineRule="exact"/>
        <w:ind w:firstLine="480" w:firstLineChars="200"/>
        <w:jc w:val="left"/>
        <w:outlineLvl w:val="9"/>
        <w:rPr>
          <w:rFonts w:hint="eastAsia" w:ascii="宋体" w:hAnsi="宋体"/>
          <w:b w:val="0"/>
          <w:color w:val="auto"/>
          <w:sz w:val="24"/>
          <w:szCs w:val="24"/>
          <w:highlight w:val="none"/>
        </w:rPr>
      </w:pPr>
      <w:r>
        <w:rPr>
          <w:rFonts w:hint="eastAsia" w:ascii="宋体" w:hAnsi="宋体"/>
          <w:b w:val="0"/>
          <w:color w:val="auto"/>
          <w:sz w:val="24"/>
          <w:szCs w:val="24"/>
          <w:highlight w:val="none"/>
        </w:rPr>
        <w:t>乙方应保证所提供的的货物服务成果或其任何一部分均不会侵犯任何第三方的知识产权。如因第三方提出其专利权、商标权或其他知识产权的侵权之诉，则一切法律责任由乙方承担。</w:t>
      </w:r>
    </w:p>
    <w:p w14:paraId="06F59B5F">
      <w:pPr>
        <w:tabs>
          <w:tab w:val="left" w:pos="606"/>
        </w:tabs>
        <w:spacing w:line="360" w:lineRule="exact"/>
        <w:ind w:firstLine="480" w:firstLineChars="200"/>
        <w:jc w:val="left"/>
        <w:outlineLvl w:val="9"/>
        <w:rPr>
          <w:rFonts w:hint="eastAsia" w:ascii="宋体" w:hAnsi="宋体"/>
          <w:b w:val="0"/>
          <w:color w:val="auto"/>
          <w:sz w:val="24"/>
          <w:szCs w:val="24"/>
          <w:highlight w:val="none"/>
        </w:rPr>
      </w:pPr>
    </w:p>
    <w:p w14:paraId="454F0FBF">
      <w:pPr>
        <w:tabs>
          <w:tab w:val="left" w:pos="606"/>
        </w:tabs>
        <w:spacing w:line="360" w:lineRule="exact"/>
        <w:ind w:firstLine="480" w:firstLineChars="200"/>
        <w:jc w:val="left"/>
        <w:outlineLvl w:val="9"/>
        <w:rPr>
          <w:rFonts w:hint="eastAsia" w:ascii="宋体" w:hAnsi="宋体"/>
          <w:b w:val="0"/>
          <w:color w:val="auto"/>
          <w:sz w:val="24"/>
          <w:szCs w:val="24"/>
          <w:highlight w:val="none"/>
        </w:rPr>
      </w:pPr>
      <w:r>
        <w:rPr>
          <w:rFonts w:hint="eastAsia" w:ascii="宋体" w:hAnsi="宋体"/>
          <w:b w:val="0"/>
          <w:color w:val="auto"/>
          <w:sz w:val="24"/>
          <w:szCs w:val="24"/>
          <w:highlight w:val="none"/>
        </w:rPr>
        <w:t>六五、履约保证金</w:t>
      </w:r>
    </w:p>
    <w:p w14:paraId="0999F5EC">
      <w:pPr>
        <w:tabs>
          <w:tab w:val="left" w:pos="606"/>
        </w:tabs>
        <w:spacing w:line="360" w:lineRule="exact"/>
        <w:ind w:firstLine="480" w:firstLineChars="200"/>
        <w:jc w:val="left"/>
        <w:outlineLvl w:val="9"/>
        <w:rPr>
          <w:rFonts w:hint="eastAsia" w:ascii="宋体" w:hAnsi="宋体"/>
          <w:b w:val="0"/>
          <w:color w:val="auto"/>
          <w:sz w:val="24"/>
          <w:szCs w:val="24"/>
          <w:highlight w:val="none"/>
        </w:rPr>
      </w:pPr>
      <w:r>
        <w:rPr>
          <w:rFonts w:hint="eastAsia" w:ascii="宋体" w:hAnsi="宋体"/>
          <w:b w:val="0"/>
          <w:color w:val="auto"/>
          <w:sz w:val="24"/>
          <w:szCs w:val="24"/>
          <w:highlight w:val="none"/>
        </w:rPr>
        <w:t>本项目不适用。</w:t>
      </w:r>
    </w:p>
    <w:p w14:paraId="592018AC">
      <w:pPr>
        <w:tabs>
          <w:tab w:val="left" w:pos="606"/>
        </w:tabs>
        <w:spacing w:line="360" w:lineRule="exact"/>
        <w:ind w:firstLine="480" w:firstLineChars="200"/>
        <w:jc w:val="left"/>
        <w:outlineLvl w:val="9"/>
        <w:rPr>
          <w:rFonts w:hint="eastAsia" w:ascii="宋体" w:hAnsi="宋体"/>
          <w:b w:val="0"/>
          <w:color w:val="auto"/>
          <w:sz w:val="24"/>
          <w:szCs w:val="24"/>
          <w:highlight w:val="none"/>
        </w:rPr>
      </w:pPr>
    </w:p>
    <w:p w14:paraId="3E41147D">
      <w:pPr>
        <w:tabs>
          <w:tab w:val="left" w:pos="606"/>
        </w:tabs>
        <w:spacing w:line="360" w:lineRule="exact"/>
        <w:ind w:firstLine="480" w:firstLineChars="200"/>
        <w:jc w:val="left"/>
        <w:outlineLvl w:val="9"/>
        <w:rPr>
          <w:rFonts w:hint="eastAsia" w:ascii="宋体" w:hAnsi="宋体"/>
          <w:b w:val="0"/>
          <w:color w:val="auto"/>
          <w:sz w:val="24"/>
          <w:szCs w:val="24"/>
          <w:highlight w:val="none"/>
        </w:rPr>
      </w:pPr>
    </w:p>
    <w:p w14:paraId="13B8F06D">
      <w:pPr>
        <w:tabs>
          <w:tab w:val="left" w:pos="606"/>
        </w:tabs>
        <w:spacing w:line="360" w:lineRule="exact"/>
        <w:ind w:firstLine="480" w:firstLineChars="200"/>
        <w:jc w:val="left"/>
        <w:outlineLvl w:val="9"/>
        <w:rPr>
          <w:rFonts w:hint="eastAsia" w:ascii="宋体" w:hAnsi="宋体"/>
          <w:b w:val="0"/>
          <w:color w:val="auto"/>
          <w:sz w:val="24"/>
          <w:szCs w:val="24"/>
          <w:highlight w:val="none"/>
        </w:rPr>
      </w:pPr>
    </w:p>
    <w:p w14:paraId="38EB7C28">
      <w:pPr>
        <w:tabs>
          <w:tab w:val="left" w:pos="606"/>
        </w:tabs>
        <w:spacing w:line="360" w:lineRule="exact"/>
        <w:ind w:firstLine="480" w:firstLineChars="200"/>
        <w:jc w:val="left"/>
        <w:outlineLvl w:val="9"/>
        <w:rPr>
          <w:rFonts w:hint="eastAsia" w:ascii="宋体" w:hAnsi="宋体"/>
          <w:b w:val="0"/>
          <w:color w:val="auto"/>
          <w:sz w:val="24"/>
          <w:szCs w:val="24"/>
          <w:highlight w:val="none"/>
        </w:rPr>
      </w:pPr>
      <w:r>
        <w:rPr>
          <w:rFonts w:hint="eastAsia" w:ascii="宋体" w:hAnsi="宋体"/>
          <w:b w:val="0"/>
          <w:color w:val="auto"/>
          <w:sz w:val="24"/>
          <w:szCs w:val="24"/>
          <w:highlight w:val="none"/>
        </w:rPr>
        <w:t>七六、合同履行时间、履行地点</w:t>
      </w:r>
    </w:p>
    <w:p w14:paraId="5AAC94BD">
      <w:pPr>
        <w:tabs>
          <w:tab w:val="left" w:pos="606"/>
        </w:tabs>
        <w:spacing w:line="360" w:lineRule="exact"/>
        <w:ind w:firstLine="480" w:firstLineChars="200"/>
        <w:jc w:val="left"/>
        <w:outlineLvl w:val="9"/>
        <w:rPr>
          <w:rFonts w:hint="eastAsia" w:ascii="宋体" w:hAnsi="宋体"/>
          <w:b w:val="0"/>
          <w:color w:val="auto"/>
          <w:sz w:val="24"/>
          <w:szCs w:val="24"/>
          <w:highlight w:val="none"/>
        </w:rPr>
      </w:pPr>
      <w:r>
        <w:rPr>
          <w:rFonts w:hint="eastAsia" w:ascii="宋体" w:hAnsi="宋体"/>
          <w:b w:val="0"/>
          <w:color w:val="auto"/>
          <w:sz w:val="24"/>
          <w:szCs w:val="24"/>
          <w:highlight w:val="none"/>
        </w:rPr>
        <w:t>1. 履行时间：</w:t>
      </w:r>
    </w:p>
    <w:p w14:paraId="66ED6192">
      <w:pPr>
        <w:tabs>
          <w:tab w:val="left" w:pos="606"/>
        </w:tabs>
        <w:spacing w:line="360" w:lineRule="exact"/>
        <w:ind w:firstLine="480" w:firstLineChars="200"/>
        <w:jc w:val="left"/>
        <w:outlineLvl w:val="9"/>
        <w:rPr>
          <w:rFonts w:hint="eastAsia" w:ascii="宋体" w:hAnsi="宋体"/>
          <w:b w:val="0"/>
          <w:color w:val="auto"/>
          <w:sz w:val="24"/>
          <w:szCs w:val="24"/>
          <w:highlight w:val="none"/>
        </w:rPr>
      </w:pPr>
      <w:r>
        <w:rPr>
          <w:rFonts w:hint="eastAsia" w:ascii="宋体" w:hAnsi="宋体"/>
          <w:b w:val="0"/>
          <w:color w:val="auto"/>
          <w:sz w:val="24"/>
          <w:szCs w:val="24"/>
          <w:highlight w:val="none"/>
        </w:rPr>
        <w:t>2. 履行地点：</w:t>
      </w:r>
    </w:p>
    <w:p w14:paraId="638ED8AC">
      <w:pPr>
        <w:tabs>
          <w:tab w:val="left" w:pos="606"/>
        </w:tabs>
        <w:spacing w:line="360" w:lineRule="exact"/>
        <w:ind w:firstLine="480" w:firstLineChars="200"/>
        <w:jc w:val="left"/>
        <w:outlineLvl w:val="9"/>
        <w:rPr>
          <w:rFonts w:hint="eastAsia" w:ascii="宋体" w:hAnsi="宋体"/>
          <w:b w:val="0"/>
          <w:color w:val="auto"/>
          <w:sz w:val="24"/>
          <w:szCs w:val="24"/>
          <w:highlight w:val="none"/>
        </w:rPr>
      </w:pPr>
    </w:p>
    <w:p w14:paraId="74EBA5CF">
      <w:pPr>
        <w:tabs>
          <w:tab w:val="left" w:pos="606"/>
        </w:tabs>
        <w:spacing w:line="360" w:lineRule="exact"/>
        <w:ind w:firstLine="480" w:firstLineChars="200"/>
        <w:jc w:val="left"/>
        <w:outlineLvl w:val="9"/>
        <w:rPr>
          <w:rFonts w:hint="eastAsia" w:ascii="宋体" w:hAnsi="宋体"/>
          <w:b w:val="0"/>
          <w:color w:val="auto"/>
          <w:sz w:val="24"/>
          <w:szCs w:val="24"/>
          <w:highlight w:val="none"/>
        </w:rPr>
      </w:pPr>
      <w:r>
        <w:rPr>
          <w:rFonts w:hint="eastAsia" w:ascii="宋体" w:hAnsi="宋体"/>
          <w:b w:val="0"/>
          <w:color w:val="auto"/>
          <w:sz w:val="24"/>
          <w:szCs w:val="24"/>
          <w:highlight w:val="none"/>
        </w:rPr>
        <w:t>八七、款项支付</w:t>
      </w:r>
    </w:p>
    <w:p w14:paraId="0B755FDC">
      <w:pPr>
        <w:tabs>
          <w:tab w:val="left" w:pos="606"/>
        </w:tabs>
        <w:spacing w:line="360" w:lineRule="exact"/>
        <w:ind w:firstLine="480" w:firstLineChars="200"/>
        <w:jc w:val="left"/>
        <w:outlineLvl w:val="9"/>
        <w:rPr>
          <w:rFonts w:hint="eastAsia" w:ascii="宋体" w:hAnsi="宋体"/>
          <w:b w:val="0"/>
          <w:color w:val="auto"/>
          <w:sz w:val="24"/>
          <w:szCs w:val="24"/>
          <w:highlight w:val="none"/>
        </w:rPr>
      </w:pPr>
      <w:r>
        <w:rPr>
          <w:rFonts w:hint="eastAsia" w:ascii="宋体" w:hAnsi="宋体"/>
          <w:b w:val="0"/>
          <w:color w:val="auto"/>
          <w:sz w:val="24"/>
          <w:szCs w:val="24"/>
          <w:highlight w:val="none"/>
        </w:rPr>
        <w:t>付款方式：</w:t>
      </w:r>
    </w:p>
    <w:p w14:paraId="20F2985A">
      <w:pPr>
        <w:tabs>
          <w:tab w:val="left" w:pos="606"/>
        </w:tabs>
        <w:spacing w:line="360" w:lineRule="exact"/>
        <w:ind w:firstLine="480" w:firstLineChars="200"/>
        <w:jc w:val="left"/>
        <w:outlineLvl w:val="9"/>
        <w:rPr>
          <w:rFonts w:hint="eastAsia" w:ascii="宋体" w:hAnsi="宋体"/>
          <w:b w:val="0"/>
          <w:color w:val="auto"/>
          <w:sz w:val="24"/>
          <w:szCs w:val="24"/>
          <w:highlight w:val="none"/>
        </w:rPr>
      </w:pPr>
    </w:p>
    <w:p w14:paraId="6328EDC5">
      <w:pPr>
        <w:tabs>
          <w:tab w:val="left" w:pos="606"/>
        </w:tabs>
        <w:spacing w:line="360" w:lineRule="exact"/>
        <w:ind w:firstLine="480" w:firstLineChars="200"/>
        <w:jc w:val="left"/>
        <w:outlineLvl w:val="9"/>
        <w:rPr>
          <w:rFonts w:hint="eastAsia" w:ascii="宋体" w:hAnsi="宋体"/>
          <w:b w:val="0"/>
          <w:color w:val="auto"/>
          <w:sz w:val="24"/>
          <w:szCs w:val="24"/>
          <w:highlight w:val="none"/>
        </w:rPr>
      </w:pPr>
      <w:r>
        <w:rPr>
          <w:rFonts w:hint="eastAsia" w:ascii="宋体" w:hAnsi="宋体"/>
          <w:b w:val="0"/>
          <w:color w:val="auto"/>
          <w:sz w:val="24"/>
          <w:szCs w:val="24"/>
          <w:highlight w:val="none"/>
        </w:rPr>
        <w:t>九八、税费</w:t>
      </w:r>
    </w:p>
    <w:p w14:paraId="7E107114">
      <w:pPr>
        <w:tabs>
          <w:tab w:val="left" w:pos="606"/>
        </w:tabs>
        <w:spacing w:line="360" w:lineRule="exact"/>
        <w:ind w:firstLine="480" w:firstLineChars="200"/>
        <w:jc w:val="left"/>
        <w:outlineLvl w:val="9"/>
        <w:rPr>
          <w:rFonts w:hint="eastAsia" w:ascii="宋体" w:hAnsi="宋体"/>
          <w:b w:val="0"/>
          <w:color w:val="auto"/>
          <w:sz w:val="24"/>
          <w:szCs w:val="24"/>
          <w:highlight w:val="none"/>
        </w:rPr>
      </w:pPr>
      <w:r>
        <w:rPr>
          <w:rFonts w:hint="eastAsia" w:ascii="宋体" w:hAnsi="宋体"/>
          <w:b w:val="0"/>
          <w:color w:val="auto"/>
          <w:sz w:val="24"/>
          <w:szCs w:val="24"/>
          <w:highlight w:val="none"/>
        </w:rPr>
        <w:t>本合同执行中相关的一切税费均由乙方负担。</w:t>
      </w:r>
    </w:p>
    <w:p w14:paraId="69D169B4">
      <w:pPr>
        <w:tabs>
          <w:tab w:val="left" w:pos="606"/>
        </w:tabs>
        <w:spacing w:line="360" w:lineRule="exact"/>
        <w:ind w:firstLine="480" w:firstLineChars="200"/>
        <w:jc w:val="left"/>
        <w:outlineLvl w:val="9"/>
        <w:rPr>
          <w:rFonts w:hint="eastAsia" w:ascii="宋体" w:hAnsi="宋体"/>
          <w:b w:val="0"/>
          <w:color w:val="auto"/>
          <w:sz w:val="24"/>
          <w:szCs w:val="24"/>
          <w:highlight w:val="none"/>
        </w:rPr>
      </w:pPr>
    </w:p>
    <w:p w14:paraId="57FF57AD">
      <w:pPr>
        <w:tabs>
          <w:tab w:val="left" w:pos="606"/>
        </w:tabs>
        <w:spacing w:line="360" w:lineRule="exact"/>
        <w:ind w:firstLine="480" w:firstLineChars="200"/>
        <w:jc w:val="left"/>
        <w:outlineLvl w:val="9"/>
        <w:rPr>
          <w:rFonts w:hint="eastAsia" w:ascii="宋体" w:hAnsi="宋体"/>
          <w:b w:val="0"/>
          <w:color w:val="auto"/>
          <w:sz w:val="24"/>
          <w:szCs w:val="24"/>
          <w:highlight w:val="none"/>
        </w:rPr>
      </w:pPr>
      <w:r>
        <w:rPr>
          <w:rFonts w:hint="eastAsia" w:ascii="宋体" w:hAnsi="宋体"/>
          <w:b w:val="0"/>
          <w:color w:val="auto"/>
          <w:sz w:val="24"/>
          <w:szCs w:val="24"/>
          <w:highlight w:val="none"/>
        </w:rPr>
        <w:t>十九、质量保证及后续服务</w:t>
      </w:r>
    </w:p>
    <w:p w14:paraId="584C9D9D">
      <w:pPr>
        <w:tabs>
          <w:tab w:val="left" w:pos="606"/>
        </w:tabs>
        <w:spacing w:line="360" w:lineRule="exact"/>
        <w:ind w:firstLine="480" w:firstLineChars="200"/>
        <w:jc w:val="left"/>
        <w:outlineLvl w:val="9"/>
        <w:rPr>
          <w:rFonts w:hint="eastAsia" w:ascii="宋体" w:hAnsi="宋体"/>
          <w:b w:val="0"/>
          <w:color w:val="auto"/>
          <w:sz w:val="24"/>
          <w:szCs w:val="24"/>
          <w:highlight w:val="none"/>
        </w:rPr>
      </w:pPr>
      <w:r>
        <w:rPr>
          <w:rFonts w:hint="eastAsia" w:ascii="宋体" w:hAnsi="宋体"/>
          <w:b w:val="0"/>
          <w:color w:val="auto"/>
          <w:sz w:val="24"/>
          <w:szCs w:val="24"/>
          <w:highlight w:val="none"/>
        </w:rPr>
        <w:t>1． 乙方应按合同和采购文件的规定向甲方提供服务。</w:t>
      </w:r>
    </w:p>
    <w:p w14:paraId="53DCADD5">
      <w:pPr>
        <w:tabs>
          <w:tab w:val="left" w:pos="606"/>
        </w:tabs>
        <w:spacing w:line="360" w:lineRule="exact"/>
        <w:ind w:firstLine="480" w:firstLineChars="200"/>
        <w:jc w:val="left"/>
        <w:outlineLvl w:val="9"/>
        <w:rPr>
          <w:rFonts w:hint="eastAsia" w:ascii="宋体" w:hAnsi="宋体"/>
          <w:b w:val="0"/>
          <w:color w:val="auto"/>
          <w:sz w:val="24"/>
          <w:szCs w:val="24"/>
          <w:highlight w:val="none"/>
        </w:rPr>
      </w:pPr>
      <w:r>
        <w:rPr>
          <w:rFonts w:hint="eastAsia" w:ascii="宋体" w:hAnsi="宋体"/>
          <w:b w:val="0"/>
          <w:color w:val="auto"/>
          <w:sz w:val="24"/>
          <w:szCs w:val="24"/>
          <w:highlight w:val="none"/>
        </w:rPr>
        <w:t>2． 乙方提供的服务内容或成果如达不到要求的，根据实际情况，经双方协商，可按以下办法处理：</w:t>
      </w:r>
    </w:p>
    <w:p w14:paraId="2FC91AF4">
      <w:pPr>
        <w:tabs>
          <w:tab w:val="left" w:pos="606"/>
        </w:tabs>
        <w:spacing w:line="360" w:lineRule="exact"/>
        <w:ind w:firstLine="480" w:firstLineChars="200"/>
        <w:jc w:val="left"/>
        <w:outlineLvl w:val="9"/>
        <w:rPr>
          <w:rFonts w:hint="eastAsia" w:ascii="宋体" w:hAnsi="宋体"/>
          <w:b w:val="0"/>
          <w:color w:val="auto"/>
          <w:sz w:val="24"/>
          <w:szCs w:val="24"/>
          <w:highlight w:val="none"/>
        </w:rPr>
      </w:pPr>
      <w:r>
        <w:rPr>
          <w:rFonts w:hint="eastAsia" w:ascii="宋体" w:hAnsi="宋体"/>
          <w:b w:val="0"/>
          <w:color w:val="auto"/>
          <w:sz w:val="24"/>
          <w:szCs w:val="24"/>
          <w:highlight w:val="none"/>
        </w:rPr>
        <w:t>⑴重做：由乙方承担所发生的全部费用。</w:t>
      </w:r>
    </w:p>
    <w:p w14:paraId="2164D083">
      <w:pPr>
        <w:tabs>
          <w:tab w:val="left" w:pos="606"/>
        </w:tabs>
        <w:spacing w:line="360" w:lineRule="exact"/>
        <w:ind w:firstLine="480" w:firstLineChars="200"/>
        <w:jc w:val="left"/>
        <w:outlineLvl w:val="9"/>
        <w:rPr>
          <w:rFonts w:hint="eastAsia" w:ascii="宋体" w:hAnsi="宋体"/>
          <w:b w:val="0"/>
          <w:color w:val="auto"/>
          <w:sz w:val="24"/>
          <w:szCs w:val="24"/>
          <w:highlight w:val="none"/>
        </w:rPr>
      </w:pPr>
      <w:r>
        <w:rPr>
          <w:rFonts w:hint="eastAsia" w:ascii="宋体" w:hAnsi="宋体"/>
          <w:b w:val="0"/>
          <w:color w:val="auto"/>
          <w:sz w:val="24"/>
          <w:szCs w:val="24"/>
          <w:highlight w:val="none"/>
        </w:rPr>
        <w:t>⑵贬值处理：由甲乙双方合议定价，在服务费用中进行相应扣减。</w:t>
      </w:r>
    </w:p>
    <w:p w14:paraId="70691300">
      <w:pPr>
        <w:tabs>
          <w:tab w:val="left" w:pos="606"/>
        </w:tabs>
        <w:spacing w:line="360" w:lineRule="exact"/>
        <w:ind w:firstLine="480" w:firstLineChars="200"/>
        <w:jc w:val="left"/>
        <w:outlineLvl w:val="9"/>
        <w:rPr>
          <w:rFonts w:hint="eastAsia" w:ascii="宋体" w:hAnsi="宋体"/>
          <w:b w:val="0"/>
          <w:color w:val="auto"/>
          <w:sz w:val="24"/>
          <w:szCs w:val="24"/>
          <w:highlight w:val="none"/>
        </w:rPr>
      </w:pPr>
      <w:r>
        <w:rPr>
          <w:rFonts w:hint="eastAsia" w:ascii="宋体" w:hAnsi="宋体"/>
          <w:b w:val="0"/>
          <w:color w:val="auto"/>
          <w:sz w:val="24"/>
          <w:szCs w:val="24"/>
          <w:highlight w:val="none"/>
        </w:rPr>
        <w:t>⑶解除合同：若因乙方提供的服务内容未达到合同约定标准造成严重后果的，甲方可解除合同，乙方应向甲方退还甲方已支付费用，并向甲方支付合同总价20%的违约金。若违约金无法弥补甲方损失的，乙方应按照甲方实际损失进行赔偿由乙方承担所有损失。</w:t>
      </w:r>
    </w:p>
    <w:p w14:paraId="0B2ED566">
      <w:pPr>
        <w:tabs>
          <w:tab w:val="left" w:pos="606"/>
        </w:tabs>
        <w:spacing w:line="360" w:lineRule="exact"/>
        <w:ind w:firstLine="480" w:firstLineChars="200"/>
        <w:jc w:val="left"/>
        <w:outlineLvl w:val="9"/>
        <w:rPr>
          <w:rFonts w:hint="eastAsia" w:ascii="宋体" w:hAnsi="宋体"/>
          <w:b w:val="0"/>
          <w:color w:val="auto"/>
          <w:sz w:val="24"/>
          <w:szCs w:val="24"/>
          <w:highlight w:val="none"/>
        </w:rPr>
      </w:pPr>
      <w:r>
        <w:rPr>
          <w:rFonts w:hint="eastAsia" w:ascii="宋体" w:hAnsi="宋体"/>
          <w:b w:val="0"/>
          <w:color w:val="auto"/>
          <w:sz w:val="24"/>
          <w:szCs w:val="24"/>
          <w:highlight w:val="none"/>
        </w:rPr>
        <w:t>3． 如在履约过程中发生问题，乙方在接到甲方通知后在2小时内到达甲方现场。</w:t>
      </w:r>
    </w:p>
    <w:p w14:paraId="4332A650">
      <w:pPr>
        <w:tabs>
          <w:tab w:val="left" w:pos="606"/>
        </w:tabs>
        <w:spacing w:line="360" w:lineRule="exact"/>
        <w:ind w:firstLine="480" w:firstLineChars="200"/>
        <w:jc w:val="left"/>
        <w:outlineLvl w:val="9"/>
        <w:rPr>
          <w:rFonts w:hint="eastAsia" w:ascii="宋体" w:hAnsi="宋体"/>
          <w:b w:val="0"/>
          <w:color w:val="auto"/>
          <w:sz w:val="24"/>
          <w:szCs w:val="24"/>
          <w:highlight w:val="none"/>
        </w:rPr>
      </w:pPr>
      <w:r>
        <w:rPr>
          <w:rFonts w:hint="eastAsia" w:ascii="宋体" w:hAnsi="宋体"/>
          <w:b w:val="0"/>
          <w:color w:val="auto"/>
          <w:sz w:val="24"/>
          <w:szCs w:val="24"/>
          <w:highlight w:val="none"/>
        </w:rPr>
        <w:t>4．在服务期内，乙方应对出现的服务质量及安全问题负责处理解决并承担一切责任和费用。</w:t>
      </w:r>
    </w:p>
    <w:p w14:paraId="182AB5CD">
      <w:pPr>
        <w:tabs>
          <w:tab w:val="left" w:pos="606"/>
        </w:tabs>
        <w:spacing w:line="360" w:lineRule="exact"/>
        <w:ind w:firstLine="480" w:firstLineChars="200"/>
        <w:jc w:val="left"/>
        <w:outlineLvl w:val="9"/>
        <w:rPr>
          <w:rFonts w:hint="eastAsia" w:ascii="宋体" w:hAnsi="宋体"/>
          <w:b w:val="0"/>
          <w:color w:val="auto"/>
          <w:sz w:val="24"/>
          <w:szCs w:val="24"/>
          <w:highlight w:val="none"/>
        </w:rPr>
      </w:pPr>
    </w:p>
    <w:p w14:paraId="38B73874">
      <w:pPr>
        <w:tabs>
          <w:tab w:val="left" w:pos="606"/>
        </w:tabs>
        <w:spacing w:line="360" w:lineRule="exact"/>
        <w:ind w:firstLine="480" w:firstLineChars="200"/>
        <w:jc w:val="left"/>
        <w:outlineLvl w:val="9"/>
        <w:rPr>
          <w:rFonts w:hint="eastAsia" w:ascii="宋体" w:hAnsi="宋体"/>
          <w:b w:val="0"/>
          <w:color w:val="auto"/>
          <w:sz w:val="24"/>
          <w:szCs w:val="24"/>
          <w:highlight w:val="none"/>
        </w:rPr>
      </w:pPr>
      <w:r>
        <w:rPr>
          <w:rFonts w:hint="eastAsia" w:ascii="宋体" w:hAnsi="宋体"/>
          <w:b w:val="0"/>
          <w:color w:val="auto"/>
          <w:sz w:val="24"/>
          <w:szCs w:val="24"/>
          <w:highlight w:val="none"/>
        </w:rPr>
        <w:t>十一、违约责任</w:t>
      </w:r>
    </w:p>
    <w:p w14:paraId="2D743580">
      <w:pPr>
        <w:tabs>
          <w:tab w:val="left" w:pos="606"/>
        </w:tabs>
        <w:spacing w:line="360" w:lineRule="exact"/>
        <w:ind w:firstLine="480" w:firstLineChars="200"/>
        <w:jc w:val="left"/>
        <w:outlineLvl w:val="9"/>
        <w:rPr>
          <w:rFonts w:hint="eastAsia" w:ascii="宋体" w:hAnsi="宋体"/>
          <w:b w:val="0"/>
          <w:color w:val="auto"/>
          <w:sz w:val="24"/>
          <w:szCs w:val="24"/>
          <w:highlight w:val="none"/>
        </w:rPr>
      </w:pPr>
      <w:r>
        <w:rPr>
          <w:rFonts w:hint="eastAsia" w:ascii="宋体" w:hAnsi="宋体"/>
          <w:b w:val="0"/>
          <w:color w:val="auto"/>
          <w:sz w:val="24"/>
          <w:szCs w:val="24"/>
          <w:highlight w:val="none"/>
        </w:rPr>
        <w:t>1．甲方无正当理由拒收接受服务的，甲方向乙方偿付合同金额百分之五作为违约金。</w:t>
      </w:r>
    </w:p>
    <w:p w14:paraId="0B4D12E5">
      <w:pPr>
        <w:tabs>
          <w:tab w:val="left" w:pos="606"/>
        </w:tabs>
        <w:spacing w:line="360" w:lineRule="exact"/>
        <w:ind w:firstLine="480" w:firstLineChars="200"/>
        <w:jc w:val="left"/>
        <w:outlineLvl w:val="9"/>
        <w:rPr>
          <w:rFonts w:hint="eastAsia" w:ascii="宋体" w:hAnsi="宋体"/>
          <w:b w:val="0"/>
          <w:color w:val="auto"/>
          <w:sz w:val="24"/>
          <w:szCs w:val="24"/>
          <w:highlight w:val="none"/>
        </w:rPr>
      </w:pPr>
      <w:r>
        <w:rPr>
          <w:rFonts w:hint="eastAsia" w:ascii="宋体" w:hAnsi="宋体"/>
          <w:b w:val="0"/>
          <w:color w:val="auto"/>
          <w:sz w:val="24"/>
          <w:szCs w:val="24"/>
          <w:highlight w:val="none"/>
        </w:rPr>
        <w:t>2．甲方无故逾期验收和办理款项支付手续的，甲方应按逾期付款总额每日千分之六向乙方支付违约金。</w:t>
      </w:r>
    </w:p>
    <w:p w14:paraId="34ED3AED">
      <w:pPr>
        <w:tabs>
          <w:tab w:val="left" w:pos="606"/>
        </w:tabs>
        <w:spacing w:line="360" w:lineRule="exact"/>
        <w:ind w:firstLine="480" w:firstLineChars="200"/>
        <w:jc w:val="left"/>
        <w:outlineLvl w:val="9"/>
        <w:rPr>
          <w:rFonts w:hint="eastAsia" w:ascii="宋体" w:hAnsi="宋体"/>
          <w:b w:val="0"/>
          <w:color w:val="auto"/>
          <w:sz w:val="24"/>
          <w:szCs w:val="24"/>
          <w:highlight w:val="none"/>
        </w:rPr>
      </w:pPr>
      <w:r>
        <w:rPr>
          <w:rFonts w:hint="eastAsia" w:ascii="宋体" w:hAnsi="宋体"/>
          <w:b w:val="0"/>
          <w:color w:val="auto"/>
          <w:sz w:val="24"/>
          <w:szCs w:val="24"/>
          <w:highlight w:val="none"/>
        </w:rPr>
        <w:t xml:space="preserve">3．乙方未能如期提供服务的，每日向甲方支付合同金额的千分之六作为违约金。乙方超过约定日期10个工作日仍不能提供服务的，甲方可解除本合同。乙方因未能如期提供服务或因其他违约行为导致甲方解除合同的，乙方应向甲方支付合同总额百分之五的违约金，如造成甲方损失超过违约金的，超出部分由乙方继续承担赔偿责任。 </w:t>
      </w:r>
    </w:p>
    <w:p w14:paraId="175920C4">
      <w:pPr>
        <w:tabs>
          <w:tab w:val="left" w:pos="606"/>
        </w:tabs>
        <w:spacing w:line="360" w:lineRule="exact"/>
        <w:ind w:firstLine="480" w:firstLineChars="200"/>
        <w:jc w:val="left"/>
        <w:outlineLvl w:val="9"/>
        <w:rPr>
          <w:rFonts w:hint="eastAsia" w:ascii="宋体" w:hAnsi="宋体"/>
          <w:b w:val="0"/>
          <w:color w:val="auto"/>
          <w:sz w:val="24"/>
          <w:szCs w:val="24"/>
          <w:highlight w:val="none"/>
        </w:rPr>
      </w:pPr>
      <w:r>
        <w:rPr>
          <w:rFonts w:hint="eastAsia" w:ascii="宋体" w:hAnsi="宋体"/>
          <w:b w:val="0"/>
          <w:color w:val="auto"/>
          <w:sz w:val="24"/>
          <w:szCs w:val="24"/>
          <w:highlight w:val="none"/>
        </w:rPr>
        <w:t>4.若乙方提供服务不符合合同约定标准的，乙方应及时完成整改并重新提交。若超出约定期限的，则双方按第十条约定外，甲方有权要求乙方按照第十一条第三款承担相应违约责任。</w:t>
      </w:r>
    </w:p>
    <w:p w14:paraId="7A9471F8">
      <w:pPr>
        <w:tabs>
          <w:tab w:val="left" w:pos="606"/>
        </w:tabs>
        <w:spacing w:line="360" w:lineRule="exact"/>
        <w:ind w:firstLine="480" w:firstLineChars="200"/>
        <w:jc w:val="left"/>
        <w:outlineLvl w:val="9"/>
        <w:rPr>
          <w:rFonts w:hint="eastAsia" w:ascii="宋体" w:hAnsi="宋体"/>
          <w:b w:val="0"/>
          <w:color w:val="auto"/>
          <w:sz w:val="24"/>
          <w:szCs w:val="24"/>
          <w:highlight w:val="none"/>
        </w:rPr>
      </w:pPr>
      <w:r>
        <w:rPr>
          <w:rFonts w:hint="eastAsia" w:ascii="宋体" w:hAnsi="宋体"/>
          <w:b w:val="0"/>
          <w:color w:val="auto"/>
          <w:sz w:val="24"/>
          <w:szCs w:val="24"/>
          <w:highlight w:val="none"/>
        </w:rPr>
        <w:t>5.本合同履行过程中，因一方违约导致诉讼的，违约方应承担另一方因此而产生的诉讼费、律师费、差旅费、保全费、保全担保费等相关费用。</w:t>
      </w:r>
    </w:p>
    <w:p w14:paraId="14923854">
      <w:pPr>
        <w:tabs>
          <w:tab w:val="left" w:pos="606"/>
        </w:tabs>
        <w:spacing w:line="360" w:lineRule="exact"/>
        <w:ind w:firstLine="480" w:firstLineChars="200"/>
        <w:jc w:val="left"/>
        <w:outlineLvl w:val="9"/>
        <w:rPr>
          <w:rFonts w:hint="eastAsia" w:ascii="宋体" w:hAnsi="宋体"/>
          <w:b w:val="0"/>
          <w:color w:val="auto"/>
          <w:sz w:val="24"/>
          <w:szCs w:val="24"/>
          <w:highlight w:val="none"/>
        </w:rPr>
      </w:pPr>
      <w:r>
        <w:rPr>
          <w:rFonts w:hint="eastAsia" w:ascii="宋体" w:hAnsi="宋体"/>
          <w:b w:val="0"/>
          <w:color w:val="auto"/>
          <w:sz w:val="24"/>
          <w:szCs w:val="24"/>
          <w:highlight w:val="none"/>
        </w:rPr>
        <w:t>十二、不可抗力事件处理</w:t>
      </w:r>
    </w:p>
    <w:p w14:paraId="32E85524">
      <w:pPr>
        <w:tabs>
          <w:tab w:val="left" w:pos="606"/>
        </w:tabs>
        <w:spacing w:line="360" w:lineRule="exact"/>
        <w:ind w:firstLine="480" w:firstLineChars="200"/>
        <w:jc w:val="left"/>
        <w:outlineLvl w:val="9"/>
        <w:rPr>
          <w:rFonts w:hint="eastAsia" w:ascii="宋体" w:hAnsi="宋体"/>
          <w:b w:val="0"/>
          <w:color w:val="auto"/>
          <w:sz w:val="24"/>
          <w:szCs w:val="24"/>
          <w:highlight w:val="none"/>
        </w:rPr>
      </w:pPr>
      <w:r>
        <w:rPr>
          <w:rFonts w:hint="eastAsia" w:ascii="宋体" w:hAnsi="宋体"/>
          <w:b w:val="0"/>
          <w:color w:val="auto"/>
          <w:sz w:val="24"/>
          <w:szCs w:val="24"/>
          <w:highlight w:val="none"/>
        </w:rPr>
        <w:t>1．在合同有效期内，任何一方因不可抗力事件导致不能履行合同，则合同履行期可延长，其延长期与不可抗力影响期相同。</w:t>
      </w:r>
    </w:p>
    <w:p w14:paraId="3893B425">
      <w:pPr>
        <w:tabs>
          <w:tab w:val="left" w:pos="606"/>
        </w:tabs>
        <w:spacing w:line="360" w:lineRule="exact"/>
        <w:ind w:firstLine="480" w:firstLineChars="200"/>
        <w:jc w:val="left"/>
        <w:outlineLvl w:val="9"/>
        <w:rPr>
          <w:rFonts w:hint="eastAsia" w:ascii="宋体" w:hAnsi="宋体"/>
          <w:b w:val="0"/>
          <w:color w:val="auto"/>
          <w:sz w:val="24"/>
          <w:szCs w:val="24"/>
          <w:highlight w:val="none"/>
        </w:rPr>
      </w:pPr>
      <w:r>
        <w:rPr>
          <w:rFonts w:hint="eastAsia" w:ascii="宋体" w:hAnsi="宋体"/>
          <w:b w:val="0"/>
          <w:color w:val="auto"/>
          <w:sz w:val="24"/>
          <w:szCs w:val="24"/>
          <w:highlight w:val="none"/>
        </w:rPr>
        <w:t>2．不可抗力事件发生后，应在3个工作日内通知对方，并寄送有关权威机构出具的证明。</w:t>
      </w:r>
    </w:p>
    <w:p w14:paraId="40870B48">
      <w:pPr>
        <w:tabs>
          <w:tab w:val="left" w:pos="606"/>
        </w:tabs>
        <w:spacing w:line="360" w:lineRule="exact"/>
        <w:ind w:firstLine="480" w:firstLineChars="200"/>
        <w:jc w:val="left"/>
        <w:outlineLvl w:val="9"/>
        <w:rPr>
          <w:rFonts w:hint="eastAsia" w:ascii="宋体" w:hAnsi="宋体"/>
          <w:b w:val="0"/>
          <w:color w:val="auto"/>
          <w:sz w:val="24"/>
          <w:szCs w:val="24"/>
          <w:highlight w:val="none"/>
        </w:rPr>
      </w:pPr>
      <w:r>
        <w:rPr>
          <w:rFonts w:hint="eastAsia" w:ascii="宋体" w:hAnsi="宋体"/>
          <w:b w:val="0"/>
          <w:color w:val="auto"/>
          <w:sz w:val="24"/>
          <w:szCs w:val="24"/>
          <w:highlight w:val="none"/>
        </w:rPr>
        <w:t>3．不可抗力事件延续120天以上，双方应通过友好协商，确定继续履行合同或解除合同。</w:t>
      </w:r>
    </w:p>
    <w:p w14:paraId="067FD1EC">
      <w:pPr>
        <w:tabs>
          <w:tab w:val="left" w:pos="606"/>
        </w:tabs>
        <w:spacing w:line="360" w:lineRule="exact"/>
        <w:ind w:firstLine="480" w:firstLineChars="200"/>
        <w:jc w:val="left"/>
        <w:outlineLvl w:val="9"/>
        <w:rPr>
          <w:rFonts w:hint="eastAsia" w:ascii="宋体" w:hAnsi="宋体"/>
          <w:b w:val="0"/>
          <w:color w:val="auto"/>
          <w:sz w:val="24"/>
          <w:szCs w:val="24"/>
          <w:highlight w:val="none"/>
        </w:rPr>
      </w:pPr>
    </w:p>
    <w:p w14:paraId="5A6C3B55">
      <w:pPr>
        <w:tabs>
          <w:tab w:val="left" w:pos="606"/>
        </w:tabs>
        <w:spacing w:line="360" w:lineRule="exact"/>
        <w:ind w:firstLine="480" w:firstLineChars="200"/>
        <w:jc w:val="left"/>
        <w:outlineLvl w:val="9"/>
        <w:rPr>
          <w:rFonts w:hint="eastAsia" w:ascii="宋体" w:hAnsi="宋体"/>
          <w:b w:val="0"/>
          <w:color w:val="auto"/>
          <w:sz w:val="24"/>
          <w:szCs w:val="24"/>
          <w:highlight w:val="none"/>
        </w:rPr>
      </w:pPr>
      <w:r>
        <w:rPr>
          <w:rFonts w:hint="eastAsia" w:ascii="宋体" w:hAnsi="宋体"/>
          <w:b w:val="0"/>
          <w:color w:val="auto"/>
          <w:sz w:val="24"/>
          <w:szCs w:val="24"/>
          <w:highlight w:val="none"/>
        </w:rPr>
        <w:t>十三、诉讼</w:t>
      </w:r>
    </w:p>
    <w:p w14:paraId="671D4CA6">
      <w:pPr>
        <w:tabs>
          <w:tab w:val="left" w:pos="606"/>
        </w:tabs>
        <w:spacing w:line="360" w:lineRule="exact"/>
        <w:ind w:firstLine="480" w:firstLineChars="200"/>
        <w:jc w:val="left"/>
        <w:outlineLvl w:val="9"/>
        <w:rPr>
          <w:rFonts w:hint="eastAsia" w:ascii="宋体" w:hAnsi="宋体"/>
          <w:b w:val="0"/>
          <w:color w:val="auto"/>
          <w:sz w:val="24"/>
          <w:szCs w:val="24"/>
          <w:highlight w:val="none"/>
        </w:rPr>
      </w:pPr>
      <w:r>
        <w:rPr>
          <w:rFonts w:hint="eastAsia" w:ascii="宋体" w:hAnsi="宋体"/>
          <w:b w:val="0"/>
          <w:color w:val="auto"/>
          <w:sz w:val="24"/>
          <w:szCs w:val="24"/>
          <w:highlight w:val="none"/>
        </w:rPr>
        <w:t xml:space="preserve"> 双方在执行合同中所发生的一切争议，应通过协商解决。如协商不成，可向甲方所在地法院起诉。</w:t>
      </w:r>
    </w:p>
    <w:p w14:paraId="6D30666C">
      <w:pPr>
        <w:tabs>
          <w:tab w:val="left" w:pos="606"/>
        </w:tabs>
        <w:spacing w:line="360" w:lineRule="exact"/>
        <w:ind w:firstLine="480" w:firstLineChars="200"/>
        <w:jc w:val="left"/>
        <w:outlineLvl w:val="9"/>
        <w:rPr>
          <w:rFonts w:hint="eastAsia" w:ascii="宋体" w:hAnsi="宋体"/>
          <w:b w:val="0"/>
          <w:color w:val="auto"/>
          <w:sz w:val="24"/>
          <w:szCs w:val="24"/>
          <w:highlight w:val="none"/>
        </w:rPr>
      </w:pPr>
    </w:p>
    <w:p w14:paraId="08F262DA">
      <w:pPr>
        <w:tabs>
          <w:tab w:val="left" w:pos="606"/>
        </w:tabs>
        <w:spacing w:line="360" w:lineRule="exact"/>
        <w:ind w:firstLine="480" w:firstLineChars="200"/>
        <w:jc w:val="left"/>
        <w:outlineLvl w:val="9"/>
        <w:rPr>
          <w:rFonts w:hint="eastAsia" w:ascii="宋体" w:hAnsi="宋体"/>
          <w:b w:val="0"/>
          <w:color w:val="auto"/>
          <w:sz w:val="24"/>
          <w:szCs w:val="24"/>
          <w:highlight w:val="none"/>
        </w:rPr>
      </w:pPr>
      <w:r>
        <w:rPr>
          <w:rFonts w:hint="eastAsia" w:ascii="宋体" w:hAnsi="宋体"/>
          <w:b w:val="0"/>
          <w:color w:val="auto"/>
          <w:sz w:val="24"/>
          <w:szCs w:val="24"/>
          <w:highlight w:val="none"/>
        </w:rPr>
        <w:t>十四、合同生效及其它</w:t>
      </w:r>
    </w:p>
    <w:p w14:paraId="2A632950">
      <w:pPr>
        <w:tabs>
          <w:tab w:val="left" w:pos="606"/>
        </w:tabs>
        <w:spacing w:line="360" w:lineRule="exact"/>
        <w:ind w:firstLine="480" w:firstLineChars="200"/>
        <w:jc w:val="left"/>
        <w:outlineLvl w:val="9"/>
        <w:rPr>
          <w:rFonts w:hint="eastAsia" w:ascii="宋体" w:hAnsi="宋体"/>
          <w:b w:val="0"/>
          <w:color w:val="auto"/>
          <w:sz w:val="24"/>
          <w:szCs w:val="24"/>
          <w:highlight w:val="none"/>
        </w:rPr>
      </w:pPr>
      <w:r>
        <w:rPr>
          <w:rFonts w:hint="eastAsia" w:ascii="宋体" w:hAnsi="宋体"/>
          <w:b w:val="0"/>
          <w:color w:val="auto"/>
          <w:sz w:val="24"/>
          <w:szCs w:val="24"/>
          <w:highlight w:val="none"/>
        </w:rPr>
        <w:t>1．合同经双方法定代表人或授权代表签字并加盖单位公章后生效。</w:t>
      </w:r>
    </w:p>
    <w:p w14:paraId="157146E5">
      <w:pPr>
        <w:tabs>
          <w:tab w:val="left" w:pos="606"/>
        </w:tabs>
        <w:spacing w:line="360" w:lineRule="exact"/>
        <w:ind w:firstLine="480" w:firstLineChars="200"/>
        <w:jc w:val="left"/>
        <w:outlineLvl w:val="9"/>
        <w:rPr>
          <w:rFonts w:hint="eastAsia" w:ascii="宋体" w:hAnsi="宋体"/>
          <w:b w:val="0"/>
          <w:color w:val="auto"/>
          <w:sz w:val="24"/>
          <w:szCs w:val="24"/>
          <w:highlight w:val="none"/>
        </w:rPr>
      </w:pPr>
      <w:r>
        <w:rPr>
          <w:rFonts w:hint="eastAsia" w:ascii="宋体" w:hAnsi="宋体"/>
          <w:b w:val="0"/>
          <w:color w:val="auto"/>
          <w:sz w:val="24"/>
          <w:szCs w:val="24"/>
          <w:highlight w:val="none"/>
        </w:rPr>
        <w:t>2．合同执行中涉及采购资金和采购内容修改或补充的，须经财政部门审批，并签书面补充协议报政府采购监督管理部门备案，方可作为主合同不可分割的一部分。</w:t>
      </w:r>
    </w:p>
    <w:p w14:paraId="13B6A8C1">
      <w:pPr>
        <w:tabs>
          <w:tab w:val="left" w:pos="606"/>
        </w:tabs>
        <w:spacing w:line="360" w:lineRule="exact"/>
        <w:ind w:firstLine="480" w:firstLineChars="200"/>
        <w:jc w:val="left"/>
        <w:outlineLvl w:val="9"/>
        <w:rPr>
          <w:rFonts w:hint="eastAsia" w:ascii="宋体" w:hAnsi="宋体"/>
          <w:b w:val="0"/>
          <w:color w:val="auto"/>
          <w:sz w:val="24"/>
          <w:szCs w:val="24"/>
          <w:highlight w:val="none"/>
        </w:rPr>
      </w:pPr>
      <w:r>
        <w:rPr>
          <w:rFonts w:hint="eastAsia" w:ascii="宋体" w:hAnsi="宋体"/>
          <w:b w:val="0"/>
          <w:color w:val="auto"/>
          <w:sz w:val="24"/>
          <w:szCs w:val="24"/>
          <w:highlight w:val="none"/>
        </w:rPr>
        <w:t>3．本合同未尽事宜，遵照《中华人民共和国民法典》有关条文执行。</w:t>
      </w:r>
    </w:p>
    <w:p w14:paraId="7EF88762">
      <w:pPr>
        <w:tabs>
          <w:tab w:val="left" w:pos="606"/>
        </w:tabs>
        <w:spacing w:line="360" w:lineRule="exact"/>
        <w:ind w:firstLine="480" w:firstLineChars="200"/>
        <w:jc w:val="left"/>
        <w:outlineLvl w:val="9"/>
        <w:rPr>
          <w:rFonts w:hint="eastAsia" w:ascii="宋体" w:hAnsi="宋体"/>
          <w:b w:val="0"/>
          <w:color w:val="auto"/>
          <w:sz w:val="24"/>
          <w:szCs w:val="24"/>
          <w:highlight w:val="none"/>
        </w:rPr>
      </w:pPr>
      <w:r>
        <w:rPr>
          <w:rFonts w:hint="eastAsia" w:ascii="宋体" w:hAnsi="宋体"/>
          <w:b w:val="0"/>
          <w:color w:val="auto"/>
          <w:sz w:val="24"/>
          <w:szCs w:val="24"/>
          <w:highlight w:val="none"/>
        </w:rPr>
        <w:t>4. 本项目的中标通知书、招标文件、乙方的投标文件及其附件（如有）作为本合同的组成部分，并与本合同一起解读。</w:t>
      </w:r>
    </w:p>
    <w:p w14:paraId="4C73369D">
      <w:pPr>
        <w:tabs>
          <w:tab w:val="left" w:pos="606"/>
        </w:tabs>
        <w:spacing w:line="360" w:lineRule="exact"/>
        <w:ind w:firstLine="480" w:firstLineChars="200"/>
        <w:jc w:val="left"/>
        <w:outlineLvl w:val="9"/>
        <w:rPr>
          <w:rFonts w:hint="eastAsia" w:ascii="宋体" w:hAnsi="宋体"/>
          <w:b w:val="0"/>
          <w:color w:val="auto"/>
          <w:sz w:val="24"/>
          <w:szCs w:val="24"/>
          <w:highlight w:val="none"/>
        </w:rPr>
      </w:pPr>
      <w:r>
        <w:rPr>
          <w:rFonts w:hint="eastAsia" w:ascii="宋体" w:hAnsi="宋体"/>
          <w:b w:val="0"/>
          <w:color w:val="auto"/>
          <w:sz w:val="24"/>
          <w:szCs w:val="24"/>
          <w:highlight w:val="none"/>
        </w:rPr>
        <w:t>5．本合同正本一式△份，具有同等法律效力，甲乙双方各执△份；△份(用途)。</w:t>
      </w:r>
    </w:p>
    <w:p w14:paraId="7D10C5DE">
      <w:pPr>
        <w:tabs>
          <w:tab w:val="left" w:pos="606"/>
        </w:tabs>
        <w:spacing w:line="360" w:lineRule="exact"/>
        <w:ind w:firstLine="480" w:firstLineChars="200"/>
        <w:jc w:val="left"/>
        <w:outlineLvl w:val="9"/>
        <w:rPr>
          <w:rFonts w:hint="eastAsia" w:ascii="宋体" w:hAnsi="宋体"/>
          <w:b w:val="0"/>
          <w:color w:val="auto"/>
          <w:sz w:val="24"/>
          <w:szCs w:val="24"/>
          <w:highlight w:val="none"/>
        </w:rPr>
      </w:pPr>
      <w:r>
        <w:rPr>
          <w:rFonts w:hint="eastAsia" w:ascii="宋体" w:hAnsi="宋体"/>
          <w:b w:val="0"/>
          <w:color w:val="auto"/>
          <w:sz w:val="24"/>
          <w:szCs w:val="24"/>
          <w:highlight w:val="none"/>
        </w:rPr>
        <w:t xml:space="preserve">6. 合同签订时间：          签订地点：        </w:t>
      </w:r>
    </w:p>
    <w:p w14:paraId="2EA0E3B7">
      <w:pPr>
        <w:tabs>
          <w:tab w:val="left" w:pos="606"/>
        </w:tabs>
        <w:spacing w:line="360" w:lineRule="exact"/>
        <w:ind w:firstLine="480" w:firstLineChars="200"/>
        <w:jc w:val="left"/>
        <w:outlineLvl w:val="9"/>
        <w:rPr>
          <w:rFonts w:hint="eastAsia" w:ascii="宋体" w:hAnsi="宋体"/>
          <w:b w:val="0"/>
          <w:color w:val="auto"/>
          <w:sz w:val="24"/>
          <w:szCs w:val="24"/>
          <w:highlight w:val="none"/>
        </w:rPr>
      </w:pPr>
    </w:p>
    <w:p w14:paraId="4EE508A0">
      <w:pPr>
        <w:tabs>
          <w:tab w:val="left" w:pos="606"/>
        </w:tabs>
        <w:spacing w:line="360" w:lineRule="exact"/>
        <w:ind w:firstLine="480" w:firstLineChars="200"/>
        <w:jc w:val="left"/>
        <w:outlineLvl w:val="9"/>
        <w:rPr>
          <w:rFonts w:hint="eastAsia" w:ascii="宋体" w:hAnsi="宋体"/>
          <w:b w:val="0"/>
          <w:color w:val="auto"/>
          <w:sz w:val="24"/>
          <w:szCs w:val="24"/>
          <w:highlight w:val="none"/>
        </w:rPr>
      </w:pPr>
      <w:r>
        <w:rPr>
          <w:rFonts w:hint="eastAsia" w:ascii="宋体" w:hAnsi="宋体"/>
          <w:b w:val="0"/>
          <w:color w:val="auto"/>
          <w:sz w:val="24"/>
          <w:szCs w:val="24"/>
          <w:highlight w:val="none"/>
        </w:rPr>
        <w:t xml:space="preserve">甲方：                                   乙方： </w:t>
      </w:r>
    </w:p>
    <w:p w14:paraId="4B82F7A4">
      <w:pPr>
        <w:tabs>
          <w:tab w:val="left" w:pos="606"/>
        </w:tabs>
        <w:spacing w:line="360" w:lineRule="exact"/>
        <w:ind w:firstLine="480" w:firstLineChars="200"/>
        <w:jc w:val="left"/>
        <w:outlineLvl w:val="9"/>
        <w:rPr>
          <w:rFonts w:hint="eastAsia" w:ascii="宋体" w:hAnsi="宋体"/>
          <w:b w:val="0"/>
          <w:color w:val="auto"/>
          <w:sz w:val="24"/>
          <w:szCs w:val="24"/>
          <w:highlight w:val="none"/>
        </w:rPr>
      </w:pPr>
      <w:r>
        <w:rPr>
          <w:rFonts w:hint="eastAsia" w:ascii="宋体" w:hAnsi="宋体"/>
          <w:b w:val="0"/>
          <w:color w:val="auto"/>
          <w:sz w:val="24"/>
          <w:szCs w:val="24"/>
          <w:highlight w:val="none"/>
        </w:rPr>
        <w:t xml:space="preserve">地址：                                   地址： </w:t>
      </w:r>
    </w:p>
    <w:p w14:paraId="5724911C">
      <w:pPr>
        <w:tabs>
          <w:tab w:val="left" w:pos="606"/>
        </w:tabs>
        <w:spacing w:line="360" w:lineRule="exact"/>
        <w:ind w:firstLine="480" w:firstLineChars="200"/>
        <w:jc w:val="left"/>
        <w:outlineLvl w:val="9"/>
        <w:rPr>
          <w:rFonts w:hint="eastAsia" w:ascii="宋体" w:hAnsi="宋体"/>
          <w:b w:val="0"/>
          <w:color w:val="auto"/>
          <w:sz w:val="24"/>
          <w:szCs w:val="24"/>
          <w:highlight w:val="none"/>
        </w:rPr>
      </w:pPr>
      <w:r>
        <w:rPr>
          <w:rFonts w:hint="eastAsia" w:ascii="宋体" w:hAnsi="宋体"/>
          <w:b w:val="0"/>
          <w:color w:val="auto"/>
          <w:sz w:val="24"/>
          <w:szCs w:val="24"/>
          <w:highlight w:val="none"/>
        </w:rPr>
        <w:t>法定（授权）代表人：                     法定（授权）代表人：</w:t>
      </w:r>
    </w:p>
    <w:p w14:paraId="1E8DC73E">
      <w:pPr>
        <w:tabs>
          <w:tab w:val="left" w:pos="606"/>
        </w:tabs>
        <w:spacing w:line="360" w:lineRule="exact"/>
        <w:ind w:firstLine="480" w:firstLineChars="200"/>
        <w:jc w:val="left"/>
        <w:outlineLvl w:val="9"/>
        <w:rPr>
          <w:rFonts w:hint="eastAsia" w:ascii="宋体" w:hAnsi="宋体"/>
          <w:b w:val="0"/>
          <w:color w:val="auto"/>
          <w:sz w:val="24"/>
          <w:szCs w:val="24"/>
          <w:highlight w:val="none"/>
        </w:rPr>
      </w:pPr>
      <w:r>
        <w:rPr>
          <w:rFonts w:hint="eastAsia" w:ascii="宋体" w:hAnsi="宋体"/>
          <w:b w:val="0"/>
          <w:color w:val="auto"/>
          <w:sz w:val="24"/>
          <w:szCs w:val="24"/>
          <w:highlight w:val="none"/>
        </w:rPr>
        <w:t>签字日期：      年  月  日               签字日期：      年  月  日</w:t>
      </w:r>
    </w:p>
    <w:p w14:paraId="0DCBB02F">
      <w:pPr>
        <w:tabs>
          <w:tab w:val="left" w:pos="606"/>
        </w:tabs>
        <w:spacing w:line="360" w:lineRule="exact"/>
        <w:ind w:firstLine="480" w:firstLineChars="200"/>
        <w:jc w:val="left"/>
        <w:outlineLvl w:val="9"/>
        <w:rPr>
          <w:rFonts w:hint="eastAsia" w:ascii="宋体" w:hAnsi="宋体"/>
          <w:b w:val="0"/>
          <w:color w:val="auto"/>
          <w:sz w:val="24"/>
          <w:szCs w:val="24"/>
          <w:highlight w:val="none"/>
        </w:rPr>
      </w:pPr>
      <w:r>
        <w:rPr>
          <w:rFonts w:hint="eastAsia" w:ascii="宋体" w:hAnsi="宋体"/>
          <w:b w:val="0"/>
          <w:color w:val="auto"/>
          <w:sz w:val="24"/>
          <w:szCs w:val="24"/>
          <w:highlight w:val="none"/>
        </w:rPr>
        <w:t>开户银行：</w:t>
      </w:r>
    </w:p>
    <w:p w14:paraId="4D797036">
      <w:pPr>
        <w:tabs>
          <w:tab w:val="left" w:pos="606"/>
        </w:tabs>
        <w:spacing w:line="360" w:lineRule="exact"/>
        <w:ind w:firstLine="480" w:firstLineChars="200"/>
        <w:jc w:val="left"/>
        <w:outlineLvl w:val="9"/>
        <w:rPr>
          <w:rFonts w:hint="eastAsia" w:ascii="宋体" w:hAnsi="宋体"/>
          <w:b w:val="0"/>
          <w:color w:val="auto"/>
          <w:sz w:val="24"/>
          <w:szCs w:val="24"/>
          <w:highlight w:val="none"/>
        </w:rPr>
      </w:pPr>
      <w:r>
        <w:rPr>
          <w:rFonts w:hint="eastAsia" w:ascii="宋体" w:hAnsi="宋体"/>
          <w:b w:val="0"/>
          <w:color w:val="auto"/>
          <w:sz w:val="24"/>
          <w:szCs w:val="24"/>
          <w:highlight w:val="none"/>
        </w:rPr>
        <w:t>账号：</w:t>
      </w:r>
    </w:p>
    <w:p w14:paraId="735FDA21">
      <w:pPr>
        <w:jc w:val="center"/>
        <w:outlineLvl w:val="0"/>
        <w:rPr>
          <w:rFonts w:hint="eastAsia"/>
          <w:b/>
          <w:color w:val="auto"/>
          <w:sz w:val="36"/>
          <w:szCs w:val="36"/>
          <w:highlight w:val="none"/>
        </w:rPr>
      </w:pPr>
    </w:p>
    <w:p w14:paraId="5855519E">
      <w:pPr>
        <w:jc w:val="center"/>
        <w:outlineLvl w:val="0"/>
        <w:rPr>
          <w:rFonts w:hint="eastAsia"/>
          <w:b/>
          <w:color w:val="auto"/>
          <w:sz w:val="36"/>
          <w:szCs w:val="36"/>
          <w:highlight w:val="none"/>
        </w:rPr>
      </w:pPr>
      <w:r>
        <w:rPr>
          <w:rFonts w:hint="eastAsia"/>
          <w:b/>
          <w:color w:val="auto"/>
          <w:sz w:val="36"/>
          <w:szCs w:val="36"/>
          <w:highlight w:val="none"/>
        </w:rPr>
        <w:br w:type="page"/>
      </w:r>
    </w:p>
    <w:bookmarkEnd w:id="8"/>
    <w:p w14:paraId="13469A23">
      <w:pPr>
        <w:jc w:val="center"/>
        <w:outlineLvl w:val="0"/>
        <w:rPr>
          <w:b/>
          <w:color w:val="auto"/>
          <w:sz w:val="36"/>
          <w:szCs w:val="36"/>
          <w:highlight w:val="none"/>
        </w:rPr>
      </w:pPr>
      <w:bookmarkStart w:id="10" w:name="_Toc6569"/>
      <w:r>
        <w:rPr>
          <w:b/>
          <w:color w:val="auto"/>
          <w:sz w:val="36"/>
          <w:szCs w:val="36"/>
          <w:highlight w:val="none"/>
        </w:rPr>
        <w:t>第</w:t>
      </w:r>
      <w:r>
        <w:rPr>
          <w:rFonts w:hint="eastAsia"/>
          <w:b/>
          <w:color w:val="auto"/>
          <w:sz w:val="36"/>
          <w:szCs w:val="36"/>
          <w:highlight w:val="none"/>
        </w:rPr>
        <w:t>六</w:t>
      </w:r>
      <w:r>
        <w:rPr>
          <w:b/>
          <w:color w:val="auto"/>
          <w:sz w:val="36"/>
          <w:szCs w:val="36"/>
          <w:highlight w:val="none"/>
        </w:rPr>
        <w:t>部分</w:t>
      </w:r>
      <w:r>
        <w:rPr>
          <w:rFonts w:hint="eastAsia"/>
          <w:b/>
          <w:color w:val="auto"/>
          <w:sz w:val="36"/>
          <w:szCs w:val="36"/>
          <w:highlight w:val="none"/>
        </w:rPr>
        <w:t xml:space="preserve"> 附件（投标文件格式）</w:t>
      </w:r>
      <w:bookmarkEnd w:id="10"/>
    </w:p>
    <w:p w14:paraId="763F6679">
      <w:pPr>
        <w:pStyle w:val="9"/>
        <w:ind w:firstLine="0"/>
        <w:rPr>
          <w:color w:val="auto"/>
          <w:highlight w:val="none"/>
        </w:rPr>
      </w:pPr>
    </w:p>
    <w:p w14:paraId="3A0D0331">
      <w:pPr>
        <w:pStyle w:val="14"/>
        <w:ind w:firstLine="0"/>
        <w:rPr>
          <w:rFonts w:ascii="宋体" w:eastAsia="宋体"/>
          <w:b/>
          <w:color w:val="auto"/>
          <w:sz w:val="28"/>
          <w:szCs w:val="28"/>
          <w:highlight w:val="none"/>
        </w:rPr>
      </w:pPr>
    </w:p>
    <w:p w14:paraId="0EC66802">
      <w:pPr>
        <w:rPr>
          <w:color w:val="auto"/>
          <w:highlight w:val="none"/>
        </w:rPr>
      </w:pPr>
    </w:p>
    <w:p w14:paraId="3AA78705">
      <w:pPr>
        <w:pStyle w:val="14"/>
        <w:numPr>
          <w:ilvl w:val="0"/>
          <w:numId w:val="4"/>
        </w:numPr>
        <w:ind w:firstLine="0"/>
        <w:rPr>
          <w:rFonts w:ascii="宋体" w:eastAsia="宋体"/>
          <w:b/>
          <w:color w:val="auto"/>
          <w:sz w:val="28"/>
          <w:szCs w:val="28"/>
          <w:highlight w:val="none"/>
        </w:rPr>
      </w:pPr>
      <w:r>
        <w:rPr>
          <w:rFonts w:hint="eastAsia" w:ascii="宋体" w:eastAsia="宋体"/>
          <w:b/>
          <w:color w:val="auto"/>
          <w:sz w:val="28"/>
          <w:szCs w:val="28"/>
          <w:highlight w:val="none"/>
        </w:rPr>
        <w:t>资格文件：</w:t>
      </w:r>
    </w:p>
    <w:p w14:paraId="6B7748C5">
      <w:pPr>
        <w:rPr>
          <w:color w:val="auto"/>
          <w:highlight w:val="none"/>
        </w:rPr>
      </w:pPr>
    </w:p>
    <w:p w14:paraId="02614F7F">
      <w:pPr>
        <w:pStyle w:val="16"/>
        <w:rPr>
          <w:color w:val="auto"/>
          <w:highlight w:val="none"/>
        </w:rPr>
      </w:pPr>
    </w:p>
    <w:p w14:paraId="4CA170B3">
      <w:pPr>
        <w:rPr>
          <w:color w:val="auto"/>
          <w:highlight w:val="none"/>
        </w:rPr>
      </w:pPr>
    </w:p>
    <w:p w14:paraId="26815433">
      <w:pPr>
        <w:pStyle w:val="14"/>
        <w:ind w:firstLine="0"/>
        <w:jc w:val="center"/>
        <w:rPr>
          <w:rFonts w:ascii="宋体" w:eastAsia="宋体"/>
          <w:b/>
          <w:color w:val="auto"/>
          <w:sz w:val="28"/>
          <w:highlight w:val="none"/>
        </w:rPr>
      </w:pPr>
    </w:p>
    <w:p w14:paraId="3F02E84D">
      <w:pPr>
        <w:pStyle w:val="14"/>
        <w:ind w:firstLine="0"/>
        <w:rPr>
          <w:rFonts w:ascii="宋体" w:eastAsia="宋体"/>
          <w:b/>
          <w:color w:val="auto"/>
          <w:sz w:val="28"/>
          <w:highlight w:val="none"/>
        </w:rPr>
      </w:pPr>
    </w:p>
    <w:p w14:paraId="1F94BC22">
      <w:pPr>
        <w:pStyle w:val="14"/>
        <w:ind w:firstLine="0"/>
        <w:rPr>
          <w:rFonts w:ascii="宋体" w:eastAsia="宋体"/>
          <w:color w:val="auto"/>
          <w:highlight w:val="none"/>
        </w:rPr>
      </w:pPr>
    </w:p>
    <w:p w14:paraId="37A912A7">
      <w:pPr>
        <w:pStyle w:val="14"/>
        <w:ind w:firstLine="0"/>
        <w:jc w:val="center"/>
        <w:rPr>
          <w:rFonts w:ascii="宋体" w:eastAsia="宋体"/>
          <w:b/>
          <w:color w:val="auto"/>
          <w:sz w:val="28"/>
          <w:highlight w:val="none"/>
        </w:rPr>
      </w:pPr>
      <w:r>
        <w:rPr>
          <w:rFonts w:hint="eastAsia" w:ascii="宋体" w:eastAsia="宋体"/>
          <w:b/>
          <w:color w:val="auto"/>
          <w:sz w:val="28"/>
          <w:highlight w:val="none"/>
        </w:rPr>
        <w:t>一、营业执照</w:t>
      </w:r>
    </w:p>
    <w:p w14:paraId="6AF5CFBC">
      <w:pPr>
        <w:pStyle w:val="14"/>
        <w:ind w:firstLine="0"/>
        <w:jc w:val="center"/>
        <w:rPr>
          <w:rFonts w:ascii="宋体" w:eastAsia="宋体"/>
          <w:color w:val="auto"/>
          <w:highlight w:val="none"/>
        </w:rPr>
      </w:pPr>
    </w:p>
    <w:p w14:paraId="3B4AB0FD">
      <w:pPr>
        <w:pStyle w:val="14"/>
        <w:ind w:firstLine="0"/>
        <w:jc w:val="center"/>
        <w:rPr>
          <w:rFonts w:ascii="宋体" w:eastAsia="宋体"/>
          <w:color w:val="auto"/>
          <w:highlight w:val="none"/>
        </w:rPr>
      </w:pPr>
      <w:r>
        <w:rPr>
          <w:rFonts w:hint="eastAsia" w:ascii="宋体" w:eastAsia="宋体"/>
          <w:color w:val="auto"/>
          <w:highlight w:val="none"/>
        </w:rPr>
        <w:t>（复印件并加盖公章）</w:t>
      </w:r>
    </w:p>
    <w:p w14:paraId="20EB1B4C">
      <w:pPr>
        <w:pStyle w:val="14"/>
        <w:ind w:firstLine="0"/>
        <w:rPr>
          <w:rFonts w:ascii="宋体" w:eastAsia="宋体"/>
          <w:color w:val="auto"/>
          <w:highlight w:val="none"/>
        </w:rPr>
      </w:pPr>
    </w:p>
    <w:p w14:paraId="07DEEB2D">
      <w:pPr>
        <w:pStyle w:val="14"/>
        <w:ind w:firstLine="0"/>
        <w:rPr>
          <w:rFonts w:ascii="宋体" w:eastAsia="宋体"/>
          <w:color w:val="auto"/>
          <w:highlight w:val="none"/>
        </w:rPr>
      </w:pPr>
    </w:p>
    <w:p w14:paraId="766F91C4">
      <w:pPr>
        <w:pStyle w:val="14"/>
        <w:ind w:firstLine="0"/>
        <w:rPr>
          <w:rFonts w:ascii="宋体" w:eastAsia="宋体"/>
          <w:color w:val="auto"/>
          <w:highlight w:val="none"/>
        </w:rPr>
      </w:pPr>
    </w:p>
    <w:p w14:paraId="5419BD32">
      <w:pPr>
        <w:pStyle w:val="14"/>
        <w:ind w:firstLine="0"/>
        <w:rPr>
          <w:rFonts w:ascii="宋体" w:eastAsia="宋体"/>
          <w:color w:val="auto"/>
          <w:highlight w:val="none"/>
        </w:rPr>
      </w:pPr>
    </w:p>
    <w:p w14:paraId="7B8DE6C7">
      <w:pPr>
        <w:pStyle w:val="14"/>
        <w:ind w:firstLine="0"/>
        <w:rPr>
          <w:rFonts w:ascii="宋体" w:eastAsia="宋体"/>
          <w:b/>
          <w:color w:val="auto"/>
          <w:sz w:val="28"/>
          <w:highlight w:val="none"/>
        </w:rPr>
      </w:pPr>
      <w:r>
        <w:rPr>
          <w:rFonts w:ascii="宋体" w:eastAsia="宋体"/>
          <w:b/>
          <w:color w:val="auto"/>
          <w:sz w:val="28"/>
          <w:highlight w:val="none"/>
        </w:rPr>
        <w:br w:type="page"/>
      </w:r>
    </w:p>
    <w:p w14:paraId="55A86739">
      <w:pPr>
        <w:pStyle w:val="14"/>
        <w:spacing w:line="480" w:lineRule="auto"/>
        <w:ind w:firstLine="0"/>
        <w:jc w:val="center"/>
        <w:rPr>
          <w:rFonts w:ascii="宋体" w:eastAsia="宋体"/>
          <w:b/>
          <w:color w:val="auto"/>
          <w:sz w:val="28"/>
          <w:highlight w:val="none"/>
        </w:rPr>
      </w:pPr>
    </w:p>
    <w:p w14:paraId="13894ED8">
      <w:pPr>
        <w:pStyle w:val="14"/>
        <w:spacing w:line="480" w:lineRule="auto"/>
        <w:ind w:firstLine="0"/>
        <w:jc w:val="center"/>
        <w:rPr>
          <w:rFonts w:ascii="宋体" w:eastAsia="宋体"/>
          <w:b/>
          <w:color w:val="auto"/>
          <w:sz w:val="28"/>
          <w:highlight w:val="none"/>
        </w:rPr>
      </w:pPr>
      <w:r>
        <w:rPr>
          <w:rFonts w:hint="eastAsia" w:ascii="宋体" w:eastAsia="宋体"/>
          <w:b/>
          <w:color w:val="auto"/>
          <w:sz w:val="28"/>
          <w:highlight w:val="none"/>
        </w:rPr>
        <w:t>二、</w:t>
      </w:r>
      <w:r>
        <w:rPr>
          <w:rFonts w:hint="eastAsia" w:eastAsia="宋体"/>
          <w:b/>
          <w:color w:val="auto"/>
          <w:sz w:val="28"/>
          <w:highlight w:val="none"/>
        </w:rPr>
        <w:t>合格供应商的资格承诺书</w:t>
      </w:r>
    </w:p>
    <w:p w14:paraId="798B90D1">
      <w:pPr>
        <w:pStyle w:val="14"/>
        <w:spacing w:line="520" w:lineRule="exact"/>
        <w:ind w:firstLine="0"/>
        <w:jc w:val="center"/>
        <w:rPr>
          <w:rFonts w:eastAsia="宋体"/>
          <w:b/>
          <w:color w:val="auto"/>
          <w:sz w:val="28"/>
          <w:highlight w:val="none"/>
        </w:rPr>
      </w:pPr>
      <w:r>
        <w:rPr>
          <w:rFonts w:hint="eastAsia" w:eastAsia="宋体"/>
          <w:b/>
          <w:color w:val="auto"/>
          <w:sz w:val="28"/>
          <w:highlight w:val="none"/>
        </w:rPr>
        <w:t>合格供应商的资格承诺书</w:t>
      </w:r>
    </w:p>
    <w:p w14:paraId="4E564D86">
      <w:pPr>
        <w:tabs>
          <w:tab w:val="left" w:pos="606"/>
        </w:tabs>
        <w:spacing w:line="360" w:lineRule="auto"/>
        <w:rPr>
          <w:rFonts w:ascii="宋体" w:hAnsi="宋体"/>
          <w:color w:val="auto"/>
          <w:szCs w:val="21"/>
          <w:highlight w:val="none"/>
        </w:rPr>
      </w:pPr>
    </w:p>
    <w:p w14:paraId="1920D75C">
      <w:pPr>
        <w:tabs>
          <w:tab w:val="left" w:pos="606"/>
        </w:tabs>
        <w:spacing w:line="360" w:lineRule="exact"/>
        <w:rPr>
          <w:rFonts w:ascii="宋体" w:hAnsi="宋体"/>
          <w:color w:val="auto"/>
          <w:sz w:val="24"/>
          <w:szCs w:val="24"/>
          <w:highlight w:val="none"/>
        </w:rPr>
      </w:pPr>
      <w:r>
        <w:rPr>
          <w:rFonts w:hint="eastAsia" w:ascii="宋体" w:hAnsi="宋体"/>
          <w:color w:val="auto"/>
          <w:sz w:val="24"/>
          <w:szCs w:val="24"/>
          <w:highlight w:val="none"/>
        </w:rPr>
        <w:t>（一）我单位符合《中华人民共和国政府采购法》第二十二条规定的供应商资格条件：</w:t>
      </w:r>
    </w:p>
    <w:p w14:paraId="2314DBEF">
      <w:pPr>
        <w:tabs>
          <w:tab w:val="left" w:pos="606"/>
        </w:tabs>
        <w:spacing w:line="360" w:lineRule="exact"/>
        <w:ind w:firstLine="480" w:firstLineChars="200"/>
        <w:rPr>
          <w:rFonts w:ascii="宋体" w:hAnsi="宋体"/>
          <w:color w:val="auto"/>
          <w:sz w:val="24"/>
          <w:szCs w:val="24"/>
          <w:highlight w:val="none"/>
        </w:rPr>
      </w:pPr>
      <w:r>
        <w:rPr>
          <w:rFonts w:hint="eastAsia" w:ascii="宋体" w:hAnsi="宋体"/>
          <w:color w:val="auto"/>
          <w:sz w:val="24"/>
          <w:szCs w:val="24"/>
          <w:highlight w:val="none"/>
        </w:rPr>
        <w:t>1、具有独立承担民事责任的能力；</w:t>
      </w:r>
    </w:p>
    <w:p w14:paraId="0865FB26">
      <w:pPr>
        <w:tabs>
          <w:tab w:val="left" w:pos="606"/>
        </w:tabs>
        <w:spacing w:line="360" w:lineRule="exact"/>
        <w:ind w:firstLine="480" w:firstLineChars="200"/>
        <w:rPr>
          <w:rFonts w:ascii="宋体" w:hAnsi="宋体"/>
          <w:color w:val="auto"/>
          <w:sz w:val="24"/>
          <w:szCs w:val="24"/>
          <w:highlight w:val="none"/>
        </w:rPr>
      </w:pPr>
      <w:r>
        <w:rPr>
          <w:rFonts w:hint="eastAsia" w:ascii="宋体" w:hAnsi="宋体"/>
          <w:color w:val="auto"/>
          <w:sz w:val="24"/>
          <w:szCs w:val="24"/>
          <w:highlight w:val="none"/>
        </w:rPr>
        <w:t>2、具有良好的商业信誉和健全的财务会计制度；</w:t>
      </w:r>
    </w:p>
    <w:p w14:paraId="266D54E6">
      <w:pPr>
        <w:tabs>
          <w:tab w:val="left" w:pos="606"/>
        </w:tabs>
        <w:spacing w:line="360" w:lineRule="exact"/>
        <w:ind w:firstLine="480" w:firstLineChars="200"/>
        <w:rPr>
          <w:rFonts w:ascii="宋体" w:hAnsi="宋体"/>
          <w:color w:val="auto"/>
          <w:sz w:val="24"/>
          <w:szCs w:val="24"/>
          <w:highlight w:val="none"/>
        </w:rPr>
      </w:pPr>
      <w:r>
        <w:rPr>
          <w:rFonts w:hint="eastAsia" w:ascii="宋体" w:hAnsi="宋体"/>
          <w:color w:val="auto"/>
          <w:sz w:val="24"/>
          <w:szCs w:val="24"/>
          <w:highlight w:val="none"/>
        </w:rPr>
        <w:t>3、具有履行合同所必需的设备和专业技术能力；</w:t>
      </w:r>
    </w:p>
    <w:p w14:paraId="50798AC8">
      <w:pPr>
        <w:tabs>
          <w:tab w:val="left" w:pos="606"/>
        </w:tabs>
        <w:spacing w:line="360" w:lineRule="exact"/>
        <w:ind w:firstLine="480" w:firstLineChars="200"/>
        <w:rPr>
          <w:rFonts w:ascii="宋体" w:hAnsi="宋体"/>
          <w:color w:val="auto"/>
          <w:sz w:val="24"/>
          <w:szCs w:val="24"/>
          <w:highlight w:val="none"/>
        </w:rPr>
      </w:pPr>
      <w:r>
        <w:rPr>
          <w:rFonts w:hint="eastAsia" w:ascii="宋体" w:hAnsi="宋体"/>
          <w:color w:val="auto"/>
          <w:sz w:val="24"/>
          <w:szCs w:val="24"/>
          <w:highlight w:val="none"/>
        </w:rPr>
        <w:t>4、有依法缴纳税收和社会保障资金的良好记录；</w:t>
      </w:r>
    </w:p>
    <w:p w14:paraId="22D6C7A4">
      <w:pPr>
        <w:tabs>
          <w:tab w:val="left" w:pos="606"/>
        </w:tabs>
        <w:spacing w:line="360" w:lineRule="exact"/>
        <w:ind w:firstLine="480" w:firstLineChars="200"/>
        <w:rPr>
          <w:rFonts w:ascii="宋体" w:hAnsi="宋体"/>
          <w:color w:val="auto"/>
          <w:sz w:val="24"/>
          <w:szCs w:val="24"/>
          <w:highlight w:val="none"/>
        </w:rPr>
      </w:pPr>
      <w:r>
        <w:rPr>
          <w:rFonts w:hint="eastAsia" w:ascii="宋体" w:hAnsi="宋体"/>
          <w:color w:val="auto"/>
          <w:sz w:val="24"/>
          <w:szCs w:val="24"/>
          <w:highlight w:val="none"/>
        </w:rPr>
        <w:t>5、参加政府采购活动前三年内，在经营活动中没有重大违法记录；</w:t>
      </w:r>
    </w:p>
    <w:p w14:paraId="256A21D6">
      <w:pPr>
        <w:tabs>
          <w:tab w:val="left" w:pos="606"/>
        </w:tabs>
        <w:spacing w:line="360" w:lineRule="exact"/>
        <w:ind w:firstLine="480" w:firstLineChars="200"/>
        <w:rPr>
          <w:rFonts w:ascii="宋体" w:hAnsi="宋体"/>
          <w:color w:val="auto"/>
          <w:sz w:val="24"/>
          <w:szCs w:val="24"/>
          <w:highlight w:val="none"/>
        </w:rPr>
      </w:pPr>
      <w:r>
        <w:rPr>
          <w:rFonts w:hint="eastAsia" w:ascii="宋体" w:hAnsi="宋体"/>
          <w:color w:val="auto"/>
          <w:sz w:val="24"/>
          <w:szCs w:val="24"/>
          <w:highlight w:val="none"/>
        </w:rPr>
        <w:t>6、法律、行政法规规定的其他条件。</w:t>
      </w:r>
    </w:p>
    <w:p w14:paraId="0406A05A">
      <w:pPr>
        <w:tabs>
          <w:tab w:val="left" w:pos="606"/>
        </w:tabs>
        <w:spacing w:line="360" w:lineRule="exact"/>
        <w:rPr>
          <w:rFonts w:ascii="宋体" w:hAnsi="宋体"/>
          <w:color w:val="auto"/>
          <w:sz w:val="24"/>
          <w:szCs w:val="24"/>
          <w:highlight w:val="none"/>
        </w:rPr>
      </w:pPr>
      <w:r>
        <w:rPr>
          <w:rFonts w:hint="eastAsia" w:ascii="宋体" w:hAnsi="宋体"/>
          <w:color w:val="auto"/>
          <w:sz w:val="24"/>
          <w:szCs w:val="24"/>
          <w:highlight w:val="none"/>
        </w:rPr>
        <w:t>（二）我单位承诺遵守以下规定：</w:t>
      </w:r>
    </w:p>
    <w:p w14:paraId="5BF73711">
      <w:pPr>
        <w:tabs>
          <w:tab w:val="left" w:pos="606"/>
        </w:tabs>
        <w:spacing w:line="360" w:lineRule="exact"/>
        <w:ind w:firstLine="480" w:firstLineChars="200"/>
        <w:rPr>
          <w:rFonts w:ascii="宋体" w:hAnsi="宋体"/>
          <w:color w:val="auto"/>
          <w:sz w:val="24"/>
          <w:szCs w:val="24"/>
          <w:highlight w:val="none"/>
        </w:rPr>
      </w:pPr>
      <w:r>
        <w:rPr>
          <w:rFonts w:hint="eastAsia" w:hAnsi="宋体"/>
          <w:color w:val="auto"/>
          <w:sz w:val="24"/>
          <w:szCs w:val="24"/>
          <w:highlight w:val="none"/>
        </w:rPr>
        <w:t>单位负责人为同一人或者存在直接控股、管理关系的不同投标人，不得同时参加同一合同项下的政府采购活动。为本项目提供整体设计、规范编制或者项目管理、监理、检测等服务的投标人，不得再参加该项目的其他采购活动。</w:t>
      </w:r>
    </w:p>
    <w:p w14:paraId="1D9783A9">
      <w:pPr>
        <w:tabs>
          <w:tab w:val="left" w:pos="606"/>
        </w:tabs>
        <w:spacing w:line="360" w:lineRule="exact"/>
        <w:rPr>
          <w:rFonts w:ascii="宋体" w:hAnsi="宋体"/>
          <w:color w:val="auto"/>
          <w:sz w:val="24"/>
          <w:szCs w:val="24"/>
          <w:highlight w:val="none"/>
        </w:rPr>
      </w:pPr>
      <w:r>
        <w:rPr>
          <w:rFonts w:hint="eastAsia" w:ascii="宋体" w:hAnsi="宋体"/>
          <w:color w:val="auto"/>
          <w:sz w:val="24"/>
          <w:szCs w:val="24"/>
          <w:highlight w:val="none"/>
        </w:rPr>
        <w:t>（三）我单位</w:t>
      </w:r>
      <w:r>
        <w:rPr>
          <w:rFonts w:hint="eastAsia"/>
          <w:color w:val="auto"/>
          <w:sz w:val="24"/>
          <w:highlight w:val="none"/>
        </w:rPr>
        <w:t>未被信用中国网站（</w:t>
      </w:r>
      <w:r>
        <w:rPr>
          <w:color w:val="auto"/>
          <w:sz w:val="24"/>
          <w:highlight w:val="none"/>
          <w:u w:val="none"/>
        </w:rPr>
        <w:t>www.creditchina.gov.cn</w:t>
      </w:r>
      <w:r>
        <w:rPr>
          <w:rFonts w:hint="eastAsia"/>
          <w:color w:val="auto"/>
          <w:sz w:val="24"/>
          <w:highlight w:val="none"/>
        </w:rPr>
        <w:t>）列入失信被执行人、重大税收违法失信主体；未被中国政府采购网（</w:t>
      </w:r>
      <w:r>
        <w:rPr>
          <w:color w:val="auto"/>
          <w:sz w:val="24"/>
          <w:highlight w:val="none"/>
        </w:rPr>
        <w:t>www.ccgp.gov.cn</w:t>
      </w:r>
      <w:r>
        <w:rPr>
          <w:rFonts w:hint="eastAsia"/>
          <w:color w:val="auto"/>
          <w:sz w:val="24"/>
          <w:highlight w:val="none"/>
        </w:rPr>
        <w:t>）列入政府采购严重违法失信行为记录名单。</w:t>
      </w:r>
    </w:p>
    <w:p w14:paraId="220963AD">
      <w:pPr>
        <w:tabs>
          <w:tab w:val="left" w:pos="606"/>
        </w:tabs>
        <w:spacing w:line="360" w:lineRule="exact"/>
        <w:ind w:firstLine="480" w:firstLineChars="200"/>
        <w:rPr>
          <w:rFonts w:ascii="宋体" w:hAnsi="宋体"/>
          <w:color w:val="auto"/>
          <w:sz w:val="24"/>
          <w:szCs w:val="24"/>
          <w:highlight w:val="none"/>
        </w:rPr>
      </w:pPr>
      <w:r>
        <w:rPr>
          <w:rFonts w:hint="eastAsia" w:ascii="宋体" w:hAnsi="宋体"/>
          <w:color w:val="auto"/>
          <w:sz w:val="24"/>
          <w:szCs w:val="24"/>
          <w:highlight w:val="none"/>
        </w:rPr>
        <w:t>特此承诺！</w:t>
      </w:r>
    </w:p>
    <w:p w14:paraId="1D2CE752">
      <w:pPr>
        <w:pStyle w:val="14"/>
        <w:spacing w:line="520" w:lineRule="exact"/>
        <w:ind w:firstLine="0"/>
        <w:rPr>
          <w:rFonts w:ascii="宋体" w:eastAsia="宋体"/>
          <w:color w:val="auto"/>
          <w:highlight w:val="none"/>
        </w:rPr>
      </w:pPr>
    </w:p>
    <w:p w14:paraId="43AE2263">
      <w:pPr>
        <w:pStyle w:val="14"/>
        <w:spacing w:before="120" w:beforeLines="50" w:line="360" w:lineRule="exact"/>
        <w:ind w:firstLine="5143" w:firstLineChars="2143"/>
        <w:rPr>
          <w:rFonts w:eastAsia="宋体"/>
          <w:color w:val="auto"/>
          <w:szCs w:val="24"/>
          <w:highlight w:val="none"/>
        </w:rPr>
      </w:pPr>
      <w:r>
        <w:rPr>
          <w:rFonts w:hint="eastAsia" w:eastAsia="宋体"/>
          <w:color w:val="auto"/>
          <w:szCs w:val="24"/>
          <w:highlight w:val="none"/>
        </w:rPr>
        <w:t>投标人单位（盖公章）：</w:t>
      </w:r>
    </w:p>
    <w:p w14:paraId="2CF79ACD">
      <w:pPr>
        <w:pStyle w:val="14"/>
        <w:spacing w:before="120" w:beforeLines="50" w:line="360" w:lineRule="exact"/>
        <w:ind w:firstLine="3902" w:firstLineChars="1626"/>
        <w:rPr>
          <w:rFonts w:eastAsia="宋体"/>
          <w:color w:val="auto"/>
          <w:szCs w:val="24"/>
          <w:highlight w:val="none"/>
        </w:rPr>
      </w:pPr>
      <w:r>
        <w:rPr>
          <w:rFonts w:hint="eastAsia" w:eastAsia="宋体"/>
          <w:color w:val="auto"/>
          <w:szCs w:val="24"/>
          <w:highlight w:val="none"/>
        </w:rPr>
        <w:t>法定代表人或被授权代表人（签字或盖章）：</w:t>
      </w:r>
    </w:p>
    <w:p w14:paraId="2AA148B0">
      <w:pPr>
        <w:pStyle w:val="14"/>
        <w:spacing w:before="120" w:beforeLines="50" w:line="360" w:lineRule="exact"/>
        <w:ind w:firstLine="5143" w:firstLineChars="2143"/>
        <w:rPr>
          <w:rFonts w:ascii="宋体" w:eastAsia="宋体"/>
          <w:color w:val="auto"/>
          <w:highlight w:val="none"/>
        </w:rPr>
      </w:pPr>
      <w:r>
        <w:rPr>
          <w:rFonts w:hint="eastAsia" w:eastAsia="宋体"/>
          <w:color w:val="auto"/>
          <w:szCs w:val="24"/>
          <w:highlight w:val="none"/>
        </w:rPr>
        <w:t>日期：</w:t>
      </w:r>
    </w:p>
    <w:p w14:paraId="20C1392F">
      <w:pPr>
        <w:pStyle w:val="14"/>
        <w:spacing w:line="480" w:lineRule="auto"/>
        <w:ind w:firstLine="0"/>
        <w:rPr>
          <w:rFonts w:ascii="宋体" w:eastAsia="宋体"/>
          <w:b/>
          <w:color w:val="auto"/>
          <w:sz w:val="28"/>
          <w:highlight w:val="none"/>
        </w:rPr>
      </w:pPr>
    </w:p>
    <w:p w14:paraId="469CEE6C">
      <w:pPr>
        <w:rPr>
          <w:rFonts w:ascii="宋体"/>
          <w:b/>
          <w:color w:val="auto"/>
          <w:sz w:val="28"/>
          <w:highlight w:val="none"/>
        </w:rPr>
      </w:pPr>
    </w:p>
    <w:p w14:paraId="0EAB945F">
      <w:pPr>
        <w:rPr>
          <w:rFonts w:ascii="宋体"/>
          <w:b/>
          <w:color w:val="auto"/>
          <w:sz w:val="28"/>
          <w:highlight w:val="none"/>
        </w:rPr>
      </w:pPr>
      <w:r>
        <w:rPr>
          <w:rFonts w:hint="eastAsia" w:ascii="宋体"/>
          <w:b/>
          <w:color w:val="auto"/>
          <w:sz w:val="28"/>
          <w:highlight w:val="none"/>
        </w:rPr>
        <w:br w:type="page"/>
      </w:r>
    </w:p>
    <w:p w14:paraId="239D79CF">
      <w:pPr>
        <w:pStyle w:val="14"/>
        <w:spacing w:line="480" w:lineRule="auto"/>
        <w:ind w:firstLine="0"/>
        <w:jc w:val="center"/>
        <w:rPr>
          <w:rFonts w:ascii="宋体" w:eastAsia="宋体"/>
          <w:b/>
          <w:color w:val="auto"/>
          <w:sz w:val="28"/>
          <w:highlight w:val="none"/>
        </w:rPr>
      </w:pPr>
    </w:p>
    <w:p w14:paraId="62E483EC">
      <w:pPr>
        <w:pStyle w:val="14"/>
        <w:spacing w:line="480" w:lineRule="auto"/>
        <w:ind w:firstLine="0"/>
        <w:jc w:val="center"/>
        <w:rPr>
          <w:rFonts w:ascii="宋体" w:eastAsia="宋体"/>
          <w:b/>
          <w:color w:val="auto"/>
          <w:sz w:val="28"/>
          <w:highlight w:val="none"/>
        </w:rPr>
      </w:pPr>
      <w:r>
        <w:rPr>
          <w:rFonts w:hint="eastAsia" w:ascii="宋体" w:eastAsia="宋体"/>
          <w:b/>
          <w:color w:val="auto"/>
          <w:sz w:val="28"/>
          <w:highlight w:val="none"/>
          <w:lang w:val="en-US" w:eastAsia="zh-CN"/>
        </w:rPr>
        <w:t>三</w:t>
      </w:r>
      <w:r>
        <w:rPr>
          <w:rFonts w:hint="eastAsia" w:ascii="宋体" w:eastAsia="宋体"/>
          <w:b/>
          <w:color w:val="auto"/>
          <w:sz w:val="28"/>
          <w:highlight w:val="none"/>
        </w:rPr>
        <w:t>、本项目的特定资格要求</w:t>
      </w:r>
    </w:p>
    <w:p w14:paraId="65D73D35">
      <w:pPr>
        <w:pStyle w:val="14"/>
        <w:spacing w:line="480" w:lineRule="auto"/>
        <w:ind w:firstLine="0"/>
        <w:jc w:val="center"/>
        <w:rPr>
          <w:rFonts w:ascii="宋体" w:eastAsia="宋体"/>
          <w:bCs/>
          <w:color w:val="auto"/>
          <w:sz w:val="28"/>
          <w:highlight w:val="none"/>
        </w:rPr>
      </w:pPr>
      <w:r>
        <w:rPr>
          <w:rFonts w:hint="eastAsia" w:ascii="宋体" w:eastAsia="宋体"/>
          <w:bCs/>
          <w:color w:val="auto"/>
          <w:sz w:val="28"/>
          <w:highlight w:val="none"/>
        </w:rPr>
        <w:t>（</w:t>
      </w:r>
      <w:r>
        <w:rPr>
          <w:rFonts w:hint="eastAsia" w:cs="宋体"/>
          <w:color w:val="auto"/>
          <w:highlight w:val="none"/>
          <w:lang w:eastAsia="zh-CN"/>
        </w:rPr>
        <w:t>经市场监管总局核准的，且核准项目代码包含RD2的特种设备综合检验机构；或经各级市场监管部门核准取得CMA证书，且检验检测机构资质认定证书附表中类别（产品/检测对象）包含常压储罐或常压容器，同时项目参数包含《在用危险化学品常压储罐检验要求》中主要检验检测项目的专业检验机构（</w:t>
      </w:r>
      <w:r>
        <w:rPr>
          <w:rFonts w:hint="eastAsia" w:cs="宋体"/>
          <w:color w:val="auto"/>
          <w:highlight w:val="none"/>
          <w:lang w:val="en-US" w:eastAsia="zh-CN"/>
        </w:rPr>
        <w:t>提供证明文件</w:t>
      </w:r>
      <w:r>
        <w:rPr>
          <w:rFonts w:hint="eastAsia" w:cs="宋体"/>
          <w:color w:val="auto"/>
          <w:highlight w:val="none"/>
          <w:lang w:eastAsia="zh-CN"/>
        </w:rPr>
        <w:t>）</w:t>
      </w:r>
      <w:r>
        <w:rPr>
          <w:rFonts w:hint="eastAsia" w:ascii="宋体" w:eastAsia="宋体"/>
          <w:bCs/>
          <w:color w:val="auto"/>
          <w:sz w:val="28"/>
          <w:highlight w:val="none"/>
        </w:rPr>
        <w:t>）</w:t>
      </w:r>
    </w:p>
    <w:p w14:paraId="139C8904">
      <w:pPr>
        <w:rPr>
          <w:rFonts w:ascii="宋体"/>
          <w:b/>
          <w:color w:val="auto"/>
          <w:sz w:val="28"/>
          <w:highlight w:val="none"/>
        </w:rPr>
      </w:pPr>
      <w:r>
        <w:rPr>
          <w:rFonts w:hint="eastAsia" w:ascii="宋体"/>
          <w:b/>
          <w:color w:val="auto"/>
          <w:sz w:val="28"/>
          <w:highlight w:val="none"/>
        </w:rPr>
        <w:br w:type="page"/>
      </w:r>
    </w:p>
    <w:p w14:paraId="6EC28BAE">
      <w:pPr>
        <w:pStyle w:val="14"/>
        <w:ind w:firstLine="0"/>
        <w:rPr>
          <w:rFonts w:ascii="宋体" w:eastAsia="宋体"/>
          <w:b/>
          <w:color w:val="auto"/>
          <w:sz w:val="28"/>
          <w:szCs w:val="28"/>
          <w:highlight w:val="none"/>
        </w:rPr>
      </w:pPr>
    </w:p>
    <w:p w14:paraId="4DC03650">
      <w:pPr>
        <w:pStyle w:val="14"/>
        <w:ind w:firstLine="0"/>
        <w:rPr>
          <w:rFonts w:ascii="宋体" w:eastAsia="宋体"/>
          <w:b/>
          <w:color w:val="auto"/>
          <w:sz w:val="28"/>
          <w:szCs w:val="28"/>
          <w:highlight w:val="none"/>
        </w:rPr>
      </w:pPr>
      <w:r>
        <w:rPr>
          <w:rFonts w:hint="eastAsia" w:ascii="宋体" w:eastAsia="宋体"/>
          <w:b/>
          <w:color w:val="auto"/>
          <w:sz w:val="28"/>
          <w:szCs w:val="28"/>
          <w:highlight w:val="none"/>
        </w:rPr>
        <w:t>（二）技术商务文件：</w:t>
      </w:r>
    </w:p>
    <w:p w14:paraId="4E950466">
      <w:pPr>
        <w:rPr>
          <w:color w:val="auto"/>
          <w:highlight w:val="none"/>
        </w:rPr>
      </w:pPr>
    </w:p>
    <w:p w14:paraId="61BE9D6E">
      <w:pPr>
        <w:pStyle w:val="14"/>
        <w:ind w:firstLine="0"/>
        <w:jc w:val="center"/>
        <w:rPr>
          <w:rFonts w:ascii="宋体" w:eastAsia="宋体"/>
          <w:b/>
          <w:color w:val="auto"/>
          <w:sz w:val="28"/>
          <w:szCs w:val="28"/>
          <w:highlight w:val="none"/>
        </w:rPr>
      </w:pPr>
      <w:r>
        <w:rPr>
          <w:rFonts w:hint="eastAsia" w:ascii="宋体" w:eastAsia="宋体"/>
          <w:b/>
          <w:color w:val="auto"/>
          <w:sz w:val="28"/>
          <w:szCs w:val="28"/>
          <w:highlight w:val="none"/>
        </w:rPr>
        <w:t>一、投标函</w:t>
      </w:r>
    </w:p>
    <w:p w14:paraId="519E6957">
      <w:pPr>
        <w:pStyle w:val="14"/>
        <w:spacing w:before="120" w:beforeLines="50" w:after="120" w:afterLines="50" w:line="360" w:lineRule="exact"/>
        <w:ind w:firstLine="0"/>
        <w:rPr>
          <w:rFonts w:eastAsia="宋体"/>
          <w:color w:val="auto"/>
          <w:highlight w:val="none"/>
        </w:rPr>
      </w:pPr>
      <w:r>
        <w:rPr>
          <w:rFonts w:eastAsia="宋体"/>
          <w:color w:val="auto"/>
          <w:highlight w:val="none"/>
          <w:u w:val="single"/>
        </w:rPr>
        <w:t xml:space="preserve">   致</w:t>
      </w:r>
      <w:r>
        <w:rPr>
          <w:rFonts w:eastAsia="宋体"/>
          <w:i/>
          <w:color w:val="auto"/>
          <w:highlight w:val="none"/>
          <w:u w:val="single"/>
        </w:rPr>
        <w:t xml:space="preserve">（采购人） </w:t>
      </w:r>
      <w:r>
        <w:rPr>
          <w:rFonts w:eastAsia="宋体"/>
          <w:color w:val="auto"/>
          <w:highlight w:val="none"/>
          <w:u w:val="single"/>
        </w:rPr>
        <w:t xml:space="preserve">              </w:t>
      </w:r>
      <w:r>
        <w:rPr>
          <w:rFonts w:eastAsia="宋体"/>
          <w:color w:val="auto"/>
          <w:highlight w:val="none"/>
        </w:rPr>
        <w:t>：</w:t>
      </w:r>
    </w:p>
    <w:p w14:paraId="69285ADB">
      <w:pPr>
        <w:pStyle w:val="14"/>
        <w:spacing w:line="360" w:lineRule="exact"/>
        <w:ind w:firstLineChars="200"/>
        <w:rPr>
          <w:rFonts w:eastAsia="宋体"/>
          <w:color w:val="auto"/>
          <w:highlight w:val="none"/>
          <w:u w:val="single"/>
        </w:rPr>
      </w:pPr>
      <w:r>
        <w:rPr>
          <w:rFonts w:eastAsia="宋体"/>
          <w:color w:val="auto"/>
          <w:highlight w:val="none"/>
          <w:u w:val="single"/>
        </w:rPr>
        <w:t xml:space="preserve">     </w:t>
      </w:r>
      <w:r>
        <w:rPr>
          <w:rFonts w:eastAsia="宋体"/>
          <w:i/>
          <w:color w:val="auto"/>
          <w:highlight w:val="none"/>
          <w:u w:val="single"/>
        </w:rPr>
        <w:t xml:space="preserve"> （投标人全称）</w:t>
      </w:r>
      <w:r>
        <w:rPr>
          <w:rFonts w:eastAsia="宋体"/>
          <w:color w:val="auto"/>
          <w:highlight w:val="none"/>
          <w:u w:val="single"/>
        </w:rPr>
        <w:t xml:space="preserve">      </w:t>
      </w:r>
      <w:r>
        <w:rPr>
          <w:rFonts w:eastAsia="宋体"/>
          <w:color w:val="auto"/>
          <w:highlight w:val="none"/>
        </w:rPr>
        <w:t xml:space="preserve"> 授权</w:t>
      </w:r>
      <w:r>
        <w:rPr>
          <w:rFonts w:eastAsia="宋体"/>
          <w:color w:val="auto"/>
          <w:highlight w:val="none"/>
          <w:u w:val="single"/>
        </w:rPr>
        <w:t xml:space="preserve"> </w:t>
      </w:r>
      <w:r>
        <w:rPr>
          <w:rFonts w:eastAsia="宋体"/>
          <w:i/>
          <w:color w:val="auto"/>
          <w:highlight w:val="none"/>
          <w:u w:val="single"/>
        </w:rPr>
        <w:t xml:space="preserve">（全权代表姓名、职务） </w:t>
      </w:r>
      <w:r>
        <w:rPr>
          <w:rFonts w:eastAsia="宋体"/>
          <w:color w:val="auto"/>
          <w:highlight w:val="none"/>
          <w:u w:val="single"/>
        </w:rPr>
        <w:t xml:space="preserve"> </w:t>
      </w:r>
      <w:r>
        <w:rPr>
          <w:rFonts w:eastAsia="宋体"/>
          <w:color w:val="auto"/>
          <w:highlight w:val="none"/>
        </w:rPr>
        <w:t xml:space="preserve">为本公司合法代理人，参加 </w:t>
      </w:r>
      <w:r>
        <w:rPr>
          <w:rFonts w:eastAsia="宋体"/>
          <w:color w:val="auto"/>
          <w:highlight w:val="none"/>
          <w:u w:val="single"/>
        </w:rPr>
        <w:t xml:space="preserve">  </w:t>
      </w:r>
      <w:r>
        <w:rPr>
          <w:rFonts w:eastAsia="宋体"/>
          <w:i/>
          <w:color w:val="auto"/>
          <w:highlight w:val="none"/>
          <w:u w:val="single"/>
        </w:rPr>
        <w:t>（</w:t>
      </w:r>
      <w:r>
        <w:rPr>
          <w:rFonts w:hint="eastAsia" w:eastAsia="宋体"/>
          <w:i/>
          <w:color w:val="auto"/>
          <w:highlight w:val="none"/>
          <w:u w:val="single"/>
        </w:rPr>
        <w:t>项目</w:t>
      </w:r>
      <w:r>
        <w:rPr>
          <w:rFonts w:eastAsia="宋体"/>
          <w:i/>
          <w:color w:val="auto"/>
          <w:highlight w:val="none"/>
          <w:u w:val="single"/>
        </w:rPr>
        <w:t>编号、项目名称）</w:t>
      </w:r>
      <w:r>
        <w:rPr>
          <w:rFonts w:eastAsia="宋体"/>
          <w:color w:val="auto"/>
          <w:highlight w:val="none"/>
          <w:u w:val="single"/>
        </w:rPr>
        <w:t xml:space="preserve">      </w:t>
      </w:r>
      <w:r>
        <w:rPr>
          <w:rFonts w:eastAsia="宋体"/>
          <w:color w:val="auto"/>
          <w:highlight w:val="none"/>
        </w:rPr>
        <w:t>招投标活动，代表本公司处理招投标活动中的一切事宜，在此：</w:t>
      </w:r>
    </w:p>
    <w:p w14:paraId="02C174E4">
      <w:pPr>
        <w:pStyle w:val="14"/>
        <w:numPr>
          <w:ilvl w:val="0"/>
          <w:numId w:val="5"/>
        </w:numPr>
        <w:tabs>
          <w:tab w:val="clear" w:pos="840"/>
        </w:tabs>
        <w:spacing w:before="120" w:beforeLines="50" w:line="360" w:lineRule="exact"/>
        <w:ind w:left="0" w:firstLine="0"/>
        <w:rPr>
          <w:rFonts w:eastAsia="宋体"/>
          <w:color w:val="auto"/>
          <w:highlight w:val="none"/>
        </w:rPr>
      </w:pPr>
      <w:r>
        <w:rPr>
          <w:rFonts w:eastAsia="宋体"/>
          <w:color w:val="auto"/>
          <w:highlight w:val="none"/>
        </w:rPr>
        <w:t>提供招标文件中</w:t>
      </w:r>
      <w:r>
        <w:rPr>
          <w:rFonts w:hint="eastAsia" w:eastAsia="宋体"/>
          <w:color w:val="auto"/>
          <w:highlight w:val="none"/>
        </w:rPr>
        <w:t>“</w:t>
      </w:r>
      <w:r>
        <w:rPr>
          <w:rFonts w:eastAsia="宋体"/>
          <w:color w:val="auto"/>
          <w:highlight w:val="none"/>
        </w:rPr>
        <w:t>投标人须知及前附表</w:t>
      </w:r>
      <w:r>
        <w:rPr>
          <w:rFonts w:hint="eastAsia" w:eastAsia="宋体"/>
          <w:color w:val="auto"/>
          <w:highlight w:val="none"/>
        </w:rPr>
        <w:t>”</w:t>
      </w:r>
      <w:r>
        <w:rPr>
          <w:rFonts w:eastAsia="宋体"/>
          <w:color w:val="auto"/>
          <w:highlight w:val="none"/>
        </w:rPr>
        <w:t>中规定的全部投标文件</w:t>
      </w:r>
      <w:r>
        <w:rPr>
          <w:rFonts w:hint="eastAsia" w:eastAsia="宋体"/>
          <w:color w:val="auto"/>
          <w:highlight w:val="none"/>
        </w:rPr>
        <w:t>。</w:t>
      </w:r>
    </w:p>
    <w:p w14:paraId="1FFAC46E">
      <w:pPr>
        <w:pStyle w:val="14"/>
        <w:numPr>
          <w:ilvl w:val="0"/>
          <w:numId w:val="5"/>
        </w:numPr>
        <w:tabs>
          <w:tab w:val="clear" w:pos="840"/>
        </w:tabs>
        <w:spacing w:before="120" w:beforeLines="50" w:line="360" w:lineRule="exact"/>
        <w:ind w:left="0" w:firstLine="0"/>
        <w:rPr>
          <w:rFonts w:eastAsia="宋体"/>
          <w:color w:val="auto"/>
          <w:highlight w:val="none"/>
        </w:rPr>
      </w:pPr>
      <w:r>
        <w:rPr>
          <w:rFonts w:eastAsia="宋体"/>
          <w:color w:val="auto"/>
          <w:highlight w:val="none"/>
        </w:rPr>
        <w:t>据此函，签字代表宣布并承诺如下：</w:t>
      </w:r>
    </w:p>
    <w:p w14:paraId="38B7E925">
      <w:pPr>
        <w:pStyle w:val="14"/>
        <w:spacing w:line="360" w:lineRule="exact"/>
        <w:ind w:firstLine="0"/>
        <w:rPr>
          <w:rFonts w:eastAsia="宋体"/>
          <w:color w:val="auto"/>
          <w:highlight w:val="none"/>
        </w:rPr>
      </w:pPr>
      <w:r>
        <w:rPr>
          <w:rFonts w:eastAsia="宋体"/>
          <w:color w:val="auto"/>
          <w:highlight w:val="none"/>
        </w:rPr>
        <w:t>（1）</w:t>
      </w:r>
      <w:r>
        <w:rPr>
          <w:rFonts w:hint="eastAsia" w:eastAsia="宋体"/>
          <w:color w:val="auto"/>
          <w:highlight w:val="none"/>
        </w:rPr>
        <w:t>本项目</w:t>
      </w:r>
      <w:r>
        <w:rPr>
          <w:rFonts w:eastAsia="宋体"/>
          <w:color w:val="auto"/>
          <w:highlight w:val="none"/>
        </w:rPr>
        <w:t>的投标总价</w:t>
      </w:r>
      <w:r>
        <w:rPr>
          <w:rFonts w:hint="eastAsia" w:eastAsia="宋体"/>
          <w:color w:val="auto"/>
          <w:highlight w:val="none"/>
          <w:u w:val="single"/>
        </w:rPr>
        <w:t xml:space="preserve">详见开标一览表 </w:t>
      </w:r>
      <w:r>
        <w:rPr>
          <w:rFonts w:eastAsia="宋体"/>
          <w:color w:val="auto"/>
          <w:highlight w:val="none"/>
        </w:rPr>
        <w:t>。本报价已经包含了</w:t>
      </w:r>
      <w:r>
        <w:rPr>
          <w:rFonts w:hint="eastAsia" w:eastAsia="宋体"/>
          <w:color w:val="auto"/>
          <w:highlight w:val="none"/>
        </w:rPr>
        <w:t>本项目</w:t>
      </w:r>
      <w:r>
        <w:rPr>
          <w:rFonts w:eastAsia="宋体"/>
          <w:color w:val="auto"/>
          <w:highlight w:val="none"/>
        </w:rPr>
        <w:t>应纳的税金及招标文件规定的报价方式应包含的</w:t>
      </w:r>
      <w:r>
        <w:rPr>
          <w:rFonts w:hint="eastAsia" w:eastAsia="宋体"/>
          <w:color w:val="auto"/>
          <w:highlight w:val="none"/>
        </w:rPr>
        <w:t>所有</w:t>
      </w:r>
      <w:r>
        <w:rPr>
          <w:rFonts w:eastAsia="宋体"/>
          <w:color w:val="auto"/>
          <w:highlight w:val="none"/>
        </w:rPr>
        <w:t>费用。本报价在投标有效期内固定不变，并在合同有效期内不受利率波动的影响。</w:t>
      </w:r>
    </w:p>
    <w:p w14:paraId="5AFDF536">
      <w:pPr>
        <w:pStyle w:val="14"/>
        <w:spacing w:line="360" w:lineRule="exact"/>
        <w:ind w:firstLine="0"/>
        <w:rPr>
          <w:rFonts w:eastAsia="宋体"/>
          <w:color w:val="auto"/>
          <w:highlight w:val="none"/>
        </w:rPr>
      </w:pPr>
      <w:r>
        <w:rPr>
          <w:rFonts w:eastAsia="宋体"/>
          <w:color w:val="auto"/>
          <w:highlight w:val="none"/>
        </w:rPr>
        <w:t>（2）本投标</w:t>
      </w:r>
      <w:r>
        <w:rPr>
          <w:rFonts w:hint="eastAsia" w:eastAsia="宋体"/>
          <w:color w:val="auto"/>
          <w:highlight w:val="none"/>
        </w:rPr>
        <w:t>文件</w:t>
      </w:r>
      <w:r>
        <w:rPr>
          <w:rFonts w:eastAsia="宋体"/>
          <w:color w:val="auto"/>
          <w:highlight w:val="none"/>
        </w:rPr>
        <w:t>自开标之日起</w:t>
      </w:r>
      <w:r>
        <w:rPr>
          <w:rFonts w:eastAsia="宋体"/>
          <w:color w:val="auto"/>
          <w:highlight w:val="none"/>
          <w:u w:val="single"/>
        </w:rPr>
        <w:t xml:space="preserve">  </w:t>
      </w:r>
      <w:r>
        <w:rPr>
          <w:rFonts w:hint="eastAsia" w:eastAsia="宋体"/>
          <w:color w:val="auto"/>
          <w:highlight w:val="none"/>
          <w:u w:val="single"/>
        </w:rPr>
        <w:t>90</w:t>
      </w:r>
      <w:r>
        <w:rPr>
          <w:rFonts w:eastAsia="宋体"/>
          <w:color w:val="auto"/>
          <w:highlight w:val="none"/>
          <w:u w:val="single"/>
        </w:rPr>
        <w:t xml:space="preserve"> </w:t>
      </w:r>
      <w:r>
        <w:rPr>
          <w:rFonts w:eastAsia="宋体"/>
          <w:color w:val="auto"/>
          <w:highlight w:val="none"/>
        </w:rPr>
        <w:t>天内有效。</w:t>
      </w:r>
    </w:p>
    <w:p w14:paraId="33DB8DD8">
      <w:pPr>
        <w:pStyle w:val="14"/>
        <w:spacing w:line="360" w:lineRule="exact"/>
        <w:ind w:firstLine="0"/>
        <w:rPr>
          <w:rFonts w:eastAsia="宋体"/>
          <w:color w:val="auto"/>
          <w:highlight w:val="none"/>
        </w:rPr>
      </w:pPr>
      <w:r>
        <w:rPr>
          <w:rFonts w:eastAsia="宋体"/>
          <w:color w:val="auto"/>
          <w:highlight w:val="none"/>
        </w:rPr>
        <w:t>（3）我们已详细审查全部招标文件及有关的澄清/修改文件(若有的话)，我们完全理解并同意放弃对这方面提出任何异议的权利。</w:t>
      </w:r>
    </w:p>
    <w:p w14:paraId="47AB683C">
      <w:pPr>
        <w:pStyle w:val="14"/>
        <w:spacing w:line="360" w:lineRule="exact"/>
        <w:ind w:firstLine="0"/>
        <w:rPr>
          <w:rFonts w:eastAsia="宋体"/>
          <w:color w:val="auto"/>
          <w:highlight w:val="none"/>
        </w:rPr>
      </w:pPr>
      <w:r>
        <w:rPr>
          <w:rFonts w:eastAsia="宋体"/>
          <w:color w:val="auto"/>
          <w:highlight w:val="none"/>
        </w:rPr>
        <w:t>（4）保证遵守招标文件有关条款规定。</w:t>
      </w:r>
    </w:p>
    <w:p w14:paraId="04E7005B">
      <w:pPr>
        <w:pStyle w:val="14"/>
        <w:spacing w:line="360" w:lineRule="exact"/>
        <w:ind w:firstLine="0"/>
        <w:rPr>
          <w:rFonts w:eastAsia="宋体"/>
          <w:color w:val="auto"/>
          <w:highlight w:val="none"/>
        </w:rPr>
      </w:pPr>
      <w:r>
        <w:rPr>
          <w:rFonts w:eastAsia="宋体"/>
          <w:color w:val="auto"/>
          <w:highlight w:val="none"/>
        </w:rPr>
        <w:t>（5）保证在中标后忠实地执行与采购人所签署的合同，并承担合同规定的责任义务</w:t>
      </w:r>
      <w:r>
        <w:rPr>
          <w:rFonts w:hint="eastAsia" w:eastAsia="宋体"/>
          <w:color w:val="auto"/>
          <w:highlight w:val="none"/>
        </w:rPr>
        <w:t>，</w:t>
      </w:r>
    </w:p>
    <w:p w14:paraId="0B93AFE8">
      <w:pPr>
        <w:pStyle w:val="14"/>
        <w:spacing w:line="360" w:lineRule="exact"/>
        <w:ind w:firstLine="0"/>
        <w:rPr>
          <w:rFonts w:eastAsia="宋体"/>
          <w:color w:val="auto"/>
          <w:highlight w:val="none"/>
        </w:rPr>
      </w:pPr>
      <w:r>
        <w:rPr>
          <w:rFonts w:eastAsia="宋体"/>
          <w:color w:val="auto"/>
          <w:highlight w:val="none"/>
        </w:rPr>
        <w:t>承诺应贵方要求提供任何与</w:t>
      </w:r>
      <w:r>
        <w:rPr>
          <w:rFonts w:hint="eastAsia" w:eastAsia="宋体"/>
          <w:color w:val="auto"/>
          <w:highlight w:val="none"/>
        </w:rPr>
        <w:t>本</w:t>
      </w:r>
      <w:r>
        <w:rPr>
          <w:rFonts w:eastAsia="宋体"/>
          <w:color w:val="auto"/>
          <w:highlight w:val="none"/>
        </w:rPr>
        <w:t>项目有关的数据、情况和技术资料。</w:t>
      </w:r>
    </w:p>
    <w:p w14:paraId="02BD80E5">
      <w:pPr>
        <w:pStyle w:val="14"/>
        <w:spacing w:line="360" w:lineRule="exact"/>
        <w:ind w:firstLine="0"/>
        <w:rPr>
          <w:rFonts w:eastAsia="宋体"/>
          <w:color w:val="auto"/>
          <w:highlight w:val="none"/>
        </w:rPr>
      </w:pPr>
      <w:r>
        <w:rPr>
          <w:rFonts w:eastAsia="宋体"/>
          <w:color w:val="auto"/>
          <w:highlight w:val="none"/>
        </w:rPr>
        <w:t>（6）</w:t>
      </w:r>
      <w:r>
        <w:rPr>
          <w:rFonts w:hint="eastAsia" w:eastAsia="宋体"/>
          <w:color w:val="auto"/>
          <w:highlight w:val="none"/>
        </w:rPr>
        <w:t>同意采购文件中有关中标服务费的条款，保证在中标后按照采购文件的规定，向采购代理一次性交纳中标服务费。</w:t>
      </w:r>
    </w:p>
    <w:p w14:paraId="57B6ECB7">
      <w:pPr>
        <w:pStyle w:val="14"/>
        <w:spacing w:line="360" w:lineRule="exact"/>
        <w:ind w:firstLine="0"/>
        <w:rPr>
          <w:rFonts w:eastAsia="宋体"/>
          <w:color w:val="auto"/>
          <w:highlight w:val="none"/>
        </w:rPr>
      </w:pPr>
      <w:r>
        <w:rPr>
          <w:rFonts w:eastAsia="宋体"/>
          <w:color w:val="auto"/>
          <w:highlight w:val="none"/>
        </w:rPr>
        <w:t>（</w:t>
      </w:r>
      <w:r>
        <w:rPr>
          <w:rFonts w:hint="eastAsia" w:eastAsia="宋体"/>
          <w:color w:val="auto"/>
          <w:highlight w:val="none"/>
        </w:rPr>
        <w:t>7</w:t>
      </w:r>
      <w:r>
        <w:rPr>
          <w:rFonts w:eastAsia="宋体"/>
          <w:color w:val="auto"/>
          <w:highlight w:val="none"/>
        </w:rPr>
        <w:t>）我们郑重声明：我公司符合政府采购法规定的参加采购活动应当具备的条件：具有独立承担民事责任的能力；具有良好的商业信誉和健全的财务会计制度；具有履行合同所必须的设备和专业技术能力；有依法缴纳税收和社会保障资金的良好记录；参加政府采购活动前三年内，在经营活动中没有重大违法记录。</w:t>
      </w:r>
    </w:p>
    <w:p w14:paraId="496F82B9">
      <w:pPr>
        <w:pStyle w:val="14"/>
        <w:numPr>
          <w:ilvl w:val="0"/>
          <w:numId w:val="5"/>
        </w:numPr>
        <w:spacing w:before="120" w:beforeLines="50" w:line="360" w:lineRule="exact"/>
        <w:ind w:left="0" w:firstLine="0"/>
        <w:rPr>
          <w:rFonts w:eastAsia="宋体"/>
          <w:color w:val="auto"/>
          <w:highlight w:val="none"/>
        </w:rPr>
      </w:pPr>
      <w:r>
        <w:rPr>
          <w:rFonts w:eastAsia="宋体"/>
          <w:color w:val="auto"/>
          <w:highlight w:val="none"/>
        </w:rPr>
        <w:t>与本</w:t>
      </w:r>
      <w:r>
        <w:rPr>
          <w:rFonts w:hint="eastAsia" w:eastAsia="宋体"/>
          <w:color w:val="auto"/>
          <w:highlight w:val="none"/>
        </w:rPr>
        <w:t>项目</w:t>
      </w:r>
      <w:r>
        <w:rPr>
          <w:rFonts w:eastAsia="宋体"/>
          <w:color w:val="auto"/>
          <w:highlight w:val="none"/>
        </w:rPr>
        <w:t>有关的一切往来通讯请寄：</w:t>
      </w:r>
    </w:p>
    <w:p w14:paraId="7C325FA2">
      <w:pPr>
        <w:pStyle w:val="14"/>
        <w:spacing w:line="360" w:lineRule="exact"/>
        <w:ind w:firstLine="0"/>
        <w:rPr>
          <w:rFonts w:eastAsia="宋体"/>
          <w:color w:val="auto"/>
          <w:highlight w:val="none"/>
        </w:rPr>
      </w:pPr>
      <w:r>
        <w:rPr>
          <w:rFonts w:eastAsia="宋体"/>
          <w:color w:val="auto"/>
          <w:highlight w:val="none"/>
        </w:rPr>
        <w:t>地址：</w:t>
      </w:r>
      <w:r>
        <w:rPr>
          <w:rFonts w:eastAsia="宋体"/>
          <w:color w:val="auto"/>
          <w:highlight w:val="none"/>
          <w:u w:val="single"/>
        </w:rPr>
        <w:t xml:space="preserve">                                            </w:t>
      </w:r>
    </w:p>
    <w:p w14:paraId="18598DA9">
      <w:pPr>
        <w:pStyle w:val="14"/>
        <w:spacing w:line="360" w:lineRule="exact"/>
        <w:ind w:firstLine="0"/>
        <w:rPr>
          <w:rFonts w:eastAsia="宋体"/>
          <w:color w:val="auto"/>
          <w:highlight w:val="none"/>
          <w:u w:val="single"/>
        </w:rPr>
      </w:pPr>
      <w:r>
        <w:rPr>
          <w:rFonts w:eastAsia="宋体"/>
          <w:color w:val="auto"/>
          <w:highlight w:val="none"/>
        </w:rPr>
        <w:t>邮编：</w:t>
      </w:r>
      <w:r>
        <w:rPr>
          <w:rFonts w:eastAsia="宋体"/>
          <w:color w:val="auto"/>
          <w:highlight w:val="none"/>
          <w:u w:val="single"/>
        </w:rPr>
        <w:t xml:space="preserve">       </w:t>
      </w:r>
      <w:r>
        <w:rPr>
          <w:rFonts w:hint="eastAsia" w:eastAsia="宋体"/>
          <w:color w:val="auto"/>
          <w:highlight w:val="none"/>
          <w:u w:val="single"/>
        </w:rPr>
        <w:t xml:space="preserve">       </w:t>
      </w:r>
      <w:r>
        <w:rPr>
          <w:rFonts w:eastAsia="宋体"/>
          <w:color w:val="auto"/>
          <w:highlight w:val="none"/>
          <w:u w:val="single"/>
        </w:rPr>
        <w:t xml:space="preserve">     </w:t>
      </w:r>
      <w:r>
        <w:rPr>
          <w:rFonts w:eastAsia="宋体"/>
          <w:color w:val="auto"/>
          <w:highlight w:val="none"/>
        </w:rPr>
        <w:t>电话：</w:t>
      </w:r>
      <w:r>
        <w:rPr>
          <w:rFonts w:eastAsia="宋体"/>
          <w:color w:val="auto"/>
          <w:highlight w:val="none"/>
          <w:u w:val="single"/>
        </w:rPr>
        <w:t xml:space="preserve">        </w:t>
      </w:r>
      <w:r>
        <w:rPr>
          <w:rFonts w:hint="eastAsia" w:eastAsia="宋体"/>
          <w:color w:val="auto"/>
          <w:highlight w:val="none"/>
          <w:u w:val="single"/>
        </w:rPr>
        <w:t xml:space="preserve">     </w:t>
      </w:r>
      <w:r>
        <w:rPr>
          <w:rFonts w:eastAsia="宋体"/>
          <w:color w:val="auto"/>
          <w:highlight w:val="none"/>
          <w:u w:val="single"/>
        </w:rPr>
        <w:t xml:space="preserve">      </w:t>
      </w:r>
    </w:p>
    <w:p w14:paraId="60C8C113">
      <w:pPr>
        <w:pStyle w:val="14"/>
        <w:spacing w:line="360" w:lineRule="exact"/>
        <w:ind w:firstLine="0"/>
        <w:rPr>
          <w:rFonts w:eastAsia="宋体"/>
          <w:color w:val="auto"/>
          <w:highlight w:val="none"/>
        </w:rPr>
      </w:pPr>
    </w:p>
    <w:p w14:paraId="1B0CF5C9">
      <w:pPr>
        <w:pStyle w:val="14"/>
        <w:spacing w:before="120" w:beforeLines="50" w:line="360" w:lineRule="exact"/>
        <w:ind w:firstLine="0"/>
        <w:rPr>
          <w:rFonts w:eastAsia="宋体"/>
          <w:color w:val="auto"/>
          <w:highlight w:val="none"/>
        </w:rPr>
      </w:pPr>
      <w:r>
        <w:rPr>
          <w:rFonts w:eastAsia="宋体"/>
          <w:color w:val="auto"/>
          <w:highlight w:val="none"/>
        </w:rPr>
        <w:t>投标人单位（盖公章）：</w:t>
      </w:r>
    </w:p>
    <w:p w14:paraId="53642F43">
      <w:pPr>
        <w:pStyle w:val="14"/>
        <w:spacing w:before="120" w:beforeLines="50" w:line="360" w:lineRule="exact"/>
        <w:ind w:firstLine="0"/>
        <w:rPr>
          <w:rFonts w:eastAsia="宋体"/>
          <w:color w:val="auto"/>
          <w:highlight w:val="none"/>
        </w:rPr>
      </w:pPr>
      <w:r>
        <w:rPr>
          <w:rFonts w:hint="eastAsia" w:eastAsia="宋体"/>
          <w:color w:val="auto"/>
          <w:highlight w:val="none"/>
        </w:rPr>
        <w:t>法定代表人或</w:t>
      </w:r>
      <w:r>
        <w:rPr>
          <w:rFonts w:eastAsia="宋体"/>
          <w:color w:val="auto"/>
          <w:highlight w:val="none"/>
        </w:rPr>
        <w:t>被授权代表人（签字</w:t>
      </w:r>
      <w:r>
        <w:rPr>
          <w:rFonts w:hint="eastAsia" w:eastAsia="宋体"/>
          <w:color w:val="auto"/>
          <w:highlight w:val="none"/>
        </w:rPr>
        <w:t>或盖章</w:t>
      </w:r>
      <w:r>
        <w:rPr>
          <w:rFonts w:eastAsia="宋体"/>
          <w:color w:val="auto"/>
          <w:highlight w:val="none"/>
        </w:rPr>
        <w:t>）：</w:t>
      </w:r>
    </w:p>
    <w:p w14:paraId="7C08ECA5">
      <w:pPr>
        <w:pStyle w:val="14"/>
        <w:tabs>
          <w:tab w:val="left" w:pos="4841"/>
        </w:tabs>
        <w:spacing w:before="120" w:beforeLines="50" w:line="360" w:lineRule="exact"/>
        <w:ind w:firstLine="0"/>
        <w:rPr>
          <w:rFonts w:ascii="宋体" w:eastAsia="宋体"/>
          <w:b/>
          <w:color w:val="auto"/>
          <w:sz w:val="28"/>
          <w:highlight w:val="none"/>
        </w:rPr>
      </w:pPr>
      <w:r>
        <w:rPr>
          <w:rFonts w:eastAsia="宋体"/>
          <w:color w:val="auto"/>
          <w:highlight w:val="none"/>
        </w:rPr>
        <w:t>日      期：</w:t>
      </w:r>
      <w:r>
        <w:rPr>
          <w:rFonts w:hint="eastAsia" w:ascii="宋体" w:eastAsia="宋体"/>
          <w:color w:val="auto"/>
          <w:highlight w:val="none"/>
        </w:rPr>
        <w:t xml:space="preserve">  </w:t>
      </w:r>
    </w:p>
    <w:p w14:paraId="61C3B471">
      <w:pPr>
        <w:pStyle w:val="14"/>
        <w:ind w:firstLine="0"/>
        <w:rPr>
          <w:rFonts w:ascii="宋体" w:eastAsia="宋体"/>
          <w:b/>
          <w:color w:val="auto"/>
          <w:sz w:val="28"/>
          <w:highlight w:val="none"/>
        </w:rPr>
      </w:pPr>
      <w:r>
        <w:rPr>
          <w:rFonts w:ascii="宋体" w:eastAsia="宋体"/>
          <w:b/>
          <w:color w:val="auto"/>
          <w:sz w:val="28"/>
          <w:highlight w:val="none"/>
        </w:rPr>
        <w:br w:type="page"/>
      </w:r>
    </w:p>
    <w:p w14:paraId="0112FF4C">
      <w:pPr>
        <w:rPr>
          <w:rFonts w:ascii="宋体"/>
          <w:b/>
          <w:color w:val="auto"/>
          <w:sz w:val="28"/>
          <w:highlight w:val="none"/>
        </w:rPr>
      </w:pPr>
    </w:p>
    <w:p w14:paraId="4556ED96">
      <w:pPr>
        <w:jc w:val="center"/>
        <w:rPr>
          <w:rFonts w:ascii="宋体"/>
          <w:b/>
          <w:color w:val="auto"/>
          <w:sz w:val="28"/>
          <w:highlight w:val="none"/>
        </w:rPr>
      </w:pPr>
      <w:r>
        <w:rPr>
          <w:rFonts w:hint="eastAsia" w:ascii="宋体"/>
          <w:b/>
          <w:color w:val="auto"/>
          <w:sz w:val="28"/>
          <w:highlight w:val="none"/>
        </w:rPr>
        <w:t>二、技术条款响应表</w:t>
      </w:r>
    </w:p>
    <w:p w14:paraId="1D8B6031">
      <w:pPr>
        <w:rPr>
          <w:rFonts w:ascii="宋体"/>
          <w:color w:val="auto"/>
          <w:szCs w:val="21"/>
          <w:highlight w:val="none"/>
        </w:rPr>
      </w:pPr>
    </w:p>
    <w:p w14:paraId="1B85AA82">
      <w:pPr>
        <w:rPr>
          <w:rFonts w:ascii="宋体"/>
          <w:color w:val="auto"/>
          <w:sz w:val="24"/>
          <w:szCs w:val="24"/>
          <w:highlight w:val="none"/>
        </w:rPr>
      </w:pPr>
      <w:r>
        <w:rPr>
          <w:rFonts w:hint="eastAsia" w:ascii="宋体"/>
          <w:color w:val="auto"/>
          <w:sz w:val="24"/>
          <w:szCs w:val="24"/>
          <w:highlight w:val="none"/>
        </w:rPr>
        <w:t>项目名称：</w:t>
      </w:r>
      <w:r>
        <w:rPr>
          <w:rFonts w:hint="eastAsia" w:ascii="宋体"/>
          <w:color w:val="auto"/>
          <w:sz w:val="24"/>
          <w:szCs w:val="24"/>
          <w:highlight w:val="none"/>
          <w:u w:val="single"/>
        </w:rPr>
        <w:t xml:space="preserve">             </w:t>
      </w:r>
      <w:r>
        <w:rPr>
          <w:rFonts w:hint="eastAsia" w:ascii="宋体"/>
          <w:color w:val="auto"/>
          <w:sz w:val="24"/>
          <w:szCs w:val="24"/>
          <w:highlight w:val="none"/>
        </w:rPr>
        <w:t xml:space="preserve">   </w:t>
      </w:r>
      <w:r>
        <w:rPr>
          <w:rFonts w:hint="eastAsia" w:ascii="宋体"/>
          <w:color w:val="auto"/>
          <w:szCs w:val="24"/>
          <w:highlight w:val="none"/>
        </w:rPr>
        <w:t xml:space="preserve">     </w:t>
      </w:r>
    </w:p>
    <w:tbl>
      <w:tblPr>
        <w:tblStyle w:val="30"/>
        <w:tblW w:w="4999"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22"/>
        <w:gridCol w:w="3479"/>
        <w:gridCol w:w="3010"/>
        <w:gridCol w:w="1634"/>
      </w:tblGrid>
      <w:tr w14:paraId="217A69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exact"/>
        </w:trPr>
        <w:tc>
          <w:tcPr>
            <w:tcW w:w="459" w:type="pct"/>
            <w:vAlign w:val="center"/>
          </w:tcPr>
          <w:p w14:paraId="21B672CD">
            <w:pPr>
              <w:spacing w:line="300" w:lineRule="exact"/>
              <w:jc w:val="center"/>
              <w:rPr>
                <w:rFonts w:ascii="宋体" w:hAnsi="宋体" w:cs="宋体"/>
                <w:color w:val="auto"/>
                <w:sz w:val="24"/>
                <w:szCs w:val="24"/>
                <w:highlight w:val="none"/>
              </w:rPr>
            </w:pPr>
            <w:r>
              <w:rPr>
                <w:rFonts w:hint="eastAsia" w:ascii="宋体" w:hAnsi="宋体" w:cs="宋体"/>
                <w:color w:val="auto"/>
                <w:sz w:val="24"/>
                <w:szCs w:val="24"/>
                <w:highlight w:val="none"/>
              </w:rPr>
              <w:t>序号</w:t>
            </w:r>
          </w:p>
        </w:tc>
        <w:tc>
          <w:tcPr>
            <w:tcW w:w="1944" w:type="pct"/>
            <w:vAlign w:val="center"/>
          </w:tcPr>
          <w:p w14:paraId="45F70375">
            <w:pPr>
              <w:spacing w:line="300" w:lineRule="exact"/>
              <w:jc w:val="center"/>
              <w:rPr>
                <w:rFonts w:ascii="宋体" w:hAnsi="宋体" w:cs="宋体"/>
                <w:color w:val="auto"/>
                <w:sz w:val="24"/>
                <w:szCs w:val="24"/>
                <w:highlight w:val="none"/>
              </w:rPr>
            </w:pPr>
            <w:r>
              <w:rPr>
                <w:rFonts w:hint="eastAsia" w:ascii="宋体" w:hAnsi="宋体" w:cs="宋体"/>
                <w:color w:val="auto"/>
                <w:sz w:val="24"/>
                <w:szCs w:val="24"/>
                <w:highlight w:val="none"/>
              </w:rPr>
              <w:t>招标文件要求</w:t>
            </w:r>
          </w:p>
        </w:tc>
        <w:tc>
          <w:tcPr>
            <w:tcW w:w="1682" w:type="pct"/>
            <w:vAlign w:val="center"/>
          </w:tcPr>
          <w:p w14:paraId="19123771">
            <w:pPr>
              <w:spacing w:line="300" w:lineRule="exact"/>
              <w:jc w:val="center"/>
              <w:rPr>
                <w:rFonts w:ascii="宋体" w:hAnsi="宋体" w:cs="宋体"/>
                <w:color w:val="auto"/>
                <w:sz w:val="24"/>
                <w:szCs w:val="24"/>
                <w:highlight w:val="none"/>
              </w:rPr>
            </w:pPr>
            <w:r>
              <w:rPr>
                <w:rFonts w:hint="eastAsia" w:ascii="宋体" w:hAnsi="宋体" w:cs="宋体"/>
                <w:color w:val="auto"/>
                <w:sz w:val="24"/>
                <w:szCs w:val="24"/>
                <w:highlight w:val="none"/>
              </w:rPr>
              <w:t>投标响应</w:t>
            </w:r>
          </w:p>
        </w:tc>
        <w:tc>
          <w:tcPr>
            <w:tcW w:w="913" w:type="pct"/>
            <w:vAlign w:val="center"/>
          </w:tcPr>
          <w:p w14:paraId="26623DC7">
            <w:pPr>
              <w:spacing w:line="300" w:lineRule="exact"/>
              <w:jc w:val="center"/>
              <w:rPr>
                <w:rFonts w:ascii="宋体" w:hAnsi="宋体" w:cs="宋体"/>
                <w:color w:val="auto"/>
                <w:sz w:val="24"/>
                <w:szCs w:val="24"/>
                <w:highlight w:val="none"/>
              </w:rPr>
            </w:pPr>
            <w:r>
              <w:rPr>
                <w:rFonts w:hint="eastAsia" w:ascii="宋体" w:hAnsi="宋体" w:cs="宋体"/>
                <w:color w:val="auto"/>
                <w:sz w:val="24"/>
                <w:szCs w:val="24"/>
                <w:highlight w:val="none"/>
              </w:rPr>
              <w:t>偏离说明</w:t>
            </w:r>
          </w:p>
        </w:tc>
      </w:tr>
      <w:tr w14:paraId="08B0E1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exact"/>
        </w:trPr>
        <w:tc>
          <w:tcPr>
            <w:tcW w:w="459" w:type="pct"/>
            <w:vAlign w:val="center"/>
          </w:tcPr>
          <w:p w14:paraId="0E47FA84">
            <w:pPr>
              <w:jc w:val="center"/>
              <w:rPr>
                <w:rFonts w:ascii="宋体"/>
                <w:color w:val="auto"/>
                <w:sz w:val="24"/>
                <w:highlight w:val="none"/>
              </w:rPr>
            </w:pPr>
          </w:p>
        </w:tc>
        <w:tc>
          <w:tcPr>
            <w:tcW w:w="1944" w:type="pct"/>
            <w:vAlign w:val="center"/>
          </w:tcPr>
          <w:p w14:paraId="74DA0966">
            <w:pPr>
              <w:jc w:val="center"/>
              <w:rPr>
                <w:rFonts w:ascii="宋体"/>
                <w:color w:val="auto"/>
                <w:sz w:val="24"/>
                <w:highlight w:val="none"/>
              </w:rPr>
            </w:pPr>
          </w:p>
        </w:tc>
        <w:tc>
          <w:tcPr>
            <w:tcW w:w="1682" w:type="pct"/>
            <w:vAlign w:val="center"/>
          </w:tcPr>
          <w:p w14:paraId="17C422ED">
            <w:pPr>
              <w:jc w:val="center"/>
              <w:rPr>
                <w:rFonts w:ascii="宋体"/>
                <w:color w:val="auto"/>
                <w:sz w:val="24"/>
                <w:highlight w:val="none"/>
              </w:rPr>
            </w:pPr>
          </w:p>
        </w:tc>
        <w:tc>
          <w:tcPr>
            <w:tcW w:w="913" w:type="pct"/>
            <w:vAlign w:val="center"/>
          </w:tcPr>
          <w:p w14:paraId="557CA5CC">
            <w:pPr>
              <w:jc w:val="center"/>
              <w:rPr>
                <w:rFonts w:ascii="宋体"/>
                <w:color w:val="auto"/>
                <w:sz w:val="24"/>
                <w:highlight w:val="none"/>
              </w:rPr>
            </w:pPr>
          </w:p>
        </w:tc>
      </w:tr>
      <w:tr w14:paraId="783664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exact"/>
        </w:trPr>
        <w:tc>
          <w:tcPr>
            <w:tcW w:w="459" w:type="pct"/>
            <w:vAlign w:val="center"/>
          </w:tcPr>
          <w:p w14:paraId="634F4E6E">
            <w:pPr>
              <w:jc w:val="center"/>
              <w:rPr>
                <w:rFonts w:ascii="宋体"/>
                <w:color w:val="auto"/>
                <w:sz w:val="24"/>
                <w:highlight w:val="none"/>
              </w:rPr>
            </w:pPr>
          </w:p>
        </w:tc>
        <w:tc>
          <w:tcPr>
            <w:tcW w:w="1944" w:type="pct"/>
            <w:vAlign w:val="center"/>
          </w:tcPr>
          <w:p w14:paraId="752D5103">
            <w:pPr>
              <w:jc w:val="center"/>
              <w:rPr>
                <w:rFonts w:ascii="宋体"/>
                <w:color w:val="auto"/>
                <w:sz w:val="24"/>
                <w:highlight w:val="none"/>
              </w:rPr>
            </w:pPr>
          </w:p>
        </w:tc>
        <w:tc>
          <w:tcPr>
            <w:tcW w:w="1682" w:type="pct"/>
            <w:vAlign w:val="center"/>
          </w:tcPr>
          <w:p w14:paraId="4BDC73A4">
            <w:pPr>
              <w:jc w:val="center"/>
              <w:rPr>
                <w:rFonts w:ascii="宋体"/>
                <w:color w:val="auto"/>
                <w:sz w:val="24"/>
                <w:highlight w:val="none"/>
              </w:rPr>
            </w:pPr>
          </w:p>
        </w:tc>
        <w:tc>
          <w:tcPr>
            <w:tcW w:w="913" w:type="pct"/>
            <w:vAlign w:val="center"/>
          </w:tcPr>
          <w:p w14:paraId="43BEE3FD">
            <w:pPr>
              <w:jc w:val="center"/>
              <w:rPr>
                <w:rFonts w:ascii="宋体"/>
                <w:color w:val="auto"/>
                <w:sz w:val="24"/>
                <w:highlight w:val="none"/>
              </w:rPr>
            </w:pPr>
          </w:p>
        </w:tc>
      </w:tr>
      <w:tr w14:paraId="16C8C7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exact"/>
        </w:trPr>
        <w:tc>
          <w:tcPr>
            <w:tcW w:w="459" w:type="pct"/>
            <w:vAlign w:val="center"/>
          </w:tcPr>
          <w:p w14:paraId="467D97BC">
            <w:pPr>
              <w:jc w:val="center"/>
              <w:rPr>
                <w:rFonts w:ascii="宋体"/>
                <w:color w:val="auto"/>
                <w:sz w:val="24"/>
                <w:highlight w:val="none"/>
              </w:rPr>
            </w:pPr>
          </w:p>
        </w:tc>
        <w:tc>
          <w:tcPr>
            <w:tcW w:w="1944" w:type="pct"/>
            <w:vAlign w:val="center"/>
          </w:tcPr>
          <w:p w14:paraId="30A7E979">
            <w:pPr>
              <w:jc w:val="center"/>
              <w:rPr>
                <w:rFonts w:ascii="宋体"/>
                <w:color w:val="auto"/>
                <w:sz w:val="24"/>
                <w:highlight w:val="none"/>
              </w:rPr>
            </w:pPr>
          </w:p>
        </w:tc>
        <w:tc>
          <w:tcPr>
            <w:tcW w:w="1682" w:type="pct"/>
            <w:vAlign w:val="center"/>
          </w:tcPr>
          <w:p w14:paraId="49B6E961">
            <w:pPr>
              <w:jc w:val="center"/>
              <w:rPr>
                <w:rFonts w:ascii="宋体"/>
                <w:color w:val="auto"/>
                <w:sz w:val="24"/>
                <w:highlight w:val="none"/>
              </w:rPr>
            </w:pPr>
          </w:p>
        </w:tc>
        <w:tc>
          <w:tcPr>
            <w:tcW w:w="913" w:type="pct"/>
            <w:vAlign w:val="center"/>
          </w:tcPr>
          <w:p w14:paraId="3F73E4B6">
            <w:pPr>
              <w:jc w:val="center"/>
              <w:rPr>
                <w:rFonts w:ascii="宋体"/>
                <w:color w:val="auto"/>
                <w:sz w:val="24"/>
                <w:highlight w:val="none"/>
              </w:rPr>
            </w:pPr>
          </w:p>
        </w:tc>
      </w:tr>
      <w:tr w14:paraId="744AF1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exact"/>
        </w:trPr>
        <w:tc>
          <w:tcPr>
            <w:tcW w:w="459" w:type="pct"/>
            <w:vAlign w:val="center"/>
          </w:tcPr>
          <w:p w14:paraId="5AF15BC4">
            <w:pPr>
              <w:jc w:val="center"/>
              <w:rPr>
                <w:rFonts w:ascii="宋体"/>
                <w:color w:val="auto"/>
                <w:sz w:val="24"/>
                <w:highlight w:val="none"/>
              </w:rPr>
            </w:pPr>
          </w:p>
        </w:tc>
        <w:tc>
          <w:tcPr>
            <w:tcW w:w="1944" w:type="pct"/>
            <w:vAlign w:val="center"/>
          </w:tcPr>
          <w:p w14:paraId="22DBA410">
            <w:pPr>
              <w:jc w:val="center"/>
              <w:rPr>
                <w:rFonts w:ascii="宋体"/>
                <w:color w:val="auto"/>
                <w:sz w:val="24"/>
                <w:highlight w:val="none"/>
              </w:rPr>
            </w:pPr>
          </w:p>
        </w:tc>
        <w:tc>
          <w:tcPr>
            <w:tcW w:w="1682" w:type="pct"/>
            <w:vAlign w:val="center"/>
          </w:tcPr>
          <w:p w14:paraId="11CACFB9">
            <w:pPr>
              <w:jc w:val="center"/>
              <w:rPr>
                <w:rFonts w:ascii="宋体"/>
                <w:color w:val="auto"/>
                <w:sz w:val="24"/>
                <w:highlight w:val="none"/>
              </w:rPr>
            </w:pPr>
          </w:p>
        </w:tc>
        <w:tc>
          <w:tcPr>
            <w:tcW w:w="913" w:type="pct"/>
            <w:vAlign w:val="center"/>
          </w:tcPr>
          <w:p w14:paraId="34BC1E72">
            <w:pPr>
              <w:jc w:val="center"/>
              <w:rPr>
                <w:rFonts w:ascii="宋体"/>
                <w:color w:val="auto"/>
                <w:sz w:val="24"/>
                <w:highlight w:val="none"/>
              </w:rPr>
            </w:pPr>
          </w:p>
        </w:tc>
      </w:tr>
      <w:tr w14:paraId="7DB65F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exact"/>
        </w:trPr>
        <w:tc>
          <w:tcPr>
            <w:tcW w:w="459" w:type="pct"/>
            <w:vAlign w:val="center"/>
          </w:tcPr>
          <w:p w14:paraId="6049D03A">
            <w:pPr>
              <w:jc w:val="center"/>
              <w:rPr>
                <w:rFonts w:ascii="宋体"/>
                <w:color w:val="auto"/>
                <w:sz w:val="24"/>
                <w:highlight w:val="none"/>
              </w:rPr>
            </w:pPr>
          </w:p>
        </w:tc>
        <w:tc>
          <w:tcPr>
            <w:tcW w:w="1944" w:type="pct"/>
            <w:vAlign w:val="center"/>
          </w:tcPr>
          <w:p w14:paraId="6C722E9A">
            <w:pPr>
              <w:jc w:val="center"/>
              <w:rPr>
                <w:rFonts w:ascii="宋体"/>
                <w:color w:val="auto"/>
                <w:sz w:val="24"/>
                <w:highlight w:val="none"/>
              </w:rPr>
            </w:pPr>
          </w:p>
        </w:tc>
        <w:tc>
          <w:tcPr>
            <w:tcW w:w="1682" w:type="pct"/>
            <w:vAlign w:val="center"/>
          </w:tcPr>
          <w:p w14:paraId="4DE2CC31">
            <w:pPr>
              <w:jc w:val="center"/>
              <w:rPr>
                <w:rFonts w:ascii="宋体"/>
                <w:color w:val="auto"/>
                <w:sz w:val="24"/>
                <w:highlight w:val="none"/>
              </w:rPr>
            </w:pPr>
          </w:p>
        </w:tc>
        <w:tc>
          <w:tcPr>
            <w:tcW w:w="913" w:type="pct"/>
            <w:vAlign w:val="center"/>
          </w:tcPr>
          <w:p w14:paraId="046686E1">
            <w:pPr>
              <w:jc w:val="center"/>
              <w:rPr>
                <w:rFonts w:ascii="宋体"/>
                <w:color w:val="auto"/>
                <w:sz w:val="24"/>
                <w:highlight w:val="none"/>
              </w:rPr>
            </w:pPr>
          </w:p>
        </w:tc>
      </w:tr>
      <w:tr w14:paraId="3AEB2B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exact"/>
        </w:trPr>
        <w:tc>
          <w:tcPr>
            <w:tcW w:w="459" w:type="pct"/>
            <w:vAlign w:val="center"/>
          </w:tcPr>
          <w:p w14:paraId="3FB15251">
            <w:pPr>
              <w:jc w:val="center"/>
              <w:rPr>
                <w:rFonts w:ascii="宋体"/>
                <w:color w:val="auto"/>
                <w:sz w:val="24"/>
                <w:highlight w:val="none"/>
              </w:rPr>
            </w:pPr>
          </w:p>
        </w:tc>
        <w:tc>
          <w:tcPr>
            <w:tcW w:w="1944" w:type="pct"/>
            <w:vAlign w:val="center"/>
          </w:tcPr>
          <w:p w14:paraId="37D82B57">
            <w:pPr>
              <w:jc w:val="center"/>
              <w:rPr>
                <w:rFonts w:ascii="宋体"/>
                <w:color w:val="auto"/>
                <w:sz w:val="24"/>
                <w:highlight w:val="none"/>
              </w:rPr>
            </w:pPr>
          </w:p>
        </w:tc>
        <w:tc>
          <w:tcPr>
            <w:tcW w:w="1682" w:type="pct"/>
            <w:vAlign w:val="center"/>
          </w:tcPr>
          <w:p w14:paraId="5DCE5D84">
            <w:pPr>
              <w:jc w:val="center"/>
              <w:rPr>
                <w:rFonts w:ascii="宋体"/>
                <w:color w:val="auto"/>
                <w:sz w:val="24"/>
                <w:highlight w:val="none"/>
              </w:rPr>
            </w:pPr>
          </w:p>
        </w:tc>
        <w:tc>
          <w:tcPr>
            <w:tcW w:w="913" w:type="pct"/>
            <w:vAlign w:val="center"/>
          </w:tcPr>
          <w:p w14:paraId="718B35F0">
            <w:pPr>
              <w:jc w:val="center"/>
              <w:rPr>
                <w:rFonts w:ascii="宋体"/>
                <w:color w:val="auto"/>
                <w:sz w:val="24"/>
                <w:highlight w:val="none"/>
              </w:rPr>
            </w:pPr>
          </w:p>
        </w:tc>
      </w:tr>
      <w:tr w14:paraId="494FB5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exact"/>
        </w:trPr>
        <w:tc>
          <w:tcPr>
            <w:tcW w:w="459" w:type="pct"/>
            <w:vAlign w:val="center"/>
          </w:tcPr>
          <w:p w14:paraId="11D32F6B">
            <w:pPr>
              <w:jc w:val="center"/>
              <w:rPr>
                <w:rFonts w:ascii="宋体"/>
                <w:color w:val="auto"/>
                <w:sz w:val="24"/>
                <w:highlight w:val="none"/>
              </w:rPr>
            </w:pPr>
          </w:p>
        </w:tc>
        <w:tc>
          <w:tcPr>
            <w:tcW w:w="1944" w:type="pct"/>
            <w:vAlign w:val="center"/>
          </w:tcPr>
          <w:p w14:paraId="2041ACF5">
            <w:pPr>
              <w:jc w:val="center"/>
              <w:rPr>
                <w:rFonts w:ascii="宋体"/>
                <w:color w:val="auto"/>
                <w:sz w:val="24"/>
                <w:highlight w:val="none"/>
              </w:rPr>
            </w:pPr>
          </w:p>
        </w:tc>
        <w:tc>
          <w:tcPr>
            <w:tcW w:w="1682" w:type="pct"/>
            <w:vAlign w:val="center"/>
          </w:tcPr>
          <w:p w14:paraId="0EDD4222">
            <w:pPr>
              <w:jc w:val="center"/>
              <w:rPr>
                <w:rFonts w:ascii="宋体"/>
                <w:color w:val="auto"/>
                <w:sz w:val="24"/>
                <w:highlight w:val="none"/>
              </w:rPr>
            </w:pPr>
          </w:p>
        </w:tc>
        <w:tc>
          <w:tcPr>
            <w:tcW w:w="913" w:type="pct"/>
            <w:vAlign w:val="center"/>
          </w:tcPr>
          <w:p w14:paraId="04D86428">
            <w:pPr>
              <w:jc w:val="center"/>
              <w:rPr>
                <w:rFonts w:ascii="宋体"/>
                <w:color w:val="auto"/>
                <w:sz w:val="24"/>
                <w:highlight w:val="none"/>
              </w:rPr>
            </w:pPr>
          </w:p>
        </w:tc>
      </w:tr>
      <w:tr w14:paraId="0B46AF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exact"/>
        </w:trPr>
        <w:tc>
          <w:tcPr>
            <w:tcW w:w="459" w:type="pct"/>
            <w:vAlign w:val="center"/>
          </w:tcPr>
          <w:p w14:paraId="63DA975C">
            <w:pPr>
              <w:jc w:val="center"/>
              <w:rPr>
                <w:rFonts w:ascii="宋体"/>
                <w:color w:val="auto"/>
                <w:sz w:val="24"/>
                <w:highlight w:val="none"/>
              </w:rPr>
            </w:pPr>
          </w:p>
        </w:tc>
        <w:tc>
          <w:tcPr>
            <w:tcW w:w="1944" w:type="pct"/>
            <w:vAlign w:val="center"/>
          </w:tcPr>
          <w:p w14:paraId="3CF76EB5">
            <w:pPr>
              <w:jc w:val="center"/>
              <w:rPr>
                <w:rFonts w:ascii="宋体"/>
                <w:color w:val="auto"/>
                <w:sz w:val="24"/>
                <w:highlight w:val="none"/>
              </w:rPr>
            </w:pPr>
          </w:p>
        </w:tc>
        <w:tc>
          <w:tcPr>
            <w:tcW w:w="1682" w:type="pct"/>
            <w:vAlign w:val="center"/>
          </w:tcPr>
          <w:p w14:paraId="580E29BE">
            <w:pPr>
              <w:jc w:val="center"/>
              <w:rPr>
                <w:rFonts w:ascii="宋体"/>
                <w:color w:val="auto"/>
                <w:sz w:val="24"/>
                <w:highlight w:val="none"/>
              </w:rPr>
            </w:pPr>
          </w:p>
        </w:tc>
        <w:tc>
          <w:tcPr>
            <w:tcW w:w="913" w:type="pct"/>
            <w:vAlign w:val="center"/>
          </w:tcPr>
          <w:p w14:paraId="7E250099">
            <w:pPr>
              <w:jc w:val="center"/>
              <w:rPr>
                <w:rFonts w:ascii="宋体"/>
                <w:color w:val="auto"/>
                <w:sz w:val="24"/>
                <w:highlight w:val="none"/>
              </w:rPr>
            </w:pPr>
          </w:p>
        </w:tc>
      </w:tr>
      <w:tr w14:paraId="41060B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exact"/>
        </w:trPr>
        <w:tc>
          <w:tcPr>
            <w:tcW w:w="459" w:type="pct"/>
            <w:vAlign w:val="center"/>
          </w:tcPr>
          <w:p w14:paraId="6959095E">
            <w:pPr>
              <w:jc w:val="center"/>
              <w:rPr>
                <w:rFonts w:ascii="宋体"/>
                <w:color w:val="auto"/>
                <w:sz w:val="24"/>
                <w:highlight w:val="none"/>
              </w:rPr>
            </w:pPr>
          </w:p>
        </w:tc>
        <w:tc>
          <w:tcPr>
            <w:tcW w:w="1944" w:type="pct"/>
            <w:vAlign w:val="center"/>
          </w:tcPr>
          <w:p w14:paraId="07469224">
            <w:pPr>
              <w:jc w:val="center"/>
              <w:rPr>
                <w:rFonts w:ascii="宋体"/>
                <w:color w:val="auto"/>
                <w:sz w:val="24"/>
                <w:highlight w:val="none"/>
              </w:rPr>
            </w:pPr>
          </w:p>
        </w:tc>
        <w:tc>
          <w:tcPr>
            <w:tcW w:w="1682" w:type="pct"/>
            <w:vAlign w:val="center"/>
          </w:tcPr>
          <w:p w14:paraId="1C61EFCA">
            <w:pPr>
              <w:jc w:val="center"/>
              <w:rPr>
                <w:rFonts w:ascii="宋体"/>
                <w:color w:val="auto"/>
                <w:sz w:val="24"/>
                <w:highlight w:val="none"/>
              </w:rPr>
            </w:pPr>
          </w:p>
        </w:tc>
        <w:tc>
          <w:tcPr>
            <w:tcW w:w="913" w:type="pct"/>
            <w:vAlign w:val="center"/>
          </w:tcPr>
          <w:p w14:paraId="54BC7F33">
            <w:pPr>
              <w:jc w:val="center"/>
              <w:rPr>
                <w:rFonts w:ascii="宋体"/>
                <w:color w:val="auto"/>
                <w:sz w:val="24"/>
                <w:highlight w:val="none"/>
              </w:rPr>
            </w:pPr>
          </w:p>
        </w:tc>
      </w:tr>
    </w:tbl>
    <w:p w14:paraId="127DC0B2">
      <w:pPr>
        <w:spacing w:line="440" w:lineRule="exact"/>
        <w:rPr>
          <w:rFonts w:ascii="宋体"/>
          <w:color w:val="auto"/>
          <w:sz w:val="24"/>
          <w:highlight w:val="none"/>
        </w:rPr>
      </w:pPr>
      <w:r>
        <w:rPr>
          <w:rFonts w:hint="eastAsia" w:ascii="宋体"/>
          <w:color w:val="auto"/>
          <w:sz w:val="24"/>
          <w:highlight w:val="none"/>
        </w:rPr>
        <w:t>备注：此表根据“第二部分 项目要求”中“</w:t>
      </w:r>
      <w:r>
        <w:rPr>
          <w:rFonts w:hint="eastAsia" w:ascii="Calibri" w:hAnsi="Calibri" w:cs="Calibri"/>
          <w:b/>
          <w:bCs/>
          <w:color w:val="auto"/>
          <w:sz w:val="24"/>
          <w:szCs w:val="24"/>
          <w:highlight w:val="none"/>
        </w:rPr>
        <w:t>技术条款要求</w:t>
      </w:r>
      <w:r>
        <w:rPr>
          <w:rFonts w:hint="eastAsia" w:ascii="宋体"/>
          <w:color w:val="auto"/>
          <w:sz w:val="24"/>
          <w:highlight w:val="none"/>
        </w:rPr>
        <w:t>”填写，不得虚假响应。</w:t>
      </w:r>
    </w:p>
    <w:p w14:paraId="7A54B711">
      <w:pPr>
        <w:rPr>
          <w:rFonts w:ascii="宋体"/>
          <w:color w:val="auto"/>
          <w:sz w:val="24"/>
          <w:highlight w:val="none"/>
        </w:rPr>
      </w:pPr>
    </w:p>
    <w:p w14:paraId="2818AC85">
      <w:pPr>
        <w:pStyle w:val="14"/>
        <w:spacing w:before="120" w:beforeLines="50" w:line="360" w:lineRule="exact"/>
        <w:ind w:firstLine="0"/>
        <w:rPr>
          <w:rFonts w:eastAsia="宋体"/>
          <w:color w:val="auto"/>
          <w:szCs w:val="24"/>
          <w:highlight w:val="none"/>
        </w:rPr>
      </w:pPr>
      <w:r>
        <w:rPr>
          <w:rFonts w:hint="eastAsia" w:eastAsia="宋体"/>
          <w:color w:val="auto"/>
          <w:szCs w:val="24"/>
          <w:highlight w:val="none"/>
        </w:rPr>
        <w:t>投标人单位（盖公章）：</w:t>
      </w:r>
    </w:p>
    <w:p w14:paraId="2FA8272D">
      <w:pPr>
        <w:pStyle w:val="14"/>
        <w:spacing w:before="120" w:beforeLines="50" w:line="360" w:lineRule="exact"/>
        <w:ind w:firstLine="0"/>
        <w:rPr>
          <w:rFonts w:eastAsia="宋体"/>
          <w:color w:val="auto"/>
          <w:szCs w:val="24"/>
          <w:highlight w:val="none"/>
        </w:rPr>
      </w:pPr>
      <w:r>
        <w:rPr>
          <w:rFonts w:hint="eastAsia"/>
          <w:color w:val="auto"/>
          <w:highlight w:val="none"/>
        </w:rPr>
        <w:t>法定代表人或</w:t>
      </w:r>
      <w:r>
        <w:rPr>
          <w:rFonts w:hint="eastAsia" w:eastAsia="宋体"/>
          <w:color w:val="auto"/>
          <w:szCs w:val="24"/>
          <w:highlight w:val="none"/>
        </w:rPr>
        <w:t>被授权代表人（签字或盖章）：</w:t>
      </w:r>
    </w:p>
    <w:p w14:paraId="217DD7C1">
      <w:pPr>
        <w:spacing w:before="120" w:beforeLines="50"/>
        <w:rPr>
          <w:rFonts w:ascii="宋体"/>
          <w:color w:val="auto"/>
          <w:sz w:val="24"/>
          <w:highlight w:val="none"/>
          <w:u w:val="single"/>
        </w:rPr>
      </w:pPr>
      <w:r>
        <w:rPr>
          <w:rFonts w:hint="eastAsia"/>
          <w:color w:val="auto"/>
          <w:sz w:val="24"/>
          <w:szCs w:val="24"/>
          <w:highlight w:val="none"/>
        </w:rPr>
        <w:t>日</w:t>
      </w:r>
      <w:r>
        <w:rPr>
          <w:color w:val="auto"/>
          <w:sz w:val="24"/>
          <w:szCs w:val="24"/>
          <w:highlight w:val="none"/>
        </w:rPr>
        <w:t xml:space="preserve">      </w:t>
      </w:r>
      <w:r>
        <w:rPr>
          <w:rFonts w:hint="eastAsia"/>
          <w:color w:val="auto"/>
          <w:sz w:val="24"/>
          <w:szCs w:val="24"/>
          <w:highlight w:val="none"/>
        </w:rPr>
        <w:t>期：</w:t>
      </w:r>
    </w:p>
    <w:p w14:paraId="639903FC">
      <w:pPr>
        <w:rPr>
          <w:rFonts w:ascii="宋体"/>
          <w:color w:val="auto"/>
          <w:sz w:val="24"/>
          <w:highlight w:val="none"/>
        </w:rPr>
      </w:pPr>
    </w:p>
    <w:p w14:paraId="22FC564E">
      <w:pPr>
        <w:rPr>
          <w:rFonts w:ascii="宋体"/>
          <w:color w:val="auto"/>
          <w:sz w:val="24"/>
          <w:highlight w:val="none"/>
        </w:rPr>
      </w:pPr>
    </w:p>
    <w:p w14:paraId="6255CA17">
      <w:pPr>
        <w:rPr>
          <w:rFonts w:ascii="宋体"/>
          <w:b/>
          <w:color w:val="auto"/>
          <w:sz w:val="28"/>
          <w:highlight w:val="none"/>
        </w:rPr>
      </w:pPr>
    </w:p>
    <w:p w14:paraId="41B28C4C">
      <w:pPr>
        <w:rPr>
          <w:rFonts w:ascii="宋体"/>
          <w:b/>
          <w:color w:val="auto"/>
          <w:sz w:val="28"/>
          <w:highlight w:val="none"/>
        </w:rPr>
      </w:pPr>
      <w:r>
        <w:rPr>
          <w:rFonts w:ascii="宋体"/>
          <w:b/>
          <w:color w:val="auto"/>
          <w:sz w:val="28"/>
          <w:highlight w:val="none"/>
        </w:rPr>
        <w:br w:type="page"/>
      </w:r>
      <w:r>
        <w:rPr>
          <w:rFonts w:hint="eastAsia" w:ascii="宋体"/>
          <w:b/>
          <w:color w:val="auto"/>
          <w:sz w:val="28"/>
          <w:highlight w:val="none"/>
        </w:rPr>
        <w:t xml:space="preserve">    </w:t>
      </w:r>
    </w:p>
    <w:p w14:paraId="73E10A3C">
      <w:pPr>
        <w:ind w:firstLine="3089"/>
        <w:rPr>
          <w:rFonts w:ascii="宋体"/>
          <w:b/>
          <w:color w:val="auto"/>
          <w:sz w:val="28"/>
          <w:highlight w:val="none"/>
        </w:rPr>
      </w:pPr>
    </w:p>
    <w:p w14:paraId="06A837D5">
      <w:pPr>
        <w:ind w:firstLine="3089"/>
        <w:rPr>
          <w:rFonts w:ascii="宋体"/>
          <w:b/>
          <w:color w:val="auto"/>
          <w:sz w:val="28"/>
          <w:highlight w:val="none"/>
        </w:rPr>
      </w:pPr>
      <w:r>
        <w:rPr>
          <w:rFonts w:hint="eastAsia" w:ascii="宋体"/>
          <w:b/>
          <w:color w:val="auto"/>
          <w:sz w:val="28"/>
          <w:highlight w:val="none"/>
        </w:rPr>
        <w:t>三、商务条款响应表</w:t>
      </w:r>
    </w:p>
    <w:p w14:paraId="72FF53A4">
      <w:pPr>
        <w:rPr>
          <w:rFonts w:ascii="宋体"/>
          <w:color w:val="auto"/>
          <w:sz w:val="24"/>
          <w:szCs w:val="24"/>
          <w:highlight w:val="none"/>
        </w:rPr>
      </w:pPr>
    </w:p>
    <w:p w14:paraId="531F89AE">
      <w:pPr>
        <w:rPr>
          <w:rFonts w:ascii="宋体"/>
          <w:color w:val="auto"/>
          <w:sz w:val="24"/>
          <w:highlight w:val="none"/>
        </w:rPr>
      </w:pPr>
      <w:r>
        <w:rPr>
          <w:rFonts w:hint="eastAsia" w:ascii="宋体"/>
          <w:color w:val="auto"/>
          <w:sz w:val="24"/>
          <w:szCs w:val="24"/>
          <w:highlight w:val="none"/>
        </w:rPr>
        <w:t>项目名称：</w:t>
      </w:r>
      <w:r>
        <w:rPr>
          <w:rFonts w:hint="eastAsia" w:ascii="宋体"/>
          <w:color w:val="auto"/>
          <w:highlight w:val="none"/>
          <w:u w:val="single"/>
        </w:rPr>
        <w:t xml:space="preserve">               </w:t>
      </w:r>
      <w:r>
        <w:rPr>
          <w:rFonts w:hint="eastAsia" w:ascii="宋体"/>
          <w:color w:val="auto"/>
          <w:highlight w:val="none"/>
        </w:rPr>
        <w:t xml:space="preserve"> </w:t>
      </w:r>
    </w:p>
    <w:tbl>
      <w:tblPr>
        <w:tblStyle w:val="30"/>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72"/>
        <w:gridCol w:w="3305"/>
        <w:gridCol w:w="2865"/>
        <w:gridCol w:w="2001"/>
      </w:tblGrid>
      <w:tr w14:paraId="317A78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432" w:type="pct"/>
            <w:vAlign w:val="center"/>
          </w:tcPr>
          <w:p w14:paraId="4BA38B38">
            <w:pPr>
              <w:spacing w:line="300" w:lineRule="exact"/>
              <w:jc w:val="center"/>
              <w:rPr>
                <w:rFonts w:ascii="宋体"/>
                <w:color w:val="auto"/>
                <w:sz w:val="24"/>
                <w:highlight w:val="none"/>
              </w:rPr>
            </w:pPr>
            <w:r>
              <w:rPr>
                <w:rFonts w:hint="eastAsia" w:ascii="宋体" w:hAnsi="宋体" w:cs="宋体"/>
                <w:color w:val="auto"/>
                <w:sz w:val="24"/>
                <w:szCs w:val="24"/>
                <w:highlight w:val="none"/>
              </w:rPr>
              <w:t>序号</w:t>
            </w:r>
          </w:p>
        </w:tc>
        <w:tc>
          <w:tcPr>
            <w:tcW w:w="1847" w:type="pct"/>
            <w:vAlign w:val="center"/>
          </w:tcPr>
          <w:p w14:paraId="551D22CF">
            <w:pPr>
              <w:spacing w:line="300" w:lineRule="exact"/>
              <w:jc w:val="center"/>
              <w:rPr>
                <w:rFonts w:ascii="宋体"/>
                <w:color w:val="auto"/>
                <w:sz w:val="24"/>
                <w:highlight w:val="none"/>
              </w:rPr>
            </w:pPr>
            <w:r>
              <w:rPr>
                <w:rFonts w:hint="eastAsia" w:ascii="宋体" w:hAnsi="宋体" w:cs="宋体"/>
                <w:color w:val="auto"/>
                <w:sz w:val="24"/>
                <w:szCs w:val="24"/>
                <w:highlight w:val="none"/>
              </w:rPr>
              <w:t>招标文件要求</w:t>
            </w:r>
          </w:p>
        </w:tc>
        <w:tc>
          <w:tcPr>
            <w:tcW w:w="1601" w:type="pct"/>
            <w:vAlign w:val="center"/>
          </w:tcPr>
          <w:p w14:paraId="18C209E0">
            <w:pPr>
              <w:spacing w:line="300" w:lineRule="exact"/>
              <w:jc w:val="center"/>
              <w:rPr>
                <w:rFonts w:ascii="宋体"/>
                <w:color w:val="auto"/>
                <w:sz w:val="24"/>
                <w:highlight w:val="none"/>
              </w:rPr>
            </w:pPr>
            <w:r>
              <w:rPr>
                <w:rFonts w:hint="eastAsia" w:ascii="宋体" w:hAnsi="宋体" w:cs="宋体"/>
                <w:color w:val="auto"/>
                <w:sz w:val="24"/>
                <w:szCs w:val="24"/>
                <w:highlight w:val="none"/>
              </w:rPr>
              <w:t>投标响应</w:t>
            </w:r>
          </w:p>
        </w:tc>
        <w:tc>
          <w:tcPr>
            <w:tcW w:w="1118" w:type="pct"/>
            <w:vAlign w:val="center"/>
          </w:tcPr>
          <w:p w14:paraId="5534AE02">
            <w:pPr>
              <w:spacing w:line="300" w:lineRule="exact"/>
              <w:jc w:val="center"/>
              <w:rPr>
                <w:rFonts w:ascii="宋体"/>
                <w:color w:val="auto"/>
                <w:sz w:val="24"/>
                <w:highlight w:val="none"/>
              </w:rPr>
            </w:pPr>
            <w:r>
              <w:rPr>
                <w:rFonts w:hint="eastAsia" w:ascii="宋体" w:hAnsi="宋体" w:cs="宋体"/>
                <w:color w:val="auto"/>
                <w:sz w:val="24"/>
                <w:szCs w:val="24"/>
                <w:highlight w:val="none"/>
              </w:rPr>
              <w:t>偏离说明</w:t>
            </w:r>
          </w:p>
        </w:tc>
      </w:tr>
      <w:tr w14:paraId="68C98F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432" w:type="pct"/>
            <w:vAlign w:val="center"/>
          </w:tcPr>
          <w:p w14:paraId="4B5C8493">
            <w:pPr>
              <w:jc w:val="center"/>
              <w:rPr>
                <w:rFonts w:ascii="宋体"/>
                <w:color w:val="auto"/>
                <w:sz w:val="24"/>
                <w:highlight w:val="none"/>
              </w:rPr>
            </w:pPr>
          </w:p>
        </w:tc>
        <w:tc>
          <w:tcPr>
            <w:tcW w:w="1847" w:type="pct"/>
            <w:vAlign w:val="center"/>
          </w:tcPr>
          <w:p w14:paraId="55E5D731">
            <w:pPr>
              <w:jc w:val="center"/>
              <w:rPr>
                <w:rFonts w:ascii="宋体"/>
                <w:color w:val="auto"/>
                <w:sz w:val="24"/>
                <w:highlight w:val="none"/>
              </w:rPr>
            </w:pPr>
          </w:p>
        </w:tc>
        <w:tc>
          <w:tcPr>
            <w:tcW w:w="1601" w:type="pct"/>
            <w:vAlign w:val="center"/>
          </w:tcPr>
          <w:p w14:paraId="0D77A3F5">
            <w:pPr>
              <w:jc w:val="center"/>
              <w:rPr>
                <w:rFonts w:ascii="宋体"/>
                <w:color w:val="auto"/>
                <w:sz w:val="24"/>
                <w:highlight w:val="none"/>
              </w:rPr>
            </w:pPr>
          </w:p>
        </w:tc>
        <w:tc>
          <w:tcPr>
            <w:tcW w:w="1118" w:type="pct"/>
            <w:vAlign w:val="center"/>
          </w:tcPr>
          <w:p w14:paraId="07F19BC8">
            <w:pPr>
              <w:jc w:val="center"/>
              <w:rPr>
                <w:rFonts w:ascii="宋体"/>
                <w:color w:val="auto"/>
                <w:sz w:val="24"/>
                <w:highlight w:val="none"/>
              </w:rPr>
            </w:pPr>
          </w:p>
        </w:tc>
      </w:tr>
      <w:tr w14:paraId="1F8260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432" w:type="pct"/>
            <w:vAlign w:val="center"/>
          </w:tcPr>
          <w:p w14:paraId="0FDAA14C">
            <w:pPr>
              <w:jc w:val="center"/>
              <w:rPr>
                <w:rFonts w:ascii="宋体"/>
                <w:color w:val="auto"/>
                <w:sz w:val="24"/>
                <w:highlight w:val="none"/>
              </w:rPr>
            </w:pPr>
          </w:p>
        </w:tc>
        <w:tc>
          <w:tcPr>
            <w:tcW w:w="1847" w:type="pct"/>
            <w:vAlign w:val="center"/>
          </w:tcPr>
          <w:p w14:paraId="00650D39">
            <w:pPr>
              <w:jc w:val="center"/>
              <w:rPr>
                <w:rFonts w:ascii="宋体"/>
                <w:color w:val="auto"/>
                <w:sz w:val="24"/>
                <w:highlight w:val="none"/>
              </w:rPr>
            </w:pPr>
          </w:p>
        </w:tc>
        <w:tc>
          <w:tcPr>
            <w:tcW w:w="1601" w:type="pct"/>
            <w:vAlign w:val="center"/>
          </w:tcPr>
          <w:p w14:paraId="0A4DE0DE">
            <w:pPr>
              <w:jc w:val="center"/>
              <w:rPr>
                <w:rFonts w:ascii="宋体"/>
                <w:color w:val="auto"/>
                <w:sz w:val="24"/>
                <w:highlight w:val="none"/>
              </w:rPr>
            </w:pPr>
          </w:p>
        </w:tc>
        <w:tc>
          <w:tcPr>
            <w:tcW w:w="1118" w:type="pct"/>
            <w:vAlign w:val="center"/>
          </w:tcPr>
          <w:p w14:paraId="0688BBAF">
            <w:pPr>
              <w:jc w:val="center"/>
              <w:rPr>
                <w:rFonts w:ascii="宋体"/>
                <w:color w:val="auto"/>
                <w:sz w:val="24"/>
                <w:highlight w:val="none"/>
              </w:rPr>
            </w:pPr>
          </w:p>
        </w:tc>
      </w:tr>
      <w:tr w14:paraId="0B2DBD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432" w:type="pct"/>
            <w:vAlign w:val="center"/>
          </w:tcPr>
          <w:p w14:paraId="41EEC8E8">
            <w:pPr>
              <w:jc w:val="center"/>
              <w:rPr>
                <w:rFonts w:ascii="宋体"/>
                <w:color w:val="auto"/>
                <w:sz w:val="24"/>
                <w:highlight w:val="none"/>
              </w:rPr>
            </w:pPr>
          </w:p>
        </w:tc>
        <w:tc>
          <w:tcPr>
            <w:tcW w:w="1847" w:type="pct"/>
            <w:vAlign w:val="center"/>
          </w:tcPr>
          <w:p w14:paraId="6D0D9C08">
            <w:pPr>
              <w:jc w:val="center"/>
              <w:rPr>
                <w:rFonts w:ascii="宋体"/>
                <w:color w:val="auto"/>
                <w:sz w:val="24"/>
                <w:highlight w:val="none"/>
              </w:rPr>
            </w:pPr>
          </w:p>
        </w:tc>
        <w:tc>
          <w:tcPr>
            <w:tcW w:w="1601" w:type="pct"/>
            <w:vAlign w:val="center"/>
          </w:tcPr>
          <w:p w14:paraId="6144FBE8">
            <w:pPr>
              <w:jc w:val="center"/>
              <w:rPr>
                <w:rFonts w:ascii="宋体"/>
                <w:color w:val="auto"/>
                <w:sz w:val="24"/>
                <w:highlight w:val="none"/>
              </w:rPr>
            </w:pPr>
          </w:p>
        </w:tc>
        <w:tc>
          <w:tcPr>
            <w:tcW w:w="1118" w:type="pct"/>
            <w:vAlign w:val="center"/>
          </w:tcPr>
          <w:p w14:paraId="7FCAE869">
            <w:pPr>
              <w:jc w:val="center"/>
              <w:rPr>
                <w:rFonts w:ascii="宋体"/>
                <w:color w:val="auto"/>
                <w:sz w:val="24"/>
                <w:highlight w:val="none"/>
              </w:rPr>
            </w:pPr>
          </w:p>
        </w:tc>
      </w:tr>
      <w:tr w14:paraId="4D3179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432" w:type="pct"/>
            <w:vAlign w:val="center"/>
          </w:tcPr>
          <w:p w14:paraId="783738C4">
            <w:pPr>
              <w:jc w:val="center"/>
              <w:rPr>
                <w:rFonts w:ascii="宋体"/>
                <w:color w:val="auto"/>
                <w:sz w:val="24"/>
                <w:highlight w:val="none"/>
              </w:rPr>
            </w:pPr>
          </w:p>
        </w:tc>
        <w:tc>
          <w:tcPr>
            <w:tcW w:w="1847" w:type="pct"/>
            <w:vAlign w:val="center"/>
          </w:tcPr>
          <w:p w14:paraId="2CD27F9F">
            <w:pPr>
              <w:jc w:val="center"/>
              <w:rPr>
                <w:rFonts w:ascii="宋体"/>
                <w:color w:val="auto"/>
                <w:sz w:val="24"/>
                <w:highlight w:val="none"/>
              </w:rPr>
            </w:pPr>
          </w:p>
        </w:tc>
        <w:tc>
          <w:tcPr>
            <w:tcW w:w="1601" w:type="pct"/>
            <w:vAlign w:val="center"/>
          </w:tcPr>
          <w:p w14:paraId="3CBEFE2E">
            <w:pPr>
              <w:jc w:val="center"/>
              <w:rPr>
                <w:rFonts w:ascii="宋体"/>
                <w:color w:val="auto"/>
                <w:sz w:val="24"/>
                <w:highlight w:val="none"/>
              </w:rPr>
            </w:pPr>
          </w:p>
        </w:tc>
        <w:tc>
          <w:tcPr>
            <w:tcW w:w="1118" w:type="pct"/>
            <w:vAlign w:val="center"/>
          </w:tcPr>
          <w:p w14:paraId="0DBD8A69">
            <w:pPr>
              <w:jc w:val="center"/>
              <w:rPr>
                <w:rFonts w:ascii="宋体"/>
                <w:color w:val="auto"/>
                <w:sz w:val="24"/>
                <w:highlight w:val="none"/>
              </w:rPr>
            </w:pPr>
          </w:p>
        </w:tc>
      </w:tr>
      <w:tr w14:paraId="0FA817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432" w:type="pct"/>
            <w:vAlign w:val="center"/>
          </w:tcPr>
          <w:p w14:paraId="207A662A">
            <w:pPr>
              <w:jc w:val="center"/>
              <w:rPr>
                <w:rFonts w:ascii="宋体"/>
                <w:color w:val="auto"/>
                <w:sz w:val="24"/>
                <w:highlight w:val="none"/>
              </w:rPr>
            </w:pPr>
          </w:p>
        </w:tc>
        <w:tc>
          <w:tcPr>
            <w:tcW w:w="1847" w:type="pct"/>
            <w:vAlign w:val="center"/>
          </w:tcPr>
          <w:p w14:paraId="2C4C62C7">
            <w:pPr>
              <w:jc w:val="center"/>
              <w:rPr>
                <w:rFonts w:ascii="宋体"/>
                <w:color w:val="auto"/>
                <w:sz w:val="24"/>
                <w:highlight w:val="none"/>
              </w:rPr>
            </w:pPr>
          </w:p>
        </w:tc>
        <w:tc>
          <w:tcPr>
            <w:tcW w:w="1601" w:type="pct"/>
            <w:vAlign w:val="center"/>
          </w:tcPr>
          <w:p w14:paraId="7D2F886B">
            <w:pPr>
              <w:jc w:val="center"/>
              <w:rPr>
                <w:rFonts w:ascii="宋体"/>
                <w:color w:val="auto"/>
                <w:sz w:val="24"/>
                <w:highlight w:val="none"/>
              </w:rPr>
            </w:pPr>
          </w:p>
        </w:tc>
        <w:tc>
          <w:tcPr>
            <w:tcW w:w="1118" w:type="pct"/>
            <w:vAlign w:val="center"/>
          </w:tcPr>
          <w:p w14:paraId="2954780B">
            <w:pPr>
              <w:jc w:val="center"/>
              <w:rPr>
                <w:rFonts w:ascii="宋体"/>
                <w:color w:val="auto"/>
                <w:sz w:val="24"/>
                <w:highlight w:val="none"/>
              </w:rPr>
            </w:pPr>
          </w:p>
        </w:tc>
      </w:tr>
    </w:tbl>
    <w:p w14:paraId="794154C6">
      <w:pPr>
        <w:spacing w:before="120" w:beforeLines="50"/>
        <w:rPr>
          <w:rFonts w:ascii="宋体"/>
          <w:color w:val="auto"/>
          <w:sz w:val="24"/>
          <w:highlight w:val="none"/>
        </w:rPr>
      </w:pPr>
      <w:r>
        <w:rPr>
          <w:rFonts w:hint="eastAsia" w:ascii="宋体"/>
          <w:color w:val="auto"/>
          <w:sz w:val="24"/>
          <w:highlight w:val="none"/>
        </w:rPr>
        <w:t>备注：此表根据“第二部分 项目要求”中的“</w:t>
      </w:r>
      <w:r>
        <w:rPr>
          <w:rFonts w:hint="eastAsia" w:ascii="宋体"/>
          <w:b/>
          <w:bCs/>
          <w:color w:val="auto"/>
          <w:sz w:val="24"/>
          <w:highlight w:val="none"/>
        </w:rPr>
        <w:t>商务条款要求</w:t>
      </w:r>
      <w:r>
        <w:rPr>
          <w:rFonts w:hint="eastAsia" w:ascii="宋体"/>
          <w:color w:val="auto"/>
          <w:sz w:val="24"/>
          <w:highlight w:val="none"/>
        </w:rPr>
        <w:t>”填写，不得虚假响应。</w:t>
      </w:r>
    </w:p>
    <w:p w14:paraId="33D12027">
      <w:pPr>
        <w:rPr>
          <w:rFonts w:ascii="宋体"/>
          <w:color w:val="auto"/>
          <w:sz w:val="24"/>
          <w:highlight w:val="none"/>
        </w:rPr>
      </w:pPr>
    </w:p>
    <w:p w14:paraId="11101A88">
      <w:pPr>
        <w:pStyle w:val="14"/>
        <w:spacing w:before="120" w:beforeLines="50" w:line="360" w:lineRule="exact"/>
        <w:ind w:firstLine="0"/>
        <w:rPr>
          <w:rFonts w:eastAsia="宋体"/>
          <w:color w:val="auto"/>
          <w:szCs w:val="24"/>
          <w:highlight w:val="none"/>
        </w:rPr>
      </w:pPr>
      <w:r>
        <w:rPr>
          <w:rFonts w:hint="eastAsia" w:eastAsia="宋体"/>
          <w:color w:val="auto"/>
          <w:szCs w:val="24"/>
          <w:highlight w:val="none"/>
        </w:rPr>
        <w:t>投标人单位（盖公章）：</w:t>
      </w:r>
    </w:p>
    <w:p w14:paraId="7654F395">
      <w:pPr>
        <w:pStyle w:val="14"/>
        <w:spacing w:before="120" w:beforeLines="50" w:line="360" w:lineRule="exact"/>
        <w:ind w:firstLine="0"/>
        <w:rPr>
          <w:rFonts w:eastAsia="宋体"/>
          <w:color w:val="auto"/>
          <w:szCs w:val="24"/>
          <w:highlight w:val="none"/>
        </w:rPr>
      </w:pPr>
      <w:r>
        <w:rPr>
          <w:rFonts w:hint="eastAsia"/>
          <w:color w:val="auto"/>
          <w:highlight w:val="none"/>
        </w:rPr>
        <w:t>法定代表人或</w:t>
      </w:r>
      <w:r>
        <w:rPr>
          <w:rFonts w:hint="eastAsia" w:eastAsia="宋体"/>
          <w:color w:val="auto"/>
          <w:szCs w:val="24"/>
          <w:highlight w:val="none"/>
        </w:rPr>
        <w:t>被授权代表人（签字或盖章）：</w:t>
      </w:r>
    </w:p>
    <w:p w14:paraId="09E20525">
      <w:pPr>
        <w:spacing w:before="120" w:beforeLines="50"/>
        <w:rPr>
          <w:rFonts w:ascii="宋体"/>
          <w:color w:val="auto"/>
          <w:sz w:val="24"/>
          <w:highlight w:val="none"/>
          <w:u w:val="single"/>
        </w:rPr>
      </w:pPr>
      <w:r>
        <w:rPr>
          <w:rFonts w:hint="eastAsia"/>
          <w:color w:val="auto"/>
          <w:sz w:val="24"/>
          <w:szCs w:val="24"/>
          <w:highlight w:val="none"/>
        </w:rPr>
        <w:t>日</w:t>
      </w:r>
      <w:r>
        <w:rPr>
          <w:color w:val="auto"/>
          <w:sz w:val="24"/>
          <w:szCs w:val="24"/>
          <w:highlight w:val="none"/>
        </w:rPr>
        <w:t xml:space="preserve">      </w:t>
      </w:r>
      <w:r>
        <w:rPr>
          <w:rFonts w:hint="eastAsia"/>
          <w:color w:val="auto"/>
          <w:sz w:val="24"/>
          <w:szCs w:val="24"/>
          <w:highlight w:val="none"/>
        </w:rPr>
        <w:t>期：</w:t>
      </w:r>
    </w:p>
    <w:p w14:paraId="6D6CA25D">
      <w:pPr>
        <w:rPr>
          <w:rFonts w:ascii="宋体"/>
          <w:b/>
          <w:color w:val="auto"/>
          <w:sz w:val="28"/>
          <w:highlight w:val="none"/>
        </w:rPr>
      </w:pPr>
      <w:r>
        <w:rPr>
          <w:rFonts w:ascii="宋体"/>
          <w:b/>
          <w:color w:val="auto"/>
          <w:sz w:val="28"/>
          <w:highlight w:val="none"/>
        </w:rPr>
        <w:br w:type="page"/>
      </w:r>
    </w:p>
    <w:p w14:paraId="45AAFD3D">
      <w:pPr>
        <w:rPr>
          <w:rFonts w:ascii="宋体"/>
          <w:b/>
          <w:color w:val="auto"/>
          <w:sz w:val="28"/>
          <w:highlight w:val="none"/>
        </w:rPr>
      </w:pPr>
    </w:p>
    <w:p w14:paraId="354BABAE">
      <w:pPr>
        <w:rPr>
          <w:color w:val="auto"/>
          <w:sz w:val="24"/>
          <w:szCs w:val="24"/>
          <w:highlight w:val="none"/>
        </w:rPr>
      </w:pPr>
      <w:r>
        <w:rPr>
          <w:rFonts w:hint="eastAsia"/>
          <w:color w:val="auto"/>
          <w:sz w:val="24"/>
          <w:szCs w:val="24"/>
          <w:highlight w:val="none"/>
        </w:rPr>
        <w:t xml:space="preserve"> </w:t>
      </w:r>
    </w:p>
    <w:p w14:paraId="4E2BE726">
      <w:pPr>
        <w:pStyle w:val="14"/>
        <w:ind w:firstLine="0"/>
        <w:jc w:val="center"/>
        <w:rPr>
          <w:rFonts w:ascii="宋体" w:eastAsia="宋体"/>
          <w:b/>
          <w:color w:val="auto"/>
          <w:sz w:val="28"/>
          <w:highlight w:val="none"/>
        </w:rPr>
      </w:pPr>
      <w:r>
        <w:rPr>
          <w:rFonts w:hint="eastAsia" w:ascii="宋体" w:eastAsia="宋体"/>
          <w:b/>
          <w:color w:val="auto"/>
          <w:sz w:val="28"/>
          <w:highlight w:val="none"/>
        </w:rPr>
        <w:t>四、法定代表人授权书或法定代表人身份证明</w:t>
      </w:r>
    </w:p>
    <w:p w14:paraId="2260EBC6">
      <w:pPr>
        <w:pStyle w:val="14"/>
        <w:ind w:firstLine="0"/>
        <w:jc w:val="center"/>
        <w:rPr>
          <w:rFonts w:ascii="宋体" w:eastAsia="宋体"/>
          <w:b/>
          <w:color w:val="auto"/>
          <w:sz w:val="28"/>
          <w:highlight w:val="none"/>
        </w:rPr>
      </w:pPr>
    </w:p>
    <w:p w14:paraId="26A8B89A">
      <w:pPr>
        <w:pStyle w:val="14"/>
        <w:ind w:firstLine="0"/>
        <w:jc w:val="center"/>
        <w:rPr>
          <w:rFonts w:ascii="宋体" w:eastAsia="宋体"/>
          <w:b/>
          <w:color w:val="auto"/>
          <w:sz w:val="28"/>
          <w:highlight w:val="none"/>
        </w:rPr>
      </w:pPr>
      <w:r>
        <w:rPr>
          <w:rFonts w:hint="eastAsia" w:ascii="宋体" w:eastAsia="宋体"/>
          <w:b/>
          <w:color w:val="auto"/>
          <w:sz w:val="28"/>
          <w:highlight w:val="none"/>
        </w:rPr>
        <w:t>法定代表人授权书</w:t>
      </w:r>
    </w:p>
    <w:p w14:paraId="7C2EDF2F">
      <w:pPr>
        <w:pStyle w:val="14"/>
        <w:ind w:firstLine="0"/>
        <w:jc w:val="center"/>
        <w:rPr>
          <w:rFonts w:ascii="宋体" w:eastAsia="宋体"/>
          <w:color w:val="auto"/>
          <w:highlight w:val="none"/>
        </w:rPr>
      </w:pPr>
    </w:p>
    <w:p w14:paraId="3EBAB7C8">
      <w:pPr>
        <w:pStyle w:val="14"/>
        <w:spacing w:line="440" w:lineRule="exact"/>
        <w:ind w:firstLine="0"/>
        <w:rPr>
          <w:rFonts w:ascii="宋体" w:eastAsia="宋体"/>
          <w:color w:val="auto"/>
          <w:highlight w:val="none"/>
        </w:rPr>
      </w:pPr>
      <w:r>
        <w:rPr>
          <w:rFonts w:hint="eastAsia" w:ascii="宋体" w:eastAsia="宋体"/>
          <w:color w:val="auto"/>
          <w:highlight w:val="none"/>
          <w:u w:val="single"/>
        </w:rPr>
        <w:t xml:space="preserve">  致 （</w:t>
      </w:r>
      <w:r>
        <w:rPr>
          <w:rFonts w:hint="eastAsia" w:ascii="宋体" w:eastAsia="宋体"/>
          <w:i/>
          <w:color w:val="auto"/>
          <w:highlight w:val="none"/>
          <w:u w:val="single"/>
        </w:rPr>
        <w:t>采购人</w:t>
      </w:r>
      <w:r>
        <w:rPr>
          <w:rFonts w:hint="eastAsia" w:ascii="宋体" w:eastAsia="宋体"/>
          <w:color w:val="auto"/>
          <w:highlight w:val="none"/>
          <w:u w:val="single"/>
        </w:rPr>
        <w:t xml:space="preserve">）               </w:t>
      </w:r>
      <w:r>
        <w:rPr>
          <w:rFonts w:hint="eastAsia" w:ascii="宋体" w:eastAsia="宋体"/>
          <w:color w:val="auto"/>
          <w:highlight w:val="none"/>
        </w:rPr>
        <w:t>：</w:t>
      </w:r>
    </w:p>
    <w:p w14:paraId="6E8AEAFD">
      <w:pPr>
        <w:pStyle w:val="14"/>
        <w:spacing w:line="440" w:lineRule="exact"/>
        <w:ind w:firstLine="0"/>
        <w:rPr>
          <w:rFonts w:ascii="宋体" w:eastAsia="宋体"/>
          <w:color w:val="auto"/>
          <w:highlight w:val="none"/>
        </w:rPr>
      </w:pPr>
    </w:p>
    <w:p w14:paraId="1F4C1EB4">
      <w:pPr>
        <w:pStyle w:val="14"/>
        <w:spacing w:line="440" w:lineRule="exact"/>
        <w:ind w:firstLineChars="200"/>
        <w:rPr>
          <w:rFonts w:ascii="宋体" w:eastAsia="宋体"/>
          <w:color w:val="auto"/>
          <w:highlight w:val="none"/>
        </w:rPr>
      </w:pPr>
      <w:r>
        <w:rPr>
          <w:rFonts w:hint="eastAsia" w:ascii="宋体" w:eastAsia="宋体"/>
          <w:color w:val="auto"/>
          <w:highlight w:val="none"/>
          <w:u w:val="single"/>
        </w:rPr>
        <w:t xml:space="preserve">      （</w:t>
      </w:r>
      <w:r>
        <w:rPr>
          <w:rFonts w:hint="eastAsia" w:ascii="宋体" w:eastAsia="宋体"/>
          <w:i/>
          <w:color w:val="auto"/>
          <w:highlight w:val="none"/>
          <w:u w:val="single"/>
        </w:rPr>
        <w:t>投标人全称</w:t>
      </w:r>
      <w:r>
        <w:rPr>
          <w:rFonts w:hint="eastAsia" w:ascii="宋体" w:eastAsia="宋体"/>
          <w:color w:val="auto"/>
          <w:highlight w:val="none"/>
          <w:u w:val="single"/>
        </w:rPr>
        <w:t xml:space="preserve">）   </w:t>
      </w:r>
      <w:r>
        <w:rPr>
          <w:rFonts w:hint="eastAsia" w:ascii="宋体" w:eastAsia="宋体"/>
          <w:color w:val="auto"/>
          <w:highlight w:val="none"/>
        </w:rPr>
        <w:t>法定代表人</w:t>
      </w:r>
      <w:r>
        <w:rPr>
          <w:rFonts w:hint="eastAsia" w:ascii="宋体" w:eastAsia="宋体"/>
          <w:color w:val="auto"/>
          <w:highlight w:val="none"/>
          <w:u w:val="single"/>
        </w:rPr>
        <w:t xml:space="preserve">  </w:t>
      </w:r>
      <w:r>
        <w:rPr>
          <w:rFonts w:hint="eastAsia" w:ascii="宋体" w:eastAsia="宋体"/>
          <w:i/>
          <w:color w:val="auto"/>
          <w:highlight w:val="none"/>
          <w:u w:val="single"/>
        </w:rPr>
        <w:t>（姓名、职务）</w:t>
      </w:r>
      <w:r>
        <w:rPr>
          <w:rFonts w:hint="eastAsia" w:ascii="宋体" w:eastAsia="宋体"/>
          <w:color w:val="auto"/>
          <w:highlight w:val="none"/>
          <w:u w:val="single"/>
        </w:rPr>
        <w:t xml:space="preserve">  </w:t>
      </w:r>
      <w:r>
        <w:rPr>
          <w:rFonts w:hint="eastAsia" w:ascii="宋体" w:eastAsia="宋体"/>
          <w:color w:val="auto"/>
          <w:highlight w:val="none"/>
        </w:rPr>
        <w:t>授权</w:t>
      </w:r>
      <w:r>
        <w:rPr>
          <w:rFonts w:hint="eastAsia" w:ascii="宋体" w:eastAsia="宋体"/>
          <w:color w:val="auto"/>
          <w:highlight w:val="none"/>
          <w:u w:val="single"/>
        </w:rPr>
        <w:t xml:space="preserve">  （</w:t>
      </w:r>
      <w:r>
        <w:rPr>
          <w:rFonts w:hint="eastAsia" w:ascii="宋体" w:eastAsia="宋体"/>
          <w:i/>
          <w:color w:val="auto"/>
          <w:highlight w:val="none"/>
          <w:u w:val="single"/>
        </w:rPr>
        <w:t>被授权代表姓名、职务</w:t>
      </w:r>
      <w:r>
        <w:rPr>
          <w:rFonts w:hint="eastAsia" w:ascii="宋体" w:eastAsia="宋体"/>
          <w:color w:val="auto"/>
          <w:highlight w:val="none"/>
          <w:u w:val="single"/>
        </w:rPr>
        <w:t xml:space="preserve">）     </w:t>
      </w:r>
      <w:r>
        <w:rPr>
          <w:rFonts w:hint="eastAsia" w:ascii="宋体" w:eastAsia="宋体"/>
          <w:color w:val="auto"/>
          <w:highlight w:val="none"/>
        </w:rPr>
        <w:t>为本公司合法代理人，参加</w:t>
      </w:r>
      <w:r>
        <w:rPr>
          <w:rFonts w:hint="eastAsia" w:ascii="宋体" w:eastAsia="宋体"/>
          <w:i/>
          <w:color w:val="auto"/>
          <w:highlight w:val="none"/>
          <w:u w:val="single"/>
        </w:rPr>
        <w:t>（项目编号）</w:t>
      </w:r>
      <w:r>
        <w:rPr>
          <w:rFonts w:hint="eastAsia" w:ascii="宋体" w:eastAsia="宋体"/>
          <w:color w:val="auto"/>
          <w:highlight w:val="none"/>
          <w:u w:val="single"/>
        </w:rPr>
        <w:t xml:space="preserve"> (</w:t>
      </w:r>
      <w:r>
        <w:rPr>
          <w:rFonts w:hint="eastAsia" w:ascii="宋体" w:eastAsia="宋体"/>
          <w:i/>
          <w:color w:val="auto"/>
          <w:highlight w:val="none"/>
          <w:u w:val="single"/>
        </w:rPr>
        <w:t>项目名称</w:t>
      </w:r>
      <w:r>
        <w:rPr>
          <w:rFonts w:hint="eastAsia" w:ascii="宋体" w:eastAsia="宋体"/>
          <w:color w:val="auto"/>
          <w:highlight w:val="none"/>
          <w:u w:val="single"/>
        </w:rPr>
        <w:t xml:space="preserve">)   </w:t>
      </w:r>
      <w:r>
        <w:rPr>
          <w:rFonts w:hint="eastAsia" w:ascii="宋体" w:eastAsia="宋体"/>
          <w:color w:val="auto"/>
          <w:highlight w:val="none"/>
        </w:rPr>
        <w:t>项目的招标投标活动，代表本公司处理招标投标活动中的一切事宜。</w:t>
      </w:r>
    </w:p>
    <w:p w14:paraId="37CF7533">
      <w:pPr>
        <w:pStyle w:val="14"/>
        <w:spacing w:line="440" w:lineRule="exact"/>
        <w:ind w:firstLine="0"/>
        <w:rPr>
          <w:rFonts w:ascii="宋体" w:eastAsia="宋体"/>
          <w:color w:val="auto"/>
          <w:highlight w:val="none"/>
          <w:u w:val="single"/>
        </w:rPr>
      </w:pPr>
      <w:r>
        <w:rPr>
          <w:rFonts w:hint="eastAsia" w:ascii="宋体" w:eastAsia="宋体"/>
          <w:color w:val="auto"/>
          <w:highlight w:val="none"/>
        </w:rPr>
        <w:t xml:space="preserve">     本授权书于</w:t>
      </w:r>
      <w:r>
        <w:rPr>
          <w:rFonts w:hint="eastAsia" w:ascii="宋体" w:eastAsia="宋体"/>
          <w:color w:val="auto"/>
          <w:highlight w:val="none"/>
          <w:u w:val="single"/>
        </w:rPr>
        <w:t xml:space="preserve">       年   月    日</w:t>
      </w:r>
      <w:r>
        <w:rPr>
          <w:rFonts w:hint="eastAsia" w:ascii="宋体" w:eastAsia="宋体"/>
          <w:color w:val="auto"/>
          <w:highlight w:val="none"/>
        </w:rPr>
        <w:t>签字生效,特此声明。</w:t>
      </w:r>
    </w:p>
    <w:p w14:paraId="55956464">
      <w:pPr>
        <w:pStyle w:val="14"/>
        <w:spacing w:line="440" w:lineRule="exact"/>
        <w:ind w:firstLine="0"/>
        <w:rPr>
          <w:rFonts w:ascii="宋体" w:eastAsia="宋体"/>
          <w:color w:val="auto"/>
          <w:highlight w:val="none"/>
        </w:rPr>
      </w:pPr>
    </w:p>
    <w:p w14:paraId="74A3D848">
      <w:pPr>
        <w:pStyle w:val="14"/>
        <w:spacing w:line="440" w:lineRule="exact"/>
        <w:ind w:firstLine="0"/>
        <w:rPr>
          <w:rFonts w:ascii="宋体" w:eastAsia="宋体"/>
          <w:color w:val="auto"/>
          <w:highlight w:val="none"/>
        </w:rPr>
      </w:pPr>
      <w:r>
        <w:rPr>
          <w:rFonts w:hint="eastAsia" w:ascii="宋体" w:eastAsia="宋体"/>
          <w:color w:val="auto"/>
          <w:highlight w:val="none"/>
        </w:rPr>
        <w:t xml:space="preserve">                                          法定代表人（签字或盖章）：</w:t>
      </w:r>
    </w:p>
    <w:p w14:paraId="287530DA">
      <w:pPr>
        <w:pStyle w:val="14"/>
        <w:spacing w:line="440" w:lineRule="exact"/>
        <w:ind w:firstLine="0"/>
        <w:rPr>
          <w:rFonts w:ascii="宋体" w:eastAsia="宋体"/>
          <w:color w:val="auto"/>
          <w:highlight w:val="none"/>
        </w:rPr>
      </w:pPr>
      <w:r>
        <w:rPr>
          <w:rFonts w:hint="eastAsia" w:ascii="宋体" w:eastAsia="宋体"/>
          <w:color w:val="auto"/>
          <w:highlight w:val="none"/>
        </w:rPr>
        <w:t xml:space="preserve">                                          投标人单位（公章）：</w:t>
      </w:r>
    </w:p>
    <w:p w14:paraId="79EB8193">
      <w:pPr>
        <w:pStyle w:val="14"/>
        <w:spacing w:line="440" w:lineRule="exact"/>
        <w:ind w:firstLine="0"/>
        <w:rPr>
          <w:rFonts w:ascii="宋体" w:eastAsia="宋体"/>
          <w:color w:val="auto"/>
          <w:highlight w:val="none"/>
        </w:rPr>
      </w:pPr>
      <w:r>
        <w:rPr>
          <w:rFonts w:hint="eastAsia" w:ascii="宋体" w:eastAsia="宋体"/>
          <w:color w:val="auto"/>
          <w:highlight w:val="none"/>
        </w:rPr>
        <w:t xml:space="preserve">                                          日  期：</w:t>
      </w:r>
    </w:p>
    <w:p w14:paraId="41D8648B">
      <w:pPr>
        <w:pStyle w:val="14"/>
        <w:spacing w:line="400" w:lineRule="exact"/>
        <w:ind w:firstLine="0"/>
        <w:rPr>
          <w:rFonts w:ascii="宋体" w:eastAsia="宋体"/>
          <w:color w:val="auto"/>
          <w:highlight w:val="none"/>
        </w:rPr>
      </w:pPr>
    </w:p>
    <w:p w14:paraId="680FDB3E">
      <w:pPr>
        <w:pStyle w:val="14"/>
        <w:spacing w:line="400" w:lineRule="exact"/>
        <w:ind w:firstLine="0"/>
        <w:rPr>
          <w:rFonts w:ascii="宋体" w:eastAsia="宋体"/>
          <w:color w:val="auto"/>
          <w:highlight w:val="none"/>
        </w:rPr>
      </w:pPr>
      <w:r>
        <w:rPr>
          <w:rFonts w:hint="eastAsia" w:ascii="宋体" w:eastAsia="宋体"/>
          <w:color w:val="auto"/>
          <w:highlight w:val="none"/>
        </w:rPr>
        <w:t>附：</w:t>
      </w:r>
    </w:p>
    <w:p w14:paraId="3B94E802">
      <w:pPr>
        <w:pStyle w:val="14"/>
        <w:spacing w:line="400" w:lineRule="exact"/>
        <w:ind w:firstLine="235"/>
        <w:rPr>
          <w:rFonts w:ascii="宋体" w:eastAsia="宋体"/>
          <w:color w:val="auto"/>
          <w:highlight w:val="none"/>
        </w:rPr>
      </w:pPr>
      <w:r>
        <w:rPr>
          <w:rFonts w:hint="eastAsia" w:ascii="宋体" w:eastAsia="宋体"/>
          <w:color w:val="auto"/>
          <w:highlight w:val="none"/>
        </w:rPr>
        <w:t>被授权代表人（签字或盖章）：</w:t>
      </w:r>
    </w:p>
    <w:p w14:paraId="42ED6137">
      <w:pPr>
        <w:pStyle w:val="14"/>
        <w:spacing w:line="400" w:lineRule="exact"/>
        <w:ind w:firstLine="0"/>
        <w:rPr>
          <w:rFonts w:ascii="宋体" w:eastAsia="宋体"/>
          <w:color w:val="auto"/>
          <w:highlight w:val="none"/>
        </w:rPr>
      </w:pPr>
      <w:r>
        <w:rPr>
          <w:rFonts w:hint="eastAsia" w:ascii="宋体" w:eastAsia="宋体"/>
          <w:color w:val="auto"/>
          <w:highlight w:val="none"/>
        </w:rPr>
        <w:t xml:space="preserve">  电    话：</w:t>
      </w:r>
    </w:p>
    <w:p w14:paraId="3A85A1FE">
      <w:pPr>
        <w:pStyle w:val="14"/>
        <w:spacing w:line="400" w:lineRule="exact"/>
        <w:ind w:firstLine="0"/>
        <w:rPr>
          <w:rFonts w:ascii="宋体" w:eastAsia="宋体"/>
          <w:color w:val="auto"/>
          <w:highlight w:val="none"/>
        </w:rPr>
      </w:pPr>
    </w:p>
    <w:p w14:paraId="61602652">
      <w:pPr>
        <w:pStyle w:val="14"/>
        <w:spacing w:line="400" w:lineRule="exact"/>
        <w:ind w:firstLine="0"/>
        <w:rPr>
          <w:rFonts w:ascii="宋体" w:eastAsia="宋体"/>
          <w:b/>
          <w:color w:val="auto"/>
          <w:highlight w:val="none"/>
        </w:rPr>
      </w:pPr>
      <w:r>
        <w:rPr>
          <w:rFonts w:hint="eastAsia" w:ascii="宋体" w:eastAsia="宋体"/>
          <w:b/>
          <w:color w:val="auto"/>
          <w:highlight w:val="none"/>
        </w:rPr>
        <w:t>附：法定代表人和被授权代表的身份证复印件。</w:t>
      </w:r>
    </w:p>
    <w:p w14:paraId="6E750341">
      <w:pPr>
        <w:pStyle w:val="14"/>
        <w:spacing w:line="400" w:lineRule="exact"/>
        <w:ind w:firstLine="0"/>
        <w:rPr>
          <w:rFonts w:ascii="宋体" w:eastAsia="宋体"/>
          <w:b/>
          <w:color w:val="auto"/>
          <w:highlight w:val="none"/>
        </w:rPr>
      </w:pPr>
    </w:p>
    <w:p w14:paraId="6E69966B">
      <w:pPr>
        <w:pStyle w:val="14"/>
        <w:spacing w:line="400" w:lineRule="exact"/>
        <w:ind w:firstLine="0"/>
        <w:rPr>
          <w:rFonts w:ascii="宋体" w:eastAsia="宋体"/>
          <w:b/>
          <w:color w:val="auto"/>
          <w:highlight w:val="none"/>
          <w:u w:val="single"/>
        </w:rPr>
      </w:pPr>
      <w:r>
        <w:rPr>
          <w:rFonts w:hint="eastAsia" w:ascii="宋体" w:eastAsia="宋体"/>
          <w:b/>
          <w:color w:val="auto"/>
          <w:highlight w:val="none"/>
          <w:u w:val="single"/>
        </w:rPr>
        <w:t>注：如法定代表人参加投标并签署投标文件的，无需提供此授权书，只需提供法定代表人身份证复印件即可。</w:t>
      </w:r>
    </w:p>
    <w:p w14:paraId="2475A188">
      <w:pPr>
        <w:pStyle w:val="14"/>
        <w:spacing w:line="400" w:lineRule="exact"/>
        <w:ind w:firstLine="0"/>
        <w:rPr>
          <w:rFonts w:ascii="宋体" w:eastAsia="宋体"/>
          <w:b/>
          <w:color w:val="auto"/>
          <w:highlight w:val="none"/>
          <w:u w:val="single"/>
        </w:rPr>
        <w:sectPr>
          <w:headerReference r:id="rId6" w:type="default"/>
          <w:footerReference r:id="rId7" w:type="default"/>
          <w:pgSz w:w="11907" w:h="16840"/>
          <w:pgMar w:top="1304" w:right="1588" w:bottom="1304" w:left="1588" w:header="720" w:footer="720" w:gutter="0"/>
          <w:pgBorders>
            <w:top w:val="none" w:sz="0" w:space="0"/>
            <w:left w:val="none" w:sz="0" w:space="0"/>
            <w:bottom w:val="none" w:sz="0" w:space="0"/>
            <w:right w:val="none" w:sz="0" w:space="0"/>
          </w:pgBorders>
          <w:cols w:space="720" w:num="1"/>
          <w:docGrid w:linePitch="285" w:charSpace="0"/>
        </w:sectPr>
      </w:pPr>
    </w:p>
    <w:p w14:paraId="08B0D0BA">
      <w:pPr>
        <w:jc w:val="center"/>
        <w:rPr>
          <w:rFonts w:ascii="宋体"/>
          <w:b/>
          <w:color w:val="auto"/>
          <w:sz w:val="28"/>
          <w:highlight w:val="none"/>
        </w:rPr>
      </w:pPr>
    </w:p>
    <w:p w14:paraId="557434EA">
      <w:pPr>
        <w:jc w:val="center"/>
        <w:rPr>
          <w:rFonts w:ascii="宋体"/>
          <w:b/>
          <w:color w:val="auto"/>
          <w:sz w:val="28"/>
          <w:highlight w:val="none"/>
        </w:rPr>
      </w:pPr>
      <w:r>
        <w:rPr>
          <w:rFonts w:hint="eastAsia" w:ascii="宋体"/>
          <w:b/>
          <w:color w:val="auto"/>
          <w:sz w:val="28"/>
          <w:highlight w:val="none"/>
        </w:rPr>
        <w:t>五、服务方案</w:t>
      </w:r>
    </w:p>
    <w:p w14:paraId="1377B59B">
      <w:pPr>
        <w:jc w:val="center"/>
        <w:rPr>
          <w:rFonts w:ascii="宋体"/>
          <w:color w:val="auto"/>
          <w:sz w:val="24"/>
          <w:szCs w:val="24"/>
          <w:highlight w:val="none"/>
        </w:rPr>
      </w:pPr>
    </w:p>
    <w:p w14:paraId="53640C89">
      <w:pPr>
        <w:jc w:val="center"/>
        <w:rPr>
          <w:rFonts w:ascii="宋体"/>
          <w:color w:val="auto"/>
          <w:sz w:val="24"/>
          <w:szCs w:val="24"/>
          <w:highlight w:val="none"/>
        </w:rPr>
      </w:pPr>
      <w:r>
        <w:rPr>
          <w:rFonts w:hint="eastAsia" w:ascii="宋体"/>
          <w:color w:val="auto"/>
          <w:sz w:val="24"/>
          <w:szCs w:val="24"/>
          <w:highlight w:val="none"/>
        </w:rPr>
        <w:t>（格式自拟）</w:t>
      </w:r>
    </w:p>
    <w:p w14:paraId="3F80C89A">
      <w:pPr>
        <w:rPr>
          <w:rFonts w:ascii="宋体"/>
          <w:b/>
          <w:color w:val="auto"/>
          <w:sz w:val="28"/>
          <w:highlight w:val="none"/>
        </w:rPr>
      </w:pPr>
    </w:p>
    <w:p w14:paraId="3BE5E8B4">
      <w:pPr>
        <w:rPr>
          <w:rFonts w:ascii="宋体"/>
          <w:b/>
          <w:color w:val="auto"/>
          <w:sz w:val="28"/>
          <w:highlight w:val="none"/>
        </w:rPr>
      </w:pPr>
    </w:p>
    <w:p w14:paraId="237AC231">
      <w:pPr>
        <w:rPr>
          <w:rFonts w:ascii="宋体"/>
          <w:b/>
          <w:color w:val="auto"/>
          <w:sz w:val="28"/>
          <w:highlight w:val="none"/>
        </w:rPr>
      </w:pPr>
    </w:p>
    <w:p w14:paraId="2DDFF682">
      <w:pPr>
        <w:rPr>
          <w:rFonts w:ascii="宋体"/>
          <w:b/>
          <w:color w:val="auto"/>
          <w:sz w:val="28"/>
          <w:highlight w:val="none"/>
        </w:rPr>
      </w:pPr>
    </w:p>
    <w:p w14:paraId="7DA8D4F5">
      <w:pPr>
        <w:rPr>
          <w:rFonts w:ascii="宋体"/>
          <w:b/>
          <w:color w:val="auto"/>
          <w:sz w:val="28"/>
          <w:highlight w:val="none"/>
        </w:rPr>
      </w:pPr>
      <w:r>
        <w:rPr>
          <w:rFonts w:ascii="宋体"/>
          <w:b/>
          <w:color w:val="auto"/>
          <w:sz w:val="28"/>
          <w:highlight w:val="none"/>
        </w:rPr>
        <w:br w:type="page"/>
      </w:r>
    </w:p>
    <w:p w14:paraId="6EA7E55A">
      <w:pPr>
        <w:jc w:val="center"/>
        <w:rPr>
          <w:rFonts w:ascii="宋体"/>
          <w:b/>
          <w:color w:val="auto"/>
          <w:sz w:val="28"/>
          <w:highlight w:val="none"/>
        </w:rPr>
      </w:pPr>
    </w:p>
    <w:p w14:paraId="505D6344">
      <w:pPr>
        <w:jc w:val="center"/>
        <w:rPr>
          <w:rFonts w:ascii="宋体"/>
          <w:b/>
          <w:color w:val="auto"/>
          <w:sz w:val="28"/>
          <w:highlight w:val="none"/>
        </w:rPr>
      </w:pPr>
      <w:r>
        <w:rPr>
          <w:rFonts w:hint="eastAsia" w:ascii="宋体"/>
          <w:b/>
          <w:color w:val="auto"/>
          <w:sz w:val="28"/>
          <w:highlight w:val="none"/>
        </w:rPr>
        <w:t>六、同类项目业绩表</w:t>
      </w:r>
    </w:p>
    <w:tbl>
      <w:tblPr>
        <w:tblStyle w:val="30"/>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63"/>
        <w:gridCol w:w="2144"/>
        <w:gridCol w:w="1450"/>
        <w:gridCol w:w="1556"/>
        <w:gridCol w:w="1658"/>
        <w:gridCol w:w="1244"/>
      </w:tblGrid>
      <w:tr w14:paraId="49C048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484" w:type="pct"/>
            <w:vAlign w:val="center"/>
          </w:tcPr>
          <w:p w14:paraId="10413F79">
            <w:pPr>
              <w:spacing w:line="320" w:lineRule="exact"/>
              <w:jc w:val="center"/>
              <w:rPr>
                <w:color w:val="auto"/>
                <w:sz w:val="24"/>
                <w:szCs w:val="24"/>
                <w:highlight w:val="none"/>
              </w:rPr>
            </w:pPr>
            <w:r>
              <w:rPr>
                <w:color w:val="auto"/>
                <w:sz w:val="24"/>
                <w:szCs w:val="24"/>
                <w:highlight w:val="none"/>
              </w:rPr>
              <w:t>序号</w:t>
            </w:r>
          </w:p>
        </w:tc>
        <w:tc>
          <w:tcPr>
            <w:tcW w:w="1202" w:type="pct"/>
            <w:vAlign w:val="center"/>
          </w:tcPr>
          <w:p w14:paraId="40FCE74F">
            <w:pPr>
              <w:spacing w:line="320" w:lineRule="exact"/>
              <w:jc w:val="center"/>
              <w:rPr>
                <w:color w:val="auto"/>
                <w:sz w:val="24"/>
                <w:szCs w:val="24"/>
                <w:highlight w:val="none"/>
              </w:rPr>
            </w:pPr>
            <w:r>
              <w:rPr>
                <w:rFonts w:hint="eastAsia"/>
                <w:color w:val="auto"/>
                <w:sz w:val="24"/>
                <w:szCs w:val="24"/>
                <w:highlight w:val="none"/>
              </w:rPr>
              <w:t>项目名称</w:t>
            </w:r>
          </w:p>
        </w:tc>
        <w:tc>
          <w:tcPr>
            <w:tcW w:w="813" w:type="pct"/>
            <w:vAlign w:val="center"/>
          </w:tcPr>
          <w:p w14:paraId="42131526">
            <w:pPr>
              <w:spacing w:line="320" w:lineRule="exact"/>
              <w:jc w:val="center"/>
              <w:rPr>
                <w:color w:val="auto"/>
                <w:sz w:val="24"/>
                <w:szCs w:val="24"/>
                <w:highlight w:val="none"/>
              </w:rPr>
            </w:pPr>
            <w:r>
              <w:rPr>
                <w:color w:val="auto"/>
                <w:sz w:val="24"/>
                <w:szCs w:val="24"/>
                <w:highlight w:val="none"/>
              </w:rPr>
              <w:t>业主单位</w:t>
            </w:r>
          </w:p>
        </w:tc>
        <w:tc>
          <w:tcPr>
            <w:tcW w:w="872" w:type="pct"/>
            <w:vAlign w:val="center"/>
          </w:tcPr>
          <w:p w14:paraId="1F73C946">
            <w:pPr>
              <w:spacing w:line="320" w:lineRule="exact"/>
              <w:jc w:val="center"/>
              <w:rPr>
                <w:color w:val="auto"/>
                <w:sz w:val="24"/>
                <w:szCs w:val="24"/>
                <w:highlight w:val="none"/>
              </w:rPr>
            </w:pPr>
            <w:r>
              <w:rPr>
                <w:rFonts w:hint="eastAsia"/>
                <w:color w:val="auto"/>
                <w:sz w:val="24"/>
                <w:szCs w:val="24"/>
                <w:highlight w:val="none"/>
              </w:rPr>
              <w:t>主要内容</w:t>
            </w:r>
          </w:p>
        </w:tc>
        <w:tc>
          <w:tcPr>
            <w:tcW w:w="929" w:type="pct"/>
            <w:vAlign w:val="center"/>
          </w:tcPr>
          <w:p w14:paraId="22234A7F">
            <w:pPr>
              <w:spacing w:line="320" w:lineRule="exact"/>
              <w:jc w:val="center"/>
              <w:rPr>
                <w:color w:val="auto"/>
                <w:sz w:val="24"/>
                <w:szCs w:val="24"/>
                <w:highlight w:val="none"/>
              </w:rPr>
            </w:pPr>
            <w:r>
              <w:rPr>
                <w:color w:val="auto"/>
                <w:sz w:val="24"/>
                <w:szCs w:val="24"/>
                <w:highlight w:val="none"/>
              </w:rPr>
              <w:t>联系人电话</w:t>
            </w:r>
          </w:p>
        </w:tc>
        <w:tc>
          <w:tcPr>
            <w:tcW w:w="697" w:type="pct"/>
            <w:vAlign w:val="center"/>
          </w:tcPr>
          <w:p w14:paraId="3E4F5574">
            <w:pPr>
              <w:spacing w:line="320" w:lineRule="exact"/>
              <w:jc w:val="center"/>
              <w:rPr>
                <w:color w:val="auto"/>
                <w:sz w:val="24"/>
                <w:szCs w:val="24"/>
                <w:highlight w:val="none"/>
              </w:rPr>
            </w:pPr>
            <w:r>
              <w:rPr>
                <w:rFonts w:hint="eastAsia"/>
                <w:color w:val="auto"/>
                <w:sz w:val="24"/>
                <w:szCs w:val="24"/>
                <w:highlight w:val="none"/>
              </w:rPr>
              <w:t>签约</w:t>
            </w:r>
            <w:r>
              <w:rPr>
                <w:color w:val="auto"/>
                <w:sz w:val="24"/>
                <w:szCs w:val="24"/>
                <w:highlight w:val="none"/>
              </w:rPr>
              <w:t>时间</w:t>
            </w:r>
          </w:p>
        </w:tc>
      </w:tr>
      <w:tr w14:paraId="36B389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484" w:type="pct"/>
            <w:vAlign w:val="center"/>
          </w:tcPr>
          <w:p w14:paraId="29F523C5">
            <w:pPr>
              <w:spacing w:line="320" w:lineRule="exact"/>
              <w:jc w:val="center"/>
              <w:rPr>
                <w:color w:val="auto"/>
                <w:sz w:val="24"/>
                <w:szCs w:val="24"/>
                <w:highlight w:val="none"/>
              </w:rPr>
            </w:pPr>
          </w:p>
        </w:tc>
        <w:tc>
          <w:tcPr>
            <w:tcW w:w="1202" w:type="pct"/>
            <w:vAlign w:val="center"/>
          </w:tcPr>
          <w:p w14:paraId="2E8A120B">
            <w:pPr>
              <w:spacing w:line="320" w:lineRule="exact"/>
              <w:jc w:val="center"/>
              <w:rPr>
                <w:color w:val="auto"/>
                <w:sz w:val="24"/>
                <w:szCs w:val="24"/>
                <w:highlight w:val="none"/>
              </w:rPr>
            </w:pPr>
          </w:p>
        </w:tc>
        <w:tc>
          <w:tcPr>
            <w:tcW w:w="813" w:type="pct"/>
            <w:vAlign w:val="center"/>
          </w:tcPr>
          <w:p w14:paraId="60D98BDF">
            <w:pPr>
              <w:spacing w:line="320" w:lineRule="exact"/>
              <w:jc w:val="center"/>
              <w:rPr>
                <w:color w:val="auto"/>
                <w:sz w:val="24"/>
                <w:szCs w:val="24"/>
                <w:highlight w:val="none"/>
              </w:rPr>
            </w:pPr>
          </w:p>
        </w:tc>
        <w:tc>
          <w:tcPr>
            <w:tcW w:w="872" w:type="pct"/>
            <w:vAlign w:val="center"/>
          </w:tcPr>
          <w:p w14:paraId="0F93C670">
            <w:pPr>
              <w:spacing w:line="320" w:lineRule="exact"/>
              <w:jc w:val="center"/>
              <w:rPr>
                <w:color w:val="auto"/>
                <w:sz w:val="24"/>
                <w:szCs w:val="24"/>
                <w:highlight w:val="none"/>
              </w:rPr>
            </w:pPr>
          </w:p>
        </w:tc>
        <w:tc>
          <w:tcPr>
            <w:tcW w:w="929" w:type="pct"/>
            <w:vAlign w:val="center"/>
          </w:tcPr>
          <w:p w14:paraId="77B853DA">
            <w:pPr>
              <w:spacing w:line="320" w:lineRule="exact"/>
              <w:jc w:val="center"/>
              <w:rPr>
                <w:color w:val="auto"/>
                <w:sz w:val="24"/>
                <w:szCs w:val="24"/>
                <w:highlight w:val="none"/>
              </w:rPr>
            </w:pPr>
          </w:p>
        </w:tc>
        <w:tc>
          <w:tcPr>
            <w:tcW w:w="697" w:type="pct"/>
            <w:vAlign w:val="center"/>
          </w:tcPr>
          <w:p w14:paraId="58E55F84">
            <w:pPr>
              <w:spacing w:line="320" w:lineRule="exact"/>
              <w:jc w:val="center"/>
              <w:rPr>
                <w:color w:val="auto"/>
                <w:sz w:val="24"/>
                <w:szCs w:val="24"/>
                <w:highlight w:val="none"/>
              </w:rPr>
            </w:pPr>
          </w:p>
        </w:tc>
      </w:tr>
      <w:tr w14:paraId="1998F0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484" w:type="pct"/>
            <w:vAlign w:val="center"/>
          </w:tcPr>
          <w:p w14:paraId="19146A50">
            <w:pPr>
              <w:spacing w:line="320" w:lineRule="exact"/>
              <w:jc w:val="center"/>
              <w:rPr>
                <w:color w:val="auto"/>
                <w:sz w:val="24"/>
                <w:szCs w:val="24"/>
                <w:highlight w:val="none"/>
              </w:rPr>
            </w:pPr>
          </w:p>
        </w:tc>
        <w:tc>
          <w:tcPr>
            <w:tcW w:w="1202" w:type="pct"/>
            <w:vAlign w:val="center"/>
          </w:tcPr>
          <w:p w14:paraId="492649D5">
            <w:pPr>
              <w:spacing w:line="320" w:lineRule="exact"/>
              <w:jc w:val="center"/>
              <w:rPr>
                <w:color w:val="auto"/>
                <w:sz w:val="24"/>
                <w:szCs w:val="24"/>
                <w:highlight w:val="none"/>
              </w:rPr>
            </w:pPr>
          </w:p>
        </w:tc>
        <w:tc>
          <w:tcPr>
            <w:tcW w:w="813" w:type="pct"/>
            <w:vAlign w:val="center"/>
          </w:tcPr>
          <w:p w14:paraId="64101BD1">
            <w:pPr>
              <w:spacing w:line="320" w:lineRule="exact"/>
              <w:jc w:val="center"/>
              <w:rPr>
                <w:color w:val="auto"/>
                <w:sz w:val="24"/>
                <w:szCs w:val="24"/>
                <w:highlight w:val="none"/>
              </w:rPr>
            </w:pPr>
          </w:p>
        </w:tc>
        <w:tc>
          <w:tcPr>
            <w:tcW w:w="872" w:type="pct"/>
            <w:vAlign w:val="center"/>
          </w:tcPr>
          <w:p w14:paraId="557BC5D7">
            <w:pPr>
              <w:spacing w:line="320" w:lineRule="exact"/>
              <w:jc w:val="center"/>
              <w:rPr>
                <w:color w:val="auto"/>
                <w:sz w:val="24"/>
                <w:szCs w:val="24"/>
                <w:highlight w:val="none"/>
              </w:rPr>
            </w:pPr>
          </w:p>
        </w:tc>
        <w:tc>
          <w:tcPr>
            <w:tcW w:w="929" w:type="pct"/>
            <w:vAlign w:val="center"/>
          </w:tcPr>
          <w:p w14:paraId="327E0F09">
            <w:pPr>
              <w:spacing w:line="320" w:lineRule="exact"/>
              <w:jc w:val="center"/>
              <w:rPr>
                <w:color w:val="auto"/>
                <w:sz w:val="24"/>
                <w:szCs w:val="24"/>
                <w:highlight w:val="none"/>
              </w:rPr>
            </w:pPr>
          </w:p>
        </w:tc>
        <w:tc>
          <w:tcPr>
            <w:tcW w:w="697" w:type="pct"/>
            <w:vAlign w:val="center"/>
          </w:tcPr>
          <w:p w14:paraId="7209E76E">
            <w:pPr>
              <w:spacing w:line="320" w:lineRule="exact"/>
              <w:jc w:val="center"/>
              <w:rPr>
                <w:color w:val="auto"/>
                <w:sz w:val="24"/>
                <w:szCs w:val="24"/>
                <w:highlight w:val="none"/>
              </w:rPr>
            </w:pPr>
          </w:p>
        </w:tc>
      </w:tr>
      <w:tr w14:paraId="6178F0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484" w:type="pct"/>
            <w:vAlign w:val="center"/>
          </w:tcPr>
          <w:p w14:paraId="39466780">
            <w:pPr>
              <w:spacing w:line="320" w:lineRule="exact"/>
              <w:jc w:val="center"/>
              <w:rPr>
                <w:color w:val="auto"/>
                <w:sz w:val="24"/>
                <w:szCs w:val="24"/>
                <w:highlight w:val="none"/>
              </w:rPr>
            </w:pPr>
          </w:p>
        </w:tc>
        <w:tc>
          <w:tcPr>
            <w:tcW w:w="1202" w:type="pct"/>
            <w:vAlign w:val="center"/>
          </w:tcPr>
          <w:p w14:paraId="7D0DCDD1">
            <w:pPr>
              <w:spacing w:line="320" w:lineRule="exact"/>
              <w:jc w:val="center"/>
              <w:rPr>
                <w:color w:val="auto"/>
                <w:sz w:val="24"/>
                <w:szCs w:val="24"/>
                <w:highlight w:val="none"/>
              </w:rPr>
            </w:pPr>
          </w:p>
        </w:tc>
        <w:tc>
          <w:tcPr>
            <w:tcW w:w="813" w:type="pct"/>
            <w:vAlign w:val="center"/>
          </w:tcPr>
          <w:p w14:paraId="1B6F2EF8">
            <w:pPr>
              <w:spacing w:line="320" w:lineRule="exact"/>
              <w:jc w:val="center"/>
              <w:rPr>
                <w:color w:val="auto"/>
                <w:sz w:val="24"/>
                <w:szCs w:val="24"/>
                <w:highlight w:val="none"/>
              </w:rPr>
            </w:pPr>
          </w:p>
        </w:tc>
        <w:tc>
          <w:tcPr>
            <w:tcW w:w="872" w:type="pct"/>
            <w:vAlign w:val="center"/>
          </w:tcPr>
          <w:p w14:paraId="0218ECF9">
            <w:pPr>
              <w:spacing w:line="320" w:lineRule="exact"/>
              <w:jc w:val="center"/>
              <w:rPr>
                <w:color w:val="auto"/>
                <w:sz w:val="24"/>
                <w:szCs w:val="24"/>
                <w:highlight w:val="none"/>
              </w:rPr>
            </w:pPr>
          </w:p>
        </w:tc>
        <w:tc>
          <w:tcPr>
            <w:tcW w:w="929" w:type="pct"/>
            <w:vAlign w:val="center"/>
          </w:tcPr>
          <w:p w14:paraId="1BBE65BF">
            <w:pPr>
              <w:spacing w:line="320" w:lineRule="exact"/>
              <w:jc w:val="center"/>
              <w:rPr>
                <w:color w:val="auto"/>
                <w:sz w:val="24"/>
                <w:szCs w:val="24"/>
                <w:highlight w:val="none"/>
              </w:rPr>
            </w:pPr>
          </w:p>
        </w:tc>
        <w:tc>
          <w:tcPr>
            <w:tcW w:w="697" w:type="pct"/>
            <w:vAlign w:val="center"/>
          </w:tcPr>
          <w:p w14:paraId="6CBAF355">
            <w:pPr>
              <w:spacing w:line="320" w:lineRule="exact"/>
              <w:jc w:val="center"/>
              <w:rPr>
                <w:color w:val="auto"/>
                <w:sz w:val="24"/>
                <w:szCs w:val="24"/>
                <w:highlight w:val="none"/>
              </w:rPr>
            </w:pPr>
          </w:p>
        </w:tc>
      </w:tr>
      <w:tr w14:paraId="163CCF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trPr>
        <w:tc>
          <w:tcPr>
            <w:tcW w:w="484" w:type="pct"/>
            <w:vAlign w:val="center"/>
          </w:tcPr>
          <w:p w14:paraId="61A76256">
            <w:pPr>
              <w:spacing w:line="320" w:lineRule="exact"/>
              <w:jc w:val="center"/>
              <w:rPr>
                <w:color w:val="auto"/>
                <w:sz w:val="24"/>
                <w:szCs w:val="24"/>
                <w:highlight w:val="none"/>
              </w:rPr>
            </w:pPr>
          </w:p>
        </w:tc>
        <w:tc>
          <w:tcPr>
            <w:tcW w:w="1202" w:type="pct"/>
            <w:vAlign w:val="center"/>
          </w:tcPr>
          <w:p w14:paraId="4EF9C6AF">
            <w:pPr>
              <w:spacing w:line="320" w:lineRule="exact"/>
              <w:jc w:val="center"/>
              <w:rPr>
                <w:color w:val="auto"/>
                <w:sz w:val="24"/>
                <w:szCs w:val="24"/>
                <w:highlight w:val="none"/>
              </w:rPr>
            </w:pPr>
          </w:p>
        </w:tc>
        <w:tc>
          <w:tcPr>
            <w:tcW w:w="813" w:type="pct"/>
            <w:vAlign w:val="center"/>
          </w:tcPr>
          <w:p w14:paraId="6CBADBAF">
            <w:pPr>
              <w:spacing w:line="320" w:lineRule="exact"/>
              <w:jc w:val="center"/>
              <w:rPr>
                <w:color w:val="auto"/>
                <w:sz w:val="24"/>
                <w:szCs w:val="24"/>
                <w:highlight w:val="none"/>
              </w:rPr>
            </w:pPr>
          </w:p>
        </w:tc>
        <w:tc>
          <w:tcPr>
            <w:tcW w:w="872" w:type="pct"/>
            <w:vAlign w:val="center"/>
          </w:tcPr>
          <w:p w14:paraId="7EBB92A4">
            <w:pPr>
              <w:spacing w:line="320" w:lineRule="exact"/>
              <w:jc w:val="center"/>
              <w:rPr>
                <w:color w:val="auto"/>
                <w:sz w:val="24"/>
                <w:szCs w:val="24"/>
                <w:highlight w:val="none"/>
              </w:rPr>
            </w:pPr>
          </w:p>
        </w:tc>
        <w:tc>
          <w:tcPr>
            <w:tcW w:w="929" w:type="pct"/>
            <w:vAlign w:val="center"/>
          </w:tcPr>
          <w:p w14:paraId="6319A2E8">
            <w:pPr>
              <w:spacing w:line="320" w:lineRule="exact"/>
              <w:jc w:val="center"/>
              <w:rPr>
                <w:color w:val="auto"/>
                <w:sz w:val="24"/>
                <w:szCs w:val="24"/>
                <w:highlight w:val="none"/>
              </w:rPr>
            </w:pPr>
          </w:p>
        </w:tc>
        <w:tc>
          <w:tcPr>
            <w:tcW w:w="697" w:type="pct"/>
            <w:vAlign w:val="center"/>
          </w:tcPr>
          <w:p w14:paraId="7474CF15">
            <w:pPr>
              <w:spacing w:line="320" w:lineRule="exact"/>
              <w:jc w:val="center"/>
              <w:rPr>
                <w:color w:val="auto"/>
                <w:sz w:val="24"/>
                <w:szCs w:val="24"/>
                <w:highlight w:val="none"/>
              </w:rPr>
            </w:pPr>
          </w:p>
        </w:tc>
      </w:tr>
    </w:tbl>
    <w:p w14:paraId="3F0D7F80">
      <w:pPr>
        <w:rPr>
          <w:rFonts w:ascii="宋体"/>
          <w:color w:val="auto"/>
          <w:sz w:val="24"/>
          <w:highlight w:val="none"/>
          <w:u w:val="single"/>
        </w:rPr>
      </w:pPr>
      <w:r>
        <w:rPr>
          <w:rFonts w:hint="eastAsia"/>
          <w:color w:val="auto"/>
          <w:sz w:val="24"/>
          <w:szCs w:val="24"/>
          <w:highlight w:val="none"/>
        </w:rPr>
        <w:t>根据评标标准要求提供证明文件。</w:t>
      </w:r>
    </w:p>
    <w:p w14:paraId="5C260DE5">
      <w:pPr>
        <w:rPr>
          <w:rFonts w:ascii="宋体"/>
          <w:b/>
          <w:color w:val="auto"/>
          <w:sz w:val="28"/>
          <w:highlight w:val="none"/>
        </w:rPr>
      </w:pPr>
      <w:r>
        <w:rPr>
          <w:rFonts w:ascii="宋体"/>
          <w:b/>
          <w:color w:val="auto"/>
          <w:sz w:val="28"/>
          <w:highlight w:val="none"/>
        </w:rPr>
        <w:br w:type="page"/>
      </w:r>
      <w:bookmarkEnd w:id="9"/>
    </w:p>
    <w:p w14:paraId="6EABBDFA">
      <w:pPr>
        <w:rPr>
          <w:rFonts w:ascii="宋体"/>
          <w:b/>
          <w:color w:val="auto"/>
          <w:sz w:val="28"/>
          <w:highlight w:val="none"/>
        </w:rPr>
      </w:pPr>
    </w:p>
    <w:p w14:paraId="0300D228">
      <w:pPr>
        <w:jc w:val="center"/>
        <w:rPr>
          <w:rFonts w:ascii="Calibri" w:hAnsi="宋体" w:cs="宋体"/>
          <w:b/>
          <w:color w:val="auto"/>
          <w:sz w:val="28"/>
          <w:highlight w:val="none"/>
          <w:lang w:val="zh-CN"/>
        </w:rPr>
      </w:pPr>
      <w:r>
        <w:rPr>
          <w:rFonts w:hint="eastAsia" w:ascii="Calibri" w:hAnsi="宋体" w:cs="宋体"/>
          <w:b/>
          <w:color w:val="auto"/>
          <w:sz w:val="28"/>
          <w:highlight w:val="none"/>
        </w:rPr>
        <w:t>七、</w:t>
      </w:r>
      <w:r>
        <w:rPr>
          <w:rFonts w:hint="eastAsia" w:ascii="Calibri" w:hAnsi="宋体" w:cs="宋体"/>
          <w:b/>
          <w:color w:val="auto"/>
          <w:sz w:val="28"/>
          <w:highlight w:val="none"/>
          <w:lang w:val="zh-CN"/>
        </w:rPr>
        <w:t>政府采购供应商廉洁自律承诺书</w:t>
      </w:r>
    </w:p>
    <w:p w14:paraId="7F079C19">
      <w:pPr>
        <w:snapToGrid w:val="0"/>
        <w:spacing w:line="360" w:lineRule="auto"/>
        <w:rPr>
          <w:rFonts w:ascii="Calibri" w:hAnsi="宋体" w:cs="宋体"/>
          <w:color w:val="auto"/>
          <w:sz w:val="24"/>
          <w:szCs w:val="24"/>
          <w:highlight w:val="none"/>
        </w:rPr>
      </w:pPr>
    </w:p>
    <w:p w14:paraId="0B97721A">
      <w:pPr>
        <w:snapToGrid w:val="0"/>
        <w:spacing w:line="360" w:lineRule="auto"/>
        <w:rPr>
          <w:rFonts w:ascii="Calibri" w:hAnsi="宋体" w:cs="宋体"/>
          <w:color w:val="auto"/>
          <w:kern w:val="0"/>
          <w:sz w:val="24"/>
          <w:szCs w:val="24"/>
          <w:highlight w:val="none"/>
        </w:rPr>
      </w:pPr>
      <w:r>
        <w:rPr>
          <w:rFonts w:hint="eastAsia" w:ascii="Calibri" w:hAnsi="宋体" w:cs="宋体"/>
          <w:color w:val="auto"/>
          <w:sz w:val="24"/>
          <w:szCs w:val="24"/>
          <w:highlight w:val="none"/>
          <w:u w:val="single"/>
        </w:rPr>
        <w:t xml:space="preserve">（采购人）   </w:t>
      </w:r>
      <w:r>
        <w:rPr>
          <w:rFonts w:hint="eastAsia" w:ascii="Calibri" w:hAnsi="宋体" w:cs="宋体"/>
          <w:color w:val="auto"/>
          <w:kern w:val="0"/>
          <w:sz w:val="24"/>
          <w:szCs w:val="24"/>
          <w:highlight w:val="none"/>
          <w:lang w:val="zh-CN"/>
        </w:rPr>
        <w:t>：</w:t>
      </w:r>
    </w:p>
    <w:p w14:paraId="5F8E27E8">
      <w:pPr>
        <w:autoSpaceDE w:val="0"/>
        <w:autoSpaceDN w:val="0"/>
        <w:spacing w:line="360" w:lineRule="auto"/>
        <w:ind w:left="2" w:leftChars="1" w:firstLine="480" w:firstLineChars="200"/>
        <w:rPr>
          <w:rFonts w:ascii="Calibri" w:hAnsi="宋体" w:cs="宋体"/>
          <w:color w:val="auto"/>
          <w:kern w:val="0"/>
          <w:sz w:val="24"/>
          <w:szCs w:val="24"/>
          <w:highlight w:val="none"/>
          <w:lang w:val="zh-CN"/>
        </w:rPr>
      </w:pPr>
      <w:r>
        <w:rPr>
          <w:rFonts w:hint="eastAsia" w:ascii="Calibri" w:hAnsi="宋体" w:cs="宋体"/>
          <w:color w:val="auto"/>
          <w:kern w:val="0"/>
          <w:sz w:val="24"/>
          <w:szCs w:val="24"/>
          <w:highlight w:val="none"/>
          <w:lang w:val="zh-CN"/>
        </w:rPr>
        <w:t>我单位响应你</w:t>
      </w:r>
      <w:r>
        <w:rPr>
          <w:rFonts w:hint="eastAsia" w:ascii="Calibri" w:hAnsi="宋体" w:cs="宋体"/>
          <w:color w:val="auto"/>
          <w:sz w:val="24"/>
          <w:szCs w:val="24"/>
          <w:highlight w:val="none"/>
        </w:rPr>
        <w:t>单位</w:t>
      </w:r>
      <w:r>
        <w:rPr>
          <w:rFonts w:hint="eastAsia" w:ascii="Calibri" w:hAnsi="宋体" w:cs="宋体"/>
          <w:color w:val="auto"/>
          <w:kern w:val="0"/>
          <w:sz w:val="24"/>
          <w:szCs w:val="24"/>
          <w:highlight w:val="none"/>
          <w:lang w:val="zh-CN"/>
        </w:rPr>
        <w:t>项目要求参加采购活动。在这次采购活动过程中和获得成交后，我们将严格遵守国家法律法规要求，并郑重承诺：</w:t>
      </w:r>
    </w:p>
    <w:p w14:paraId="0C8788FD">
      <w:pPr>
        <w:autoSpaceDE w:val="0"/>
        <w:autoSpaceDN w:val="0"/>
        <w:spacing w:line="360" w:lineRule="auto"/>
        <w:ind w:left="2" w:leftChars="1" w:firstLine="480" w:firstLineChars="200"/>
        <w:rPr>
          <w:rFonts w:ascii="Calibri" w:hAnsi="宋体" w:cs="宋体"/>
          <w:color w:val="auto"/>
          <w:kern w:val="0"/>
          <w:sz w:val="24"/>
          <w:szCs w:val="24"/>
          <w:highlight w:val="none"/>
          <w:lang w:val="zh-CN"/>
        </w:rPr>
      </w:pPr>
      <w:r>
        <w:rPr>
          <w:rFonts w:hint="eastAsia" w:ascii="Calibri" w:hAnsi="宋体" w:cs="宋体"/>
          <w:color w:val="auto"/>
          <w:kern w:val="0"/>
          <w:sz w:val="24"/>
          <w:szCs w:val="24"/>
          <w:highlight w:val="none"/>
          <w:lang w:val="zh-CN"/>
        </w:rPr>
        <w:t xml:space="preserve">一、不向项目有关人员及部门赠送礼金礼物、有价证券、回扣以及中介费、介绍费、咨询费等好处费； </w:t>
      </w:r>
    </w:p>
    <w:p w14:paraId="1DC37FD6">
      <w:pPr>
        <w:autoSpaceDE w:val="0"/>
        <w:autoSpaceDN w:val="0"/>
        <w:spacing w:line="360" w:lineRule="auto"/>
        <w:ind w:left="2" w:leftChars="1" w:firstLine="480" w:firstLineChars="200"/>
        <w:rPr>
          <w:rFonts w:ascii="Calibri" w:hAnsi="宋体" w:cs="宋体"/>
          <w:color w:val="auto"/>
          <w:kern w:val="0"/>
          <w:sz w:val="24"/>
          <w:szCs w:val="24"/>
          <w:highlight w:val="none"/>
          <w:lang w:val="zh-CN"/>
        </w:rPr>
      </w:pPr>
      <w:r>
        <w:rPr>
          <w:rFonts w:hint="eastAsia" w:ascii="Calibri" w:hAnsi="宋体" w:cs="宋体"/>
          <w:color w:val="auto"/>
          <w:kern w:val="0"/>
          <w:sz w:val="24"/>
          <w:szCs w:val="24"/>
          <w:highlight w:val="none"/>
          <w:lang w:val="zh-CN"/>
        </w:rPr>
        <w:t xml:space="preserve">二、不为项目有关人员及部门报销应由你方单位或个人支付的费用； </w:t>
      </w:r>
    </w:p>
    <w:p w14:paraId="78B49DDD">
      <w:pPr>
        <w:autoSpaceDE w:val="0"/>
        <w:autoSpaceDN w:val="0"/>
        <w:spacing w:line="360" w:lineRule="auto"/>
        <w:ind w:left="2" w:leftChars="1" w:firstLine="480" w:firstLineChars="200"/>
        <w:rPr>
          <w:rFonts w:ascii="Calibri" w:hAnsi="宋体" w:cs="宋体"/>
          <w:color w:val="auto"/>
          <w:kern w:val="0"/>
          <w:sz w:val="24"/>
          <w:szCs w:val="24"/>
          <w:highlight w:val="none"/>
          <w:lang w:val="zh-CN"/>
        </w:rPr>
      </w:pPr>
      <w:r>
        <w:rPr>
          <w:rFonts w:hint="eastAsia" w:ascii="Calibri" w:hAnsi="宋体" w:cs="宋体"/>
          <w:color w:val="auto"/>
          <w:kern w:val="0"/>
          <w:sz w:val="24"/>
          <w:szCs w:val="24"/>
          <w:highlight w:val="none"/>
          <w:lang w:val="zh-CN"/>
        </w:rPr>
        <w:t xml:space="preserve">三、不向项目有关人员及部门提供有可能影响公正的宴请和健身娱乐等活动； </w:t>
      </w:r>
    </w:p>
    <w:p w14:paraId="5C401BA8">
      <w:pPr>
        <w:autoSpaceDE w:val="0"/>
        <w:autoSpaceDN w:val="0"/>
        <w:spacing w:line="360" w:lineRule="auto"/>
        <w:ind w:left="2" w:leftChars="1" w:firstLine="480" w:firstLineChars="200"/>
        <w:rPr>
          <w:rFonts w:ascii="Calibri" w:hAnsi="宋体" w:cs="宋体"/>
          <w:color w:val="auto"/>
          <w:kern w:val="0"/>
          <w:sz w:val="24"/>
          <w:szCs w:val="24"/>
          <w:highlight w:val="none"/>
          <w:lang w:val="zh-CN"/>
        </w:rPr>
      </w:pPr>
      <w:r>
        <w:rPr>
          <w:rFonts w:hint="eastAsia" w:ascii="Calibri" w:hAnsi="宋体" w:cs="宋体"/>
          <w:color w:val="auto"/>
          <w:kern w:val="0"/>
          <w:sz w:val="24"/>
          <w:szCs w:val="24"/>
          <w:highlight w:val="none"/>
          <w:lang w:val="zh-CN"/>
        </w:rPr>
        <w:t>四、不为项目有关人员及部门出国（境）、旅游等提供方便；</w:t>
      </w:r>
    </w:p>
    <w:p w14:paraId="73CDD926">
      <w:pPr>
        <w:autoSpaceDE w:val="0"/>
        <w:autoSpaceDN w:val="0"/>
        <w:spacing w:line="360" w:lineRule="auto"/>
        <w:ind w:firstLine="480" w:firstLineChars="200"/>
        <w:rPr>
          <w:rFonts w:hint="eastAsia" w:ascii="Calibri" w:hAnsi="宋体" w:cs="宋体"/>
          <w:color w:val="auto"/>
          <w:kern w:val="0"/>
          <w:sz w:val="24"/>
          <w:szCs w:val="24"/>
          <w:highlight w:val="none"/>
          <w:lang w:val="zh-CN"/>
        </w:rPr>
      </w:pPr>
      <w:r>
        <w:rPr>
          <w:rFonts w:hint="eastAsia" w:ascii="Calibri" w:hAnsi="宋体" w:cs="宋体"/>
          <w:color w:val="auto"/>
          <w:kern w:val="0"/>
          <w:sz w:val="24"/>
          <w:szCs w:val="24"/>
          <w:highlight w:val="none"/>
          <w:lang w:val="zh-CN"/>
        </w:rPr>
        <w:t>五、不为项目有关人员个人装修住房、婚丧嫁娶、配偶子女工作安排等提供好处；</w:t>
      </w:r>
    </w:p>
    <w:p w14:paraId="38968189">
      <w:pPr>
        <w:autoSpaceDE w:val="0"/>
        <w:autoSpaceDN w:val="0"/>
        <w:spacing w:line="360" w:lineRule="auto"/>
        <w:ind w:firstLine="480" w:firstLineChars="200"/>
        <w:rPr>
          <w:rFonts w:ascii="Calibri" w:hAnsi="宋体" w:cs="宋体"/>
          <w:color w:val="auto"/>
          <w:kern w:val="0"/>
          <w:sz w:val="24"/>
          <w:szCs w:val="24"/>
          <w:highlight w:val="none"/>
          <w:lang w:val="zh-CN"/>
        </w:rPr>
      </w:pPr>
      <w:r>
        <w:rPr>
          <w:rFonts w:hint="eastAsia" w:ascii="Calibri" w:hAnsi="宋体" w:cs="宋体"/>
          <w:color w:val="auto"/>
          <w:kern w:val="0"/>
          <w:sz w:val="24"/>
          <w:szCs w:val="24"/>
          <w:highlight w:val="none"/>
          <w:lang w:val="zh-CN"/>
        </w:rPr>
        <w:t>六、严格遵守</w:t>
      </w:r>
      <w:bookmarkStart w:id="15" w:name="_GoBack"/>
      <w:bookmarkEnd w:id="15"/>
      <w:r>
        <w:rPr>
          <w:rFonts w:hint="eastAsia" w:ascii="Calibri" w:hAnsi="宋体" w:cs="宋体"/>
          <w:color w:val="auto"/>
          <w:kern w:val="0"/>
          <w:sz w:val="24"/>
          <w:szCs w:val="24"/>
          <w:highlight w:val="none"/>
          <w:lang w:val="zh-CN"/>
        </w:rPr>
        <w:t>《中华人民共和国政府采购法》《</w:t>
      </w:r>
      <w:r>
        <w:rPr>
          <w:rFonts w:hint="eastAsia" w:ascii="Calibri" w:hAnsi="宋体" w:cs="宋体"/>
          <w:color w:val="auto"/>
          <w:sz w:val="24"/>
          <w:szCs w:val="24"/>
          <w:highlight w:val="none"/>
          <w:lang w:val="zh-CN"/>
        </w:rPr>
        <w:t>中华人民共和国</w:t>
      </w:r>
      <w:r>
        <w:rPr>
          <w:rFonts w:hint="eastAsia" w:ascii="Calibri" w:hAnsi="宋体" w:cs="宋体"/>
          <w:color w:val="auto"/>
          <w:kern w:val="0"/>
          <w:sz w:val="24"/>
          <w:szCs w:val="24"/>
          <w:highlight w:val="none"/>
          <w:lang w:val="zh-CN"/>
        </w:rPr>
        <w:t xml:space="preserve">政府采购法实施条例》《中华人民共和国民法典》等法律法规，诚实守信，合法经营，坚决抵制各种违法违纪行为。 </w:t>
      </w:r>
    </w:p>
    <w:p w14:paraId="4099FCD4">
      <w:pPr>
        <w:autoSpaceDE w:val="0"/>
        <w:autoSpaceDN w:val="0"/>
        <w:spacing w:line="360" w:lineRule="auto"/>
        <w:ind w:firstLine="480" w:firstLineChars="200"/>
        <w:rPr>
          <w:rFonts w:ascii="Calibri" w:hAnsi="宋体" w:cs="宋体"/>
          <w:color w:val="auto"/>
          <w:kern w:val="0"/>
          <w:sz w:val="24"/>
          <w:szCs w:val="24"/>
          <w:highlight w:val="none"/>
          <w:lang w:val="zh-CN"/>
        </w:rPr>
      </w:pPr>
      <w:r>
        <w:rPr>
          <w:rFonts w:hint="eastAsia" w:ascii="Calibri" w:hAnsi="宋体" w:cs="宋体"/>
          <w:color w:val="auto"/>
          <w:kern w:val="0"/>
          <w:sz w:val="24"/>
          <w:szCs w:val="24"/>
          <w:highlight w:val="none"/>
          <w:lang w:val="zh-CN"/>
        </w:rPr>
        <w:t>如违反上述承诺，你</w:t>
      </w:r>
      <w:r>
        <w:rPr>
          <w:rFonts w:hint="eastAsia" w:ascii="Calibri" w:hAnsi="宋体" w:cs="宋体"/>
          <w:color w:val="auto"/>
          <w:sz w:val="24"/>
          <w:szCs w:val="24"/>
          <w:highlight w:val="none"/>
        </w:rPr>
        <w:t>单位</w:t>
      </w:r>
      <w:r>
        <w:rPr>
          <w:rFonts w:hint="eastAsia" w:ascii="Calibri" w:hAnsi="宋体" w:cs="宋体"/>
          <w:color w:val="auto"/>
          <w:kern w:val="0"/>
          <w:sz w:val="24"/>
          <w:szCs w:val="24"/>
          <w:highlight w:val="none"/>
          <w:lang w:val="zh-CN"/>
        </w:rPr>
        <w:t>有权立即取消我单位参加采购活动、成交或在建项目的建设资格，有权拒绝我单位在一定时期内进入你</w:t>
      </w:r>
      <w:r>
        <w:rPr>
          <w:rFonts w:hint="eastAsia" w:ascii="Calibri" w:hAnsi="宋体" w:cs="宋体"/>
          <w:color w:val="auto"/>
          <w:sz w:val="24"/>
          <w:szCs w:val="24"/>
          <w:highlight w:val="none"/>
        </w:rPr>
        <w:t>单位</w:t>
      </w:r>
      <w:r>
        <w:rPr>
          <w:rFonts w:hint="eastAsia" w:ascii="Calibri" w:hAnsi="宋体" w:cs="宋体"/>
          <w:color w:val="auto"/>
          <w:kern w:val="0"/>
          <w:sz w:val="24"/>
          <w:szCs w:val="24"/>
          <w:highlight w:val="none"/>
          <w:lang w:val="zh-CN"/>
        </w:rPr>
        <w:t>进行项目建设或其他经营活动，并通报市财政局。由此引起的相应损失均由我单位承担。</w:t>
      </w:r>
    </w:p>
    <w:p w14:paraId="666548B4">
      <w:pPr>
        <w:autoSpaceDE w:val="0"/>
        <w:autoSpaceDN w:val="0"/>
        <w:spacing w:line="360" w:lineRule="auto"/>
        <w:ind w:left="2"/>
        <w:jc w:val="left"/>
        <w:rPr>
          <w:rFonts w:ascii="Calibri" w:hAnsi="宋体" w:cs="宋体"/>
          <w:color w:val="auto"/>
          <w:kern w:val="0"/>
          <w:sz w:val="24"/>
          <w:szCs w:val="24"/>
          <w:highlight w:val="none"/>
          <w:lang w:val="zh-CN"/>
        </w:rPr>
      </w:pPr>
    </w:p>
    <w:p w14:paraId="54956738">
      <w:pPr>
        <w:autoSpaceDE w:val="0"/>
        <w:autoSpaceDN w:val="0"/>
        <w:spacing w:line="360" w:lineRule="auto"/>
        <w:ind w:left="2"/>
        <w:jc w:val="left"/>
        <w:rPr>
          <w:rFonts w:ascii="Calibri" w:hAnsi="宋体" w:cs="宋体"/>
          <w:color w:val="auto"/>
          <w:kern w:val="0"/>
          <w:sz w:val="24"/>
          <w:szCs w:val="24"/>
          <w:highlight w:val="none"/>
          <w:lang w:val="zh-CN"/>
        </w:rPr>
      </w:pPr>
    </w:p>
    <w:p w14:paraId="3F11BB74">
      <w:pPr>
        <w:pStyle w:val="14"/>
        <w:spacing w:before="142" w:beforeLines="50" w:line="360" w:lineRule="exact"/>
        <w:ind w:firstLine="3180" w:firstLineChars="1325"/>
        <w:rPr>
          <w:rFonts w:ascii="Calibri" w:hAnsi="宋体" w:eastAsia="宋体" w:cs="宋体"/>
          <w:color w:val="auto"/>
          <w:szCs w:val="24"/>
          <w:highlight w:val="none"/>
        </w:rPr>
      </w:pPr>
      <w:r>
        <w:rPr>
          <w:rFonts w:hint="eastAsia" w:ascii="Calibri" w:hAnsi="宋体" w:eastAsia="宋体" w:cs="宋体"/>
          <w:color w:val="auto"/>
          <w:szCs w:val="24"/>
          <w:highlight w:val="none"/>
        </w:rPr>
        <w:t>供应商单位（盖公章）：</w:t>
      </w:r>
    </w:p>
    <w:p w14:paraId="6E2FB960">
      <w:pPr>
        <w:pStyle w:val="14"/>
        <w:spacing w:before="142" w:beforeLines="50" w:line="360" w:lineRule="exact"/>
        <w:ind w:firstLine="3180" w:firstLineChars="1325"/>
        <w:rPr>
          <w:rFonts w:ascii="Calibri" w:hAnsi="宋体" w:eastAsia="宋体" w:cs="宋体"/>
          <w:color w:val="auto"/>
          <w:szCs w:val="24"/>
          <w:highlight w:val="none"/>
        </w:rPr>
      </w:pPr>
      <w:r>
        <w:rPr>
          <w:rFonts w:hint="eastAsia" w:ascii="Calibri" w:hAnsi="宋体" w:eastAsia="宋体" w:cs="宋体"/>
          <w:color w:val="auto"/>
          <w:highlight w:val="none"/>
        </w:rPr>
        <w:t>法定代表人或被授权代表人</w:t>
      </w:r>
      <w:r>
        <w:rPr>
          <w:rFonts w:hint="eastAsia" w:ascii="Calibri" w:hAnsi="宋体" w:eastAsia="宋体" w:cs="宋体"/>
          <w:color w:val="auto"/>
          <w:szCs w:val="24"/>
          <w:highlight w:val="none"/>
        </w:rPr>
        <w:t>（</w:t>
      </w:r>
      <w:r>
        <w:rPr>
          <w:rFonts w:hint="eastAsia" w:ascii="Calibri" w:hAnsi="宋体" w:eastAsia="宋体" w:cs="宋体"/>
          <w:color w:val="auto"/>
          <w:highlight w:val="none"/>
        </w:rPr>
        <w:t>签字或印章</w:t>
      </w:r>
      <w:r>
        <w:rPr>
          <w:rFonts w:hint="eastAsia" w:ascii="Calibri" w:hAnsi="宋体" w:eastAsia="宋体" w:cs="宋体"/>
          <w:color w:val="auto"/>
          <w:szCs w:val="24"/>
          <w:highlight w:val="none"/>
        </w:rPr>
        <w:t>）：</w:t>
      </w:r>
    </w:p>
    <w:p w14:paraId="3634B4C0">
      <w:pPr>
        <w:spacing w:line="600" w:lineRule="exact"/>
        <w:ind w:firstLine="3180" w:firstLineChars="1325"/>
        <w:rPr>
          <w:rFonts w:ascii="Calibri" w:hAnsi="宋体" w:cs="宋体"/>
          <w:color w:val="auto"/>
          <w:sz w:val="24"/>
          <w:szCs w:val="24"/>
          <w:highlight w:val="none"/>
        </w:rPr>
      </w:pPr>
      <w:r>
        <w:rPr>
          <w:rFonts w:hint="eastAsia" w:ascii="Calibri" w:hAnsi="宋体" w:cs="宋体"/>
          <w:color w:val="auto"/>
          <w:sz w:val="24"/>
          <w:szCs w:val="24"/>
          <w:highlight w:val="none"/>
        </w:rPr>
        <w:t>日      期：</w:t>
      </w:r>
    </w:p>
    <w:p w14:paraId="01A02197">
      <w:pPr>
        <w:spacing w:line="360" w:lineRule="exact"/>
        <w:rPr>
          <w:rFonts w:ascii="Calibri" w:hAnsi="宋体" w:cs="宋体"/>
          <w:bCs/>
          <w:color w:val="auto"/>
          <w:sz w:val="24"/>
          <w:szCs w:val="24"/>
          <w:highlight w:val="none"/>
        </w:rPr>
      </w:pPr>
    </w:p>
    <w:p w14:paraId="5A7092A3">
      <w:pPr>
        <w:pStyle w:val="42"/>
        <w:rPr>
          <w:rFonts w:ascii="Calibri" w:hAnsi="宋体" w:cs="宋体"/>
          <w:bCs/>
          <w:color w:val="auto"/>
          <w:sz w:val="24"/>
          <w:szCs w:val="24"/>
          <w:highlight w:val="none"/>
          <w:lang w:eastAsia="zh-CN"/>
        </w:rPr>
      </w:pPr>
    </w:p>
    <w:p w14:paraId="66A20147">
      <w:pPr>
        <w:rPr>
          <w:color w:val="auto"/>
          <w:highlight w:val="none"/>
        </w:rPr>
      </w:pPr>
    </w:p>
    <w:p w14:paraId="3AC21918">
      <w:pPr>
        <w:pStyle w:val="14"/>
        <w:spacing w:line="520" w:lineRule="exact"/>
        <w:ind w:firstLine="0"/>
        <w:jc w:val="center"/>
        <w:rPr>
          <w:rFonts w:ascii="宋体" w:eastAsia="宋体"/>
          <w:b/>
          <w:color w:val="auto"/>
          <w:sz w:val="28"/>
          <w:highlight w:val="none"/>
        </w:rPr>
      </w:pPr>
    </w:p>
    <w:p w14:paraId="1E41DB4F">
      <w:pPr>
        <w:pStyle w:val="14"/>
        <w:spacing w:line="520" w:lineRule="exact"/>
        <w:ind w:firstLine="0"/>
        <w:jc w:val="center"/>
        <w:rPr>
          <w:rFonts w:ascii="宋体" w:eastAsia="宋体"/>
          <w:b/>
          <w:color w:val="auto"/>
          <w:sz w:val="28"/>
          <w:highlight w:val="none"/>
        </w:rPr>
      </w:pPr>
      <w:r>
        <w:rPr>
          <w:rFonts w:hint="eastAsia" w:ascii="宋体" w:eastAsia="宋体"/>
          <w:b/>
          <w:color w:val="auto"/>
          <w:sz w:val="28"/>
          <w:highlight w:val="none"/>
        </w:rPr>
        <w:t>八、招标文件要求或投标人认为需要提供的其他资料</w:t>
      </w:r>
    </w:p>
    <w:p w14:paraId="00F8B7CE">
      <w:pPr>
        <w:rPr>
          <w:rFonts w:ascii="宋体"/>
          <w:b/>
          <w:color w:val="auto"/>
          <w:sz w:val="28"/>
          <w:highlight w:val="none"/>
        </w:rPr>
      </w:pPr>
      <w:r>
        <w:rPr>
          <w:rFonts w:hint="eastAsia" w:ascii="宋体"/>
          <w:b/>
          <w:color w:val="auto"/>
          <w:sz w:val="28"/>
          <w:highlight w:val="none"/>
        </w:rPr>
        <w:br w:type="page"/>
      </w:r>
    </w:p>
    <w:p w14:paraId="531F2F4D">
      <w:pPr>
        <w:rPr>
          <w:color w:val="auto"/>
          <w:highlight w:val="none"/>
        </w:rPr>
      </w:pPr>
    </w:p>
    <w:p w14:paraId="5CB1FADD">
      <w:pPr>
        <w:pStyle w:val="14"/>
        <w:ind w:firstLine="0"/>
        <w:rPr>
          <w:rFonts w:ascii="宋体" w:eastAsia="宋体"/>
          <w:b/>
          <w:color w:val="auto"/>
          <w:sz w:val="28"/>
          <w:szCs w:val="28"/>
          <w:highlight w:val="none"/>
        </w:rPr>
      </w:pPr>
    </w:p>
    <w:p w14:paraId="210AD757">
      <w:pPr>
        <w:pStyle w:val="14"/>
        <w:ind w:firstLine="0"/>
        <w:rPr>
          <w:rFonts w:ascii="宋体" w:eastAsia="宋体"/>
          <w:b/>
          <w:color w:val="auto"/>
          <w:sz w:val="28"/>
          <w:szCs w:val="28"/>
          <w:highlight w:val="none"/>
        </w:rPr>
      </w:pPr>
      <w:r>
        <w:rPr>
          <w:rFonts w:hint="eastAsia" w:ascii="宋体" w:eastAsia="宋体"/>
          <w:b/>
          <w:color w:val="auto"/>
          <w:sz w:val="28"/>
          <w:szCs w:val="28"/>
          <w:highlight w:val="none"/>
        </w:rPr>
        <w:t>（三）报价文件</w:t>
      </w:r>
    </w:p>
    <w:p w14:paraId="69A46CDE">
      <w:pPr>
        <w:rPr>
          <w:color w:val="auto"/>
          <w:highlight w:val="none"/>
        </w:rPr>
      </w:pPr>
    </w:p>
    <w:p w14:paraId="18BEABAA">
      <w:pPr>
        <w:pStyle w:val="2"/>
        <w:rPr>
          <w:color w:val="auto"/>
          <w:highlight w:val="none"/>
        </w:rPr>
      </w:pPr>
    </w:p>
    <w:p w14:paraId="779F7562">
      <w:pPr>
        <w:pStyle w:val="14"/>
        <w:ind w:firstLine="0"/>
        <w:rPr>
          <w:rFonts w:ascii="宋体" w:eastAsia="宋体"/>
          <w:b/>
          <w:color w:val="auto"/>
          <w:sz w:val="28"/>
          <w:highlight w:val="none"/>
        </w:rPr>
      </w:pPr>
      <w:r>
        <w:rPr>
          <w:rFonts w:hint="eastAsia" w:ascii="宋体" w:eastAsia="宋体"/>
          <w:b/>
          <w:color w:val="auto"/>
          <w:sz w:val="28"/>
          <w:highlight w:val="none"/>
        </w:rPr>
        <w:t xml:space="preserve">  </w:t>
      </w:r>
    </w:p>
    <w:p w14:paraId="5B0702CA">
      <w:pPr>
        <w:pStyle w:val="14"/>
        <w:jc w:val="center"/>
        <w:rPr>
          <w:rFonts w:ascii="宋体"/>
          <w:b/>
          <w:color w:val="auto"/>
          <w:sz w:val="28"/>
          <w:highlight w:val="none"/>
        </w:rPr>
      </w:pPr>
      <w:r>
        <w:rPr>
          <w:rFonts w:hint="eastAsia" w:ascii="宋体"/>
          <w:b/>
          <w:color w:val="auto"/>
          <w:sz w:val="28"/>
          <w:highlight w:val="none"/>
        </w:rPr>
        <w:t>一、开标一览表</w:t>
      </w:r>
    </w:p>
    <w:p w14:paraId="1DEE61AD">
      <w:pPr>
        <w:pStyle w:val="14"/>
        <w:spacing w:line="320" w:lineRule="exact"/>
        <w:rPr>
          <w:color w:val="auto"/>
          <w:szCs w:val="24"/>
          <w:highlight w:val="none"/>
        </w:rPr>
      </w:pPr>
    </w:p>
    <w:p w14:paraId="6E05D062">
      <w:pPr>
        <w:pStyle w:val="14"/>
        <w:spacing w:line="320" w:lineRule="exact"/>
        <w:ind w:firstLine="0"/>
        <w:rPr>
          <w:color w:val="auto"/>
          <w:szCs w:val="24"/>
          <w:highlight w:val="none"/>
          <w:u w:val="single"/>
        </w:rPr>
      </w:pPr>
      <w:r>
        <w:rPr>
          <w:color w:val="auto"/>
          <w:szCs w:val="24"/>
          <w:highlight w:val="none"/>
        </w:rPr>
        <w:t>项目名称：</w:t>
      </w:r>
      <w:r>
        <w:rPr>
          <w:color w:val="auto"/>
          <w:szCs w:val="24"/>
          <w:highlight w:val="none"/>
          <w:u w:val="single"/>
        </w:rPr>
        <w:t xml:space="preserve">                       </w:t>
      </w:r>
      <w:r>
        <w:rPr>
          <w:color w:val="auto"/>
          <w:szCs w:val="24"/>
          <w:highlight w:val="none"/>
        </w:rPr>
        <w:t xml:space="preserve">      </w:t>
      </w:r>
      <w:r>
        <w:rPr>
          <w:rFonts w:hint="eastAsia"/>
          <w:color w:val="auto"/>
          <w:szCs w:val="24"/>
          <w:highlight w:val="none"/>
        </w:rPr>
        <w:t>项目</w:t>
      </w:r>
      <w:r>
        <w:rPr>
          <w:color w:val="auto"/>
          <w:szCs w:val="24"/>
          <w:highlight w:val="none"/>
        </w:rPr>
        <w:t>编号：</w:t>
      </w:r>
      <w:r>
        <w:rPr>
          <w:color w:val="auto"/>
          <w:szCs w:val="24"/>
          <w:highlight w:val="none"/>
          <w:u w:val="single"/>
        </w:rPr>
        <w:t xml:space="preserve">                 </w:t>
      </w:r>
    </w:p>
    <w:p w14:paraId="6302A47D">
      <w:pPr>
        <w:pStyle w:val="14"/>
        <w:spacing w:line="320" w:lineRule="exact"/>
        <w:ind w:firstLine="0"/>
        <w:rPr>
          <w:color w:val="auto"/>
          <w:szCs w:val="24"/>
          <w:highlight w:val="none"/>
          <w:u w:val="single"/>
        </w:rPr>
      </w:pPr>
    </w:p>
    <w:tbl>
      <w:tblPr>
        <w:tblStyle w:val="30"/>
        <w:tblpPr w:leftFromText="180" w:rightFromText="180" w:vertAnchor="text" w:horzAnchor="margin" w:tblpXSpec="left" w:tblpY="192"/>
        <w:tblW w:w="931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740"/>
        <w:gridCol w:w="4575"/>
      </w:tblGrid>
      <w:tr w14:paraId="65055B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2" w:hRule="atLeast"/>
        </w:trPr>
        <w:tc>
          <w:tcPr>
            <w:tcW w:w="4740" w:type="dxa"/>
            <w:tcBorders>
              <w:top w:val="single" w:color="auto" w:sz="4" w:space="0"/>
              <w:left w:val="single" w:color="auto" w:sz="4" w:space="0"/>
              <w:bottom w:val="single" w:color="auto" w:sz="4" w:space="0"/>
              <w:right w:val="single" w:color="auto" w:sz="4" w:space="0"/>
            </w:tcBorders>
            <w:vAlign w:val="center"/>
          </w:tcPr>
          <w:p w14:paraId="7D205EA0">
            <w:pPr>
              <w:pStyle w:val="14"/>
              <w:spacing w:line="320" w:lineRule="exact"/>
              <w:ind w:firstLine="0"/>
              <w:jc w:val="center"/>
              <w:rPr>
                <w:rFonts w:eastAsia="宋体"/>
                <w:color w:val="auto"/>
                <w:szCs w:val="24"/>
                <w:highlight w:val="none"/>
              </w:rPr>
            </w:pPr>
            <w:r>
              <w:rPr>
                <w:rFonts w:hint="eastAsia" w:eastAsia="宋体"/>
                <w:color w:val="auto"/>
                <w:szCs w:val="24"/>
                <w:highlight w:val="none"/>
              </w:rPr>
              <w:t>项目名称</w:t>
            </w:r>
          </w:p>
        </w:tc>
        <w:tc>
          <w:tcPr>
            <w:tcW w:w="4575" w:type="dxa"/>
            <w:tcBorders>
              <w:top w:val="single" w:color="auto" w:sz="4" w:space="0"/>
              <w:left w:val="single" w:color="auto" w:sz="4" w:space="0"/>
              <w:bottom w:val="single" w:color="auto" w:sz="4" w:space="0"/>
              <w:right w:val="single" w:color="auto" w:sz="4" w:space="0"/>
            </w:tcBorders>
            <w:vAlign w:val="center"/>
          </w:tcPr>
          <w:p w14:paraId="0FA6098D">
            <w:pPr>
              <w:pStyle w:val="14"/>
              <w:spacing w:line="320" w:lineRule="exact"/>
              <w:ind w:firstLine="0"/>
              <w:jc w:val="center"/>
              <w:rPr>
                <w:rFonts w:eastAsia="宋体"/>
                <w:color w:val="auto"/>
                <w:szCs w:val="24"/>
                <w:highlight w:val="none"/>
              </w:rPr>
            </w:pPr>
          </w:p>
        </w:tc>
      </w:tr>
      <w:tr w14:paraId="64A552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2" w:hRule="atLeast"/>
        </w:trPr>
        <w:tc>
          <w:tcPr>
            <w:tcW w:w="4740" w:type="dxa"/>
            <w:tcBorders>
              <w:top w:val="single" w:color="auto" w:sz="4" w:space="0"/>
              <w:left w:val="single" w:color="auto" w:sz="4" w:space="0"/>
              <w:bottom w:val="single" w:color="auto" w:sz="4" w:space="0"/>
              <w:right w:val="single" w:color="auto" w:sz="4" w:space="0"/>
            </w:tcBorders>
            <w:vAlign w:val="center"/>
          </w:tcPr>
          <w:p w14:paraId="34E5E093">
            <w:pPr>
              <w:pStyle w:val="14"/>
              <w:spacing w:line="320" w:lineRule="exact"/>
              <w:ind w:firstLine="0"/>
              <w:jc w:val="center"/>
              <w:rPr>
                <w:rFonts w:eastAsia="宋体"/>
                <w:color w:val="auto"/>
                <w:szCs w:val="24"/>
                <w:highlight w:val="none"/>
              </w:rPr>
            </w:pPr>
            <w:r>
              <w:rPr>
                <w:rFonts w:eastAsia="宋体"/>
                <w:color w:val="auto"/>
                <w:szCs w:val="24"/>
                <w:highlight w:val="none"/>
              </w:rPr>
              <w:t>投标</w:t>
            </w:r>
            <w:r>
              <w:rPr>
                <w:rFonts w:hint="eastAsia" w:eastAsia="宋体"/>
                <w:color w:val="auto"/>
                <w:szCs w:val="24"/>
                <w:highlight w:val="none"/>
              </w:rPr>
              <w:t>总价（小写）</w:t>
            </w:r>
            <w:r>
              <w:rPr>
                <w:rFonts w:eastAsia="宋体"/>
                <w:color w:val="auto"/>
                <w:szCs w:val="24"/>
                <w:highlight w:val="none"/>
              </w:rPr>
              <w:t>（人民币元）</w:t>
            </w:r>
          </w:p>
        </w:tc>
        <w:tc>
          <w:tcPr>
            <w:tcW w:w="4575" w:type="dxa"/>
            <w:tcBorders>
              <w:top w:val="single" w:color="auto" w:sz="4" w:space="0"/>
              <w:left w:val="single" w:color="auto" w:sz="4" w:space="0"/>
              <w:bottom w:val="single" w:color="auto" w:sz="4" w:space="0"/>
              <w:right w:val="single" w:color="auto" w:sz="4" w:space="0"/>
            </w:tcBorders>
            <w:vAlign w:val="center"/>
          </w:tcPr>
          <w:p w14:paraId="3ED9862F">
            <w:pPr>
              <w:pStyle w:val="14"/>
              <w:spacing w:line="320" w:lineRule="exact"/>
              <w:ind w:firstLine="0"/>
              <w:jc w:val="center"/>
              <w:rPr>
                <w:rFonts w:eastAsia="宋体"/>
                <w:color w:val="auto"/>
                <w:szCs w:val="24"/>
                <w:highlight w:val="none"/>
              </w:rPr>
            </w:pPr>
          </w:p>
        </w:tc>
      </w:tr>
      <w:tr w14:paraId="4F7BDF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3" w:hRule="atLeast"/>
        </w:trPr>
        <w:tc>
          <w:tcPr>
            <w:tcW w:w="4740" w:type="dxa"/>
            <w:tcBorders>
              <w:top w:val="single" w:color="auto" w:sz="4" w:space="0"/>
              <w:left w:val="single" w:color="auto" w:sz="4" w:space="0"/>
              <w:bottom w:val="single" w:color="auto" w:sz="4" w:space="0"/>
              <w:right w:val="single" w:color="auto" w:sz="4" w:space="0"/>
            </w:tcBorders>
            <w:vAlign w:val="center"/>
          </w:tcPr>
          <w:p w14:paraId="496F35F2">
            <w:pPr>
              <w:pStyle w:val="14"/>
              <w:spacing w:line="320" w:lineRule="exact"/>
              <w:ind w:firstLine="0"/>
              <w:jc w:val="center"/>
              <w:rPr>
                <w:rFonts w:eastAsia="宋体"/>
                <w:color w:val="auto"/>
                <w:szCs w:val="24"/>
                <w:highlight w:val="none"/>
              </w:rPr>
            </w:pPr>
            <w:r>
              <w:rPr>
                <w:rFonts w:eastAsia="宋体"/>
                <w:color w:val="auto"/>
                <w:szCs w:val="24"/>
                <w:highlight w:val="none"/>
              </w:rPr>
              <w:t>投标总价（大写）（人民币元）</w:t>
            </w:r>
          </w:p>
        </w:tc>
        <w:tc>
          <w:tcPr>
            <w:tcW w:w="4575" w:type="dxa"/>
            <w:tcBorders>
              <w:top w:val="single" w:color="auto" w:sz="4" w:space="0"/>
              <w:left w:val="single" w:color="auto" w:sz="4" w:space="0"/>
              <w:bottom w:val="single" w:color="auto" w:sz="4" w:space="0"/>
              <w:right w:val="single" w:color="auto" w:sz="4" w:space="0"/>
            </w:tcBorders>
            <w:vAlign w:val="center"/>
          </w:tcPr>
          <w:p w14:paraId="1ACFE74F">
            <w:pPr>
              <w:pStyle w:val="14"/>
              <w:spacing w:line="320" w:lineRule="exact"/>
              <w:ind w:firstLine="0"/>
              <w:jc w:val="center"/>
              <w:rPr>
                <w:rFonts w:eastAsia="宋体"/>
                <w:color w:val="auto"/>
                <w:szCs w:val="24"/>
                <w:highlight w:val="none"/>
              </w:rPr>
            </w:pPr>
          </w:p>
        </w:tc>
      </w:tr>
    </w:tbl>
    <w:p w14:paraId="221EDC04">
      <w:pPr>
        <w:pStyle w:val="14"/>
        <w:spacing w:line="320" w:lineRule="exact"/>
        <w:ind w:firstLine="0"/>
        <w:rPr>
          <w:color w:val="auto"/>
          <w:szCs w:val="24"/>
          <w:highlight w:val="none"/>
          <w:u w:val="single"/>
        </w:rPr>
      </w:pPr>
    </w:p>
    <w:p w14:paraId="7E734808">
      <w:pPr>
        <w:pStyle w:val="14"/>
        <w:spacing w:line="320" w:lineRule="exact"/>
        <w:rPr>
          <w:color w:val="auto"/>
          <w:szCs w:val="24"/>
          <w:highlight w:val="none"/>
        </w:rPr>
      </w:pPr>
      <w:r>
        <w:rPr>
          <w:color w:val="auto"/>
          <w:szCs w:val="24"/>
          <w:highlight w:val="none"/>
        </w:rPr>
        <w:t>注：</w:t>
      </w:r>
    </w:p>
    <w:p w14:paraId="392180C6">
      <w:pPr>
        <w:pStyle w:val="14"/>
        <w:spacing w:line="320" w:lineRule="exact"/>
        <w:rPr>
          <w:color w:val="auto"/>
          <w:szCs w:val="24"/>
          <w:highlight w:val="none"/>
        </w:rPr>
      </w:pPr>
      <w:r>
        <w:rPr>
          <w:rFonts w:hint="eastAsia"/>
          <w:color w:val="auto"/>
          <w:szCs w:val="24"/>
          <w:highlight w:val="none"/>
        </w:rPr>
        <w:t>1）</w:t>
      </w:r>
      <w:r>
        <w:rPr>
          <w:color w:val="auto"/>
          <w:szCs w:val="24"/>
          <w:highlight w:val="none"/>
        </w:rPr>
        <w:t>投标总价</w:t>
      </w:r>
      <w:r>
        <w:rPr>
          <w:rFonts w:hint="eastAsia"/>
          <w:color w:val="auto"/>
          <w:szCs w:val="24"/>
          <w:highlight w:val="none"/>
        </w:rPr>
        <w:t>应</w:t>
      </w:r>
      <w:r>
        <w:rPr>
          <w:color w:val="auto"/>
          <w:szCs w:val="24"/>
          <w:highlight w:val="none"/>
        </w:rPr>
        <w:t>与</w:t>
      </w:r>
      <w:r>
        <w:rPr>
          <w:rFonts w:hint="eastAsia"/>
          <w:color w:val="auto"/>
          <w:szCs w:val="24"/>
          <w:highlight w:val="none"/>
        </w:rPr>
        <w:t>“</w:t>
      </w:r>
      <w:r>
        <w:rPr>
          <w:color w:val="auto"/>
          <w:szCs w:val="24"/>
          <w:highlight w:val="none"/>
        </w:rPr>
        <w:t>分项报价表</w:t>
      </w:r>
      <w:r>
        <w:rPr>
          <w:rFonts w:hint="eastAsia"/>
          <w:color w:val="auto"/>
          <w:szCs w:val="24"/>
          <w:highlight w:val="none"/>
        </w:rPr>
        <w:t>”</w:t>
      </w:r>
      <w:r>
        <w:rPr>
          <w:color w:val="auto"/>
          <w:szCs w:val="24"/>
          <w:highlight w:val="none"/>
        </w:rPr>
        <w:t>中</w:t>
      </w:r>
      <w:r>
        <w:rPr>
          <w:rFonts w:hint="eastAsia"/>
          <w:color w:val="auto"/>
          <w:szCs w:val="24"/>
          <w:highlight w:val="none"/>
        </w:rPr>
        <w:t>“</w:t>
      </w:r>
      <w:r>
        <w:rPr>
          <w:color w:val="auto"/>
          <w:szCs w:val="24"/>
          <w:highlight w:val="none"/>
        </w:rPr>
        <w:t>投标总价</w:t>
      </w:r>
      <w:r>
        <w:rPr>
          <w:rFonts w:hint="eastAsia"/>
          <w:color w:val="auto"/>
          <w:szCs w:val="24"/>
          <w:highlight w:val="none"/>
        </w:rPr>
        <w:t>”</w:t>
      </w:r>
      <w:r>
        <w:rPr>
          <w:color w:val="auto"/>
          <w:szCs w:val="24"/>
          <w:highlight w:val="none"/>
        </w:rPr>
        <w:t>一致。</w:t>
      </w:r>
    </w:p>
    <w:p w14:paraId="6EAB6B36">
      <w:pPr>
        <w:pStyle w:val="14"/>
        <w:spacing w:line="360" w:lineRule="exact"/>
        <w:rPr>
          <w:color w:val="auto"/>
          <w:highlight w:val="none"/>
        </w:rPr>
      </w:pPr>
      <w:r>
        <w:rPr>
          <w:rFonts w:hint="eastAsia" w:hAnsi="宋体"/>
          <w:color w:val="auto"/>
          <w:szCs w:val="24"/>
          <w:highlight w:val="none"/>
        </w:rPr>
        <w:t>2）政采云系统上人工填写的报价与上传的电子投标文件的报价不一致，以上传的电子投标文件的报价为准，在评审时进行价格修正。</w:t>
      </w:r>
    </w:p>
    <w:p w14:paraId="09D0D75C">
      <w:pPr>
        <w:pStyle w:val="14"/>
        <w:spacing w:line="360" w:lineRule="exact"/>
        <w:rPr>
          <w:color w:val="auto"/>
          <w:highlight w:val="none"/>
        </w:rPr>
      </w:pPr>
    </w:p>
    <w:p w14:paraId="356ED99B">
      <w:pPr>
        <w:pStyle w:val="14"/>
        <w:spacing w:line="360" w:lineRule="exact"/>
        <w:rPr>
          <w:color w:val="auto"/>
          <w:highlight w:val="none"/>
        </w:rPr>
      </w:pPr>
      <w:r>
        <w:rPr>
          <w:rFonts w:hint="eastAsia"/>
          <w:color w:val="auto"/>
          <w:highlight w:val="none"/>
        </w:rPr>
        <w:t>投标人单位（盖公章）：</w:t>
      </w:r>
    </w:p>
    <w:p w14:paraId="35BA42EF">
      <w:pPr>
        <w:pStyle w:val="14"/>
        <w:spacing w:line="360" w:lineRule="exact"/>
        <w:rPr>
          <w:color w:val="auto"/>
          <w:szCs w:val="21"/>
          <w:highlight w:val="none"/>
        </w:rPr>
      </w:pPr>
      <w:r>
        <w:rPr>
          <w:rFonts w:hint="eastAsia"/>
          <w:color w:val="auto"/>
          <w:szCs w:val="21"/>
          <w:highlight w:val="none"/>
        </w:rPr>
        <w:t>法定代表人或被授权代表人（签字或盖章）：</w:t>
      </w:r>
    </w:p>
    <w:p w14:paraId="2F1F9F7A">
      <w:pPr>
        <w:pStyle w:val="14"/>
        <w:spacing w:line="360" w:lineRule="exact"/>
        <w:rPr>
          <w:color w:val="auto"/>
          <w:highlight w:val="none"/>
        </w:rPr>
      </w:pPr>
      <w:r>
        <w:rPr>
          <w:rFonts w:hint="eastAsia"/>
          <w:color w:val="auto"/>
          <w:highlight w:val="none"/>
        </w:rPr>
        <w:t>日</w:t>
      </w:r>
      <w:r>
        <w:rPr>
          <w:color w:val="auto"/>
          <w:highlight w:val="none"/>
        </w:rPr>
        <w:t xml:space="preserve">      </w:t>
      </w:r>
      <w:r>
        <w:rPr>
          <w:rFonts w:hint="eastAsia"/>
          <w:color w:val="auto"/>
          <w:highlight w:val="none"/>
        </w:rPr>
        <w:t>期：</w:t>
      </w:r>
    </w:p>
    <w:p w14:paraId="4374FDAA">
      <w:pPr>
        <w:pStyle w:val="14"/>
        <w:ind w:firstLine="0"/>
        <w:rPr>
          <w:rFonts w:ascii="宋体" w:eastAsia="宋体"/>
          <w:b/>
          <w:color w:val="auto"/>
          <w:sz w:val="28"/>
          <w:highlight w:val="none"/>
        </w:rPr>
      </w:pPr>
    </w:p>
    <w:p w14:paraId="70F3DB9B">
      <w:pPr>
        <w:pStyle w:val="14"/>
        <w:ind w:firstLine="0"/>
        <w:rPr>
          <w:rFonts w:ascii="宋体" w:eastAsia="宋体"/>
          <w:b/>
          <w:color w:val="auto"/>
          <w:sz w:val="28"/>
          <w:highlight w:val="none"/>
        </w:rPr>
      </w:pPr>
    </w:p>
    <w:p w14:paraId="35EBAFDC">
      <w:pPr>
        <w:pStyle w:val="14"/>
        <w:ind w:firstLine="0"/>
        <w:rPr>
          <w:rFonts w:ascii="宋体" w:eastAsia="宋体"/>
          <w:b/>
          <w:color w:val="auto"/>
          <w:sz w:val="28"/>
          <w:highlight w:val="none"/>
        </w:rPr>
      </w:pPr>
    </w:p>
    <w:p w14:paraId="44350D45">
      <w:pPr>
        <w:pStyle w:val="14"/>
        <w:ind w:firstLine="0"/>
        <w:rPr>
          <w:rFonts w:ascii="宋体" w:eastAsia="宋体"/>
          <w:b/>
          <w:color w:val="auto"/>
          <w:sz w:val="28"/>
          <w:highlight w:val="none"/>
        </w:rPr>
      </w:pPr>
    </w:p>
    <w:p w14:paraId="27A1E4AC">
      <w:pPr>
        <w:pStyle w:val="14"/>
        <w:ind w:firstLine="0"/>
        <w:rPr>
          <w:rFonts w:ascii="宋体" w:eastAsia="宋体"/>
          <w:b/>
          <w:color w:val="auto"/>
          <w:sz w:val="28"/>
          <w:highlight w:val="none"/>
        </w:rPr>
      </w:pPr>
    </w:p>
    <w:p w14:paraId="0141B36F">
      <w:pPr>
        <w:pStyle w:val="14"/>
        <w:ind w:firstLine="0"/>
        <w:rPr>
          <w:rFonts w:ascii="宋体" w:eastAsia="宋体"/>
          <w:b/>
          <w:color w:val="auto"/>
          <w:sz w:val="28"/>
          <w:highlight w:val="none"/>
        </w:rPr>
      </w:pPr>
    </w:p>
    <w:p w14:paraId="68F6D94D">
      <w:pPr>
        <w:pStyle w:val="14"/>
        <w:ind w:firstLine="0"/>
        <w:rPr>
          <w:rFonts w:ascii="宋体" w:eastAsia="宋体"/>
          <w:b/>
          <w:color w:val="auto"/>
          <w:sz w:val="28"/>
          <w:highlight w:val="none"/>
        </w:rPr>
      </w:pPr>
    </w:p>
    <w:p w14:paraId="37B30201">
      <w:pPr>
        <w:pStyle w:val="14"/>
        <w:ind w:firstLine="0"/>
        <w:rPr>
          <w:rFonts w:ascii="宋体" w:eastAsia="宋体"/>
          <w:b/>
          <w:color w:val="auto"/>
          <w:sz w:val="28"/>
          <w:highlight w:val="none"/>
        </w:rPr>
      </w:pPr>
    </w:p>
    <w:p w14:paraId="1F372877">
      <w:pPr>
        <w:pStyle w:val="14"/>
        <w:ind w:firstLine="0"/>
        <w:rPr>
          <w:rFonts w:ascii="宋体" w:eastAsia="宋体"/>
          <w:b/>
          <w:color w:val="auto"/>
          <w:sz w:val="28"/>
          <w:highlight w:val="none"/>
        </w:rPr>
      </w:pPr>
    </w:p>
    <w:p w14:paraId="7F9E3D4B">
      <w:pPr>
        <w:pStyle w:val="14"/>
        <w:ind w:firstLine="0"/>
        <w:rPr>
          <w:rFonts w:ascii="宋体" w:eastAsia="宋体"/>
          <w:b/>
          <w:color w:val="auto"/>
          <w:sz w:val="28"/>
          <w:highlight w:val="none"/>
        </w:rPr>
      </w:pPr>
    </w:p>
    <w:p w14:paraId="12B64183">
      <w:pPr>
        <w:pStyle w:val="14"/>
        <w:ind w:firstLine="0"/>
        <w:rPr>
          <w:rFonts w:ascii="宋体" w:eastAsia="宋体"/>
          <w:b/>
          <w:color w:val="auto"/>
          <w:sz w:val="28"/>
          <w:highlight w:val="none"/>
        </w:rPr>
      </w:pPr>
    </w:p>
    <w:p w14:paraId="022DAAC0">
      <w:pPr>
        <w:pStyle w:val="14"/>
        <w:ind w:firstLine="0"/>
        <w:rPr>
          <w:rFonts w:ascii="宋体" w:eastAsia="宋体"/>
          <w:b/>
          <w:color w:val="auto"/>
          <w:sz w:val="28"/>
          <w:highlight w:val="none"/>
        </w:rPr>
      </w:pPr>
    </w:p>
    <w:p w14:paraId="7321B61D">
      <w:pPr>
        <w:pStyle w:val="14"/>
        <w:ind w:firstLine="0"/>
        <w:rPr>
          <w:rFonts w:ascii="宋体" w:eastAsia="宋体"/>
          <w:b/>
          <w:color w:val="auto"/>
          <w:sz w:val="28"/>
          <w:highlight w:val="none"/>
        </w:rPr>
      </w:pPr>
    </w:p>
    <w:p w14:paraId="511A50B4">
      <w:pPr>
        <w:pStyle w:val="14"/>
        <w:ind w:firstLine="0"/>
        <w:rPr>
          <w:rFonts w:ascii="宋体" w:eastAsia="宋体"/>
          <w:b/>
          <w:color w:val="auto"/>
          <w:sz w:val="28"/>
          <w:highlight w:val="none"/>
        </w:rPr>
      </w:pPr>
    </w:p>
    <w:p w14:paraId="25AD7A3C">
      <w:pPr>
        <w:pStyle w:val="14"/>
        <w:ind w:firstLine="0"/>
        <w:rPr>
          <w:rFonts w:ascii="宋体" w:eastAsia="宋体"/>
          <w:b/>
          <w:color w:val="auto"/>
          <w:sz w:val="28"/>
          <w:highlight w:val="none"/>
        </w:rPr>
      </w:pPr>
      <w:r>
        <w:rPr>
          <w:rFonts w:hint="eastAsia" w:ascii="宋体" w:eastAsia="宋体"/>
          <w:b/>
          <w:color w:val="auto"/>
          <w:sz w:val="28"/>
          <w:highlight w:val="none"/>
        </w:rPr>
        <w:t xml:space="preserve">                                        </w:t>
      </w:r>
    </w:p>
    <w:p w14:paraId="06D00790">
      <w:pPr>
        <w:pStyle w:val="14"/>
        <w:ind w:firstLine="0"/>
        <w:jc w:val="center"/>
        <w:rPr>
          <w:rFonts w:ascii="宋体" w:eastAsia="宋体"/>
          <w:b/>
          <w:color w:val="auto"/>
          <w:sz w:val="28"/>
          <w:highlight w:val="none"/>
        </w:rPr>
      </w:pPr>
    </w:p>
    <w:p w14:paraId="223D3815">
      <w:pPr>
        <w:pStyle w:val="14"/>
        <w:ind w:firstLine="0"/>
        <w:jc w:val="center"/>
        <w:rPr>
          <w:rFonts w:ascii="宋体" w:eastAsia="宋体"/>
          <w:b/>
          <w:color w:val="auto"/>
          <w:sz w:val="28"/>
          <w:highlight w:val="none"/>
        </w:rPr>
      </w:pPr>
      <w:r>
        <w:rPr>
          <w:rFonts w:hint="eastAsia" w:ascii="宋体" w:eastAsia="宋体"/>
          <w:b/>
          <w:color w:val="auto"/>
          <w:sz w:val="28"/>
          <w:highlight w:val="none"/>
        </w:rPr>
        <w:t>二、分项报价表</w:t>
      </w:r>
    </w:p>
    <w:p w14:paraId="7F41D0C3">
      <w:pPr>
        <w:pStyle w:val="14"/>
        <w:ind w:firstLine="0"/>
        <w:rPr>
          <w:rFonts w:ascii="宋体"/>
          <w:color w:val="auto"/>
          <w:highlight w:val="none"/>
        </w:rPr>
      </w:pPr>
    </w:p>
    <w:p w14:paraId="12565066">
      <w:pPr>
        <w:pStyle w:val="14"/>
        <w:ind w:firstLine="0"/>
        <w:rPr>
          <w:rFonts w:eastAsia="宋体"/>
          <w:color w:val="auto"/>
          <w:szCs w:val="24"/>
          <w:highlight w:val="none"/>
          <w:u w:val="single"/>
        </w:rPr>
      </w:pPr>
      <w:r>
        <w:rPr>
          <w:rFonts w:hint="eastAsia" w:eastAsia="宋体"/>
          <w:color w:val="auto"/>
          <w:szCs w:val="24"/>
          <w:highlight w:val="none"/>
        </w:rPr>
        <w:t>项目名称：</w:t>
      </w:r>
      <w:r>
        <w:rPr>
          <w:rFonts w:hint="eastAsia" w:eastAsia="宋体"/>
          <w:color w:val="auto"/>
          <w:szCs w:val="24"/>
          <w:highlight w:val="none"/>
          <w:u w:val="single"/>
        </w:rPr>
        <w:t xml:space="preserve">                           </w:t>
      </w:r>
    </w:p>
    <w:tbl>
      <w:tblPr>
        <w:tblStyle w:val="30"/>
        <w:tblW w:w="8942" w:type="dxa"/>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8"/>
        <w:gridCol w:w="1222"/>
        <w:gridCol w:w="1275"/>
        <w:gridCol w:w="1388"/>
        <w:gridCol w:w="1320"/>
        <w:gridCol w:w="1620"/>
        <w:gridCol w:w="1279"/>
      </w:tblGrid>
      <w:tr w14:paraId="368713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838" w:type="dxa"/>
            <w:tcBorders>
              <w:top w:val="single" w:color="auto" w:sz="4" w:space="0"/>
              <w:left w:val="single" w:color="auto" w:sz="4" w:space="0"/>
              <w:bottom w:val="single" w:color="auto" w:sz="4" w:space="0"/>
              <w:right w:val="single" w:color="auto" w:sz="4" w:space="0"/>
            </w:tcBorders>
            <w:vAlign w:val="center"/>
          </w:tcPr>
          <w:p w14:paraId="7BC20377">
            <w:pPr>
              <w:spacing w:line="360" w:lineRule="exact"/>
              <w:jc w:val="center"/>
              <w:rPr>
                <w:bCs/>
                <w:color w:val="auto"/>
                <w:sz w:val="24"/>
                <w:szCs w:val="24"/>
                <w:highlight w:val="none"/>
              </w:rPr>
            </w:pPr>
            <w:r>
              <w:rPr>
                <w:rFonts w:hint="eastAsia"/>
                <w:bCs/>
                <w:color w:val="auto"/>
                <w:sz w:val="24"/>
                <w:szCs w:val="24"/>
                <w:highlight w:val="none"/>
              </w:rPr>
              <w:t>序号</w:t>
            </w:r>
          </w:p>
        </w:tc>
        <w:tc>
          <w:tcPr>
            <w:tcW w:w="1222" w:type="dxa"/>
            <w:tcBorders>
              <w:top w:val="single" w:color="auto" w:sz="4" w:space="0"/>
              <w:left w:val="single" w:color="auto" w:sz="4" w:space="0"/>
              <w:bottom w:val="single" w:color="auto" w:sz="4" w:space="0"/>
              <w:right w:val="single" w:color="auto" w:sz="4" w:space="0"/>
            </w:tcBorders>
            <w:vAlign w:val="center"/>
          </w:tcPr>
          <w:p w14:paraId="4F9090E0">
            <w:pPr>
              <w:spacing w:line="360" w:lineRule="exact"/>
              <w:jc w:val="center"/>
              <w:rPr>
                <w:bCs/>
                <w:color w:val="auto"/>
                <w:sz w:val="24"/>
                <w:szCs w:val="24"/>
                <w:highlight w:val="none"/>
              </w:rPr>
            </w:pPr>
            <w:r>
              <w:rPr>
                <w:rFonts w:hint="eastAsia"/>
                <w:bCs/>
                <w:color w:val="auto"/>
                <w:sz w:val="24"/>
                <w:szCs w:val="24"/>
                <w:highlight w:val="none"/>
              </w:rPr>
              <w:t>分项名称</w:t>
            </w:r>
          </w:p>
        </w:tc>
        <w:tc>
          <w:tcPr>
            <w:tcW w:w="1275" w:type="dxa"/>
            <w:tcBorders>
              <w:top w:val="single" w:color="auto" w:sz="4" w:space="0"/>
              <w:left w:val="single" w:color="auto" w:sz="4" w:space="0"/>
              <w:bottom w:val="single" w:color="auto" w:sz="4" w:space="0"/>
              <w:right w:val="single" w:color="auto" w:sz="4" w:space="0"/>
            </w:tcBorders>
            <w:vAlign w:val="center"/>
          </w:tcPr>
          <w:p w14:paraId="73C0EBC3">
            <w:pPr>
              <w:spacing w:line="360" w:lineRule="exact"/>
              <w:jc w:val="center"/>
              <w:rPr>
                <w:bCs/>
                <w:color w:val="auto"/>
                <w:sz w:val="24"/>
                <w:szCs w:val="24"/>
                <w:highlight w:val="none"/>
              </w:rPr>
            </w:pPr>
            <w:r>
              <w:rPr>
                <w:rFonts w:hint="eastAsia"/>
                <w:bCs/>
                <w:color w:val="auto"/>
                <w:sz w:val="24"/>
                <w:szCs w:val="24"/>
                <w:highlight w:val="none"/>
              </w:rPr>
              <w:t>数量</w:t>
            </w:r>
          </w:p>
        </w:tc>
        <w:tc>
          <w:tcPr>
            <w:tcW w:w="1388" w:type="dxa"/>
            <w:tcBorders>
              <w:top w:val="single" w:color="auto" w:sz="4" w:space="0"/>
              <w:left w:val="single" w:color="auto" w:sz="4" w:space="0"/>
              <w:bottom w:val="single" w:color="auto" w:sz="4" w:space="0"/>
              <w:right w:val="single" w:color="auto" w:sz="4" w:space="0"/>
            </w:tcBorders>
            <w:vAlign w:val="center"/>
          </w:tcPr>
          <w:p w14:paraId="293B2671">
            <w:pPr>
              <w:spacing w:line="360" w:lineRule="exact"/>
              <w:jc w:val="center"/>
              <w:rPr>
                <w:bCs/>
                <w:color w:val="auto"/>
                <w:sz w:val="24"/>
                <w:szCs w:val="24"/>
                <w:highlight w:val="none"/>
              </w:rPr>
            </w:pPr>
            <w:r>
              <w:rPr>
                <w:rFonts w:hint="eastAsia"/>
                <w:bCs/>
                <w:color w:val="auto"/>
                <w:sz w:val="24"/>
                <w:szCs w:val="24"/>
                <w:highlight w:val="none"/>
              </w:rPr>
              <w:t>简要描述</w:t>
            </w:r>
          </w:p>
        </w:tc>
        <w:tc>
          <w:tcPr>
            <w:tcW w:w="1320" w:type="dxa"/>
            <w:tcBorders>
              <w:top w:val="single" w:color="auto" w:sz="4" w:space="0"/>
              <w:left w:val="single" w:color="auto" w:sz="4" w:space="0"/>
              <w:bottom w:val="single" w:color="auto" w:sz="4" w:space="0"/>
              <w:right w:val="single" w:color="auto" w:sz="4" w:space="0"/>
            </w:tcBorders>
            <w:vAlign w:val="center"/>
          </w:tcPr>
          <w:p w14:paraId="15BA5445">
            <w:pPr>
              <w:spacing w:line="360" w:lineRule="exact"/>
              <w:jc w:val="center"/>
              <w:rPr>
                <w:bCs/>
                <w:color w:val="auto"/>
                <w:sz w:val="24"/>
                <w:szCs w:val="24"/>
                <w:highlight w:val="none"/>
              </w:rPr>
            </w:pPr>
            <w:r>
              <w:rPr>
                <w:rFonts w:hint="eastAsia"/>
                <w:bCs/>
                <w:color w:val="auto"/>
                <w:sz w:val="24"/>
                <w:szCs w:val="24"/>
                <w:highlight w:val="none"/>
              </w:rPr>
              <w:t>单价（元）</w:t>
            </w:r>
          </w:p>
        </w:tc>
        <w:tc>
          <w:tcPr>
            <w:tcW w:w="1620" w:type="dxa"/>
            <w:tcBorders>
              <w:top w:val="single" w:color="auto" w:sz="4" w:space="0"/>
              <w:left w:val="single" w:color="auto" w:sz="4" w:space="0"/>
              <w:bottom w:val="single" w:color="auto" w:sz="4" w:space="0"/>
              <w:right w:val="single" w:color="auto" w:sz="4" w:space="0"/>
            </w:tcBorders>
            <w:vAlign w:val="center"/>
          </w:tcPr>
          <w:p w14:paraId="74FBE73C">
            <w:pPr>
              <w:spacing w:line="360" w:lineRule="exact"/>
              <w:jc w:val="center"/>
              <w:rPr>
                <w:bCs/>
                <w:color w:val="auto"/>
                <w:sz w:val="24"/>
                <w:szCs w:val="24"/>
                <w:highlight w:val="none"/>
              </w:rPr>
            </w:pPr>
            <w:r>
              <w:rPr>
                <w:rFonts w:hint="eastAsia"/>
                <w:bCs/>
                <w:color w:val="auto"/>
                <w:sz w:val="24"/>
                <w:szCs w:val="24"/>
                <w:highlight w:val="none"/>
              </w:rPr>
              <w:t>合价（元）</w:t>
            </w:r>
          </w:p>
        </w:tc>
        <w:tc>
          <w:tcPr>
            <w:tcW w:w="1279" w:type="dxa"/>
            <w:tcBorders>
              <w:top w:val="single" w:color="auto" w:sz="4" w:space="0"/>
              <w:left w:val="single" w:color="auto" w:sz="4" w:space="0"/>
              <w:bottom w:val="single" w:color="auto" w:sz="4" w:space="0"/>
              <w:right w:val="single" w:color="auto" w:sz="4" w:space="0"/>
            </w:tcBorders>
            <w:vAlign w:val="center"/>
          </w:tcPr>
          <w:p w14:paraId="7B52AA28">
            <w:pPr>
              <w:spacing w:line="360" w:lineRule="exact"/>
              <w:jc w:val="center"/>
              <w:rPr>
                <w:bCs/>
                <w:color w:val="auto"/>
                <w:sz w:val="24"/>
                <w:szCs w:val="24"/>
                <w:highlight w:val="none"/>
              </w:rPr>
            </w:pPr>
            <w:r>
              <w:rPr>
                <w:rFonts w:hint="eastAsia"/>
                <w:bCs/>
                <w:color w:val="auto"/>
                <w:sz w:val="24"/>
                <w:szCs w:val="24"/>
                <w:highlight w:val="none"/>
              </w:rPr>
              <w:t>备注</w:t>
            </w:r>
          </w:p>
        </w:tc>
      </w:tr>
      <w:tr w14:paraId="54114C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838" w:type="dxa"/>
            <w:tcBorders>
              <w:top w:val="single" w:color="auto" w:sz="4" w:space="0"/>
              <w:left w:val="single" w:color="auto" w:sz="4" w:space="0"/>
              <w:bottom w:val="single" w:color="auto" w:sz="4" w:space="0"/>
              <w:right w:val="single" w:color="auto" w:sz="4" w:space="0"/>
            </w:tcBorders>
            <w:vAlign w:val="center"/>
          </w:tcPr>
          <w:p w14:paraId="25FB4A12">
            <w:pPr>
              <w:spacing w:line="360" w:lineRule="exact"/>
              <w:jc w:val="center"/>
              <w:rPr>
                <w:caps/>
                <w:color w:val="auto"/>
                <w:sz w:val="24"/>
                <w:szCs w:val="24"/>
                <w:highlight w:val="none"/>
              </w:rPr>
            </w:pPr>
            <w:r>
              <w:rPr>
                <w:caps/>
                <w:color w:val="auto"/>
                <w:sz w:val="24"/>
                <w:szCs w:val="24"/>
                <w:highlight w:val="none"/>
              </w:rPr>
              <w:t>1</w:t>
            </w:r>
          </w:p>
        </w:tc>
        <w:tc>
          <w:tcPr>
            <w:tcW w:w="1222" w:type="dxa"/>
            <w:tcBorders>
              <w:top w:val="single" w:color="auto" w:sz="4" w:space="0"/>
              <w:left w:val="single" w:color="auto" w:sz="4" w:space="0"/>
              <w:bottom w:val="single" w:color="auto" w:sz="4" w:space="0"/>
              <w:right w:val="single" w:color="auto" w:sz="4" w:space="0"/>
            </w:tcBorders>
            <w:vAlign w:val="center"/>
          </w:tcPr>
          <w:p w14:paraId="4CF47DBA">
            <w:pPr>
              <w:spacing w:line="360" w:lineRule="exact"/>
              <w:jc w:val="center"/>
              <w:rPr>
                <w:color w:val="auto"/>
                <w:sz w:val="24"/>
                <w:szCs w:val="24"/>
                <w:highlight w:val="none"/>
              </w:rPr>
            </w:pPr>
          </w:p>
        </w:tc>
        <w:tc>
          <w:tcPr>
            <w:tcW w:w="1275" w:type="dxa"/>
            <w:tcBorders>
              <w:top w:val="single" w:color="auto" w:sz="4" w:space="0"/>
              <w:left w:val="single" w:color="auto" w:sz="4" w:space="0"/>
              <w:bottom w:val="single" w:color="auto" w:sz="4" w:space="0"/>
              <w:right w:val="single" w:color="auto" w:sz="4" w:space="0"/>
            </w:tcBorders>
            <w:vAlign w:val="center"/>
          </w:tcPr>
          <w:p w14:paraId="36ACD14B">
            <w:pPr>
              <w:spacing w:line="360" w:lineRule="exact"/>
              <w:jc w:val="center"/>
              <w:rPr>
                <w:color w:val="auto"/>
                <w:sz w:val="24"/>
                <w:szCs w:val="24"/>
                <w:highlight w:val="none"/>
              </w:rPr>
            </w:pPr>
          </w:p>
        </w:tc>
        <w:tc>
          <w:tcPr>
            <w:tcW w:w="1388" w:type="dxa"/>
            <w:tcBorders>
              <w:top w:val="single" w:color="auto" w:sz="4" w:space="0"/>
              <w:left w:val="single" w:color="auto" w:sz="4" w:space="0"/>
              <w:bottom w:val="single" w:color="auto" w:sz="4" w:space="0"/>
              <w:right w:val="single" w:color="auto" w:sz="4" w:space="0"/>
            </w:tcBorders>
            <w:vAlign w:val="center"/>
          </w:tcPr>
          <w:p w14:paraId="6B0B8E81">
            <w:pPr>
              <w:spacing w:line="360" w:lineRule="exact"/>
              <w:jc w:val="center"/>
              <w:rPr>
                <w:color w:val="auto"/>
                <w:sz w:val="24"/>
                <w:szCs w:val="24"/>
                <w:highlight w:val="none"/>
              </w:rPr>
            </w:pPr>
          </w:p>
        </w:tc>
        <w:tc>
          <w:tcPr>
            <w:tcW w:w="1320" w:type="dxa"/>
            <w:tcBorders>
              <w:top w:val="single" w:color="auto" w:sz="4" w:space="0"/>
              <w:left w:val="single" w:color="auto" w:sz="4" w:space="0"/>
              <w:bottom w:val="single" w:color="auto" w:sz="4" w:space="0"/>
              <w:right w:val="single" w:color="auto" w:sz="4" w:space="0"/>
            </w:tcBorders>
            <w:vAlign w:val="center"/>
          </w:tcPr>
          <w:p w14:paraId="3EF508B8">
            <w:pPr>
              <w:spacing w:line="360" w:lineRule="exact"/>
              <w:jc w:val="center"/>
              <w:rPr>
                <w:color w:val="auto"/>
                <w:sz w:val="24"/>
                <w:szCs w:val="24"/>
                <w:highlight w:val="none"/>
              </w:rPr>
            </w:pPr>
          </w:p>
        </w:tc>
        <w:tc>
          <w:tcPr>
            <w:tcW w:w="1620" w:type="dxa"/>
            <w:tcBorders>
              <w:top w:val="single" w:color="auto" w:sz="4" w:space="0"/>
              <w:left w:val="single" w:color="auto" w:sz="4" w:space="0"/>
              <w:bottom w:val="single" w:color="auto" w:sz="4" w:space="0"/>
              <w:right w:val="single" w:color="auto" w:sz="4" w:space="0"/>
            </w:tcBorders>
            <w:vAlign w:val="center"/>
          </w:tcPr>
          <w:p w14:paraId="1AC20F7A">
            <w:pPr>
              <w:spacing w:line="360" w:lineRule="exact"/>
              <w:jc w:val="center"/>
              <w:rPr>
                <w:color w:val="auto"/>
                <w:sz w:val="24"/>
                <w:szCs w:val="24"/>
                <w:highlight w:val="none"/>
              </w:rPr>
            </w:pPr>
          </w:p>
        </w:tc>
        <w:tc>
          <w:tcPr>
            <w:tcW w:w="1279" w:type="dxa"/>
            <w:tcBorders>
              <w:top w:val="single" w:color="auto" w:sz="4" w:space="0"/>
              <w:left w:val="single" w:color="auto" w:sz="4" w:space="0"/>
              <w:bottom w:val="single" w:color="auto" w:sz="4" w:space="0"/>
              <w:right w:val="single" w:color="auto" w:sz="4" w:space="0"/>
            </w:tcBorders>
            <w:vAlign w:val="center"/>
          </w:tcPr>
          <w:p w14:paraId="361C7A9A">
            <w:pPr>
              <w:spacing w:line="360" w:lineRule="exact"/>
              <w:jc w:val="center"/>
              <w:rPr>
                <w:color w:val="auto"/>
                <w:sz w:val="24"/>
                <w:szCs w:val="24"/>
                <w:highlight w:val="none"/>
              </w:rPr>
            </w:pPr>
          </w:p>
        </w:tc>
      </w:tr>
      <w:tr w14:paraId="43C286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838" w:type="dxa"/>
            <w:tcBorders>
              <w:top w:val="single" w:color="auto" w:sz="4" w:space="0"/>
              <w:left w:val="single" w:color="auto" w:sz="4" w:space="0"/>
              <w:bottom w:val="single" w:color="auto" w:sz="4" w:space="0"/>
              <w:right w:val="single" w:color="auto" w:sz="4" w:space="0"/>
            </w:tcBorders>
            <w:vAlign w:val="center"/>
          </w:tcPr>
          <w:p w14:paraId="1A9ED88E">
            <w:pPr>
              <w:spacing w:line="360" w:lineRule="exact"/>
              <w:jc w:val="center"/>
              <w:rPr>
                <w:color w:val="auto"/>
                <w:sz w:val="24"/>
                <w:szCs w:val="24"/>
                <w:highlight w:val="none"/>
              </w:rPr>
            </w:pPr>
            <w:r>
              <w:rPr>
                <w:color w:val="auto"/>
                <w:sz w:val="24"/>
                <w:szCs w:val="24"/>
                <w:highlight w:val="none"/>
              </w:rPr>
              <w:t>2</w:t>
            </w:r>
          </w:p>
        </w:tc>
        <w:tc>
          <w:tcPr>
            <w:tcW w:w="1222" w:type="dxa"/>
            <w:tcBorders>
              <w:top w:val="single" w:color="auto" w:sz="4" w:space="0"/>
              <w:left w:val="single" w:color="auto" w:sz="4" w:space="0"/>
              <w:bottom w:val="single" w:color="auto" w:sz="4" w:space="0"/>
              <w:right w:val="single" w:color="auto" w:sz="4" w:space="0"/>
            </w:tcBorders>
            <w:vAlign w:val="center"/>
          </w:tcPr>
          <w:p w14:paraId="75708B60">
            <w:pPr>
              <w:spacing w:line="360" w:lineRule="exact"/>
              <w:jc w:val="center"/>
              <w:rPr>
                <w:color w:val="auto"/>
                <w:sz w:val="24"/>
                <w:szCs w:val="24"/>
                <w:highlight w:val="none"/>
              </w:rPr>
            </w:pPr>
          </w:p>
        </w:tc>
        <w:tc>
          <w:tcPr>
            <w:tcW w:w="1275" w:type="dxa"/>
            <w:tcBorders>
              <w:top w:val="single" w:color="auto" w:sz="4" w:space="0"/>
              <w:left w:val="single" w:color="auto" w:sz="4" w:space="0"/>
              <w:bottom w:val="single" w:color="auto" w:sz="4" w:space="0"/>
              <w:right w:val="single" w:color="auto" w:sz="4" w:space="0"/>
            </w:tcBorders>
            <w:vAlign w:val="center"/>
          </w:tcPr>
          <w:p w14:paraId="5D92D6AD">
            <w:pPr>
              <w:spacing w:line="360" w:lineRule="exact"/>
              <w:jc w:val="center"/>
              <w:rPr>
                <w:color w:val="auto"/>
                <w:sz w:val="24"/>
                <w:szCs w:val="24"/>
                <w:highlight w:val="none"/>
              </w:rPr>
            </w:pPr>
          </w:p>
        </w:tc>
        <w:tc>
          <w:tcPr>
            <w:tcW w:w="1388" w:type="dxa"/>
            <w:tcBorders>
              <w:top w:val="single" w:color="auto" w:sz="4" w:space="0"/>
              <w:left w:val="single" w:color="auto" w:sz="4" w:space="0"/>
              <w:bottom w:val="single" w:color="auto" w:sz="4" w:space="0"/>
              <w:right w:val="single" w:color="auto" w:sz="4" w:space="0"/>
            </w:tcBorders>
            <w:vAlign w:val="center"/>
          </w:tcPr>
          <w:p w14:paraId="2DDAD7BB">
            <w:pPr>
              <w:spacing w:line="360" w:lineRule="exact"/>
              <w:jc w:val="center"/>
              <w:rPr>
                <w:color w:val="auto"/>
                <w:sz w:val="24"/>
                <w:szCs w:val="24"/>
                <w:highlight w:val="none"/>
              </w:rPr>
            </w:pPr>
          </w:p>
        </w:tc>
        <w:tc>
          <w:tcPr>
            <w:tcW w:w="1320" w:type="dxa"/>
            <w:tcBorders>
              <w:top w:val="single" w:color="auto" w:sz="4" w:space="0"/>
              <w:left w:val="single" w:color="auto" w:sz="4" w:space="0"/>
              <w:bottom w:val="single" w:color="auto" w:sz="4" w:space="0"/>
              <w:right w:val="single" w:color="auto" w:sz="4" w:space="0"/>
            </w:tcBorders>
            <w:vAlign w:val="center"/>
          </w:tcPr>
          <w:p w14:paraId="2FC5F41C">
            <w:pPr>
              <w:spacing w:line="360" w:lineRule="exact"/>
              <w:jc w:val="center"/>
              <w:rPr>
                <w:color w:val="auto"/>
                <w:sz w:val="24"/>
                <w:szCs w:val="24"/>
                <w:highlight w:val="none"/>
              </w:rPr>
            </w:pPr>
          </w:p>
        </w:tc>
        <w:tc>
          <w:tcPr>
            <w:tcW w:w="1620" w:type="dxa"/>
            <w:tcBorders>
              <w:top w:val="single" w:color="auto" w:sz="4" w:space="0"/>
              <w:left w:val="single" w:color="auto" w:sz="4" w:space="0"/>
              <w:bottom w:val="single" w:color="auto" w:sz="4" w:space="0"/>
              <w:right w:val="single" w:color="auto" w:sz="4" w:space="0"/>
            </w:tcBorders>
            <w:vAlign w:val="center"/>
          </w:tcPr>
          <w:p w14:paraId="29DD197F">
            <w:pPr>
              <w:spacing w:line="360" w:lineRule="exact"/>
              <w:jc w:val="center"/>
              <w:rPr>
                <w:color w:val="auto"/>
                <w:sz w:val="24"/>
                <w:szCs w:val="24"/>
                <w:highlight w:val="none"/>
              </w:rPr>
            </w:pPr>
          </w:p>
        </w:tc>
        <w:tc>
          <w:tcPr>
            <w:tcW w:w="1279" w:type="dxa"/>
            <w:tcBorders>
              <w:top w:val="single" w:color="auto" w:sz="4" w:space="0"/>
              <w:left w:val="single" w:color="auto" w:sz="4" w:space="0"/>
              <w:bottom w:val="single" w:color="auto" w:sz="4" w:space="0"/>
              <w:right w:val="single" w:color="auto" w:sz="4" w:space="0"/>
            </w:tcBorders>
            <w:vAlign w:val="center"/>
          </w:tcPr>
          <w:p w14:paraId="420B7BAA">
            <w:pPr>
              <w:spacing w:line="360" w:lineRule="exact"/>
              <w:jc w:val="center"/>
              <w:rPr>
                <w:color w:val="auto"/>
                <w:sz w:val="24"/>
                <w:szCs w:val="24"/>
                <w:highlight w:val="none"/>
              </w:rPr>
            </w:pPr>
          </w:p>
        </w:tc>
      </w:tr>
      <w:tr w14:paraId="6F36E6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838" w:type="dxa"/>
            <w:tcBorders>
              <w:top w:val="single" w:color="auto" w:sz="4" w:space="0"/>
              <w:left w:val="single" w:color="auto" w:sz="4" w:space="0"/>
              <w:bottom w:val="single" w:color="auto" w:sz="4" w:space="0"/>
              <w:right w:val="single" w:color="auto" w:sz="4" w:space="0"/>
            </w:tcBorders>
            <w:vAlign w:val="center"/>
          </w:tcPr>
          <w:p w14:paraId="5E442E3D">
            <w:pPr>
              <w:spacing w:line="360" w:lineRule="exact"/>
              <w:jc w:val="center"/>
              <w:rPr>
                <w:color w:val="auto"/>
                <w:sz w:val="24"/>
                <w:szCs w:val="24"/>
                <w:highlight w:val="none"/>
              </w:rPr>
            </w:pPr>
            <w:r>
              <w:rPr>
                <w:color w:val="auto"/>
                <w:sz w:val="24"/>
                <w:szCs w:val="24"/>
                <w:highlight w:val="none"/>
              </w:rPr>
              <w:t>3</w:t>
            </w:r>
          </w:p>
        </w:tc>
        <w:tc>
          <w:tcPr>
            <w:tcW w:w="1222" w:type="dxa"/>
            <w:tcBorders>
              <w:top w:val="single" w:color="auto" w:sz="4" w:space="0"/>
              <w:left w:val="single" w:color="auto" w:sz="4" w:space="0"/>
              <w:bottom w:val="single" w:color="auto" w:sz="4" w:space="0"/>
              <w:right w:val="single" w:color="auto" w:sz="4" w:space="0"/>
            </w:tcBorders>
            <w:vAlign w:val="center"/>
          </w:tcPr>
          <w:p w14:paraId="3B942A1F">
            <w:pPr>
              <w:spacing w:line="360" w:lineRule="exact"/>
              <w:jc w:val="center"/>
              <w:rPr>
                <w:color w:val="auto"/>
                <w:sz w:val="24"/>
                <w:szCs w:val="24"/>
                <w:highlight w:val="none"/>
              </w:rPr>
            </w:pPr>
          </w:p>
        </w:tc>
        <w:tc>
          <w:tcPr>
            <w:tcW w:w="1275" w:type="dxa"/>
            <w:tcBorders>
              <w:top w:val="single" w:color="auto" w:sz="4" w:space="0"/>
              <w:left w:val="single" w:color="auto" w:sz="4" w:space="0"/>
              <w:bottom w:val="single" w:color="auto" w:sz="4" w:space="0"/>
              <w:right w:val="single" w:color="auto" w:sz="4" w:space="0"/>
            </w:tcBorders>
            <w:vAlign w:val="center"/>
          </w:tcPr>
          <w:p w14:paraId="06CC10F8">
            <w:pPr>
              <w:spacing w:line="360" w:lineRule="exact"/>
              <w:jc w:val="center"/>
              <w:rPr>
                <w:color w:val="auto"/>
                <w:sz w:val="24"/>
                <w:szCs w:val="24"/>
                <w:highlight w:val="none"/>
              </w:rPr>
            </w:pPr>
          </w:p>
        </w:tc>
        <w:tc>
          <w:tcPr>
            <w:tcW w:w="1388" w:type="dxa"/>
            <w:tcBorders>
              <w:top w:val="single" w:color="auto" w:sz="4" w:space="0"/>
              <w:left w:val="single" w:color="auto" w:sz="4" w:space="0"/>
              <w:bottom w:val="single" w:color="auto" w:sz="4" w:space="0"/>
              <w:right w:val="single" w:color="auto" w:sz="4" w:space="0"/>
            </w:tcBorders>
            <w:vAlign w:val="center"/>
          </w:tcPr>
          <w:p w14:paraId="672AEBB8">
            <w:pPr>
              <w:spacing w:line="360" w:lineRule="exact"/>
              <w:jc w:val="center"/>
              <w:rPr>
                <w:color w:val="auto"/>
                <w:sz w:val="24"/>
                <w:szCs w:val="24"/>
                <w:highlight w:val="none"/>
              </w:rPr>
            </w:pPr>
          </w:p>
        </w:tc>
        <w:tc>
          <w:tcPr>
            <w:tcW w:w="1320" w:type="dxa"/>
            <w:tcBorders>
              <w:top w:val="single" w:color="auto" w:sz="4" w:space="0"/>
              <w:left w:val="single" w:color="auto" w:sz="4" w:space="0"/>
              <w:bottom w:val="single" w:color="auto" w:sz="4" w:space="0"/>
              <w:right w:val="single" w:color="auto" w:sz="4" w:space="0"/>
            </w:tcBorders>
            <w:vAlign w:val="center"/>
          </w:tcPr>
          <w:p w14:paraId="50131449">
            <w:pPr>
              <w:spacing w:line="360" w:lineRule="exact"/>
              <w:jc w:val="center"/>
              <w:rPr>
                <w:color w:val="auto"/>
                <w:sz w:val="24"/>
                <w:szCs w:val="24"/>
                <w:highlight w:val="none"/>
              </w:rPr>
            </w:pPr>
          </w:p>
        </w:tc>
        <w:tc>
          <w:tcPr>
            <w:tcW w:w="1620" w:type="dxa"/>
            <w:tcBorders>
              <w:top w:val="single" w:color="auto" w:sz="4" w:space="0"/>
              <w:left w:val="single" w:color="auto" w:sz="4" w:space="0"/>
              <w:bottom w:val="single" w:color="auto" w:sz="4" w:space="0"/>
              <w:right w:val="single" w:color="auto" w:sz="4" w:space="0"/>
            </w:tcBorders>
            <w:vAlign w:val="center"/>
          </w:tcPr>
          <w:p w14:paraId="47F16FC0">
            <w:pPr>
              <w:spacing w:line="360" w:lineRule="exact"/>
              <w:jc w:val="center"/>
              <w:rPr>
                <w:color w:val="auto"/>
                <w:sz w:val="24"/>
                <w:szCs w:val="24"/>
                <w:highlight w:val="none"/>
              </w:rPr>
            </w:pPr>
          </w:p>
        </w:tc>
        <w:tc>
          <w:tcPr>
            <w:tcW w:w="1279" w:type="dxa"/>
            <w:tcBorders>
              <w:top w:val="single" w:color="auto" w:sz="4" w:space="0"/>
              <w:left w:val="single" w:color="auto" w:sz="4" w:space="0"/>
              <w:bottom w:val="single" w:color="auto" w:sz="4" w:space="0"/>
              <w:right w:val="single" w:color="auto" w:sz="4" w:space="0"/>
            </w:tcBorders>
            <w:vAlign w:val="center"/>
          </w:tcPr>
          <w:p w14:paraId="5CFC7A87">
            <w:pPr>
              <w:spacing w:line="360" w:lineRule="exact"/>
              <w:jc w:val="center"/>
              <w:rPr>
                <w:color w:val="auto"/>
                <w:sz w:val="24"/>
                <w:szCs w:val="24"/>
                <w:highlight w:val="none"/>
              </w:rPr>
            </w:pPr>
          </w:p>
        </w:tc>
      </w:tr>
      <w:tr w14:paraId="518E75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838" w:type="dxa"/>
            <w:tcBorders>
              <w:top w:val="single" w:color="auto" w:sz="4" w:space="0"/>
              <w:left w:val="single" w:color="auto" w:sz="4" w:space="0"/>
              <w:bottom w:val="single" w:color="auto" w:sz="4" w:space="0"/>
              <w:right w:val="single" w:color="auto" w:sz="4" w:space="0"/>
            </w:tcBorders>
            <w:vAlign w:val="center"/>
          </w:tcPr>
          <w:p w14:paraId="173C2738">
            <w:pPr>
              <w:spacing w:line="360" w:lineRule="exact"/>
              <w:jc w:val="center"/>
              <w:rPr>
                <w:color w:val="auto"/>
                <w:sz w:val="24"/>
                <w:szCs w:val="24"/>
                <w:highlight w:val="none"/>
              </w:rPr>
            </w:pPr>
            <w:r>
              <w:rPr>
                <w:color w:val="auto"/>
                <w:sz w:val="24"/>
                <w:szCs w:val="24"/>
                <w:highlight w:val="none"/>
              </w:rPr>
              <w:t>4</w:t>
            </w:r>
          </w:p>
        </w:tc>
        <w:tc>
          <w:tcPr>
            <w:tcW w:w="1222" w:type="dxa"/>
            <w:tcBorders>
              <w:top w:val="single" w:color="auto" w:sz="4" w:space="0"/>
              <w:left w:val="single" w:color="auto" w:sz="4" w:space="0"/>
              <w:bottom w:val="single" w:color="auto" w:sz="4" w:space="0"/>
              <w:right w:val="single" w:color="auto" w:sz="4" w:space="0"/>
            </w:tcBorders>
            <w:vAlign w:val="center"/>
          </w:tcPr>
          <w:p w14:paraId="2BAE406D">
            <w:pPr>
              <w:spacing w:line="360" w:lineRule="exact"/>
              <w:jc w:val="center"/>
              <w:rPr>
                <w:color w:val="auto"/>
                <w:sz w:val="24"/>
                <w:szCs w:val="24"/>
                <w:highlight w:val="none"/>
              </w:rPr>
            </w:pPr>
          </w:p>
        </w:tc>
        <w:tc>
          <w:tcPr>
            <w:tcW w:w="1275" w:type="dxa"/>
            <w:tcBorders>
              <w:top w:val="single" w:color="auto" w:sz="4" w:space="0"/>
              <w:left w:val="single" w:color="auto" w:sz="4" w:space="0"/>
              <w:bottom w:val="single" w:color="auto" w:sz="4" w:space="0"/>
              <w:right w:val="single" w:color="auto" w:sz="4" w:space="0"/>
            </w:tcBorders>
            <w:vAlign w:val="center"/>
          </w:tcPr>
          <w:p w14:paraId="2A4946F7">
            <w:pPr>
              <w:spacing w:line="360" w:lineRule="exact"/>
              <w:jc w:val="center"/>
              <w:rPr>
                <w:color w:val="auto"/>
                <w:sz w:val="24"/>
                <w:szCs w:val="24"/>
                <w:highlight w:val="none"/>
              </w:rPr>
            </w:pPr>
          </w:p>
        </w:tc>
        <w:tc>
          <w:tcPr>
            <w:tcW w:w="1388" w:type="dxa"/>
            <w:tcBorders>
              <w:top w:val="single" w:color="auto" w:sz="4" w:space="0"/>
              <w:left w:val="single" w:color="auto" w:sz="4" w:space="0"/>
              <w:bottom w:val="single" w:color="auto" w:sz="4" w:space="0"/>
              <w:right w:val="single" w:color="auto" w:sz="4" w:space="0"/>
            </w:tcBorders>
            <w:vAlign w:val="center"/>
          </w:tcPr>
          <w:p w14:paraId="4468EE5E">
            <w:pPr>
              <w:spacing w:line="360" w:lineRule="exact"/>
              <w:jc w:val="center"/>
              <w:rPr>
                <w:color w:val="auto"/>
                <w:sz w:val="24"/>
                <w:szCs w:val="24"/>
                <w:highlight w:val="none"/>
              </w:rPr>
            </w:pPr>
          </w:p>
        </w:tc>
        <w:tc>
          <w:tcPr>
            <w:tcW w:w="1320" w:type="dxa"/>
            <w:tcBorders>
              <w:top w:val="single" w:color="auto" w:sz="4" w:space="0"/>
              <w:left w:val="single" w:color="auto" w:sz="4" w:space="0"/>
              <w:bottom w:val="single" w:color="auto" w:sz="4" w:space="0"/>
              <w:right w:val="single" w:color="auto" w:sz="4" w:space="0"/>
            </w:tcBorders>
            <w:vAlign w:val="center"/>
          </w:tcPr>
          <w:p w14:paraId="0656B33D">
            <w:pPr>
              <w:spacing w:line="360" w:lineRule="exact"/>
              <w:jc w:val="center"/>
              <w:rPr>
                <w:color w:val="auto"/>
                <w:sz w:val="24"/>
                <w:szCs w:val="24"/>
                <w:highlight w:val="none"/>
              </w:rPr>
            </w:pPr>
          </w:p>
        </w:tc>
        <w:tc>
          <w:tcPr>
            <w:tcW w:w="1620" w:type="dxa"/>
            <w:tcBorders>
              <w:top w:val="single" w:color="auto" w:sz="4" w:space="0"/>
              <w:left w:val="single" w:color="auto" w:sz="4" w:space="0"/>
              <w:bottom w:val="single" w:color="auto" w:sz="4" w:space="0"/>
              <w:right w:val="single" w:color="auto" w:sz="4" w:space="0"/>
            </w:tcBorders>
            <w:vAlign w:val="center"/>
          </w:tcPr>
          <w:p w14:paraId="240F8F29">
            <w:pPr>
              <w:spacing w:line="360" w:lineRule="exact"/>
              <w:jc w:val="center"/>
              <w:rPr>
                <w:color w:val="auto"/>
                <w:sz w:val="24"/>
                <w:szCs w:val="24"/>
                <w:highlight w:val="none"/>
              </w:rPr>
            </w:pPr>
          </w:p>
        </w:tc>
        <w:tc>
          <w:tcPr>
            <w:tcW w:w="1279" w:type="dxa"/>
            <w:tcBorders>
              <w:top w:val="single" w:color="auto" w:sz="4" w:space="0"/>
              <w:left w:val="single" w:color="auto" w:sz="4" w:space="0"/>
              <w:bottom w:val="single" w:color="auto" w:sz="4" w:space="0"/>
              <w:right w:val="single" w:color="auto" w:sz="4" w:space="0"/>
            </w:tcBorders>
            <w:vAlign w:val="center"/>
          </w:tcPr>
          <w:p w14:paraId="57015421">
            <w:pPr>
              <w:spacing w:line="360" w:lineRule="exact"/>
              <w:jc w:val="center"/>
              <w:rPr>
                <w:color w:val="auto"/>
                <w:sz w:val="24"/>
                <w:szCs w:val="24"/>
                <w:highlight w:val="none"/>
              </w:rPr>
            </w:pPr>
          </w:p>
        </w:tc>
      </w:tr>
      <w:tr w14:paraId="6DAC8F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838" w:type="dxa"/>
            <w:tcBorders>
              <w:top w:val="single" w:color="auto" w:sz="4" w:space="0"/>
              <w:left w:val="single" w:color="auto" w:sz="4" w:space="0"/>
              <w:bottom w:val="single" w:color="auto" w:sz="4" w:space="0"/>
              <w:right w:val="single" w:color="auto" w:sz="4" w:space="0"/>
            </w:tcBorders>
            <w:vAlign w:val="center"/>
          </w:tcPr>
          <w:p w14:paraId="70761CC4">
            <w:pPr>
              <w:spacing w:line="360" w:lineRule="exact"/>
              <w:jc w:val="center"/>
              <w:rPr>
                <w:color w:val="auto"/>
                <w:sz w:val="24"/>
                <w:szCs w:val="24"/>
                <w:highlight w:val="none"/>
              </w:rPr>
            </w:pPr>
            <w:r>
              <w:rPr>
                <w:color w:val="auto"/>
                <w:sz w:val="24"/>
                <w:szCs w:val="24"/>
                <w:highlight w:val="none"/>
              </w:rPr>
              <w:t>5</w:t>
            </w:r>
          </w:p>
        </w:tc>
        <w:tc>
          <w:tcPr>
            <w:tcW w:w="1222" w:type="dxa"/>
            <w:tcBorders>
              <w:top w:val="single" w:color="auto" w:sz="4" w:space="0"/>
              <w:left w:val="single" w:color="auto" w:sz="4" w:space="0"/>
              <w:bottom w:val="single" w:color="auto" w:sz="4" w:space="0"/>
              <w:right w:val="single" w:color="auto" w:sz="4" w:space="0"/>
            </w:tcBorders>
            <w:vAlign w:val="center"/>
          </w:tcPr>
          <w:p w14:paraId="43D57CC3">
            <w:pPr>
              <w:spacing w:line="360" w:lineRule="exact"/>
              <w:jc w:val="center"/>
              <w:rPr>
                <w:color w:val="auto"/>
                <w:sz w:val="24"/>
                <w:szCs w:val="24"/>
                <w:highlight w:val="none"/>
              </w:rPr>
            </w:pPr>
          </w:p>
        </w:tc>
        <w:tc>
          <w:tcPr>
            <w:tcW w:w="1275" w:type="dxa"/>
            <w:tcBorders>
              <w:top w:val="single" w:color="auto" w:sz="4" w:space="0"/>
              <w:left w:val="single" w:color="auto" w:sz="4" w:space="0"/>
              <w:bottom w:val="single" w:color="auto" w:sz="4" w:space="0"/>
              <w:right w:val="single" w:color="auto" w:sz="4" w:space="0"/>
            </w:tcBorders>
            <w:vAlign w:val="center"/>
          </w:tcPr>
          <w:p w14:paraId="31C2C90F">
            <w:pPr>
              <w:spacing w:line="360" w:lineRule="exact"/>
              <w:jc w:val="center"/>
              <w:rPr>
                <w:color w:val="auto"/>
                <w:sz w:val="24"/>
                <w:szCs w:val="24"/>
                <w:highlight w:val="none"/>
              </w:rPr>
            </w:pPr>
          </w:p>
        </w:tc>
        <w:tc>
          <w:tcPr>
            <w:tcW w:w="1388" w:type="dxa"/>
            <w:tcBorders>
              <w:top w:val="single" w:color="auto" w:sz="4" w:space="0"/>
              <w:left w:val="single" w:color="auto" w:sz="4" w:space="0"/>
              <w:bottom w:val="single" w:color="auto" w:sz="4" w:space="0"/>
              <w:right w:val="single" w:color="auto" w:sz="4" w:space="0"/>
            </w:tcBorders>
            <w:vAlign w:val="center"/>
          </w:tcPr>
          <w:p w14:paraId="4F3DB262">
            <w:pPr>
              <w:spacing w:line="360" w:lineRule="exact"/>
              <w:jc w:val="center"/>
              <w:rPr>
                <w:color w:val="auto"/>
                <w:sz w:val="24"/>
                <w:szCs w:val="24"/>
                <w:highlight w:val="none"/>
              </w:rPr>
            </w:pPr>
          </w:p>
        </w:tc>
        <w:tc>
          <w:tcPr>
            <w:tcW w:w="1320" w:type="dxa"/>
            <w:tcBorders>
              <w:top w:val="single" w:color="auto" w:sz="4" w:space="0"/>
              <w:left w:val="single" w:color="auto" w:sz="4" w:space="0"/>
              <w:bottom w:val="single" w:color="auto" w:sz="4" w:space="0"/>
              <w:right w:val="single" w:color="auto" w:sz="4" w:space="0"/>
            </w:tcBorders>
            <w:vAlign w:val="center"/>
          </w:tcPr>
          <w:p w14:paraId="54A040CB">
            <w:pPr>
              <w:spacing w:line="360" w:lineRule="exact"/>
              <w:jc w:val="center"/>
              <w:rPr>
                <w:color w:val="auto"/>
                <w:sz w:val="24"/>
                <w:szCs w:val="24"/>
                <w:highlight w:val="none"/>
              </w:rPr>
            </w:pPr>
          </w:p>
        </w:tc>
        <w:tc>
          <w:tcPr>
            <w:tcW w:w="1620" w:type="dxa"/>
            <w:tcBorders>
              <w:top w:val="single" w:color="auto" w:sz="4" w:space="0"/>
              <w:left w:val="single" w:color="auto" w:sz="4" w:space="0"/>
              <w:bottom w:val="single" w:color="auto" w:sz="4" w:space="0"/>
              <w:right w:val="single" w:color="auto" w:sz="4" w:space="0"/>
            </w:tcBorders>
            <w:vAlign w:val="center"/>
          </w:tcPr>
          <w:p w14:paraId="030A77CE">
            <w:pPr>
              <w:spacing w:line="360" w:lineRule="exact"/>
              <w:jc w:val="center"/>
              <w:rPr>
                <w:color w:val="auto"/>
                <w:sz w:val="24"/>
                <w:szCs w:val="24"/>
                <w:highlight w:val="none"/>
              </w:rPr>
            </w:pPr>
          </w:p>
        </w:tc>
        <w:tc>
          <w:tcPr>
            <w:tcW w:w="1279" w:type="dxa"/>
            <w:tcBorders>
              <w:top w:val="single" w:color="auto" w:sz="4" w:space="0"/>
              <w:left w:val="single" w:color="auto" w:sz="4" w:space="0"/>
              <w:bottom w:val="single" w:color="auto" w:sz="4" w:space="0"/>
              <w:right w:val="single" w:color="auto" w:sz="4" w:space="0"/>
            </w:tcBorders>
            <w:vAlign w:val="center"/>
          </w:tcPr>
          <w:p w14:paraId="614DBE44">
            <w:pPr>
              <w:spacing w:line="360" w:lineRule="exact"/>
              <w:jc w:val="center"/>
              <w:rPr>
                <w:color w:val="auto"/>
                <w:sz w:val="24"/>
                <w:szCs w:val="24"/>
                <w:highlight w:val="none"/>
              </w:rPr>
            </w:pPr>
          </w:p>
        </w:tc>
      </w:tr>
      <w:tr w14:paraId="3D6BEF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838" w:type="dxa"/>
            <w:tcBorders>
              <w:top w:val="single" w:color="auto" w:sz="4" w:space="0"/>
              <w:left w:val="single" w:color="auto" w:sz="4" w:space="0"/>
              <w:bottom w:val="single" w:color="auto" w:sz="4" w:space="0"/>
              <w:right w:val="single" w:color="auto" w:sz="4" w:space="0"/>
            </w:tcBorders>
            <w:vAlign w:val="center"/>
          </w:tcPr>
          <w:p w14:paraId="615D2046">
            <w:pPr>
              <w:spacing w:line="360" w:lineRule="exact"/>
              <w:jc w:val="center"/>
              <w:rPr>
                <w:color w:val="auto"/>
                <w:sz w:val="24"/>
                <w:szCs w:val="24"/>
                <w:highlight w:val="none"/>
              </w:rPr>
            </w:pPr>
            <w:r>
              <w:rPr>
                <w:color w:val="auto"/>
                <w:sz w:val="24"/>
                <w:szCs w:val="24"/>
                <w:highlight w:val="none"/>
              </w:rPr>
              <w:t>6</w:t>
            </w:r>
          </w:p>
        </w:tc>
        <w:tc>
          <w:tcPr>
            <w:tcW w:w="1222" w:type="dxa"/>
            <w:tcBorders>
              <w:top w:val="single" w:color="auto" w:sz="4" w:space="0"/>
              <w:left w:val="single" w:color="auto" w:sz="4" w:space="0"/>
              <w:bottom w:val="single" w:color="auto" w:sz="4" w:space="0"/>
              <w:right w:val="single" w:color="auto" w:sz="4" w:space="0"/>
            </w:tcBorders>
            <w:vAlign w:val="center"/>
          </w:tcPr>
          <w:p w14:paraId="4F148B59">
            <w:pPr>
              <w:spacing w:line="360" w:lineRule="exact"/>
              <w:jc w:val="center"/>
              <w:rPr>
                <w:color w:val="auto"/>
                <w:sz w:val="24"/>
                <w:szCs w:val="24"/>
                <w:highlight w:val="none"/>
              </w:rPr>
            </w:pPr>
          </w:p>
        </w:tc>
        <w:tc>
          <w:tcPr>
            <w:tcW w:w="1275" w:type="dxa"/>
            <w:tcBorders>
              <w:top w:val="single" w:color="auto" w:sz="4" w:space="0"/>
              <w:left w:val="single" w:color="auto" w:sz="4" w:space="0"/>
              <w:bottom w:val="single" w:color="auto" w:sz="4" w:space="0"/>
              <w:right w:val="single" w:color="auto" w:sz="4" w:space="0"/>
            </w:tcBorders>
            <w:vAlign w:val="center"/>
          </w:tcPr>
          <w:p w14:paraId="4D687472">
            <w:pPr>
              <w:spacing w:line="360" w:lineRule="exact"/>
              <w:jc w:val="center"/>
              <w:rPr>
                <w:color w:val="auto"/>
                <w:sz w:val="24"/>
                <w:szCs w:val="24"/>
                <w:highlight w:val="none"/>
              </w:rPr>
            </w:pPr>
          </w:p>
        </w:tc>
        <w:tc>
          <w:tcPr>
            <w:tcW w:w="1388" w:type="dxa"/>
            <w:tcBorders>
              <w:top w:val="single" w:color="auto" w:sz="4" w:space="0"/>
              <w:left w:val="single" w:color="auto" w:sz="4" w:space="0"/>
              <w:bottom w:val="single" w:color="auto" w:sz="4" w:space="0"/>
              <w:right w:val="single" w:color="auto" w:sz="4" w:space="0"/>
            </w:tcBorders>
            <w:vAlign w:val="center"/>
          </w:tcPr>
          <w:p w14:paraId="0BC34DAE">
            <w:pPr>
              <w:spacing w:line="360" w:lineRule="exact"/>
              <w:jc w:val="center"/>
              <w:rPr>
                <w:color w:val="auto"/>
                <w:sz w:val="24"/>
                <w:szCs w:val="24"/>
                <w:highlight w:val="none"/>
              </w:rPr>
            </w:pPr>
          </w:p>
        </w:tc>
        <w:tc>
          <w:tcPr>
            <w:tcW w:w="1320" w:type="dxa"/>
            <w:tcBorders>
              <w:top w:val="single" w:color="auto" w:sz="4" w:space="0"/>
              <w:left w:val="single" w:color="auto" w:sz="4" w:space="0"/>
              <w:bottom w:val="single" w:color="auto" w:sz="4" w:space="0"/>
              <w:right w:val="single" w:color="auto" w:sz="4" w:space="0"/>
            </w:tcBorders>
            <w:vAlign w:val="center"/>
          </w:tcPr>
          <w:p w14:paraId="5E43B74C">
            <w:pPr>
              <w:spacing w:line="360" w:lineRule="exact"/>
              <w:jc w:val="center"/>
              <w:rPr>
                <w:color w:val="auto"/>
                <w:sz w:val="24"/>
                <w:szCs w:val="24"/>
                <w:highlight w:val="none"/>
              </w:rPr>
            </w:pPr>
          </w:p>
        </w:tc>
        <w:tc>
          <w:tcPr>
            <w:tcW w:w="1620" w:type="dxa"/>
            <w:tcBorders>
              <w:top w:val="single" w:color="auto" w:sz="4" w:space="0"/>
              <w:left w:val="single" w:color="auto" w:sz="4" w:space="0"/>
              <w:bottom w:val="single" w:color="auto" w:sz="4" w:space="0"/>
              <w:right w:val="single" w:color="auto" w:sz="4" w:space="0"/>
            </w:tcBorders>
            <w:vAlign w:val="center"/>
          </w:tcPr>
          <w:p w14:paraId="73B2A7C0">
            <w:pPr>
              <w:spacing w:line="360" w:lineRule="exact"/>
              <w:jc w:val="center"/>
              <w:rPr>
                <w:color w:val="auto"/>
                <w:sz w:val="24"/>
                <w:szCs w:val="24"/>
                <w:highlight w:val="none"/>
              </w:rPr>
            </w:pPr>
          </w:p>
        </w:tc>
        <w:tc>
          <w:tcPr>
            <w:tcW w:w="1279" w:type="dxa"/>
            <w:tcBorders>
              <w:top w:val="single" w:color="auto" w:sz="4" w:space="0"/>
              <w:left w:val="single" w:color="auto" w:sz="4" w:space="0"/>
              <w:bottom w:val="single" w:color="auto" w:sz="4" w:space="0"/>
              <w:right w:val="single" w:color="auto" w:sz="4" w:space="0"/>
            </w:tcBorders>
            <w:vAlign w:val="center"/>
          </w:tcPr>
          <w:p w14:paraId="3B8C5770">
            <w:pPr>
              <w:spacing w:line="360" w:lineRule="exact"/>
              <w:jc w:val="center"/>
              <w:rPr>
                <w:color w:val="auto"/>
                <w:sz w:val="24"/>
                <w:szCs w:val="24"/>
                <w:highlight w:val="none"/>
              </w:rPr>
            </w:pPr>
          </w:p>
        </w:tc>
      </w:tr>
      <w:tr w14:paraId="70679A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838" w:type="dxa"/>
            <w:tcBorders>
              <w:top w:val="single" w:color="auto" w:sz="4" w:space="0"/>
              <w:left w:val="single" w:color="auto" w:sz="4" w:space="0"/>
              <w:bottom w:val="single" w:color="auto" w:sz="4" w:space="0"/>
              <w:right w:val="single" w:color="auto" w:sz="4" w:space="0"/>
            </w:tcBorders>
            <w:vAlign w:val="center"/>
          </w:tcPr>
          <w:p w14:paraId="5BF64273">
            <w:pPr>
              <w:spacing w:line="360" w:lineRule="exact"/>
              <w:jc w:val="center"/>
              <w:rPr>
                <w:color w:val="auto"/>
                <w:sz w:val="24"/>
                <w:szCs w:val="24"/>
                <w:highlight w:val="none"/>
              </w:rPr>
            </w:pPr>
            <w:r>
              <w:rPr>
                <w:color w:val="auto"/>
                <w:sz w:val="24"/>
                <w:szCs w:val="24"/>
                <w:highlight w:val="none"/>
              </w:rPr>
              <w:t>7</w:t>
            </w:r>
          </w:p>
        </w:tc>
        <w:tc>
          <w:tcPr>
            <w:tcW w:w="1222" w:type="dxa"/>
            <w:tcBorders>
              <w:top w:val="single" w:color="auto" w:sz="4" w:space="0"/>
              <w:left w:val="single" w:color="auto" w:sz="4" w:space="0"/>
              <w:bottom w:val="single" w:color="auto" w:sz="4" w:space="0"/>
              <w:right w:val="single" w:color="auto" w:sz="4" w:space="0"/>
            </w:tcBorders>
            <w:vAlign w:val="center"/>
          </w:tcPr>
          <w:p w14:paraId="5DAEE0D6">
            <w:pPr>
              <w:spacing w:line="360" w:lineRule="exact"/>
              <w:jc w:val="center"/>
              <w:rPr>
                <w:color w:val="auto"/>
                <w:sz w:val="24"/>
                <w:szCs w:val="24"/>
                <w:highlight w:val="none"/>
              </w:rPr>
            </w:pPr>
            <w:r>
              <w:rPr>
                <w:color w:val="auto"/>
                <w:sz w:val="24"/>
                <w:szCs w:val="24"/>
                <w:highlight w:val="none"/>
              </w:rPr>
              <w:t>……</w:t>
            </w:r>
          </w:p>
        </w:tc>
        <w:tc>
          <w:tcPr>
            <w:tcW w:w="1275" w:type="dxa"/>
            <w:tcBorders>
              <w:top w:val="single" w:color="auto" w:sz="4" w:space="0"/>
              <w:left w:val="single" w:color="auto" w:sz="4" w:space="0"/>
              <w:bottom w:val="single" w:color="auto" w:sz="4" w:space="0"/>
              <w:right w:val="single" w:color="auto" w:sz="4" w:space="0"/>
            </w:tcBorders>
            <w:vAlign w:val="center"/>
          </w:tcPr>
          <w:p w14:paraId="12E944E0">
            <w:pPr>
              <w:spacing w:line="360" w:lineRule="exact"/>
              <w:jc w:val="center"/>
              <w:rPr>
                <w:color w:val="auto"/>
                <w:sz w:val="24"/>
                <w:szCs w:val="24"/>
                <w:highlight w:val="none"/>
              </w:rPr>
            </w:pPr>
          </w:p>
        </w:tc>
        <w:tc>
          <w:tcPr>
            <w:tcW w:w="1388" w:type="dxa"/>
            <w:tcBorders>
              <w:top w:val="single" w:color="auto" w:sz="4" w:space="0"/>
              <w:left w:val="single" w:color="auto" w:sz="4" w:space="0"/>
              <w:bottom w:val="single" w:color="auto" w:sz="4" w:space="0"/>
              <w:right w:val="single" w:color="auto" w:sz="4" w:space="0"/>
            </w:tcBorders>
            <w:vAlign w:val="center"/>
          </w:tcPr>
          <w:p w14:paraId="37ED7658">
            <w:pPr>
              <w:spacing w:line="360" w:lineRule="exact"/>
              <w:jc w:val="center"/>
              <w:rPr>
                <w:color w:val="auto"/>
                <w:sz w:val="24"/>
                <w:szCs w:val="24"/>
                <w:highlight w:val="none"/>
              </w:rPr>
            </w:pPr>
          </w:p>
        </w:tc>
        <w:tc>
          <w:tcPr>
            <w:tcW w:w="1320" w:type="dxa"/>
            <w:tcBorders>
              <w:top w:val="single" w:color="auto" w:sz="4" w:space="0"/>
              <w:left w:val="single" w:color="auto" w:sz="4" w:space="0"/>
              <w:bottom w:val="single" w:color="auto" w:sz="4" w:space="0"/>
              <w:right w:val="single" w:color="auto" w:sz="4" w:space="0"/>
            </w:tcBorders>
            <w:vAlign w:val="center"/>
          </w:tcPr>
          <w:p w14:paraId="10265B3A">
            <w:pPr>
              <w:spacing w:line="360" w:lineRule="exact"/>
              <w:jc w:val="center"/>
              <w:rPr>
                <w:color w:val="auto"/>
                <w:sz w:val="24"/>
                <w:szCs w:val="24"/>
                <w:highlight w:val="none"/>
              </w:rPr>
            </w:pPr>
          </w:p>
        </w:tc>
        <w:tc>
          <w:tcPr>
            <w:tcW w:w="1620" w:type="dxa"/>
            <w:tcBorders>
              <w:top w:val="single" w:color="auto" w:sz="4" w:space="0"/>
              <w:left w:val="single" w:color="auto" w:sz="4" w:space="0"/>
              <w:bottom w:val="single" w:color="auto" w:sz="4" w:space="0"/>
              <w:right w:val="single" w:color="auto" w:sz="4" w:space="0"/>
            </w:tcBorders>
            <w:vAlign w:val="center"/>
          </w:tcPr>
          <w:p w14:paraId="5FC0194E">
            <w:pPr>
              <w:spacing w:line="360" w:lineRule="exact"/>
              <w:jc w:val="center"/>
              <w:rPr>
                <w:color w:val="auto"/>
                <w:sz w:val="24"/>
                <w:szCs w:val="24"/>
                <w:highlight w:val="none"/>
              </w:rPr>
            </w:pPr>
          </w:p>
        </w:tc>
        <w:tc>
          <w:tcPr>
            <w:tcW w:w="1279" w:type="dxa"/>
            <w:tcBorders>
              <w:top w:val="single" w:color="auto" w:sz="4" w:space="0"/>
              <w:left w:val="single" w:color="auto" w:sz="4" w:space="0"/>
              <w:bottom w:val="single" w:color="auto" w:sz="4" w:space="0"/>
              <w:right w:val="single" w:color="auto" w:sz="4" w:space="0"/>
            </w:tcBorders>
            <w:vAlign w:val="center"/>
          </w:tcPr>
          <w:p w14:paraId="1DD073EE">
            <w:pPr>
              <w:spacing w:line="360" w:lineRule="exact"/>
              <w:jc w:val="center"/>
              <w:rPr>
                <w:color w:val="auto"/>
                <w:sz w:val="24"/>
                <w:szCs w:val="24"/>
                <w:highlight w:val="none"/>
              </w:rPr>
            </w:pPr>
          </w:p>
        </w:tc>
      </w:tr>
      <w:tr w14:paraId="4CBFC9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7663" w:type="dxa"/>
            <w:gridSpan w:val="6"/>
            <w:tcBorders>
              <w:top w:val="single" w:color="auto" w:sz="4" w:space="0"/>
              <w:left w:val="single" w:color="auto" w:sz="4" w:space="0"/>
              <w:bottom w:val="single" w:color="auto" w:sz="4" w:space="0"/>
              <w:right w:val="single" w:color="auto" w:sz="4" w:space="0"/>
            </w:tcBorders>
            <w:vAlign w:val="center"/>
          </w:tcPr>
          <w:p w14:paraId="60EC25FC">
            <w:pPr>
              <w:spacing w:line="360" w:lineRule="exact"/>
              <w:jc w:val="center"/>
              <w:rPr>
                <w:rFonts w:ascii="宋体" w:hAnsi="宋体"/>
                <w:color w:val="auto"/>
                <w:sz w:val="24"/>
                <w:szCs w:val="24"/>
                <w:highlight w:val="none"/>
              </w:rPr>
            </w:pPr>
            <w:r>
              <w:rPr>
                <w:rFonts w:hint="eastAsia" w:ascii="宋体" w:hAnsi="宋体"/>
                <w:color w:val="auto"/>
                <w:sz w:val="24"/>
                <w:szCs w:val="24"/>
                <w:highlight w:val="none"/>
              </w:rPr>
              <w:t>投标总价</w:t>
            </w:r>
            <w:r>
              <w:rPr>
                <w:rFonts w:hint="eastAsia" w:ascii="宋体" w:hAnsi="宋体"/>
                <w:bCs/>
                <w:color w:val="auto"/>
                <w:sz w:val="24"/>
                <w:szCs w:val="24"/>
                <w:highlight w:val="none"/>
              </w:rPr>
              <w:t>（人民币元）</w:t>
            </w:r>
          </w:p>
        </w:tc>
        <w:tc>
          <w:tcPr>
            <w:tcW w:w="1279" w:type="dxa"/>
            <w:tcBorders>
              <w:top w:val="single" w:color="auto" w:sz="4" w:space="0"/>
              <w:left w:val="single" w:color="auto" w:sz="4" w:space="0"/>
              <w:bottom w:val="single" w:color="auto" w:sz="4" w:space="0"/>
              <w:right w:val="single" w:color="auto" w:sz="4" w:space="0"/>
            </w:tcBorders>
            <w:vAlign w:val="center"/>
          </w:tcPr>
          <w:p w14:paraId="5AAF9EEE">
            <w:pPr>
              <w:spacing w:line="360" w:lineRule="exact"/>
              <w:jc w:val="center"/>
              <w:rPr>
                <w:rFonts w:ascii="宋体" w:hAnsi="宋体"/>
                <w:color w:val="auto"/>
                <w:sz w:val="24"/>
                <w:szCs w:val="24"/>
                <w:highlight w:val="none"/>
              </w:rPr>
            </w:pPr>
          </w:p>
        </w:tc>
      </w:tr>
    </w:tbl>
    <w:p w14:paraId="107794B5">
      <w:pPr>
        <w:pStyle w:val="14"/>
        <w:ind w:firstLine="0"/>
        <w:rPr>
          <w:rFonts w:ascii="宋体" w:eastAsia="宋体"/>
          <w:color w:val="auto"/>
          <w:highlight w:val="none"/>
        </w:rPr>
      </w:pPr>
    </w:p>
    <w:p w14:paraId="0880AFAB">
      <w:pPr>
        <w:pStyle w:val="14"/>
        <w:ind w:firstLine="0"/>
        <w:rPr>
          <w:rFonts w:eastAsia="宋体"/>
          <w:color w:val="auto"/>
          <w:szCs w:val="24"/>
          <w:highlight w:val="none"/>
        </w:rPr>
      </w:pPr>
      <w:r>
        <w:rPr>
          <w:rFonts w:hint="eastAsia" w:eastAsia="宋体"/>
          <w:color w:val="auto"/>
          <w:szCs w:val="24"/>
          <w:highlight w:val="none"/>
        </w:rPr>
        <w:t>备注：本表格供参考，投标人可根据项目实际情况自拟表格。</w:t>
      </w:r>
    </w:p>
    <w:p w14:paraId="0084F78D">
      <w:pPr>
        <w:pStyle w:val="14"/>
        <w:ind w:firstLine="0"/>
        <w:rPr>
          <w:rFonts w:ascii="宋体"/>
          <w:color w:val="auto"/>
          <w:highlight w:val="none"/>
        </w:rPr>
      </w:pPr>
    </w:p>
    <w:p w14:paraId="18314D9D">
      <w:pPr>
        <w:pStyle w:val="14"/>
        <w:spacing w:before="142" w:beforeLines="50" w:line="360" w:lineRule="exact"/>
        <w:ind w:firstLine="0"/>
        <w:rPr>
          <w:rFonts w:eastAsia="宋体"/>
          <w:color w:val="auto"/>
          <w:highlight w:val="none"/>
        </w:rPr>
      </w:pPr>
      <w:r>
        <w:rPr>
          <w:rFonts w:hint="eastAsia" w:eastAsia="宋体"/>
          <w:color w:val="auto"/>
          <w:highlight w:val="none"/>
        </w:rPr>
        <w:t>投标人单位（盖公章）：</w:t>
      </w:r>
    </w:p>
    <w:p w14:paraId="019007B2">
      <w:pPr>
        <w:pStyle w:val="14"/>
        <w:spacing w:before="142" w:beforeLines="50" w:line="360" w:lineRule="exact"/>
        <w:ind w:firstLine="0"/>
        <w:rPr>
          <w:rFonts w:eastAsia="宋体"/>
          <w:color w:val="auto"/>
          <w:highlight w:val="none"/>
        </w:rPr>
      </w:pPr>
      <w:r>
        <w:rPr>
          <w:rFonts w:hint="eastAsia"/>
          <w:color w:val="auto"/>
          <w:highlight w:val="none"/>
        </w:rPr>
        <w:t>法定代表人或</w:t>
      </w:r>
      <w:r>
        <w:rPr>
          <w:rFonts w:hint="eastAsia" w:eastAsia="宋体"/>
          <w:color w:val="auto"/>
          <w:highlight w:val="none"/>
        </w:rPr>
        <w:t>被授权代表人（签字或盖章）：</w:t>
      </w:r>
    </w:p>
    <w:p w14:paraId="5167BFC5">
      <w:pPr>
        <w:rPr>
          <w:color w:val="auto"/>
          <w:highlight w:val="none"/>
        </w:rPr>
      </w:pPr>
      <w:r>
        <w:rPr>
          <w:rFonts w:hint="eastAsia"/>
          <w:color w:val="auto"/>
          <w:highlight w:val="none"/>
        </w:rPr>
        <w:t>日</w:t>
      </w:r>
      <w:r>
        <w:rPr>
          <w:color w:val="auto"/>
          <w:highlight w:val="none"/>
        </w:rPr>
        <w:t xml:space="preserve">      </w:t>
      </w:r>
      <w:r>
        <w:rPr>
          <w:rFonts w:hint="eastAsia"/>
          <w:color w:val="auto"/>
          <w:highlight w:val="none"/>
        </w:rPr>
        <w:t xml:space="preserve">期： </w:t>
      </w:r>
    </w:p>
    <w:p w14:paraId="3B3169B8">
      <w:pPr>
        <w:rPr>
          <w:color w:val="auto"/>
          <w:highlight w:val="none"/>
        </w:rPr>
      </w:pPr>
    </w:p>
    <w:p w14:paraId="51347355">
      <w:pPr>
        <w:rPr>
          <w:color w:val="auto"/>
          <w:highlight w:val="none"/>
        </w:rPr>
      </w:pPr>
    </w:p>
    <w:p w14:paraId="58E54233">
      <w:pPr>
        <w:rPr>
          <w:rFonts w:hint="eastAsia" w:eastAsia="宋体"/>
          <w:b/>
          <w:color w:val="auto"/>
          <w:sz w:val="28"/>
          <w:highlight w:val="none"/>
        </w:rPr>
      </w:pPr>
      <w:r>
        <w:rPr>
          <w:rFonts w:hint="eastAsia" w:eastAsia="宋体"/>
          <w:b/>
          <w:color w:val="auto"/>
          <w:sz w:val="28"/>
          <w:highlight w:val="none"/>
        </w:rPr>
        <w:br w:type="page"/>
      </w:r>
    </w:p>
    <w:p w14:paraId="356D6B5F">
      <w:pPr>
        <w:pStyle w:val="14"/>
        <w:spacing w:line="480" w:lineRule="auto"/>
        <w:ind w:firstLine="0"/>
        <w:jc w:val="center"/>
        <w:rPr>
          <w:rFonts w:hint="eastAsia" w:eastAsia="宋体"/>
          <w:b/>
          <w:color w:val="auto"/>
          <w:sz w:val="28"/>
          <w:highlight w:val="none"/>
        </w:rPr>
      </w:pPr>
    </w:p>
    <w:p w14:paraId="0510CF11">
      <w:pPr>
        <w:pStyle w:val="14"/>
        <w:spacing w:line="480" w:lineRule="auto"/>
        <w:ind w:firstLine="0"/>
        <w:jc w:val="center"/>
        <w:rPr>
          <w:rFonts w:eastAsia="宋体"/>
          <w:b/>
          <w:color w:val="auto"/>
          <w:sz w:val="28"/>
          <w:highlight w:val="none"/>
        </w:rPr>
      </w:pPr>
      <w:r>
        <w:rPr>
          <w:rFonts w:hint="eastAsia" w:eastAsia="宋体"/>
          <w:b/>
          <w:color w:val="auto"/>
          <w:sz w:val="28"/>
          <w:highlight w:val="none"/>
        </w:rPr>
        <w:t>三、中小企业声明函</w:t>
      </w:r>
    </w:p>
    <w:p w14:paraId="53B2F4FB">
      <w:pPr>
        <w:spacing w:line="360" w:lineRule="auto"/>
        <w:jc w:val="center"/>
        <w:rPr>
          <w:rFonts w:ascii="仿宋" w:hAnsi="仿宋" w:eastAsia="仿宋" w:cs="仿宋"/>
          <w:b/>
          <w:color w:val="auto"/>
          <w:sz w:val="32"/>
          <w:szCs w:val="32"/>
          <w:highlight w:val="none"/>
        </w:rPr>
      </w:pPr>
      <w:r>
        <w:rPr>
          <w:rFonts w:hint="eastAsia" w:ascii="宋体"/>
          <w:b/>
          <w:color w:val="auto"/>
          <w:sz w:val="28"/>
          <w:highlight w:val="none"/>
        </w:rPr>
        <w:t>中小企业声明函（服务）</w:t>
      </w:r>
    </w:p>
    <w:p w14:paraId="413A911B">
      <w:pPr>
        <w:spacing w:line="360" w:lineRule="auto"/>
        <w:rPr>
          <w:rFonts w:ascii="仿宋" w:hAnsi="仿宋" w:eastAsia="仿宋" w:cs="仿宋"/>
          <w:color w:val="auto"/>
          <w:highlight w:val="none"/>
        </w:rPr>
      </w:pPr>
    </w:p>
    <w:p w14:paraId="40D81C1B">
      <w:pPr>
        <w:spacing w:line="440" w:lineRule="exact"/>
        <w:ind w:firstLine="360" w:firstLineChars="150"/>
        <w:jc w:val="left"/>
        <w:rPr>
          <w:rFonts w:ascii="宋体" w:hAnsi="宋体" w:cs="宋体"/>
          <w:color w:val="auto"/>
          <w:sz w:val="24"/>
          <w:highlight w:val="none"/>
        </w:rPr>
      </w:pPr>
      <w:r>
        <w:rPr>
          <w:rFonts w:hint="eastAsia" w:ascii="宋体" w:hAnsi="宋体" w:cs="宋体"/>
          <w:color w:val="auto"/>
          <w:sz w:val="24"/>
          <w:highlight w:val="none"/>
        </w:rPr>
        <w:t xml:space="preserve">本公司郑重声明，根据《政府采购促进中小企业发展管理办法》（财库﹝2020﹞46 号）的规定，本公司参加 </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eastAsia="zh-CN"/>
        </w:rPr>
        <w:t>宁波市北仑区港口危险货物储罐抽检项目</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采购活动，服务全部由符合政策要求的中小企业提供。相关企业的具体情况如下：</w:t>
      </w:r>
    </w:p>
    <w:p w14:paraId="1129C8DA">
      <w:pPr>
        <w:spacing w:line="440" w:lineRule="exact"/>
        <w:ind w:firstLine="480" w:firstLineChars="200"/>
        <w:jc w:val="left"/>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highlight w:val="none"/>
        </w:rPr>
        <w:t xml:space="preserve"> </w:t>
      </w:r>
      <w:r>
        <w:rPr>
          <w:rFonts w:hint="eastAsia" w:ascii="宋体" w:hAnsi="宋体" w:cs="宋体"/>
          <w:color w:val="auto"/>
          <w:sz w:val="24"/>
          <w:highlight w:val="none"/>
          <w:u w:val="single"/>
        </w:rPr>
        <w:t>（</w:t>
      </w:r>
      <w:r>
        <w:rPr>
          <w:rFonts w:hint="eastAsia" w:ascii="宋体" w:hAnsi="宋体" w:cs="宋体"/>
          <w:color w:val="auto"/>
          <w:sz w:val="24"/>
          <w:highlight w:val="none"/>
          <w:u w:val="single"/>
          <w:lang w:eastAsia="zh-CN"/>
        </w:rPr>
        <w:t>宁波市北仑区港口危险货物储罐抽检</w:t>
      </w:r>
      <w:r>
        <w:rPr>
          <w:rFonts w:hint="eastAsia" w:ascii="宋体" w:hAnsi="宋体" w:cs="宋体"/>
          <w:color w:val="auto"/>
          <w:sz w:val="24"/>
          <w:highlight w:val="none"/>
          <w:u w:val="single"/>
        </w:rPr>
        <w:t>）</w:t>
      </w:r>
      <w:r>
        <w:rPr>
          <w:rFonts w:hint="eastAsia" w:ascii="宋体" w:hAnsi="宋体" w:cs="宋体"/>
          <w:color w:val="auto"/>
          <w:sz w:val="24"/>
          <w:highlight w:val="none"/>
        </w:rPr>
        <w:t xml:space="preserve">，属于 </w:t>
      </w:r>
      <w:r>
        <w:rPr>
          <w:rFonts w:hint="eastAsia" w:ascii="宋体" w:hAnsi="宋体" w:cs="宋体"/>
          <w:color w:val="auto"/>
          <w:sz w:val="24"/>
          <w:highlight w:val="none"/>
          <w:u w:val="single"/>
        </w:rPr>
        <w:t>（其他未列明行业）</w:t>
      </w:r>
      <w:r>
        <w:rPr>
          <w:rFonts w:hint="eastAsia" w:ascii="宋体" w:hAnsi="宋体" w:cs="宋体"/>
          <w:color w:val="auto"/>
          <w:sz w:val="24"/>
          <w:highlight w:val="none"/>
        </w:rPr>
        <w:t xml:space="preserve"> ；承接企业为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 </w:t>
      </w:r>
      <w:r>
        <w:rPr>
          <w:rFonts w:hint="eastAsia" w:ascii="宋体" w:hAnsi="宋体" w:cs="宋体"/>
          <w:color w:val="auto"/>
          <w:sz w:val="24"/>
          <w:highlight w:val="none"/>
        </w:rPr>
        <w:t>；</w:t>
      </w:r>
    </w:p>
    <w:p w14:paraId="4045BD89">
      <w:pPr>
        <w:spacing w:line="440" w:lineRule="exact"/>
        <w:ind w:firstLine="482" w:firstLineChars="200"/>
        <w:jc w:val="left"/>
        <w:rPr>
          <w:rFonts w:ascii="宋体" w:hAnsi="宋体" w:cs="宋体"/>
          <w:b/>
          <w:bCs/>
          <w:color w:val="auto"/>
          <w:sz w:val="24"/>
          <w:highlight w:val="none"/>
        </w:rPr>
      </w:pPr>
      <w:r>
        <w:rPr>
          <w:rFonts w:hint="eastAsia" w:ascii="宋体" w:hAnsi="宋体" w:cs="宋体"/>
          <w:b/>
          <w:bCs/>
          <w:color w:val="auto"/>
          <w:sz w:val="24"/>
          <w:highlight w:val="none"/>
        </w:rPr>
        <w:t>以上企业，不属于大企业的分支机构，不存在控股股东为大企业的情形，也不存在与大企业的负责人为同一人的情形。</w:t>
      </w:r>
    </w:p>
    <w:p w14:paraId="06796D5E">
      <w:pPr>
        <w:spacing w:line="440" w:lineRule="exact"/>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本企业对上述声明内容的真实性负责。如有虚假，将依法承担相应责任。</w:t>
      </w:r>
    </w:p>
    <w:p w14:paraId="2E3D8DF9">
      <w:pPr>
        <w:spacing w:line="440" w:lineRule="exact"/>
        <w:jc w:val="right"/>
        <w:rPr>
          <w:rFonts w:ascii="仿宋" w:hAnsi="仿宋" w:eastAsia="仿宋" w:cs="仿宋"/>
          <w:color w:val="auto"/>
          <w:sz w:val="24"/>
          <w:highlight w:val="none"/>
        </w:rPr>
      </w:pPr>
    </w:p>
    <w:p w14:paraId="362AF730">
      <w:pPr>
        <w:spacing w:line="440" w:lineRule="exact"/>
        <w:ind w:firstLine="5250" w:firstLineChars="2500"/>
        <w:rPr>
          <w:color w:val="auto"/>
          <w:highlight w:val="none"/>
        </w:rPr>
      </w:pPr>
      <w:r>
        <w:rPr>
          <w:color w:val="auto"/>
          <w:highlight w:val="none"/>
        </w:rPr>
        <w:t>企业名称（盖章）： </w:t>
      </w:r>
    </w:p>
    <w:p w14:paraId="537A2A81">
      <w:pPr>
        <w:spacing w:line="440" w:lineRule="exact"/>
        <w:ind w:firstLine="5565" w:firstLineChars="2650"/>
        <w:rPr>
          <w:rFonts w:ascii="仿宋" w:hAnsi="仿宋" w:eastAsia="仿宋" w:cs="仿宋"/>
          <w:color w:val="auto"/>
          <w:sz w:val="24"/>
          <w:highlight w:val="none"/>
        </w:rPr>
      </w:pPr>
      <w:r>
        <w:rPr>
          <w:color w:val="auto"/>
          <w:highlight w:val="none"/>
        </w:rPr>
        <w:t>日 期：</w:t>
      </w:r>
    </w:p>
    <w:p w14:paraId="4A83400A">
      <w:pPr>
        <w:spacing w:line="400" w:lineRule="exact"/>
        <w:rPr>
          <w:color w:val="auto"/>
          <w:highlight w:val="none"/>
        </w:rPr>
      </w:pPr>
      <w:r>
        <w:rPr>
          <w:rFonts w:hint="eastAsia"/>
          <w:color w:val="auto"/>
          <w:highlight w:val="none"/>
        </w:rPr>
        <w:t>注：</w:t>
      </w:r>
    </w:p>
    <w:p w14:paraId="57FDCC0A">
      <w:pPr>
        <w:spacing w:line="400" w:lineRule="exact"/>
        <w:rPr>
          <w:color w:val="auto"/>
          <w:highlight w:val="none"/>
        </w:rPr>
      </w:pPr>
      <w:r>
        <w:rPr>
          <w:rFonts w:hint="eastAsia"/>
          <w:color w:val="auto"/>
          <w:highlight w:val="none"/>
        </w:rPr>
        <w:t>1）从业人员、营业收入、资产总额填报上一年度数据。无上一年度数据的新成立企业可不填报。</w:t>
      </w:r>
    </w:p>
    <w:p w14:paraId="4AE8DD9F">
      <w:pPr>
        <w:spacing w:line="400" w:lineRule="exact"/>
        <w:rPr>
          <w:b/>
          <w:color w:val="auto"/>
          <w:highlight w:val="none"/>
        </w:rPr>
      </w:pPr>
      <w:r>
        <w:rPr>
          <w:rFonts w:hint="eastAsia"/>
          <w:color w:val="auto"/>
          <w:highlight w:val="none"/>
        </w:rPr>
        <w:t>2）中小企业划型标准按</w:t>
      </w:r>
      <w:bookmarkStart w:id="11" w:name="OLE_LINK11"/>
      <w:bookmarkStart w:id="12" w:name="OLE_LINK12"/>
      <w:r>
        <w:rPr>
          <w:rFonts w:hint="eastAsia"/>
          <w:color w:val="auto"/>
          <w:highlight w:val="none"/>
        </w:rPr>
        <w:t>工信部联企业〔2011〕300号</w:t>
      </w:r>
      <w:bookmarkEnd w:id="11"/>
      <w:bookmarkEnd w:id="12"/>
      <w:r>
        <w:rPr>
          <w:rFonts w:hint="eastAsia"/>
          <w:color w:val="auto"/>
          <w:highlight w:val="none"/>
        </w:rPr>
        <w:t>文件。</w:t>
      </w:r>
      <w:r>
        <w:rPr>
          <w:rFonts w:hint="eastAsia"/>
          <w:b/>
          <w:color w:val="auto"/>
          <w:highlight w:val="none"/>
        </w:rPr>
        <w:t>中标单位的《</w:t>
      </w:r>
      <w:r>
        <w:rPr>
          <w:b/>
          <w:color w:val="auto"/>
          <w:highlight w:val="none"/>
        </w:rPr>
        <w:t>中小企业声明函</w:t>
      </w:r>
      <w:r>
        <w:rPr>
          <w:rFonts w:hint="eastAsia"/>
          <w:b/>
          <w:color w:val="auto"/>
          <w:highlight w:val="none"/>
        </w:rPr>
        <w:t>》将依法公示，提供虚假资料者将被取消中标资格，并依法承担一切责任。</w:t>
      </w:r>
    </w:p>
    <w:p w14:paraId="1B4D5AB1">
      <w:pPr>
        <w:pStyle w:val="41"/>
        <w:rPr>
          <w:b/>
          <w:color w:val="auto"/>
          <w:highlight w:val="none"/>
        </w:rPr>
      </w:pPr>
    </w:p>
    <w:p w14:paraId="32C98953">
      <w:pPr>
        <w:spacing w:line="400" w:lineRule="exact"/>
        <w:rPr>
          <w:color w:val="auto"/>
          <w:highlight w:val="none"/>
        </w:rPr>
      </w:pPr>
      <w:r>
        <w:rPr>
          <w:rFonts w:hint="eastAsia"/>
          <w:color w:val="auto"/>
          <w:highlight w:val="none"/>
        </w:rPr>
        <w:t>大中小微型企业划分标准：</w:t>
      </w:r>
    </w:p>
    <w:p w14:paraId="7D75009A">
      <w:pPr>
        <w:pStyle w:val="9"/>
        <w:rPr>
          <w:color w:val="auto"/>
          <w:highlight w:val="none"/>
        </w:rPr>
      </w:pPr>
    </w:p>
    <w:tbl>
      <w:tblPr>
        <w:tblStyle w:val="30"/>
        <w:tblW w:w="943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13"/>
        <w:gridCol w:w="1369"/>
        <w:gridCol w:w="709"/>
        <w:gridCol w:w="1125"/>
        <w:gridCol w:w="1701"/>
        <w:gridCol w:w="1426"/>
        <w:gridCol w:w="992"/>
      </w:tblGrid>
      <w:tr w14:paraId="3867FE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exact"/>
          <w:jc w:val="center"/>
        </w:trPr>
        <w:tc>
          <w:tcPr>
            <w:tcW w:w="2113" w:type="dxa"/>
            <w:vAlign w:val="center"/>
          </w:tcPr>
          <w:p w14:paraId="42AA4202">
            <w:pPr>
              <w:widowControl/>
              <w:spacing w:line="240" w:lineRule="exact"/>
              <w:jc w:val="center"/>
              <w:rPr>
                <w:rFonts w:ascii="宋体" w:hAnsi="宋体" w:cs="宋体"/>
                <w:b/>
                <w:bCs/>
                <w:color w:val="auto"/>
                <w:kern w:val="0"/>
                <w:sz w:val="18"/>
                <w:szCs w:val="21"/>
                <w:highlight w:val="none"/>
              </w:rPr>
            </w:pPr>
            <w:r>
              <w:rPr>
                <w:rFonts w:hint="eastAsia" w:ascii="宋体" w:hAnsi="宋体" w:cs="宋体"/>
                <w:b/>
                <w:bCs/>
                <w:color w:val="auto"/>
                <w:kern w:val="0"/>
                <w:sz w:val="18"/>
                <w:szCs w:val="21"/>
                <w:highlight w:val="none"/>
              </w:rPr>
              <w:t>行业名称</w:t>
            </w:r>
          </w:p>
        </w:tc>
        <w:tc>
          <w:tcPr>
            <w:tcW w:w="1369" w:type="dxa"/>
            <w:vAlign w:val="center"/>
          </w:tcPr>
          <w:p w14:paraId="231CF4F7">
            <w:pPr>
              <w:widowControl/>
              <w:jc w:val="center"/>
              <w:rPr>
                <w:rFonts w:ascii="宋体" w:hAnsi="宋体" w:cs="宋体"/>
                <w:b/>
                <w:bCs/>
                <w:color w:val="auto"/>
                <w:kern w:val="0"/>
                <w:sz w:val="18"/>
                <w:szCs w:val="18"/>
                <w:highlight w:val="none"/>
              </w:rPr>
            </w:pPr>
            <w:r>
              <w:rPr>
                <w:rFonts w:hint="eastAsia" w:ascii="宋体" w:hAnsi="宋体" w:cs="宋体"/>
                <w:b/>
                <w:bCs/>
                <w:color w:val="auto"/>
                <w:kern w:val="0"/>
                <w:sz w:val="18"/>
                <w:szCs w:val="18"/>
                <w:highlight w:val="none"/>
              </w:rPr>
              <w:t>指标名称</w:t>
            </w:r>
          </w:p>
        </w:tc>
        <w:tc>
          <w:tcPr>
            <w:tcW w:w="709" w:type="dxa"/>
            <w:vAlign w:val="center"/>
          </w:tcPr>
          <w:p w14:paraId="4CA2B9AE">
            <w:pPr>
              <w:widowControl/>
              <w:jc w:val="center"/>
              <w:rPr>
                <w:rFonts w:ascii="宋体" w:hAnsi="宋体" w:cs="宋体"/>
                <w:b/>
                <w:bCs/>
                <w:color w:val="auto"/>
                <w:kern w:val="0"/>
                <w:sz w:val="18"/>
                <w:szCs w:val="18"/>
                <w:highlight w:val="none"/>
              </w:rPr>
            </w:pPr>
            <w:r>
              <w:rPr>
                <w:rFonts w:hint="eastAsia" w:ascii="宋体" w:hAnsi="宋体" w:cs="宋体"/>
                <w:b/>
                <w:bCs/>
                <w:color w:val="auto"/>
                <w:kern w:val="0"/>
                <w:sz w:val="18"/>
                <w:szCs w:val="18"/>
                <w:highlight w:val="none"/>
              </w:rPr>
              <w:t>计量</w:t>
            </w:r>
          </w:p>
          <w:p w14:paraId="619B67CC">
            <w:pPr>
              <w:widowControl/>
              <w:jc w:val="center"/>
              <w:rPr>
                <w:rFonts w:ascii="宋体" w:hAnsi="宋体" w:cs="宋体"/>
                <w:b/>
                <w:bCs/>
                <w:color w:val="auto"/>
                <w:kern w:val="0"/>
                <w:sz w:val="18"/>
                <w:szCs w:val="18"/>
                <w:highlight w:val="none"/>
              </w:rPr>
            </w:pPr>
            <w:r>
              <w:rPr>
                <w:rFonts w:hint="eastAsia" w:ascii="宋体" w:hAnsi="宋体" w:cs="宋体"/>
                <w:b/>
                <w:bCs/>
                <w:color w:val="auto"/>
                <w:kern w:val="0"/>
                <w:sz w:val="18"/>
                <w:szCs w:val="18"/>
                <w:highlight w:val="none"/>
              </w:rPr>
              <w:t>单位</w:t>
            </w:r>
          </w:p>
        </w:tc>
        <w:tc>
          <w:tcPr>
            <w:tcW w:w="1125" w:type="dxa"/>
            <w:vAlign w:val="center"/>
          </w:tcPr>
          <w:p w14:paraId="592C3621">
            <w:pPr>
              <w:widowControl/>
              <w:jc w:val="center"/>
              <w:rPr>
                <w:rFonts w:ascii="宋体" w:hAnsi="宋体" w:cs="宋体"/>
                <w:b/>
                <w:bCs/>
                <w:color w:val="auto"/>
                <w:kern w:val="0"/>
                <w:sz w:val="18"/>
                <w:szCs w:val="18"/>
                <w:highlight w:val="none"/>
              </w:rPr>
            </w:pPr>
            <w:r>
              <w:rPr>
                <w:rFonts w:hint="eastAsia" w:ascii="宋体" w:hAnsi="宋体" w:cs="宋体"/>
                <w:b/>
                <w:bCs/>
                <w:color w:val="auto"/>
                <w:kern w:val="0"/>
                <w:sz w:val="18"/>
                <w:szCs w:val="18"/>
                <w:highlight w:val="none"/>
              </w:rPr>
              <w:t>大型</w:t>
            </w:r>
          </w:p>
        </w:tc>
        <w:tc>
          <w:tcPr>
            <w:tcW w:w="1701" w:type="dxa"/>
            <w:vAlign w:val="center"/>
          </w:tcPr>
          <w:p w14:paraId="4F002A42">
            <w:pPr>
              <w:widowControl/>
              <w:jc w:val="center"/>
              <w:rPr>
                <w:rFonts w:ascii="宋体" w:hAnsi="宋体" w:cs="宋体"/>
                <w:b/>
                <w:bCs/>
                <w:color w:val="auto"/>
                <w:kern w:val="0"/>
                <w:sz w:val="18"/>
                <w:szCs w:val="18"/>
                <w:highlight w:val="none"/>
              </w:rPr>
            </w:pPr>
            <w:r>
              <w:rPr>
                <w:rFonts w:hint="eastAsia" w:ascii="宋体" w:hAnsi="宋体" w:cs="宋体"/>
                <w:b/>
                <w:bCs/>
                <w:color w:val="auto"/>
                <w:kern w:val="0"/>
                <w:sz w:val="18"/>
                <w:szCs w:val="18"/>
                <w:highlight w:val="none"/>
              </w:rPr>
              <w:t>中型</w:t>
            </w:r>
          </w:p>
        </w:tc>
        <w:tc>
          <w:tcPr>
            <w:tcW w:w="1426" w:type="dxa"/>
            <w:vAlign w:val="center"/>
          </w:tcPr>
          <w:p w14:paraId="27F321F6">
            <w:pPr>
              <w:widowControl/>
              <w:jc w:val="center"/>
              <w:rPr>
                <w:rFonts w:ascii="宋体" w:hAnsi="宋体" w:cs="宋体"/>
                <w:b/>
                <w:bCs/>
                <w:color w:val="auto"/>
                <w:kern w:val="0"/>
                <w:sz w:val="18"/>
                <w:szCs w:val="18"/>
                <w:highlight w:val="none"/>
              </w:rPr>
            </w:pPr>
            <w:r>
              <w:rPr>
                <w:rFonts w:hint="eastAsia" w:ascii="宋体" w:hAnsi="宋体" w:cs="宋体"/>
                <w:b/>
                <w:bCs/>
                <w:color w:val="auto"/>
                <w:kern w:val="0"/>
                <w:sz w:val="18"/>
                <w:szCs w:val="18"/>
                <w:highlight w:val="none"/>
              </w:rPr>
              <w:t>小型</w:t>
            </w:r>
          </w:p>
        </w:tc>
        <w:tc>
          <w:tcPr>
            <w:tcW w:w="992" w:type="dxa"/>
            <w:vAlign w:val="center"/>
          </w:tcPr>
          <w:p w14:paraId="3A6939A4">
            <w:pPr>
              <w:widowControl/>
              <w:jc w:val="center"/>
              <w:rPr>
                <w:rFonts w:ascii="宋体" w:hAnsi="宋体" w:cs="宋体"/>
                <w:b/>
                <w:bCs/>
                <w:color w:val="auto"/>
                <w:kern w:val="0"/>
                <w:sz w:val="18"/>
                <w:szCs w:val="18"/>
                <w:highlight w:val="none"/>
              </w:rPr>
            </w:pPr>
            <w:r>
              <w:rPr>
                <w:rFonts w:hint="eastAsia" w:ascii="宋体" w:hAnsi="宋体" w:cs="宋体"/>
                <w:b/>
                <w:bCs/>
                <w:color w:val="auto"/>
                <w:kern w:val="0"/>
                <w:sz w:val="18"/>
                <w:szCs w:val="18"/>
                <w:highlight w:val="none"/>
              </w:rPr>
              <w:t>微型</w:t>
            </w:r>
          </w:p>
        </w:tc>
      </w:tr>
      <w:tr w14:paraId="6221B5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Align w:val="center"/>
          </w:tcPr>
          <w:p w14:paraId="38EC9E9B">
            <w:pPr>
              <w:widowControl/>
              <w:spacing w:line="240" w:lineRule="exact"/>
              <w:jc w:val="center"/>
              <w:rPr>
                <w:rFonts w:ascii="宋体" w:hAnsi="宋体" w:cs="宋体"/>
                <w:color w:val="auto"/>
                <w:kern w:val="0"/>
                <w:sz w:val="18"/>
                <w:szCs w:val="18"/>
                <w:highlight w:val="none"/>
              </w:rPr>
            </w:pPr>
            <w:r>
              <w:rPr>
                <w:rFonts w:hint="eastAsia" w:ascii="宋体" w:hAnsi="宋体" w:cs="宋体"/>
                <w:color w:val="auto"/>
                <w:kern w:val="0"/>
                <w:sz w:val="18"/>
                <w:szCs w:val="18"/>
                <w:highlight w:val="none"/>
              </w:rPr>
              <w:t>其他未列明行业</w:t>
            </w:r>
          </w:p>
        </w:tc>
        <w:tc>
          <w:tcPr>
            <w:tcW w:w="1369" w:type="dxa"/>
            <w:vAlign w:val="center"/>
          </w:tcPr>
          <w:p w14:paraId="1E2E9EB3">
            <w:pPr>
              <w:widowControl/>
              <w:jc w:val="center"/>
              <w:rPr>
                <w:rFonts w:ascii="宋体" w:hAnsi="宋体" w:cs="宋体"/>
                <w:color w:val="auto"/>
                <w:kern w:val="0"/>
                <w:sz w:val="18"/>
                <w:szCs w:val="18"/>
                <w:highlight w:val="none"/>
              </w:rPr>
            </w:pPr>
            <w:r>
              <w:rPr>
                <w:rFonts w:hint="eastAsia" w:ascii="宋体" w:hAnsi="宋体" w:cs="宋体"/>
                <w:color w:val="auto"/>
                <w:kern w:val="0"/>
                <w:sz w:val="18"/>
                <w:szCs w:val="18"/>
                <w:highlight w:val="none"/>
              </w:rPr>
              <w:t>从业人员(X)</w:t>
            </w:r>
          </w:p>
        </w:tc>
        <w:tc>
          <w:tcPr>
            <w:tcW w:w="709" w:type="dxa"/>
            <w:vAlign w:val="center"/>
          </w:tcPr>
          <w:p w14:paraId="7222F31F">
            <w:pPr>
              <w:widowControl/>
              <w:jc w:val="center"/>
              <w:rPr>
                <w:rFonts w:ascii="宋体" w:hAnsi="宋体" w:cs="宋体"/>
                <w:color w:val="auto"/>
                <w:kern w:val="0"/>
                <w:sz w:val="18"/>
                <w:szCs w:val="18"/>
                <w:highlight w:val="none"/>
              </w:rPr>
            </w:pPr>
            <w:r>
              <w:rPr>
                <w:rFonts w:hint="eastAsia" w:ascii="宋体" w:hAnsi="宋体" w:cs="宋体"/>
                <w:color w:val="auto"/>
                <w:kern w:val="0"/>
                <w:sz w:val="18"/>
                <w:szCs w:val="18"/>
                <w:highlight w:val="none"/>
              </w:rPr>
              <w:t>人</w:t>
            </w:r>
          </w:p>
        </w:tc>
        <w:tc>
          <w:tcPr>
            <w:tcW w:w="1125" w:type="dxa"/>
            <w:vAlign w:val="center"/>
          </w:tcPr>
          <w:p w14:paraId="532D44DD">
            <w:pPr>
              <w:widowControl/>
              <w:jc w:val="center"/>
              <w:rPr>
                <w:rFonts w:ascii="宋体" w:hAnsi="宋体" w:cs="宋体"/>
                <w:color w:val="auto"/>
                <w:kern w:val="0"/>
                <w:sz w:val="18"/>
                <w:szCs w:val="18"/>
                <w:highlight w:val="none"/>
              </w:rPr>
            </w:pPr>
            <w:r>
              <w:rPr>
                <w:rFonts w:hint="eastAsia" w:ascii="宋体" w:hAnsi="宋体" w:cs="宋体"/>
                <w:color w:val="auto"/>
                <w:kern w:val="0"/>
                <w:sz w:val="18"/>
                <w:szCs w:val="18"/>
                <w:highlight w:val="none"/>
              </w:rPr>
              <w:t>X≥300</w:t>
            </w:r>
          </w:p>
        </w:tc>
        <w:tc>
          <w:tcPr>
            <w:tcW w:w="1701" w:type="dxa"/>
            <w:vAlign w:val="center"/>
          </w:tcPr>
          <w:p w14:paraId="052E5B69">
            <w:pPr>
              <w:widowControl/>
              <w:ind w:left="1" w:leftChars="-51" w:hanging="108" w:hangingChars="60"/>
              <w:jc w:val="center"/>
              <w:rPr>
                <w:rFonts w:ascii="宋体" w:hAnsi="宋体" w:cs="宋体"/>
                <w:color w:val="auto"/>
                <w:kern w:val="0"/>
                <w:sz w:val="18"/>
                <w:szCs w:val="18"/>
                <w:highlight w:val="none"/>
              </w:rPr>
            </w:pPr>
            <w:r>
              <w:rPr>
                <w:rFonts w:hint="eastAsia" w:ascii="宋体" w:hAnsi="宋体" w:cs="宋体"/>
                <w:color w:val="auto"/>
                <w:kern w:val="0"/>
                <w:sz w:val="18"/>
                <w:szCs w:val="18"/>
                <w:highlight w:val="none"/>
              </w:rPr>
              <w:t xml:space="preserve">100≤X＜300 </w:t>
            </w:r>
          </w:p>
        </w:tc>
        <w:tc>
          <w:tcPr>
            <w:tcW w:w="1426" w:type="dxa"/>
            <w:vAlign w:val="center"/>
          </w:tcPr>
          <w:p w14:paraId="0BBA40EF">
            <w:pPr>
              <w:widowControl/>
              <w:jc w:val="center"/>
              <w:rPr>
                <w:rFonts w:ascii="宋体" w:hAnsi="宋体" w:cs="宋体"/>
                <w:color w:val="auto"/>
                <w:kern w:val="0"/>
                <w:sz w:val="18"/>
                <w:szCs w:val="18"/>
                <w:highlight w:val="none"/>
              </w:rPr>
            </w:pPr>
            <w:r>
              <w:rPr>
                <w:rFonts w:hint="eastAsia" w:ascii="宋体" w:hAnsi="宋体" w:cs="宋体"/>
                <w:color w:val="auto"/>
                <w:kern w:val="0"/>
                <w:sz w:val="18"/>
                <w:szCs w:val="18"/>
                <w:highlight w:val="none"/>
              </w:rPr>
              <w:t xml:space="preserve"> 10≤X＜100</w:t>
            </w:r>
          </w:p>
        </w:tc>
        <w:tc>
          <w:tcPr>
            <w:tcW w:w="992" w:type="dxa"/>
            <w:vAlign w:val="center"/>
          </w:tcPr>
          <w:p w14:paraId="60CC2FF7">
            <w:pPr>
              <w:widowControl/>
              <w:jc w:val="center"/>
              <w:rPr>
                <w:rFonts w:ascii="宋体" w:hAnsi="宋体" w:cs="宋体"/>
                <w:color w:val="auto"/>
                <w:kern w:val="0"/>
                <w:sz w:val="18"/>
                <w:szCs w:val="18"/>
                <w:highlight w:val="none"/>
              </w:rPr>
            </w:pPr>
            <w:r>
              <w:rPr>
                <w:rFonts w:hint="eastAsia" w:ascii="宋体" w:hAnsi="宋体" w:cs="宋体"/>
                <w:color w:val="auto"/>
                <w:kern w:val="0"/>
                <w:sz w:val="18"/>
                <w:szCs w:val="18"/>
                <w:highlight w:val="none"/>
              </w:rPr>
              <w:t>X＜10</w:t>
            </w:r>
          </w:p>
        </w:tc>
      </w:tr>
    </w:tbl>
    <w:p w14:paraId="2BEED31F">
      <w:pPr>
        <w:pStyle w:val="9"/>
        <w:rPr>
          <w:color w:val="auto"/>
          <w:highlight w:val="none"/>
        </w:rPr>
      </w:pPr>
    </w:p>
    <w:p w14:paraId="753EDBE6">
      <w:pPr>
        <w:pStyle w:val="9"/>
        <w:rPr>
          <w:color w:val="auto"/>
          <w:highlight w:val="none"/>
        </w:rPr>
      </w:pPr>
    </w:p>
    <w:p w14:paraId="2FA6AA79">
      <w:pPr>
        <w:rPr>
          <w:rFonts w:ascii="宋体"/>
          <w:b/>
          <w:color w:val="auto"/>
          <w:sz w:val="28"/>
          <w:highlight w:val="none"/>
        </w:rPr>
      </w:pPr>
      <w:bookmarkStart w:id="13" w:name="OLE_LINK13"/>
      <w:bookmarkStart w:id="14" w:name="OLE_LINK14"/>
      <w:r>
        <w:rPr>
          <w:rFonts w:hint="eastAsia" w:ascii="宋体"/>
          <w:b/>
          <w:color w:val="auto"/>
          <w:sz w:val="28"/>
          <w:highlight w:val="none"/>
        </w:rPr>
        <w:br w:type="page"/>
      </w:r>
    </w:p>
    <w:p w14:paraId="0DD12496">
      <w:pPr>
        <w:pStyle w:val="2"/>
        <w:rPr>
          <w:color w:val="auto"/>
          <w:highlight w:val="none"/>
        </w:rPr>
      </w:pPr>
    </w:p>
    <w:p w14:paraId="10838FA5">
      <w:pPr>
        <w:pStyle w:val="14"/>
        <w:spacing w:line="520" w:lineRule="exact"/>
        <w:jc w:val="center"/>
        <w:rPr>
          <w:rFonts w:ascii="宋体"/>
          <w:b/>
          <w:color w:val="auto"/>
          <w:sz w:val="28"/>
          <w:highlight w:val="none"/>
        </w:rPr>
      </w:pPr>
    </w:p>
    <w:p w14:paraId="0A516CB4">
      <w:pPr>
        <w:pStyle w:val="14"/>
        <w:spacing w:line="520" w:lineRule="exact"/>
        <w:jc w:val="center"/>
        <w:rPr>
          <w:rFonts w:ascii="宋体"/>
          <w:b/>
          <w:color w:val="auto"/>
          <w:sz w:val="28"/>
          <w:highlight w:val="none"/>
        </w:rPr>
      </w:pPr>
      <w:r>
        <w:rPr>
          <w:rFonts w:hint="eastAsia" w:ascii="宋体"/>
          <w:b/>
          <w:color w:val="auto"/>
          <w:sz w:val="28"/>
          <w:highlight w:val="none"/>
        </w:rPr>
        <w:t>残疾人福利性单位声明函（如适用）</w:t>
      </w:r>
    </w:p>
    <w:bookmarkEnd w:id="13"/>
    <w:bookmarkEnd w:id="14"/>
    <w:p w14:paraId="22B9D624">
      <w:pPr>
        <w:pStyle w:val="14"/>
        <w:spacing w:line="400" w:lineRule="exact"/>
        <w:ind w:firstLineChars="200"/>
        <w:rPr>
          <w:color w:val="auto"/>
          <w:szCs w:val="24"/>
          <w:highlight w:val="none"/>
        </w:rPr>
      </w:pPr>
      <w:r>
        <w:rPr>
          <w:rFonts w:hint="eastAsia"/>
          <w:color w:val="auto"/>
          <w:szCs w:val="24"/>
          <w:highlight w:val="none"/>
        </w:rPr>
        <w:t>本单位郑重声明，根据《财政部</w:t>
      </w:r>
      <w:r>
        <w:rPr>
          <w:color w:val="auto"/>
          <w:szCs w:val="24"/>
          <w:highlight w:val="none"/>
        </w:rPr>
        <w:t xml:space="preserve"> </w:t>
      </w:r>
      <w:r>
        <w:rPr>
          <w:rFonts w:hint="eastAsia"/>
          <w:color w:val="auto"/>
          <w:szCs w:val="24"/>
          <w:highlight w:val="none"/>
        </w:rPr>
        <w:t>民政部</w:t>
      </w:r>
      <w:r>
        <w:rPr>
          <w:color w:val="auto"/>
          <w:szCs w:val="24"/>
          <w:highlight w:val="none"/>
        </w:rPr>
        <w:t xml:space="preserve"> </w:t>
      </w:r>
      <w:r>
        <w:rPr>
          <w:rFonts w:hint="eastAsia"/>
          <w:color w:val="auto"/>
          <w:szCs w:val="24"/>
          <w:highlight w:val="none"/>
        </w:rPr>
        <w:t>中国残疾人联合会关于促进残疾人就业政府采购政策的通知》（财库〔</w:t>
      </w:r>
      <w:r>
        <w:rPr>
          <w:color w:val="auto"/>
          <w:szCs w:val="24"/>
          <w:highlight w:val="none"/>
        </w:rPr>
        <w:t>2017</w:t>
      </w:r>
      <w:r>
        <w:rPr>
          <w:rFonts w:hint="eastAsia"/>
          <w:color w:val="auto"/>
          <w:szCs w:val="24"/>
          <w:highlight w:val="none"/>
        </w:rPr>
        <w:t>〕</w:t>
      </w:r>
      <w:r>
        <w:rPr>
          <w:color w:val="auto"/>
          <w:szCs w:val="24"/>
          <w:highlight w:val="none"/>
        </w:rPr>
        <w:t xml:space="preserve"> 141</w:t>
      </w:r>
      <w:r>
        <w:rPr>
          <w:rFonts w:hint="eastAsia"/>
          <w:color w:val="auto"/>
          <w:szCs w:val="24"/>
          <w:highlight w:val="none"/>
        </w:rPr>
        <w:t>号）的规定，本单位为符合条件的残疾人福利性单位，且本单位参加</w:t>
      </w:r>
      <w:r>
        <w:rPr>
          <w:color w:val="auto"/>
          <w:szCs w:val="24"/>
          <w:highlight w:val="none"/>
        </w:rPr>
        <w:t>______</w:t>
      </w:r>
      <w:r>
        <w:rPr>
          <w:rFonts w:hint="eastAsia"/>
          <w:color w:val="auto"/>
          <w:szCs w:val="24"/>
          <w:highlight w:val="none"/>
        </w:rPr>
        <w:t>单位的</w:t>
      </w:r>
      <w:r>
        <w:rPr>
          <w:color w:val="auto"/>
          <w:szCs w:val="24"/>
          <w:highlight w:val="none"/>
        </w:rPr>
        <w:t>______</w:t>
      </w:r>
      <w:r>
        <w:rPr>
          <w:rFonts w:hint="eastAsia"/>
          <w:color w:val="auto"/>
          <w:szCs w:val="24"/>
          <w:highlight w:val="none"/>
        </w:rPr>
        <w:t>项目采购活动提供本单位制造的货物（由本单位承担工程</w:t>
      </w:r>
      <w:r>
        <w:rPr>
          <w:color w:val="auto"/>
          <w:szCs w:val="24"/>
          <w:highlight w:val="none"/>
        </w:rPr>
        <w:t>/</w:t>
      </w:r>
      <w:r>
        <w:rPr>
          <w:rFonts w:hint="eastAsia"/>
          <w:color w:val="auto"/>
          <w:szCs w:val="24"/>
          <w:highlight w:val="none"/>
        </w:rPr>
        <w:t>提供服务），或者提供其他残疾人福利性单位制造的货物（不包括使用非残疾人福利性单位注册商标的货物）。</w:t>
      </w:r>
    </w:p>
    <w:p w14:paraId="0C23F96B">
      <w:pPr>
        <w:pStyle w:val="14"/>
        <w:spacing w:line="400" w:lineRule="exact"/>
        <w:ind w:firstLineChars="200"/>
        <w:rPr>
          <w:color w:val="auto"/>
          <w:szCs w:val="24"/>
          <w:highlight w:val="none"/>
        </w:rPr>
      </w:pPr>
      <w:r>
        <w:rPr>
          <w:rFonts w:hint="eastAsia"/>
          <w:color w:val="auto"/>
          <w:szCs w:val="24"/>
          <w:highlight w:val="none"/>
        </w:rPr>
        <w:t>本单位对上述声明的真实性负责。如有虚假，将依法承担相应责任。</w:t>
      </w:r>
    </w:p>
    <w:p w14:paraId="40E24B68">
      <w:pPr>
        <w:pStyle w:val="14"/>
        <w:spacing w:line="400" w:lineRule="exact"/>
        <w:ind w:firstLineChars="200"/>
        <w:rPr>
          <w:color w:val="auto"/>
          <w:szCs w:val="24"/>
          <w:highlight w:val="none"/>
        </w:rPr>
      </w:pPr>
    </w:p>
    <w:p w14:paraId="5AAF7A45">
      <w:pPr>
        <w:pStyle w:val="14"/>
        <w:spacing w:line="400" w:lineRule="exact"/>
        <w:ind w:firstLine="3988" w:firstLineChars="1662"/>
        <w:rPr>
          <w:color w:val="auto"/>
          <w:szCs w:val="24"/>
          <w:highlight w:val="none"/>
          <w:u w:val="single"/>
        </w:rPr>
      </w:pPr>
      <w:r>
        <w:rPr>
          <w:rFonts w:hint="eastAsia"/>
          <w:color w:val="auto"/>
          <w:szCs w:val="24"/>
          <w:highlight w:val="none"/>
        </w:rPr>
        <w:t>单位名称（盖章）：</w:t>
      </w:r>
      <w:r>
        <w:rPr>
          <w:rFonts w:hint="eastAsia"/>
          <w:color w:val="auto"/>
          <w:szCs w:val="24"/>
          <w:highlight w:val="none"/>
          <w:u w:val="single"/>
        </w:rPr>
        <w:t xml:space="preserve">                 </w:t>
      </w:r>
    </w:p>
    <w:p w14:paraId="4F3AB42E">
      <w:pPr>
        <w:pStyle w:val="14"/>
        <w:spacing w:line="400" w:lineRule="exact"/>
        <w:ind w:firstLine="3988" w:firstLineChars="1662"/>
        <w:rPr>
          <w:color w:val="auto"/>
          <w:szCs w:val="24"/>
          <w:highlight w:val="none"/>
          <w:u w:val="single"/>
        </w:rPr>
      </w:pPr>
      <w:r>
        <w:rPr>
          <w:rFonts w:hint="eastAsia"/>
          <w:color w:val="auto"/>
          <w:szCs w:val="24"/>
          <w:highlight w:val="none"/>
        </w:rPr>
        <w:t>日</w:t>
      </w:r>
      <w:r>
        <w:rPr>
          <w:color w:val="auto"/>
          <w:szCs w:val="24"/>
          <w:highlight w:val="none"/>
        </w:rPr>
        <w:t xml:space="preserve">  </w:t>
      </w:r>
      <w:r>
        <w:rPr>
          <w:rFonts w:hint="eastAsia"/>
          <w:color w:val="auto"/>
          <w:szCs w:val="24"/>
          <w:highlight w:val="none"/>
        </w:rPr>
        <w:t>期：</w:t>
      </w:r>
      <w:r>
        <w:rPr>
          <w:rFonts w:hint="eastAsia"/>
          <w:color w:val="auto"/>
          <w:szCs w:val="24"/>
          <w:highlight w:val="none"/>
          <w:u w:val="single"/>
        </w:rPr>
        <w:t xml:space="preserve">                          </w:t>
      </w:r>
    </w:p>
    <w:p w14:paraId="4AB3F517">
      <w:pPr>
        <w:spacing w:line="400" w:lineRule="exact"/>
        <w:jc w:val="left"/>
        <w:rPr>
          <w:color w:val="auto"/>
          <w:highlight w:val="none"/>
        </w:rPr>
      </w:pPr>
    </w:p>
    <w:p w14:paraId="468C454E">
      <w:pPr>
        <w:spacing w:line="400" w:lineRule="exact"/>
        <w:jc w:val="left"/>
        <w:rPr>
          <w:color w:val="auto"/>
          <w:highlight w:val="none"/>
        </w:rPr>
      </w:pPr>
      <w:r>
        <w:rPr>
          <w:rFonts w:hint="eastAsia"/>
          <w:color w:val="auto"/>
          <w:highlight w:val="none"/>
        </w:rPr>
        <w:t>注：供应商为残疾人福利性单位的如实填写，否则不要填写本表。</w:t>
      </w:r>
    </w:p>
    <w:p w14:paraId="4DE1C88F">
      <w:pPr>
        <w:pStyle w:val="9"/>
        <w:jc w:val="center"/>
        <w:rPr>
          <w:rFonts w:ascii="宋体"/>
          <w:b/>
          <w:color w:val="auto"/>
          <w:sz w:val="28"/>
          <w:highlight w:val="none"/>
        </w:rPr>
      </w:pPr>
    </w:p>
    <w:p w14:paraId="10159734">
      <w:pPr>
        <w:pStyle w:val="9"/>
        <w:jc w:val="center"/>
        <w:rPr>
          <w:rFonts w:ascii="宋体"/>
          <w:b/>
          <w:color w:val="auto"/>
          <w:sz w:val="28"/>
          <w:highlight w:val="none"/>
        </w:rPr>
      </w:pPr>
    </w:p>
    <w:p w14:paraId="556BD6D7">
      <w:pPr>
        <w:rPr>
          <w:color w:val="auto"/>
          <w:highlight w:val="none"/>
        </w:rPr>
      </w:pPr>
    </w:p>
    <w:p w14:paraId="23C53B73">
      <w:pPr>
        <w:pStyle w:val="9"/>
        <w:jc w:val="center"/>
        <w:rPr>
          <w:rFonts w:ascii="宋体"/>
          <w:b/>
          <w:color w:val="auto"/>
          <w:sz w:val="28"/>
          <w:highlight w:val="none"/>
        </w:rPr>
      </w:pPr>
    </w:p>
    <w:p w14:paraId="7B231E35">
      <w:pPr>
        <w:pStyle w:val="9"/>
        <w:jc w:val="center"/>
        <w:rPr>
          <w:rFonts w:ascii="宋体"/>
          <w:b/>
          <w:color w:val="auto"/>
          <w:sz w:val="28"/>
          <w:highlight w:val="none"/>
        </w:rPr>
      </w:pPr>
      <w:r>
        <w:rPr>
          <w:rFonts w:hint="eastAsia" w:ascii="宋体"/>
          <w:b/>
          <w:color w:val="auto"/>
          <w:sz w:val="28"/>
          <w:highlight w:val="none"/>
        </w:rPr>
        <w:t>监狱企业的证明文件（如适用）</w:t>
      </w:r>
    </w:p>
    <w:p w14:paraId="7D097710">
      <w:pPr>
        <w:pStyle w:val="9"/>
        <w:rPr>
          <w:rFonts w:ascii="宋体"/>
          <w:b/>
          <w:color w:val="auto"/>
          <w:sz w:val="28"/>
          <w:highlight w:val="none"/>
        </w:rPr>
      </w:pPr>
    </w:p>
    <w:p w14:paraId="51BF5F2C">
      <w:pPr>
        <w:spacing w:line="400" w:lineRule="exact"/>
        <w:jc w:val="left"/>
        <w:rPr>
          <w:color w:val="auto"/>
          <w:highlight w:val="none"/>
        </w:rPr>
      </w:pPr>
      <w:r>
        <w:rPr>
          <w:rFonts w:hint="eastAsia"/>
          <w:color w:val="auto"/>
          <w:highlight w:val="none"/>
        </w:rPr>
        <w:t>注：供应商为残疾人福利性单位的如实填写，否则不要填写本表。</w:t>
      </w:r>
    </w:p>
    <w:p w14:paraId="44C8CAAB">
      <w:pPr>
        <w:rPr>
          <w:rFonts w:ascii="宋体"/>
          <w:b/>
          <w:color w:val="auto"/>
          <w:sz w:val="28"/>
          <w:highlight w:val="none"/>
        </w:rPr>
      </w:pPr>
    </w:p>
    <w:p w14:paraId="420F0552">
      <w:pPr>
        <w:rPr>
          <w:rFonts w:hint="eastAsia" w:ascii="宋体" w:eastAsia="宋体"/>
          <w:b/>
          <w:color w:val="auto"/>
          <w:sz w:val="28"/>
          <w:lang w:val="en-US" w:eastAsia="zh-CN"/>
        </w:rPr>
      </w:pPr>
      <w:r>
        <w:rPr>
          <w:rFonts w:hint="eastAsia" w:ascii="宋体" w:eastAsia="宋体"/>
          <w:b/>
          <w:color w:val="auto"/>
          <w:sz w:val="28"/>
          <w:lang w:val="en-US" w:eastAsia="zh-CN"/>
        </w:rPr>
        <w:br w:type="page"/>
      </w:r>
    </w:p>
    <w:p w14:paraId="51F57063">
      <w:pPr>
        <w:pStyle w:val="14"/>
        <w:ind w:firstLine="0"/>
        <w:jc w:val="center"/>
        <w:rPr>
          <w:rFonts w:hint="eastAsia" w:ascii="宋体" w:eastAsia="宋体"/>
          <w:b/>
          <w:color w:val="auto"/>
          <w:sz w:val="28"/>
          <w:lang w:val="en-US" w:eastAsia="zh-CN"/>
        </w:rPr>
      </w:pPr>
    </w:p>
    <w:p w14:paraId="336A561A">
      <w:pPr>
        <w:pStyle w:val="14"/>
        <w:ind w:firstLine="0"/>
        <w:jc w:val="center"/>
        <w:rPr>
          <w:rFonts w:ascii="宋体" w:eastAsia="宋体"/>
          <w:b/>
          <w:color w:val="auto"/>
          <w:sz w:val="28"/>
        </w:rPr>
      </w:pPr>
      <w:r>
        <w:rPr>
          <w:rFonts w:hint="eastAsia" w:ascii="宋体" w:eastAsia="宋体"/>
          <w:b/>
          <w:color w:val="auto"/>
          <w:sz w:val="28"/>
          <w:lang w:val="en-US" w:eastAsia="zh-CN"/>
        </w:rPr>
        <w:t>四、</w:t>
      </w:r>
      <w:r>
        <w:rPr>
          <w:rFonts w:hint="eastAsia" w:ascii="宋体" w:eastAsia="宋体"/>
          <w:b/>
          <w:color w:val="auto"/>
          <w:sz w:val="28"/>
        </w:rPr>
        <w:t>政府采购供应商基础信息登记表</w:t>
      </w:r>
    </w:p>
    <w:p w14:paraId="6D87B0DE">
      <w:pPr>
        <w:pStyle w:val="27"/>
        <w:spacing w:line="320" w:lineRule="exact"/>
        <w:rPr>
          <w:rFonts w:ascii="ˎ̥" w:hAnsi="ˎ̥"/>
          <w:color w:val="auto"/>
          <w:sz w:val="26"/>
          <w:szCs w:val="26"/>
        </w:rPr>
      </w:pPr>
    </w:p>
    <w:tbl>
      <w:tblPr>
        <w:tblStyle w:val="30"/>
        <w:tblW w:w="0" w:type="auto"/>
        <w:tblCellSpacing w:w="0"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0" w:type="dxa"/>
          <w:bottom w:w="0" w:type="dxa"/>
          <w:right w:w="0" w:type="dxa"/>
        </w:tblCellMar>
      </w:tblPr>
      <w:tblGrid>
        <w:gridCol w:w="5055"/>
        <w:gridCol w:w="3994"/>
      </w:tblGrid>
      <w:tr w14:paraId="7449BFB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trHeight w:val="567" w:hRule="atLeast"/>
          <w:tblCellSpacing w:w="0" w:type="dxa"/>
        </w:trPr>
        <w:tc>
          <w:tcPr>
            <w:tcW w:w="5055" w:type="dxa"/>
            <w:vAlign w:val="center"/>
          </w:tcPr>
          <w:p w14:paraId="40914379">
            <w:pPr>
              <w:jc w:val="center"/>
              <w:rPr>
                <w:rFonts w:ascii="宋体" w:hAnsi="宋体"/>
                <w:bCs/>
                <w:color w:val="auto"/>
                <w:szCs w:val="21"/>
              </w:rPr>
            </w:pPr>
            <w:r>
              <w:rPr>
                <w:rFonts w:ascii="宋体" w:hAnsi="宋体"/>
                <w:bCs/>
                <w:color w:val="auto"/>
                <w:szCs w:val="21"/>
              </w:rPr>
              <w:t>投标项目编号</w:t>
            </w:r>
          </w:p>
        </w:tc>
        <w:tc>
          <w:tcPr>
            <w:tcW w:w="3994" w:type="dxa"/>
            <w:vAlign w:val="center"/>
          </w:tcPr>
          <w:p w14:paraId="06845376">
            <w:pPr>
              <w:jc w:val="center"/>
              <w:rPr>
                <w:rFonts w:ascii="宋体" w:hAnsi="宋体"/>
                <w:bCs/>
                <w:color w:val="auto"/>
                <w:szCs w:val="21"/>
              </w:rPr>
            </w:pPr>
          </w:p>
        </w:tc>
      </w:tr>
      <w:tr w14:paraId="53BB0C7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trHeight w:val="567" w:hRule="atLeast"/>
          <w:tblCellSpacing w:w="0" w:type="dxa"/>
        </w:trPr>
        <w:tc>
          <w:tcPr>
            <w:tcW w:w="5055" w:type="dxa"/>
            <w:vAlign w:val="center"/>
          </w:tcPr>
          <w:p w14:paraId="0140212A">
            <w:pPr>
              <w:jc w:val="center"/>
              <w:rPr>
                <w:rFonts w:ascii="宋体" w:hAnsi="宋体"/>
                <w:bCs/>
                <w:color w:val="auto"/>
                <w:szCs w:val="21"/>
              </w:rPr>
            </w:pPr>
            <w:r>
              <w:rPr>
                <w:rFonts w:ascii="宋体" w:hAnsi="宋体"/>
                <w:bCs/>
                <w:color w:val="auto"/>
                <w:szCs w:val="21"/>
              </w:rPr>
              <w:t>投标项目名称</w:t>
            </w:r>
          </w:p>
        </w:tc>
        <w:tc>
          <w:tcPr>
            <w:tcW w:w="3994" w:type="dxa"/>
            <w:vAlign w:val="center"/>
          </w:tcPr>
          <w:p w14:paraId="768123DF">
            <w:pPr>
              <w:jc w:val="center"/>
              <w:rPr>
                <w:rFonts w:ascii="宋体" w:hAnsi="宋体"/>
                <w:bCs/>
                <w:color w:val="auto"/>
                <w:szCs w:val="21"/>
              </w:rPr>
            </w:pPr>
          </w:p>
        </w:tc>
      </w:tr>
      <w:tr w14:paraId="6367041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trHeight w:val="567" w:hRule="atLeast"/>
          <w:tblCellSpacing w:w="0" w:type="dxa"/>
        </w:trPr>
        <w:tc>
          <w:tcPr>
            <w:tcW w:w="5055" w:type="dxa"/>
            <w:vAlign w:val="center"/>
          </w:tcPr>
          <w:p w14:paraId="14C2363F">
            <w:pPr>
              <w:jc w:val="center"/>
              <w:rPr>
                <w:rFonts w:ascii="宋体" w:hAnsi="宋体"/>
                <w:bCs/>
                <w:color w:val="auto"/>
                <w:szCs w:val="21"/>
              </w:rPr>
            </w:pPr>
            <w:r>
              <w:rPr>
                <w:rFonts w:ascii="宋体" w:hAnsi="宋体"/>
                <w:bCs/>
                <w:color w:val="auto"/>
                <w:szCs w:val="21"/>
              </w:rPr>
              <w:t>投标子包号</w:t>
            </w:r>
          </w:p>
        </w:tc>
        <w:tc>
          <w:tcPr>
            <w:tcW w:w="3994" w:type="dxa"/>
            <w:vAlign w:val="center"/>
          </w:tcPr>
          <w:p w14:paraId="52EF0C52">
            <w:pPr>
              <w:jc w:val="center"/>
              <w:rPr>
                <w:rFonts w:ascii="宋体" w:hAnsi="宋体"/>
                <w:bCs/>
                <w:color w:val="auto"/>
                <w:szCs w:val="21"/>
              </w:rPr>
            </w:pPr>
          </w:p>
        </w:tc>
      </w:tr>
      <w:tr w14:paraId="590B0A1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trHeight w:val="567" w:hRule="atLeast"/>
          <w:tblCellSpacing w:w="0" w:type="dxa"/>
        </w:trPr>
        <w:tc>
          <w:tcPr>
            <w:tcW w:w="5055" w:type="dxa"/>
            <w:vAlign w:val="center"/>
          </w:tcPr>
          <w:p w14:paraId="3717DD07">
            <w:pPr>
              <w:jc w:val="center"/>
              <w:rPr>
                <w:rFonts w:ascii="宋体" w:hAnsi="宋体"/>
                <w:bCs/>
                <w:color w:val="auto"/>
                <w:szCs w:val="21"/>
              </w:rPr>
            </w:pPr>
            <w:r>
              <w:rPr>
                <w:rFonts w:ascii="宋体" w:hAnsi="宋体"/>
                <w:bCs/>
                <w:color w:val="auto"/>
                <w:szCs w:val="21"/>
              </w:rPr>
              <w:t>投标金额（万元）</w:t>
            </w:r>
          </w:p>
        </w:tc>
        <w:tc>
          <w:tcPr>
            <w:tcW w:w="3994" w:type="dxa"/>
            <w:vAlign w:val="center"/>
          </w:tcPr>
          <w:p w14:paraId="2CA8A154">
            <w:pPr>
              <w:jc w:val="center"/>
              <w:rPr>
                <w:rFonts w:ascii="宋体" w:hAnsi="宋体"/>
                <w:bCs/>
                <w:color w:val="auto"/>
                <w:szCs w:val="21"/>
              </w:rPr>
            </w:pPr>
          </w:p>
        </w:tc>
      </w:tr>
      <w:tr w14:paraId="6642632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trHeight w:val="567" w:hRule="atLeast"/>
          <w:tblCellSpacing w:w="0" w:type="dxa"/>
        </w:trPr>
        <w:tc>
          <w:tcPr>
            <w:tcW w:w="5055" w:type="dxa"/>
            <w:vAlign w:val="center"/>
          </w:tcPr>
          <w:p w14:paraId="49978C23">
            <w:pPr>
              <w:jc w:val="center"/>
              <w:rPr>
                <w:rFonts w:ascii="宋体" w:hAnsi="宋体"/>
                <w:bCs/>
                <w:color w:val="auto"/>
                <w:szCs w:val="21"/>
              </w:rPr>
            </w:pPr>
            <w:r>
              <w:rPr>
                <w:rFonts w:ascii="宋体" w:hAnsi="宋体"/>
                <w:bCs/>
                <w:color w:val="auto"/>
                <w:szCs w:val="21"/>
              </w:rPr>
              <w:t>投标单位名称</w:t>
            </w:r>
          </w:p>
        </w:tc>
        <w:tc>
          <w:tcPr>
            <w:tcW w:w="3994" w:type="dxa"/>
            <w:vAlign w:val="center"/>
          </w:tcPr>
          <w:p w14:paraId="1F9D9576">
            <w:pPr>
              <w:jc w:val="center"/>
              <w:rPr>
                <w:rFonts w:ascii="宋体" w:hAnsi="宋体"/>
                <w:bCs/>
                <w:color w:val="auto"/>
                <w:szCs w:val="21"/>
              </w:rPr>
            </w:pPr>
          </w:p>
        </w:tc>
      </w:tr>
      <w:tr w14:paraId="0ADE5B0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trHeight w:val="567" w:hRule="atLeast"/>
          <w:tblCellSpacing w:w="0" w:type="dxa"/>
        </w:trPr>
        <w:tc>
          <w:tcPr>
            <w:tcW w:w="5055" w:type="dxa"/>
            <w:vAlign w:val="center"/>
          </w:tcPr>
          <w:p w14:paraId="3FBE1DE4">
            <w:pPr>
              <w:jc w:val="center"/>
              <w:rPr>
                <w:rFonts w:ascii="宋体" w:hAnsi="宋体"/>
                <w:bCs/>
                <w:color w:val="auto"/>
                <w:szCs w:val="21"/>
              </w:rPr>
            </w:pPr>
            <w:r>
              <w:rPr>
                <w:rFonts w:ascii="宋体" w:hAnsi="宋体"/>
                <w:bCs/>
                <w:color w:val="auto"/>
                <w:szCs w:val="21"/>
              </w:rPr>
              <w:t>是否国内企业</w:t>
            </w:r>
          </w:p>
        </w:tc>
        <w:tc>
          <w:tcPr>
            <w:tcW w:w="3994" w:type="dxa"/>
            <w:vAlign w:val="center"/>
          </w:tcPr>
          <w:p w14:paraId="79B04185">
            <w:pPr>
              <w:jc w:val="center"/>
              <w:rPr>
                <w:rFonts w:ascii="宋体" w:hAnsi="宋体"/>
                <w:bCs/>
                <w:color w:val="auto"/>
                <w:szCs w:val="21"/>
              </w:rPr>
            </w:pPr>
          </w:p>
        </w:tc>
      </w:tr>
      <w:tr w14:paraId="3EAF93B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trHeight w:val="567" w:hRule="atLeast"/>
          <w:tblCellSpacing w:w="0" w:type="dxa"/>
        </w:trPr>
        <w:tc>
          <w:tcPr>
            <w:tcW w:w="5055" w:type="dxa"/>
            <w:vAlign w:val="center"/>
          </w:tcPr>
          <w:p w14:paraId="44C6DAA8">
            <w:pPr>
              <w:jc w:val="center"/>
              <w:rPr>
                <w:rFonts w:ascii="宋体" w:hAnsi="宋体"/>
                <w:bCs/>
                <w:color w:val="auto"/>
                <w:szCs w:val="21"/>
              </w:rPr>
            </w:pPr>
            <w:r>
              <w:rPr>
                <w:rFonts w:ascii="宋体" w:hAnsi="宋体"/>
                <w:bCs/>
                <w:color w:val="auto"/>
                <w:szCs w:val="21"/>
              </w:rPr>
              <w:t>是否宁波企业</w:t>
            </w:r>
          </w:p>
        </w:tc>
        <w:tc>
          <w:tcPr>
            <w:tcW w:w="3994" w:type="dxa"/>
            <w:vAlign w:val="center"/>
          </w:tcPr>
          <w:p w14:paraId="24E0099C">
            <w:pPr>
              <w:jc w:val="center"/>
              <w:rPr>
                <w:rFonts w:ascii="宋体" w:hAnsi="宋体"/>
                <w:bCs/>
                <w:color w:val="auto"/>
                <w:szCs w:val="21"/>
              </w:rPr>
            </w:pPr>
          </w:p>
        </w:tc>
      </w:tr>
      <w:tr w14:paraId="3CDC0AC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trHeight w:val="567" w:hRule="atLeast"/>
          <w:tblCellSpacing w:w="0" w:type="dxa"/>
        </w:trPr>
        <w:tc>
          <w:tcPr>
            <w:tcW w:w="5055" w:type="dxa"/>
            <w:vAlign w:val="center"/>
          </w:tcPr>
          <w:p w14:paraId="074444C7">
            <w:pPr>
              <w:jc w:val="center"/>
              <w:rPr>
                <w:rFonts w:ascii="宋体" w:hAnsi="宋体"/>
                <w:bCs/>
                <w:color w:val="auto"/>
                <w:szCs w:val="21"/>
              </w:rPr>
            </w:pPr>
            <w:r>
              <w:rPr>
                <w:rFonts w:ascii="宋体" w:hAnsi="宋体"/>
                <w:bCs/>
                <w:color w:val="auto"/>
                <w:szCs w:val="21"/>
              </w:rPr>
              <w:t>企业划分标准类型（中型、小型、微型）</w:t>
            </w:r>
          </w:p>
        </w:tc>
        <w:tc>
          <w:tcPr>
            <w:tcW w:w="3994" w:type="dxa"/>
            <w:vAlign w:val="center"/>
          </w:tcPr>
          <w:p w14:paraId="1A798CCC">
            <w:pPr>
              <w:jc w:val="center"/>
              <w:rPr>
                <w:rFonts w:ascii="宋体" w:hAnsi="宋体"/>
                <w:bCs/>
                <w:color w:val="auto"/>
                <w:szCs w:val="21"/>
              </w:rPr>
            </w:pPr>
          </w:p>
        </w:tc>
      </w:tr>
      <w:tr w14:paraId="72AD372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trHeight w:val="567" w:hRule="atLeast"/>
          <w:tblCellSpacing w:w="0" w:type="dxa"/>
        </w:trPr>
        <w:tc>
          <w:tcPr>
            <w:tcW w:w="5055" w:type="dxa"/>
            <w:vAlign w:val="center"/>
          </w:tcPr>
          <w:p w14:paraId="6DE36413">
            <w:pPr>
              <w:jc w:val="center"/>
              <w:rPr>
                <w:rFonts w:ascii="宋体" w:hAnsi="宋体"/>
                <w:bCs/>
                <w:color w:val="auto"/>
                <w:szCs w:val="21"/>
              </w:rPr>
            </w:pPr>
            <w:r>
              <w:rPr>
                <w:rFonts w:ascii="宋体" w:hAnsi="宋体"/>
                <w:bCs/>
                <w:color w:val="auto"/>
                <w:szCs w:val="21"/>
              </w:rPr>
              <w:t>提供的货物是否本企业制造</w:t>
            </w:r>
          </w:p>
        </w:tc>
        <w:tc>
          <w:tcPr>
            <w:tcW w:w="3994" w:type="dxa"/>
            <w:vAlign w:val="center"/>
          </w:tcPr>
          <w:p w14:paraId="4A626DC6">
            <w:pPr>
              <w:jc w:val="center"/>
              <w:rPr>
                <w:rFonts w:ascii="宋体" w:hAnsi="宋体"/>
                <w:bCs/>
                <w:color w:val="auto"/>
                <w:szCs w:val="21"/>
              </w:rPr>
            </w:pPr>
            <w:r>
              <w:rPr>
                <w:rFonts w:hint="eastAsia" w:ascii="宋体" w:hAnsi="宋体"/>
                <w:bCs/>
                <w:color w:val="auto"/>
                <w:szCs w:val="21"/>
              </w:rPr>
              <w:t>/</w:t>
            </w:r>
          </w:p>
        </w:tc>
      </w:tr>
      <w:tr w14:paraId="5CF1F30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trHeight w:val="567" w:hRule="atLeast"/>
          <w:tblCellSpacing w:w="0" w:type="dxa"/>
        </w:trPr>
        <w:tc>
          <w:tcPr>
            <w:tcW w:w="5055" w:type="dxa"/>
            <w:vAlign w:val="center"/>
          </w:tcPr>
          <w:p w14:paraId="37B7ED30">
            <w:pPr>
              <w:jc w:val="center"/>
              <w:rPr>
                <w:rFonts w:ascii="宋体" w:hAnsi="宋体"/>
                <w:bCs/>
                <w:color w:val="auto"/>
                <w:szCs w:val="21"/>
              </w:rPr>
            </w:pPr>
            <w:r>
              <w:rPr>
                <w:rFonts w:ascii="宋体" w:hAnsi="宋体"/>
                <w:bCs/>
                <w:color w:val="auto"/>
                <w:szCs w:val="21"/>
              </w:rPr>
              <w:t>货物原产地是否是中国境内</w:t>
            </w:r>
          </w:p>
        </w:tc>
        <w:tc>
          <w:tcPr>
            <w:tcW w:w="3994" w:type="dxa"/>
            <w:vAlign w:val="center"/>
          </w:tcPr>
          <w:p w14:paraId="13CBA389">
            <w:pPr>
              <w:jc w:val="center"/>
              <w:rPr>
                <w:rFonts w:ascii="宋体" w:hAnsi="宋体"/>
                <w:bCs/>
                <w:color w:val="auto"/>
                <w:szCs w:val="21"/>
              </w:rPr>
            </w:pPr>
            <w:r>
              <w:rPr>
                <w:rFonts w:hint="eastAsia" w:ascii="宋体" w:hAnsi="宋体"/>
                <w:bCs/>
                <w:color w:val="auto"/>
                <w:szCs w:val="21"/>
              </w:rPr>
              <w:t>/</w:t>
            </w:r>
          </w:p>
        </w:tc>
      </w:tr>
      <w:tr w14:paraId="4970417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trHeight w:val="567" w:hRule="atLeast"/>
          <w:tblCellSpacing w:w="0" w:type="dxa"/>
        </w:trPr>
        <w:tc>
          <w:tcPr>
            <w:tcW w:w="5055" w:type="dxa"/>
            <w:vAlign w:val="center"/>
          </w:tcPr>
          <w:p w14:paraId="51FF8637">
            <w:pPr>
              <w:jc w:val="center"/>
              <w:rPr>
                <w:rFonts w:ascii="宋体" w:hAnsi="宋体"/>
                <w:bCs/>
                <w:color w:val="auto"/>
                <w:szCs w:val="21"/>
              </w:rPr>
            </w:pPr>
            <w:r>
              <w:rPr>
                <w:rFonts w:ascii="宋体" w:hAnsi="宋体"/>
                <w:bCs/>
                <w:color w:val="auto"/>
                <w:szCs w:val="21"/>
              </w:rPr>
              <w:t>货物原产地是否是宁波</w:t>
            </w:r>
          </w:p>
        </w:tc>
        <w:tc>
          <w:tcPr>
            <w:tcW w:w="3994" w:type="dxa"/>
            <w:vAlign w:val="center"/>
          </w:tcPr>
          <w:p w14:paraId="3CF51BB7">
            <w:pPr>
              <w:jc w:val="center"/>
              <w:rPr>
                <w:rFonts w:ascii="宋体" w:hAnsi="宋体"/>
                <w:bCs/>
                <w:color w:val="auto"/>
                <w:szCs w:val="21"/>
              </w:rPr>
            </w:pPr>
            <w:r>
              <w:rPr>
                <w:rFonts w:hint="eastAsia" w:ascii="宋体" w:hAnsi="宋体"/>
                <w:bCs/>
                <w:color w:val="auto"/>
                <w:szCs w:val="21"/>
              </w:rPr>
              <w:t>/</w:t>
            </w:r>
          </w:p>
        </w:tc>
      </w:tr>
      <w:tr w14:paraId="6629843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trHeight w:val="567" w:hRule="atLeast"/>
          <w:tblCellSpacing w:w="0" w:type="dxa"/>
        </w:trPr>
        <w:tc>
          <w:tcPr>
            <w:tcW w:w="5055" w:type="dxa"/>
            <w:vAlign w:val="center"/>
          </w:tcPr>
          <w:p w14:paraId="6C31EEF5">
            <w:pPr>
              <w:jc w:val="center"/>
              <w:rPr>
                <w:rFonts w:ascii="宋体" w:hAnsi="宋体"/>
                <w:bCs/>
                <w:color w:val="auto"/>
                <w:szCs w:val="21"/>
              </w:rPr>
            </w:pPr>
            <w:r>
              <w:rPr>
                <w:rFonts w:ascii="宋体" w:hAnsi="宋体"/>
                <w:bCs/>
                <w:color w:val="auto"/>
                <w:szCs w:val="21"/>
              </w:rPr>
              <w:t>提供的货物是否是节能清单产品</w:t>
            </w:r>
          </w:p>
        </w:tc>
        <w:tc>
          <w:tcPr>
            <w:tcW w:w="3994" w:type="dxa"/>
            <w:vAlign w:val="center"/>
          </w:tcPr>
          <w:p w14:paraId="4D9DCD85">
            <w:pPr>
              <w:jc w:val="center"/>
              <w:rPr>
                <w:rFonts w:ascii="宋体" w:hAnsi="宋体"/>
                <w:bCs/>
                <w:color w:val="auto"/>
                <w:szCs w:val="21"/>
              </w:rPr>
            </w:pPr>
            <w:r>
              <w:rPr>
                <w:rFonts w:hint="eastAsia" w:ascii="宋体" w:hAnsi="宋体"/>
                <w:bCs/>
                <w:color w:val="auto"/>
                <w:szCs w:val="21"/>
              </w:rPr>
              <w:t>/</w:t>
            </w:r>
          </w:p>
        </w:tc>
      </w:tr>
      <w:tr w14:paraId="66AB099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trHeight w:val="567" w:hRule="atLeast"/>
          <w:tblCellSpacing w:w="0" w:type="dxa"/>
        </w:trPr>
        <w:tc>
          <w:tcPr>
            <w:tcW w:w="5055" w:type="dxa"/>
            <w:vAlign w:val="center"/>
          </w:tcPr>
          <w:p w14:paraId="1A74F2B8">
            <w:pPr>
              <w:jc w:val="center"/>
              <w:rPr>
                <w:rFonts w:ascii="宋体" w:hAnsi="宋体"/>
                <w:bCs/>
                <w:color w:val="auto"/>
                <w:szCs w:val="21"/>
              </w:rPr>
            </w:pPr>
            <w:r>
              <w:rPr>
                <w:rFonts w:ascii="宋体" w:hAnsi="宋体"/>
                <w:bCs/>
                <w:color w:val="auto"/>
                <w:szCs w:val="21"/>
              </w:rPr>
              <w:t>提供的货物是否是环境标志清单产品</w:t>
            </w:r>
          </w:p>
        </w:tc>
        <w:tc>
          <w:tcPr>
            <w:tcW w:w="3994" w:type="dxa"/>
            <w:vAlign w:val="center"/>
          </w:tcPr>
          <w:p w14:paraId="5D02A24D">
            <w:pPr>
              <w:jc w:val="center"/>
              <w:rPr>
                <w:rFonts w:ascii="宋体" w:hAnsi="宋体"/>
                <w:bCs/>
                <w:color w:val="auto"/>
                <w:szCs w:val="21"/>
              </w:rPr>
            </w:pPr>
            <w:r>
              <w:rPr>
                <w:rFonts w:hint="eastAsia" w:ascii="宋体" w:hAnsi="宋体"/>
                <w:bCs/>
                <w:color w:val="auto"/>
                <w:szCs w:val="21"/>
              </w:rPr>
              <w:t>/</w:t>
            </w:r>
          </w:p>
        </w:tc>
      </w:tr>
      <w:tr w14:paraId="4B6918B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trHeight w:val="567" w:hRule="atLeast"/>
          <w:tblCellSpacing w:w="0" w:type="dxa"/>
        </w:trPr>
        <w:tc>
          <w:tcPr>
            <w:tcW w:w="5055" w:type="dxa"/>
            <w:vAlign w:val="center"/>
          </w:tcPr>
          <w:p w14:paraId="6C300DF9">
            <w:pPr>
              <w:jc w:val="center"/>
              <w:rPr>
                <w:rFonts w:ascii="宋体" w:hAnsi="宋体"/>
                <w:bCs/>
                <w:color w:val="auto"/>
                <w:szCs w:val="21"/>
              </w:rPr>
            </w:pPr>
            <w:r>
              <w:rPr>
                <w:rFonts w:ascii="宋体" w:hAnsi="宋体"/>
                <w:bCs/>
                <w:color w:val="auto"/>
                <w:szCs w:val="21"/>
              </w:rPr>
              <w:t>承担的工程或服务是否本企业提供</w:t>
            </w:r>
          </w:p>
        </w:tc>
        <w:tc>
          <w:tcPr>
            <w:tcW w:w="3994" w:type="dxa"/>
            <w:vAlign w:val="center"/>
          </w:tcPr>
          <w:p w14:paraId="724DAFCE">
            <w:pPr>
              <w:jc w:val="center"/>
              <w:rPr>
                <w:rFonts w:ascii="宋体" w:hAnsi="宋体"/>
                <w:bCs/>
                <w:color w:val="auto"/>
                <w:szCs w:val="21"/>
              </w:rPr>
            </w:pPr>
          </w:p>
        </w:tc>
      </w:tr>
    </w:tbl>
    <w:p w14:paraId="65F52A35">
      <w:pPr>
        <w:pStyle w:val="27"/>
        <w:rPr>
          <w:rFonts w:ascii="ˎ̥" w:hAnsi="ˎ̥"/>
          <w:color w:val="auto"/>
          <w:sz w:val="26"/>
          <w:szCs w:val="26"/>
        </w:rPr>
      </w:pPr>
    </w:p>
    <w:p w14:paraId="2B67FE6F">
      <w:pPr>
        <w:pStyle w:val="14"/>
        <w:spacing w:beforeLines="50" w:line="360" w:lineRule="exact"/>
        <w:ind w:firstLine="0"/>
        <w:rPr>
          <w:rFonts w:eastAsia="宋体"/>
          <w:color w:val="auto"/>
          <w:szCs w:val="24"/>
        </w:rPr>
      </w:pPr>
      <w:r>
        <w:rPr>
          <w:rFonts w:hint="eastAsia" w:eastAsia="宋体"/>
          <w:color w:val="auto"/>
        </w:rPr>
        <w:t>投标人单位（盖公章）：</w:t>
      </w:r>
    </w:p>
    <w:p w14:paraId="61948F9F">
      <w:pPr>
        <w:spacing w:line="400" w:lineRule="exact"/>
        <w:rPr>
          <w:color w:val="auto"/>
          <w:sz w:val="24"/>
        </w:rPr>
      </w:pPr>
      <w:r>
        <w:rPr>
          <w:rFonts w:hint="eastAsia"/>
          <w:color w:val="auto"/>
          <w:sz w:val="24"/>
          <w:szCs w:val="24"/>
        </w:rPr>
        <w:t>日</w:t>
      </w:r>
      <w:r>
        <w:rPr>
          <w:color w:val="auto"/>
          <w:sz w:val="24"/>
          <w:szCs w:val="24"/>
        </w:rPr>
        <w:t xml:space="preserve">    </w:t>
      </w:r>
      <w:r>
        <w:rPr>
          <w:rFonts w:hint="eastAsia"/>
          <w:color w:val="auto"/>
          <w:sz w:val="24"/>
          <w:szCs w:val="24"/>
        </w:rPr>
        <w:t>期：</w:t>
      </w:r>
    </w:p>
    <w:p w14:paraId="6B9EB80D">
      <w:pPr>
        <w:rPr>
          <w:rFonts w:ascii="宋体"/>
          <w:b/>
          <w:color w:val="auto"/>
          <w:sz w:val="28"/>
          <w:highlight w:val="none"/>
        </w:rPr>
      </w:pPr>
    </w:p>
    <w:sectPr>
      <w:headerReference r:id="rId8" w:type="default"/>
      <w:footerReference r:id="rId9" w:type="default"/>
      <w:pgSz w:w="11907" w:h="16840"/>
      <w:pgMar w:top="1191" w:right="1407" w:bottom="964" w:left="1797" w:header="720" w:footer="851" w:gutter="0"/>
      <w:pgBorders>
        <w:top w:val="none" w:sz="0" w:space="0"/>
        <w:left w:val="none" w:sz="0" w:space="0"/>
        <w:bottom w:val="none" w:sz="0" w:space="0"/>
        <w:right w:val="none" w:sz="0" w:space="0"/>
      </w:pgBorders>
      <w:cols w:space="720" w:num="1"/>
      <w:docGrid w:type="lines" w:linePitch="285"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34"/>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书宋简体">
    <w:altName w:val="宋体"/>
    <w:panose1 w:val="00000000000000000000"/>
    <w:charset w:val="00"/>
    <w:family w:val="auto"/>
    <w:pitch w:val="default"/>
    <w:sig w:usb0="00000000" w:usb1="00000000" w:usb2="00000010" w:usb3="00000000" w:csb0="00040001" w:csb1="00000000"/>
  </w:font>
  <w:font w:name="等线 Light">
    <w:panose1 w:val="02010600030101010101"/>
    <w:charset w:val="86"/>
    <w:family w:val="auto"/>
    <w:pitch w:val="default"/>
    <w:sig w:usb0="A00002BF" w:usb1="38CF7CFA" w:usb2="00000016" w:usb3="00000000" w:csb0="0004000F" w:csb1="00000000"/>
  </w:font>
  <w:font w:name="楷体">
    <w:panose1 w:val="02010609060101010101"/>
    <w:charset w:val="86"/>
    <w:family w:val="modern"/>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Thorndale">
    <w:altName w:val="Times New Roman"/>
    <w:panose1 w:val="00000000000000000000"/>
    <w:charset w:val="00"/>
    <w:family w:val="roman"/>
    <w:pitch w:val="default"/>
    <w:sig w:usb0="00000000" w:usb1="00000000" w:usb2="00000000" w:usb3="00000000" w:csb0="00040001" w:csb1="00000000"/>
  </w:font>
  <w:font w:name="HG Mincho Light J">
    <w:altName w:val="Times New Roman"/>
    <w:panose1 w:val="00000000000000000000"/>
    <w:charset w:val="00"/>
    <w:family w:val="auto"/>
    <w:pitch w:val="default"/>
    <w:sig w:usb0="00000000" w:usb1="00000000" w:usb2="00000000" w:usb3="00000000" w:csb0="00040001" w:csb1="00000000"/>
  </w:font>
  <w:font w:name="仿宋_GB2312">
    <w:panose1 w:val="02010609030101010101"/>
    <w:charset w:val="86"/>
    <w:family w:val="modern"/>
    <w:pitch w:val="default"/>
    <w:sig w:usb0="00000001" w:usb1="080E0000" w:usb2="00000000" w:usb3="00000000" w:csb0="00040000" w:csb1="00000000"/>
  </w:font>
  <w:font w:name="华文细黑">
    <w:altName w:val="微软雅黑"/>
    <w:panose1 w:val="02010600040101010101"/>
    <w:charset w:val="86"/>
    <w:family w:val="auto"/>
    <w:pitch w:val="default"/>
    <w:sig w:usb0="00000000" w:usb1="00000000" w:usb2="00000000" w:usb3="00000000" w:csb0="0004009F" w:csb1="DFD70000"/>
  </w:font>
  <w:font w:name="微软雅黑">
    <w:panose1 w:val="020B0503020204020204"/>
    <w:charset w:val="86"/>
    <w:family w:val="auto"/>
    <w:pitch w:val="default"/>
    <w:sig w:usb0="80000287" w:usb1="2ACF3C50" w:usb2="00000016" w:usb3="00000000" w:csb0="0004001F" w:csb1="00000000"/>
  </w:font>
  <w:font w:name="仿宋">
    <w:panose1 w:val="02010609060101010101"/>
    <w:charset w:val="86"/>
    <w:family w:val="modern"/>
    <w:pitch w:val="default"/>
    <w:sig w:usb0="800002BF" w:usb1="38CF7CFA" w:usb2="00000016" w:usb3="00000000" w:csb0="00040001" w:csb1="00000000"/>
  </w:font>
  <w:font w:name="等线">
    <w:panose1 w:val="02010600030101010101"/>
    <w:charset w:val="86"/>
    <w:family w:val="auto"/>
    <w:pitch w:val="default"/>
    <w:sig w:usb0="A00002BF" w:usb1="38CF7CFA" w:usb2="00000016" w:usb3="00000000" w:csb0="0004000F" w:csb1="00000000"/>
  </w:font>
  <w:font w:name="Microsoft YaHei UI">
    <w:panose1 w:val="020B0503020204020204"/>
    <w:charset w:val="86"/>
    <w:family w:val="swiss"/>
    <w:pitch w:val="default"/>
    <w:sig w:usb0="80000287" w:usb1="2ACF3C50" w:usb2="00000016" w:usb3="00000000" w:csb0="0004001F" w:csb1="00000000"/>
  </w:font>
  <w:font w:name="ˎ̥">
    <w:altName w:val="Times New Roman"/>
    <w:panose1 w:val="00000000000000000000"/>
    <w:charset w:val="00"/>
    <w:family w:val="roman"/>
    <w:pitch w:val="default"/>
    <w:sig w:usb0="00000000" w:usb1="00000000" w:usb2="00000000"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7B0560">
    <w:pPr>
      <w:pStyle w:val="21"/>
      <w:rPr>
        <w:sz w:val="21"/>
        <w:szCs w:val="21"/>
      </w:rPr>
    </w:pPr>
    <w:r>
      <w:rPr>
        <w:rFonts w:hint="eastAsia"/>
      </w:rPr>
      <w:t xml:space="preserve">                                        </w:t>
    </w:r>
    <w:r>
      <w:rPr>
        <w:rFonts w:hint="eastAsia"/>
        <w:sz w:val="21"/>
      </w:rP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4917AD">
    <w:pPr>
      <w:pStyle w:val="21"/>
      <w:jc w:val="center"/>
      <w:rPr>
        <w:sz w:val="21"/>
        <w:szCs w:val="21"/>
      </w:rPr>
    </w:pPr>
    <w:r>
      <w:fldChar w:fldCharType="begin"/>
    </w:r>
    <w:r>
      <w:rPr>
        <w:rStyle w:val="35"/>
      </w:rPr>
      <w:instrText xml:space="preserve"> PAGE </w:instrText>
    </w:r>
    <w:r>
      <w:fldChar w:fldCharType="separate"/>
    </w:r>
    <w:r>
      <w:rPr>
        <w:rStyle w:val="35"/>
      </w:rPr>
      <w:t>19</w:t>
    </w:r>
    <w: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34712B">
    <w:pPr>
      <w:pStyle w:val="21"/>
      <w:framePr w:wrap="around" w:vAnchor="text" w:hAnchor="margin" w:xAlign="center" w:y="1"/>
      <w:rPr>
        <w:rStyle w:val="35"/>
      </w:rPr>
    </w:pPr>
    <w:r>
      <w:fldChar w:fldCharType="begin"/>
    </w:r>
    <w:r>
      <w:rPr>
        <w:rStyle w:val="35"/>
      </w:rPr>
      <w:instrText xml:space="preserve">PAGE  </w:instrText>
    </w:r>
    <w:r>
      <w:fldChar w:fldCharType="separate"/>
    </w:r>
    <w:r>
      <w:rPr>
        <w:rStyle w:val="35"/>
      </w:rPr>
      <w:t>18</w:t>
    </w:r>
    <w:r>
      <w:fldChar w:fldCharType="end"/>
    </w:r>
  </w:p>
  <w:p w14:paraId="14B07B49">
    <w:pPr>
      <w:pStyle w:val="21"/>
      <w:rPr>
        <w:sz w:val="21"/>
        <w:szCs w:val="21"/>
      </w:rPr>
    </w:pPr>
    <w:r>
      <w:rPr>
        <w:rFonts w:hint="eastAsia"/>
      </w:rPr>
      <w:t xml:space="preserve">                                        </w:t>
    </w:r>
    <w:r>
      <w:rPr>
        <w:rFonts w:hint="eastAsia"/>
        <w:sz w:val="21"/>
      </w:rPr>
      <w:t xml:space="preserve">  </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911BDB">
    <w:pPr>
      <w:pStyle w:val="21"/>
      <w:framePr w:wrap="around" w:vAnchor="text" w:hAnchor="margin" w:xAlign="center" w:y="1"/>
      <w:jc w:val="center"/>
      <w:rPr>
        <w:rStyle w:val="35"/>
      </w:rPr>
    </w:pPr>
    <w:r>
      <w:fldChar w:fldCharType="begin"/>
    </w:r>
    <w:r>
      <w:rPr>
        <w:rStyle w:val="35"/>
      </w:rPr>
      <w:instrText xml:space="preserve">PAGE  </w:instrText>
    </w:r>
    <w:r>
      <w:fldChar w:fldCharType="separate"/>
    </w:r>
    <w:r>
      <w:rPr>
        <w:rStyle w:val="35"/>
      </w:rPr>
      <w:t>22</w:t>
    </w:r>
    <w:r>
      <w:fldChar w:fldCharType="end"/>
    </w:r>
  </w:p>
  <w:p w14:paraId="1344411B">
    <w:pPr>
      <w:pStyle w:val="21"/>
      <w:framePr w:wrap="around" w:vAnchor="text" w:hAnchor="margin" w:xAlign="center" w:y="1"/>
      <w:rPr>
        <w:rStyle w:val="35"/>
      </w:rPr>
    </w:pPr>
  </w:p>
  <w:p w14:paraId="718EDAD5">
    <w:pPr>
      <w:pStyle w:val="21"/>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4BAA9F">
    <w:pPr>
      <w:pStyle w:val="21"/>
      <w:jc w:val="center"/>
      <w:rPr>
        <w:sz w:val="21"/>
      </w:rPr>
    </w:pPr>
    <w:r>
      <w:fldChar w:fldCharType="begin"/>
    </w:r>
    <w:r>
      <w:rPr>
        <w:rStyle w:val="35"/>
      </w:rPr>
      <w:instrText xml:space="preserve"> PAGE </w:instrText>
    </w:r>
    <w:r>
      <w:fldChar w:fldCharType="separate"/>
    </w:r>
    <w:r>
      <w:rPr>
        <w:rStyle w:val="35"/>
      </w:rPr>
      <w:t>42</w:t>
    </w:r>
    <w:r>
      <w:fldChar w:fldCharType="end"/>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B16ABB">
    <w:pPr>
      <w:pStyle w:val="22"/>
      <w:jc w:val="both"/>
    </w:pPr>
    <w:r>
      <w:rPr>
        <w:rFonts w:hint="eastAsia"/>
      </w:rPr>
      <w:t xml:space="preserve">招标文件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9048AA">
    <w:pPr>
      <w:pStyle w:val="22"/>
      <w:jc w:val="both"/>
    </w:pPr>
    <w:r>
      <w:t xml:space="preserve"> </w:t>
    </w:r>
    <w:r>
      <w:rPr>
        <w:rFonts w:hint="eastAsia"/>
      </w:rPr>
      <w:t xml:space="preserve">招标文件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0"/>
    <w:multiLevelType w:val="singleLevel"/>
    <w:tmpl w:val="00000000"/>
    <w:lvl w:ilvl="0" w:tentative="0">
      <w:start w:val="1"/>
      <w:numFmt w:val="chineseCounting"/>
      <w:suff w:val="nothing"/>
      <w:lvlText w:val="（%1）"/>
      <w:lvlJc w:val="left"/>
      <w:rPr>
        <w:rFonts w:hint="eastAsia"/>
      </w:rPr>
    </w:lvl>
  </w:abstractNum>
  <w:abstractNum w:abstractNumId="1">
    <w:nsid w:val="00000001"/>
    <w:multiLevelType w:val="singleLevel"/>
    <w:tmpl w:val="00000001"/>
    <w:lvl w:ilvl="0" w:tentative="0">
      <w:start w:val="4"/>
      <w:numFmt w:val="decimal"/>
      <w:suff w:val="nothing"/>
      <w:lvlText w:val="%1、"/>
      <w:lvlJc w:val="left"/>
    </w:lvl>
  </w:abstractNum>
  <w:abstractNum w:abstractNumId="2">
    <w:nsid w:val="00000002"/>
    <w:multiLevelType w:val="singleLevel"/>
    <w:tmpl w:val="00000002"/>
    <w:lvl w:ilvl="0" w:tentative="0">
      <w:start w:val="1"/>
      <w:numFmt w:val="decimal"/>
      <w:lvlText w:val="%1."/>
      <w:lvlJc w:val="left"/>
      <w:pPr>
        <w:tabs>
          <w:tab w:val="left" w:pos="312"/>
        </w:tabs>
      </w:pPr>
    </w:lvl>
  </w:abstractNum>
  <w:abstractNum w:abstractNumId="3">
    <w:nsid w:val="00000003"/>
    <w:multiLevelType w:val="singleLevel"/>
    <w:tmpl w:val="00000003"/>
    <w:lvl w:ilvl="0" w:tentative="0">
      <w:start w:val="2"/>
      <w:numFmt w:val="decimal"/>
      <w:suff w:val="nothing"/>
      <w:lvlText w:val="（%1）"/>
      <w:lvlJc w:val="left"/>
    </w:lvl>
  </w:abstractNum>
  <w:abstractNum w:abstractNumId="4">
    <w:nsid w:val="00000004"/>
    <w:multiLevelType w:val="singleLevel"/>
    <w:tmpl w:val="00000004"/>
    <w:lvl w:ilvl="0" w:tentative="0">
      <w:start w:val="1"/>
      <w:numFmt w:val="decimal"/>
      <w:lvlText w:val="%1、"/>
      <w:lvlJc w:val="left"/>
      <w:pPr>
        <w:tabs>
          <w:tab w:val="left" w:pos="840"/>
        </w:tabs>
        <w:ind w:left="840" w:hanging="360"/>
      </w:pPr>
      <w:rPr>
        <w:rFonts w:hint="eastAsia"/>
      </w:rPr>
    </w:lvl>
  </w:abstractNum>
  <w:num w:numId="1">
    <w:abstractNumId w:val="1"/>
  </w:num>
  <w:num w:numId="2">
    <w:abstractNumId w:val="2"/>
  </w:num>
  <w:num w:numId="3">
    <w:abstractNumId w:val="3"/>
  </w:num>
  <w:num w:numId="4">
    <w:abstractNumId w:val="0"/>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4"/>
  <w:drawingGridHorizontalSpacing w:val="105"/>
  <w:drawingGridVerticalSpacing w:val="285"/>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2251150"/>
    <w:rsid w:val="045F5A0A"/>
    <w:rsid w:val="04672D6A"/>
    <w:rsid w:val="084D7F74"/>
    <w:rsid w:val="087D5842"/>
    <w:rsid w:val="092108C3"/>
    <w:rsid w:val="093D4927"/>
    <w:rsid w:val="0C656F5B"/>
    <w:rsid w:val="0E8E4EA2"/>
    <w:rsid w:val="105772C0"/>
    <w:rsid w:val="1332606B"/>
    <w:rsid w:val="14520546"/>
    <w:rsid w:val="146A711A"/>
    <w:rsid w:val="16940721"/>
    <w:rsid w:val="1876557E"/>
    <w:rsid w:val="1A074540"/>
    <w:rsid w:val="1C077F5C"/>
    <w:rsid w:val="1C2D62B1"/>
    <w:rsid w:val="1DD106B2"/>
    <w:rsid w:val="20232D1B"/>
    <w:rsid w:val="212B176C"/>
    <w:rsid w:val="23F23130"/>
    <w:rsid w:val="24AB616F"/>
    <w:rsid w:val="24CC1BD3"/>
    <w:rsid w:val="26B75F6B"/>
    <w:rsid w:val="29B97BE1"/>
    <w:rsid w:val="2C630162"/>
    <w:rsid w:val="2C7B4F5B"/>
    <w:rsid w:val="2CA57561"/>
    <w:rsid w:val="2CEC1065"/>
    <w:rsid w:val="2D6A2993"/>
    <w:rsid w:val="2E023EA3"/>
    <w:rsid w:val="2EB45351"/>
    <w:rsid w:val="2F621707"/>
    <w:rsid w:val="3073370F"/>
    <w:rsid w:val="31280D2D"/>
    <w:rsid w:val="31A6555A"/>
    <w:rsid w:val="33447EAF"/>
    <w:rsid w:val="35D24DC8"/>
    <w:rsid w:val="368636D2"/>
    <w:rsid w:val="376D5966"/>
    <w:rsid w:val="394A4A3E"/>
    <w:rsid w:val="39913EFC"/>
    <w:rsid w:val="39AA77D3"/>
    <w:rsid w:val="3ABF1EA8"/>
    <w:rsid w:val="3C65624C"/>
    <w:rsid w:val="3E894AA3"/>
    <w:rsid w:val="400A6A1A"/>
    <w:rsid w:val="413A35D5"/>
    <w:rsid w:val="41432DC5"/>
    <w:rsid w:val="41562AF9"/>
    <w:rsid w:val="44FD2916"/>
    <w:rsid w:val="4A5676C5"/>
    <w:rsid w:val="4E1F2C32"/>
    <w:rsid w:val="4E214607"/>
    <w:rsid w:val="4E947F6D"/>
    <w:rsid w:val="504102AF"/>
    <w:rsid w:val="50707A6A"/>
    <w:rsid w:val="52C13B4A"/>
    <w:rsid w:val="537A2677"/>
    <w:rsid w:val="544C0985"/>
    <w:rsid w:val="550834A1"/>
    <w:rsid w:val="55BF57CF"/>
    <w:rsid w:val="57813755"/>
    <w:rsid w:val="58BD1136"/>
    <w:rsid w:val="59C83E99"/>
    <w:rsid w:val="5A7D0C9E"/>
    <w:rsid w:val="5AD71746"/>
    <w:rsid w:val="5BEC058B"/>
    <w:rsid w:val="5C0D1BAE"/>
    <w:rsid w:val="5D2156C5"/>
    <w:rsid w:val="5E084D23"/>
    <w:rsid w:val="5E13472B"/>
    <w:rsid w:val="5F9D4C85"/>
    <w:rsid w:val="62562501"/>
    <w:rsid w:val="63C811DC"/>
    <w:rsid w:val="648916A0"/>
    <w:rsid w:val="65D025CA"/>
    <w:rsid w:val="6653049F"/>
    <w:rsid w:val="66E22F48"/>
    <w:rsid w:val="67B11F87"/>
    <w:rsid w:val="68356062"/>
    <w:rsid w:val="68836AFE"/>
    <w:rsid w:val="696D4A39"/>
    <w:rsid w:val="6A3F2CAA"/>
    <w:rsid w:val="6A6B4B35"/>
    <w:rsid w:val="6AB763D1"/>
    <w:rsid w:val="6ADB01CB"/>
    <w:rsid w:val="6C8C5F63"/>
    <w:rsid w:val="6CFE5C6F"/>
    <w:rsid w:val="6D7E08AD"/>
    <w:rsid w:val="6EA726B5"/>
    <w:rsid w:val="6F8129E7"/>
    <w:rsid w:val="6FE52A30"/>
    <w:rsid w:val="70437B92"/>
    <w:rsid w:val="728A528D"/>
    <w:rsid w:val="72C92BB9"/>
    <w:rsid w:val="745675A8"/>
    <w:rsid w:val="758B0D5E"/>
    <w:rsid w:val="7705720E"/>
    <w:rsid w:val="7A4B626B"/>
    <w:rsid w:val="7C0B3F04"/>
    <w:rsid w:val="7D0E757A"/>
    <w:rsid w:val="7EDC357C"/>
    <w:rsid w:val="7F8738A2"/>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9" w:semiHidden="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qFormat="1"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99" w:semiHidden="0" w:name="Body Text First Indent"/>
    <w:lsdException w:qFormat="1" w:unhideWhenUsed="0" w:uiPriority="99"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99"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99"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qFormat="1"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39" w:semiHidden="0" w:name="Table Grid"/>
    <w:lsdException w:unhideWhenUsed="0" w:uiPriority="0" w:semiHidden="0"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lang w:val="en-US" w:eastAsia="zh-CN" w:bidi="ar-SA"/>
    </w:rPr>
  </w:style>
  <w:style w:type="paragraph" w:styleId="4">
    <w:name w:val="heading 1"/>
    <w:basedOn w:val="1"/>
    <w:next w:val="1"/>
    <w:qFormat/>
    <w:uiPriority w:val="0"/>
    <w:pPr>
      <w:keepNext/>
      <w:keepLines/>
      <w:tabs>
        <w:tab w:val="left" w:pos="1800"/>
      </w:tabs>
      <w:adjustRightInd w:val="0"/>
      <w:spacing w:before="340" w:after="330" w:line="578" w:lineRule="atLeast"/>
      <w:ind w:left="1110" w:hanging="1110"/>
      <w:jc w:val="center"/>
      <w:textAlignment w:val="baseline"/>
      <w:outlineLvl w:val="0"/>
    </w:pPr>
    <w:rPr>
      <w:b/>
      <w:kern w:val="44"/>
      <w:sz w:val="44"/>
    </w:rPr>
  </w:style>
  <w:style w:type="paragraph" w:styleId="5">
    <w:name w:val="heading 2"/>
    <w:basedOn w:val="1"/>
    <w:next w:val="1"/>
    <w:qFormat/>
    <w:uiPriority w:val="0"/>
    <w:pPr>
      <w:keepNext/>
      <w:keepLines/>
      <w:spacing w:before="260" w:after="260" w:line="416" w:lineRule="auto"/>
      <w:outlineLvl w:val="1"/>
    </w:pPr>
    <w:rPr>
      <w:rFonts w:ascii="Arial" w:hAnsi="Arial" w:eastAsia="黑体"/>
      <w:b/>
      <w:bCs/>
      <w:sz w:val="32"/>
      <w:szCs w:val="32"/>
    </w:rPr>
  </w:style>
  <w:style w:type="paragraph" w:styleId="6">
    <w:name w:val="heading 3"/>
    <w:basedOn w:val="1"/>
    <w:next w:val="1"/>
    <w:link w:val="44"/>
    <w:qFormat/>
    <w:uiPriority w:val="0"/>
    <w:pPr>
      <w:keepNext/>
      <w:keepLines/>
      <w:spacing w:before="260" w:after="260" w:line="416" w:lineRule="auto"/>
      <w:outlineLvl w:val="2"/>
    </w:pPr>
    <w:rPr>
      <w:b/>
      <w:sz w:val="32"/>
    </w:rPr>
  </w:style>
  <w:style w:type="paragraph" w:styleId="7">
    <w:name w:val="heading 4"/>
    <w:basedOn w:val="1"/>
    <w:next w:val="1"/>
    <w:qFormat/>
    <w:uiPriority w:val="0"/>
    <w:pPr>
      <w:keepNext/>
      <w:keepLines/>
      <w:adjustRightInd w:val="0"/>
      <w:spacing w:before="280" w:after="290" w:line="376" w:lineRule="atLeast"/>
      <w:outlineLvl w:val="3"/>
    </w:pPr>
    <w:rPr>
      <w:rFonts w:ascii="Arial" w:hAnsi="Arial" w:eastAsia="黑体"/>
      <w:b/>
      <w:kern w:val="0"/>
      <w:sz w:val="28"/>
    </w:rPr>
  </w:style>
  <w:style w:type="paragraph" w:styleId="8">
    <w:name w:val="heading 5"/>
    <w:basedOn w:val="1"/>
    <w:next w:val="1"/>
    <w:qFormat/>
    <w:uiPriority w:val="9"/>
    <w:pPr>
      <w:keepNext/>
      <w:keepLines/>
      <w:spacing w:before="280" w:after="290" w:line="376" w:lineRule="auto"/>
      <w:outlineLvl w:val="4"/>
    </w:pPr>
    <w:rPr>
      <w:b/>
      <w:bCs/>
      <w:szCs w:val="28"/>
    </w:rPr>
  </w:style>
  <w:style w:type="character" w:default="1" w:styleId="33">
    <w:name w:val="Default Paragraph Font"/>
    <w:qFormat/>
    <w:uiPriority w:val="1"/>
  </w:style>
  <w:style w:type="table" w:default="1" w:styleId="30">
    <w:name w:val="Normal Table"/>
    <w:qFormat/>
    <w:uiPriority w:val="99"/>
    <w:tblPr>
      <w:tblCellMar>
        <w:top w:w="0" w:type="dxa"/>
        <w:left w:w="108" w:type="dxa"/>
        <w:bottom w:w="0" w:type="dxa"/>
        <w:right w:w="108" w:type="dxa"/>
      </w:tblCellMar>
    </w:tblPr>
  </w:style>
  <w:style w:type="paragraph" w:styleId="2">
    <w:name w:val="Body Text"/>
    <w:basedOn w:val="1"/>
    <w:next w:val="3"/>
    <w:link w:val="46"/>
    <w:qFormat/>
    <w:uiPriority w:val="0"/>
    <w:rPr>
      <w:i/>
      <w:sz w:val="18"/>
    </w:rPr>
  </w:style>
  <w:style w:type="paragraph" w:styleId="3">
    <w:name w:val="Body Text First Indent"/>
    <w:basedOn w:val="2"/>
    <w:next w:val="1"/>
    <w:qFormat/>
    <w:uiPriority w:val="99"/>
    <w:pPr>
      <w:spacing w:line="360" w:lineRule="auto"/>
      <w:ind w:firstLine="200" w:firstLineChars="200"/>
      <w:jc w:val="left"/>
    </w:pPr>
    <w:rPr>
      <w:b/>
      <w:bCs/>
      <w:sz w:val="24"/>
      <w:lang w:val="en-GB"/>
    </w:rPr>
  </w:style>
  <w:style w:type="paragraph" w:styleId="9">
    <w:name w:val="Normal Indent"/>
    <w:basedOn w:val="1"/>
    <w:next w:val="1"/>
    <w:qFormat/>
    <w:uiPriority w:val="0"/>
    <w:pPr>
      <w:ind w:firstLine="420"/>
    </w:pPr>
  </w:style>
  <w:style w:type="paragraph" w:styleId="10">
    <w:name w:val="Document Map"/>
    <w:basedOn w:val="1"/>
    <w:qFormat/>
    <w:uiPriority w:val="0"/>
    <w:pPr>
      <w:shd w:val="clear" w:color="auto" w:fill="000080"/>
    </w:pPr>
  </w:style>
  <w:style w:type="paragraph" w:styleId="11">
    <w:name w:val="toa heading"/>
    <w:basedOn w:val="1"/>
    <w:next w:val="1"/>
    <w:qFormat/>
    <w:uiPriority w:val="0"/>
    <w:pPr>
      <w:spacing w:before="120"/>
    </w:pPr>
    <w:rPr>
      <w:rFonts w:ascii="Arial" w:hAnsi="Arial"/>
      <w:sz w:val="24"/>
    </w:rPr>
  </w:style>
  <w:style w:type="paragraph" w:styleId="12">
    <w:name w:val="annotation text"/>
    <w:basedOn w:val="1"/>
    <w:link w:val="45"/>
    <w:qFormat/>
    <w:uiPriority w:val="0"/>
    <w:pPr>
      <w:jc w:val="left"/>
    </w:pPr>
    <w:rPr>
      <w:szCs w:val="22"/>
    </w:rPr>
  </w:style>
  <w:style w:type="paragraph" w:styleId="13">
    <w:name w:val="Body Text 3"/>
    <w:basedOn w:val="1"/>
    <w:qFormat/>
    <w:uiPriority w:val="0"/>
    <w:pPr>
      <w:spacing w:after="120"/>
    </w:pPr>
    <w:rPr>
      <w:sz w:val="16"/>
      <w:szCs w:val="16"/>
    </w:rPr>
  </w:style>
  <w:style w:type="paragraph" w:styleId="14">
    <w:name w:val="Body Text Indent"/>
    <w:basedOn w:val="1"/>
    <w:next w:val="1"/>
    <w:link w:val="47"/>
    <w:qFormat/>
    <w:uiPriority w:val="0"/>
    <w:pPr>
      <w:spacing w:line="380" w:lineRule="exact"/>
      <w:ind w:firstLine="480"/>
    </w:pPr>
    <w:rPr>
      <w:rFonts w:eastAsia="方正书宋简体"/>
      <w:sz w:val="24"/>
    </w:rPr>
  </w:style>
  <w:style w:type="paragraph" w:styleId="15">
    <w:name w:val="toc 3"/>
    <w:basedOn w:val="1"/>
    <w:next w:val="1"/>
    <w:qFormat/>
    <w:uiPriority w:val="0"/>
    <w:pPr>
      <w:ind w:left="840" w:leftChars="400"/>
    </w:pPr>
  </w:style>
  <w:style w:type="paragraph" w:styleId="16">
    <w:name w:val="Plain Text"/>
    <w:basedOn w:val="1"/>
    <w:next w:val="1"/>
    <w:link w:val="48"/>
    <w:qFormat/>
    <w:uiPriority w:val="99"/>
    <w:rPr>
      <w:rFonts w:ascii="宋体" w:hAnsi="Courier New" w:cs="Courier New"/>
      <w:szCs w:val="21"/>
    </w:rPr>
  </w:style>
  <w:style w:type="paragraph" w:styleId="17">
    <w:name w:val="toc 8"/>
    <w:basedOn w:val="1"/>
    <w:next w:val="1"/>
    <w:qFormat/>
    <w:uiPriority w:val="0"/>
    <w:pPr>
      <w:ind w:left="2940" w:leftChars="1400"/>
    </w:pPr>
  </w:style>
  <w:style w:type="paragraph" w:styleId="18">
    <w:name w:val="Date"/>
    <w:basedOn w:val="1"/>
    <w:next w:val="1"/>
    <w:qFormat/>
    <w:uiPriority w:val="0"/>
    <w:pPr>
      <w:adjustRightInd w:val="0"/>
      <w:spacing w:line="312" w:lineRule="atLeast"/>
      <w:jc w:val="right"/>
      <w:textAlignment w:val="baseline"/>
    </w:pPr>
    <w:rPr>
      <w:rFonts w:ascii="宋体"/>
      <w:kern w:val="0"/>
      <w:sz w:val="24"/>
    </w:rPr>
  </w:style>
  <w:style w:type="paragraph" w:styleId="19">
    <w:name w:val="Body Text Indent 2"/>
    <w:basedOn w:val="1"/>
    <w:qFormat/>
    <w:uiPriority w:val="0"/>
    <w:pPr>
      <w:widowControl/>
      <w:ind w:left="1215"/>
      <w:jc w:val="left"/>
    </w:pPr>
    <w:rPr>
      <w:kern w:val="0"/>
      <w:sz w:val="24"/>
    </w:rPr>
  </w:style>
  <w:style w:type="paragraph" w:styleId="20">
    <w:name w:val="Balloon Text"/>
    <w:basedOn w:val="1"/>
    <w:qFormat/>
    <w:uiPriority w:val="0"/>
    <w:rPr>
      <w:sz w:val="18"/>
      <w:szCs w:val="18"/>
    </w:rPr>
  </w:style>
  <w:style w:type="paragraph" w:styleId="21">
    <w:name w:val="footer"/>
    <w:basedOn w:val="1"/>
    <w:link w:val="49"/>
    <w:qFormat/>
    <w:uiPriority w:val="0"/>
    <w:pPr>
      <w:tabs>
        <w:tab w:val="center" w:pos="4153"/>
        <w:tab w:val="right" w:pos="8306"/>
      </w:tabs>
      <w:snapToGrid w:val="0"/>
      <w:jc w:val="left"/>
    </w:pPr>
    <w:rPr>
      <w:sz w:val="18"/>
    </w:rPr>
  </w:style>
  <w:style w:type="paragraph" w:styleId="22">
    <w:name w:val="header"/>
    <w:basedOn w:val="1"/>
    <w:link w:val="50"/>
    <w:qFormat/>
    <w:uiPriority w:val="0"/>
    <w:pPr>
      <w:pBdr>
        <w:bottom w:val="single" w:color="auto" w:sz="6" w:space="1"/>
      </w:pBdr>
      <w:tabs>
        <w:tab w:val="center" w:pos="4153"/>
        <w:tab w:val="right" w:pos="8306"/>
      </w:tabs>
      <w:snapToGrid w:val="0"/>
      <w:jc w:val="center"/>
    </w:pPr>
    <w:rPr>
      <w:sz w:val="18"/>
    </w:rPr>
  </w:style>
  <w:style w:type="paragraph" w:styleId="23">
    <w:name w:val="toc 1"/>
    <w:basedOn w:val="1"/>
    <w:next w:val="1"/>
    <w:qFormat/>
    <w:uiPriority w:val="0"/>
  </w:style>
  <w:style w:type="paragraph" w:styleId="24">
    <w:name w:val="Subtitle"/>
    <w:basedOn w:val="1"/>
    <w:next w:val="1"/>
    <w:qFormat/>
    <w:uiPriority w:val="0"/>
    <w:pPr>
      <w:spacing w:before="60" w:after="60"/>
      <w:jc w:val="left"/>
      <w:outlineLvl w:val="1"/>
    </w:pPr>
    <w:rPr>
      <w:rFonts w:ascii="等线 Light" w:hAnsi="等线 Light" w:eastAsia="楷体"/>
      <w:bCs/>
      <w:kern w:val="28"/>
      <w:szCs w:val="32"/>
    </w:rPr>
  </w:style>
  <w:style w:type="paragraph" w:styleId="25">
    <w:name w:val="Body Text Indent 3"/>
    <w:basedOn w:val="1"/>
    <w:qFormat/>
    <w:uiPriority w:val="0"/>
    <w:pPr>
      <w:ind w:firstLine="480"/>
    </w:pPr>
    <w:rPr>
      <w:i/>
      <w:iCs/>
    </w:rPr>
  </w:style>
  <w:style w:type="paragraph" w:styleId="26">
    <w:name w:val="Body Text 2"/>
    <w:basedOn w:val="1"/>
    <w:qFormat/>
    <w:uiPriority w:val="0"/>
    <w:pPr>
      <w:widowControl/>
      <w:adjustRightInd w:val="0"/>
      <w:snapToGrid w:val="0"/>
      <w:spacing w:line="456" w:lineRule="exact"/>
      <w:jc w:val="left"/>
    </w:pPr>
    <w:rPr>
      <w:rFonts w:ascii="宋体"/>
      <w:kern w:val="0"/>
      <w:sz w:val="24"/>
    </w:rPr>
  </w:style>
  <w:style w:type="paragraph" w:styleId="27">
    <w:name w:val="Normal (Web)"/>
    <w:basedOn w:val="1"/>
    <w:link w:val="51"/>
    <w:qFormat/>
    <w:uiPriority w:val="99"/>
    <w:pPr>
      <w:widowControl/>
      <w:spacing w:before="100" w:beforeAutospacing="1" w:after="100" w:afterAutospacing="1"/>
      <w:jc w:val="left"/>
    </w:pPr>
    <w:rPr>
      <w:rFonts w:ascii="宋体" w:hAnsi="宋体"/>
      <w:kern w:val="0"/>
      <w:sz w:val="24"/>
      <w:szCs w:val="24"/>
    </w:rPr>
  </w:style>
  <w:style w:type="paragraph" w:styleId="28">
    <w:name w:val="Title"/>
    <w:basedOn w:val="1"/>
    <w:qFormat/>
    <w:uiPriority w:val="0"/>
    <w:pPr>
      <w:spacing w:before="240" w:after="60"/>
      <w:jc w:val="center"/>
      <w:outlineLvl w:val="0"/>
    </w:pPr>
    <w:rPr>
      <w:rFonts w:ascii="Arial" w:hAnsi="Arial" w:cs="Arial"/>
      <w:b/>
      <w:bCs/>
      <w:sz w:val="32"/>
      <w:szCs w:val="32"/>
    </w:rPr>
  </w:style>
  <w:style w:type="paragraph" w:styleId="29">
    <w:name w:val="Body Text First Indent 2"/>
    <w:basedOn w:val="14"/>
    <w:next w:val="1"/>
    <w:qFormat/>
    <w:uiPriority w:val="99"/>
    <w:pPr>
      <w:ind w:firstLine="420" w:firstLineChars="200"/>
    </w:pPr>
  </w:style>
  <w:style w:type="table" w:styleId="31">
    <w:name w:val="Table Grid"/>
    <w:basedOn w:val="30"/>
    <w:qFormat/>
    <w:uiPriority w:val="3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32">
    <w:name w:val="Table Elegant"/>
    <w:basedOn w:val="30"/>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character" w:styleId="34">
    <w:name w:val="Strong"/>
    <w:qFormat/>
    <w:uiPriority w:val="0"/>
    <w:rPr>
      <w:b/>
      <w:bCs/>
    </w:rPr>
  </w:style>
  <w:style w:type="character" w:styleId="35">
    <w:name w:val="page number"/>
    <w:basedOn w:val="33"/>
    <w:qFormat/>
    <w:uiPriority w:val="0"/>
  </w:style>
  <w:style w:type="character" w:styleId="36">
    <w:name w:val="FollowedHyperlink"/>
    <w:qFormat/>
    <w:uiPriority w:val="0"/>
    <w:rPr>
      <w:color w:val="800080"/>
      <w:u w:val="single"/>
    </w:rPr>
  </w:style>
  <w:style w:type="character" w:styleId="37">
    <w:name w:val="Emphasis"/>
    <w:qFormat/>
    <w:uiPriority w:val="0"/>
    <w:rPr>
      <w:color w:val="CC0000"/>
    </w:rPr>
  </w:style>
  <w:style w:type="character" w:styleId="38">
    <w:name w:val="Hyperlink"/>
    <w:qFormat/>
    <w:uiPriority w:val="0"/>
    <w:rPr>
      <w:color w:val="0000FF"/>
      <w:u w:val="single"/>
    </w:rPr>
  </w:style>
  <w:style w:type="character" w:styleId="39">
    <w:name w:val="annotation reference"/>
    <w:basedOn w:val="33"/>
    <w:qFormat/>
    <w:uiPriority w:val="0"/>
    <w:rPr>
      <w:sz w:val="21"/>
      <w:szCs w:val="21"/>
    </w:rPr>
  </w:style>
  <w:style w:type="paragraph" w:customStyle="1" w:styleId="40">
    <w:name w:val="表格文字"/>
    <w:basedOn w:val="1"/>
    <w:next w:val="2"/>
    <w:qFormat/>
    <w:uiPriority w:val="0"/>
    <w:pPr>
      <w:snapToGrid w:val="0"/>
      <w:spacing w:before="120"/>
    </w:pPr>
  </w:style>
  <w:style w:type="paragraph" w:customStyle="1" w:styleId="41">
    <w:name w:val="[Normal]"/>
    <w:qFormat/>
    <w:uiPriority w:val="0"/>
    <w:rPr>
      <w:rFonts w:ascii="宋体" w:hAnsi="宋体" w:eastAsia="宋体" w:cs="Times New Roman"/>
      <w:sz w:val="24"/>
      <w:szCs w:val="22"/>
      <w:lang w:val="zh-CN" w:eastAsia="zh-CN" w:bidi="ar-SA"/>
    </w:rPr>
  </w:style>
  <w:style w:type="paragraph" w:styleId="42">
    <w:name w:val="No Spacing"/>
    <w:basedOn w:val="1"/>
    <w:link w:val="43"/>
    <w:qFormat/>
    <w:uiPriority w:val="0"/>
    <w:pPr>
      <w:widowControl/>
      <w:jc w:val="left"/>
    </w:pPr>
    <w:rPr>
      <w:kern w:val="0"/>
      <w:sz w:val="20"/>
      <w:lang w:eastAsia="en-US"/>
    </w:rPr>
  </w:style>
  <w:style w:type="character" w:customStyle="1" w:styleId="43">
    <w:name w:val="无间隔 字符"/>
    <w:link w:val="42"/>
    <w:qFormat/>
    <w:uiPriority w:val="0"/>
    <w:rPr>
      <w:rFonts w:ascii="Calibri" w:hAnsi="Calibri" w:eastAsia="宋体"/>
      <w:lang w:eastAsia="en-US" w:bidi="ar-SA"/>
    </w:rPr>
  </w:style>
  <w:style w:type="character" w:customStyle="1" w:styleId="44">
    <w:name w:val="标题 3 字符"/>
    <w:link w:val="6"/>
    <w:qFormat/>
    <w:uiPriority w:val="0"/>
    <w:rPr>
      <w:rFonts w:eastAsia="宋体"/>
      <w:b/>
      <w:kern w:val="2"/>
      <w:sz w:val="32"/>
      <w:lang w:val="en-US" w:eastAsia="zh-CN" w:bidi="ar-SA"/>
    </w:rPr>
  </w:style>
  <w:style w:type="character" w:customStyle="1" w:styleId="45">
    <w:name w:val="批注文字 字符"/>
    <w:link w:val="12"/>
    <w:qFormat/>
    <w:uiPriority w:val="0"/>
    <w:rPr>
      <w:rFonts w:ascii="Calibri" w:hAnsi="Calibri"/>
      <w:kern w:val="2"/>
      <w:sz w:val="21"/>
      <w:szCs w:val="22"/>
    </w:rPr>
  </w:style>
  <w:style w:type="character" w:customStyle="1" w:styleId="46">
    <w:name w:val="正文文本 字符"/>
    <w:link w:val="2"/>
    <w:qFormat/>
    <w:uiPriority w:val="0"/>
    <w:rPr>
      <w:i/>
      <w:kern w:val="2"/>
      <w:sz w:val="18"/>
    </w:rPr>
  </w:style>
  <w:style w:type="character" w:customStyle="1" w:styleId="47">
    <w:name w:val="正文文本缩进 字符"/>
    <w:link w:val="14"/>
    <w:qFormat/>
    <w:uiPriority w:val="0"/>
    <w:rPr>
      <w:rFonts w:eastAsia="方正书宋简体"/>
      <w:kern w:val="2"/>
      <w:sz w:val="24"/>
      <w:lang w:val="en-US" w:eastAsia="zh-CN" w:bidi="ar-SA"/>
    </w:rPr>
  </w:style>
  <w:style w:type="character" w:customStyle="1" w:styleId="48">
    <w:name w:val="纯文本 字符"/>
    <w:link w:val="16"/>
    <w:qFormat/>
    <w:uiPriority w:val="99"/>
    <w:rPr>
      <w:rFonts w:ascii="宋体" w:hAnsi="Courier New" w:eastAsia="宋体" w:cs="Courier New"/>
      <w:kern w:val="2"/>
      <w:sz w:val="21"/>
      <w:szCs w:val="21"/>
      <w:lang w:val="en-US" w:eastAsia="zh-CN" w:bidi="ar-SA"/>
    </w:rPr>
  </w:style>
  <w:style w:type="character" w:customStyle="1" w:styleId="49">
    <w:name w:val="页脚 字符"/>
    <w:link w:val="21"/>
    <w:qFormat/>
    <w:uiPriority w:val="0"/>
    <w:rPr>
      <w:rFonts w:eastAsia="宋体"/>
      <w:kern w:val="2"/>
      <w:sz w:val="18"/>
      <w:lang w:val="en-US" w:eastAsia="zh-CN" w:bidi="ar-SA"/>
    </w:rPr>
  </w:style>
  <w:style w:type="character" w:customStyle="1" w:styleId="50">
    <w:name w:val="页眉 字符"/>
    <w:link w:val="22"/>
    <w:qFormat/>
    <w:uiPriority w:val="0"/>
    <w:rPr>
      <w:rFonts w:eastAsia="宋体"/>
      <w:kern w:val="2"/>
      <w:sz w:val="18"/>
      <w:lang w:val="en-US" w:eastAsia="zh-CN" w:bidi="ar-SA"/>
    </w:rPr>
  </w:style>
  <w:style w:type="character" w:customStyle="1" w:styleId="51">
    <w:name w:val="普通(网站) 字符"/>
    <w:link w:val="27"/>
    <w:qFormat/>
    <w:uiPriority w:val="99"/>
    <w:rPr>
      <w:rFonts w:ascii="宋体" w:hAnsi="宋体" w:cs="宋体"/>
      <w:sz w:val="24"/>
      <w:szCs w:val="24"/>
    </w:rPr>
  </w:style>
  <w:style w:type="paragraph" w:customStyle="1" w:styleId="52">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character" w:customStyle="1" w:styleId="53">
    <w:name w:val="apple-converted-space"/>
    <w:qFormat/>
    <w:uiPriority w:val="0"/>
  </w:style>
  <w:style w:type="character" w:customStyle="1" w:styleId="54">
    <w:name w:val="ca-22"/>
    <w:qFormat/>
    <w:uiPriority w:val="0"/>
    <w:rPr>
      <w:rFonts w:cs="Times New Roman"/>
    </w:rPr>
  </w:style>
  <w:style w:type="character" w:customStyle="1" w:styleId="55">
    <w:name w:val="font11"/>
    <w:qFormat/>
    <w:uiPriority w:val="0"/>
    <w:rPr>
      <w:rFonts w:hint="eastAsia" w:ascii="宋体" w:hAnsi="宋体" w:eastAsia="宋体" w:cs="宋体"/>
      <w:color w:val="000000"/>
      <w:sz w:val="20"/>
      <w:szCs w:val="20"/>
      <w:u w:val="none"/>
      <w:vertAlign w:val="superscript"/>
    </w:rPr>
  </w:style>
  <w:style w:type="character" w:customStyle="1" w:styleId="56">
    <w:name w:val="正文文本缩进 Char1"/>
    <w:qFormat/>
    <w:uiPriority w:val="0"/>
    <w:rPr>
      <w:rFonts w:eastAsia="方正书宋简体"/>
      <w:kern w:val="2"/>
      <w:sz w:val="24"/>
    </w:rPr>
  </w:style>
  <w:style w:type="character" w:customStyle="1" w:styleId="57">
    <w:name w:val="font51"/>
    <w:basedOn w:val="33"/>
    <w:qFormat/>
    <w:uiPriority w:val="0"/>
    <w:rPr>
      <w:rFonts w:hint="default" w:ascii="Times New Roman" w:hAnsi="Times New Roman" w:cs="Times New Roman"/>
      <w:color w:val="000000"/>
      <w:sz w:val="21"/>
      <w:szCs w:val="21"/>
      <w:u w:val="none"/>
    </w:rPr>
  </w:style>
  <w:style w:type="character" w:customStyle="1" w:styleId="58">
    <w:name w:val="Plain Text Char"/>
    <w:qFormat/>
    <w:uiPriority w:val="0"/>
    <w:rPr>
      <w:rFonts w:ascii="宋体" w:hAnsi="Courier New" w:eastAsia="宋体"/>
      <w:kern w:val="2"/>
      <w:sz w:val="21"/>
      <w:lang w:val="en-US" w:eastAsia="zh-CN" w:bidi="ar-SA"/>
    </w:rPr>
  </w:style>
  <w:style w:type="character" w:customStyle="1" w:styleId="59">
    <w:name w:val="Header Char_5b161328-5528-4e3b-90e6-c0ed29a0804a"/>
    <w:qFormat/>
    <w:uiPriority w:val="0"/>
    <w:rPr>
      <w:rFonts w:cs="Times New Roman"/>
      <w:sz w:val="18"/>
      <w:szCs w:val="18"/>
    </w:rPr>
  </w:style>
  <w:style w:type="character" w:customStyle="1" w:styleId="60">
    <w:name w:val="font01"/>
    <w:basedOn w:val="33"/>
    <w:qFormat/>
    <w:uiPriority w:val="0"/>
    <w:rPr>
      <w:rFonts w:hint="eastAsia" w:ascii="宋体" w:hAnsi="宋体" w:eastAsia="宋体" w:cs="宋体"/>
      <w:color w:val="000000"/>
      <w:sz w:val="22"/>
      <w:szCs w:val="22"/>
      <w:u w:val="none"/>
    </w:rPr>
  </w:style>
  <w:style w:type="character" w:customStyle="1" w:styleId="61">
    <w:name w:val="search_content1"/>
    <w:qFormat/>
    <w:uiPriority w:val="0"/>
    <w:rPr>
      <w:sz w:val="20"/>
      <w:szCs w:val="20"/>
    </w:rPr>
  </w:style>
  <w:style w:type="character" w:customStyle="1" w:styleId="62">
    <w:name w:val="普通文字 Char Char1"/>
    <w:qFormat/>
    <w:uiPriority w:val="0"/>
    <w:rPr>
      <w:rFonts w:ascii="宋体" w:hAnsi="Courier New" w:eastAsia="宋体"/>
      <w:kern w:val="2"/>
      <w:sz w:val="24"/>
      <w:szCs w:val="24"/>
      <w:lang w:val="en-US" w:eastAsia="zh-CN" w:bidi="ar-SA"/>
    </w:rPr>
  </w:style>
  <w:style w:type="character" w:customStyle="1" w:styleId="63">
    <w:name w:val="列出段落 Char2"/>
    <w:link w:val="64"/>
    <w:qFormat/>
    <w:uiPriority w:val="0"/>
    <w:rPr>
      <w:kern w:val="2"/>
      <w:sz w:val="21"/>
    </w:rPr>
  </w:style>
  <w:style w:type="paragraph" w:customStyle="1" w:styleId="64">
    <w:name w:val="列出段落3"/>
    <w:basedOn w:val="1"/>
    <w:link w:val="63"/>
    <w:qFormat/>
    <w:uiPriority w:val="0"/>
    <w:pPr>
      <w:ind w:firstLine="420" w:firstLineChars="200"/>
    </w:pPr>
  </w:style>
  <w:style w:type="paragraph" w:customStyle="1" w:styleId="65">
    <w:name w:val="Char Char Char Char Char Char Char Char Char Char Char Char1 Char"/>
    <w:basedOn w:val="10"/>
    <w:qFormat/>
    <w:uiPriority w:val="0"/>
    <w:rPr>
      <w:rFonts w:ascii="Tahoma" w:hAnsi="Tahoma"/>
      <w:sz w:val="24"/>
      <w:szCs w:val="24"/>
    </w:rPr>
  </w:style>
  <w:style w:type="paragraph" w:customStyle="1" w:styleId="66">
    <w:name w:val="Char"/>
    <w:basedOn w:val="1"/>
    <w:qFormat/>
    <w:uiPriority w:val="0"/>
    <w:pPr>
      <w:widowControl/>
      <w:spacing w:line="400" w:lineRule="exact"/>
      <w:jc w:val="center"/>
    </w:pPr>
    <w:rPr>
      <w:rFonts w:ascii="Verdana" w:hAnsi="Verdana"/>
      <w:kern w:val="0"/>
      <w:lang w:eastAsia="en-US"/>
    </w:rPr>
  </w:style>
  <w:style w:type="paragraph" w:customStyle="1" w:styleId="67">
    <w:name w:val="Title2"/>
    <w:basedOn w:val="28"/>
    <w:qFormat/>
    <w:uiPriority w:val="0"/>
    <w:pPr>
      <w:widowControl/>
      <w:spacing w:before="60" w:after="120"/>
      <w:ind w:left="720"/>
      <w:outlineLvl w:val="9"/>
    </w:pPr>
    <w:rPr>
      <w:kern w:val="28"/>
      <w:lang w:eastAsia="en-US"/>
    </w:rPr>
  </w:style>
  <w:style w:type="paragraph" w:customStyle="1" w:styleId="68">
    <w:name w:val="Normal Char"/>
    <w:basedOn w:val="1"/>
    <w:qFormat/>
    <w:uiPriority w:val="0"/>
    <w:pPr>
      <w:suppressAutoHyphens/>
      <w:autoSpaceDE w:val="0"/>
      <w:jc w:val="left"/>
    </w:pPr>
    <w:rPr>
      <w:rFonts w:ascii="Thorndale" w:hAnsi="Thorndale" w:eastAsia="HG Mincho Light J"/>
      <w:color w:val="000000"/>
      <w:kern w:val="0"/>
      <w:sz w:val="20"/>
      <w:lang w:val="hu-HU"/>
    </w:rPr>
  </w:style>
  <w:style w:type="paragraph" w:customStyle="1" w:styleId="69">
    <w:name w:val="Char Char Char Char Char Char Char"/>
    <w:basedOn w:val="1"/>
    <w:qFormat/>
    <w:uiPriority w:val="0"/>
    <w:rPr>
      <w:rFonts w:ascii="Tahoma" w:hAnsi="Tahoma"/>
      <w:sz w:val="24"/>
    </w:rPr>
  </w:style>
  <w:style w:type="paragraph" w:customStyle="1" w:styleId="70">
    <w:name w:val="默认段落字体 Para Char Char Char Char Char Char Char"/>
    <w:basedOn w:val="10"/>
    <w:qFormat/>
    <w:uiPriority w:val="0"/>
    <w:pPr>
      <w:adjustRightInd w:val="0"/>
      <w:spacing w:line="436" w:lineRule="exact"/>
      <w:ind w:left="357"/>
      <w:jc w:val="left"/>
      <w:outlineLvl w:val="3"/>
    </w:pPr>
    <w:rPr>
      <w:rFonts w:ascii="Tahoma" w:hAnsi="Tahoma"/>
      <w:b/>
      <w:sz w:val="24"/>
      <w:szCs w:val="24"/>
    </w:rPr>
  </w:style>
  <w:style w:type="paragraph" w:customStyle="1" w:styleId="71">
    <w:name w:val="Table Paragraph"/>
    <w:basedOn w:val="1"/>
    <w:qFormat/>
    <w:uiPriority w:val="1"/>
    <w:pPr>
      <w:autoSpaceDE w:val="0"/>
      <w:autoSpaceDN w:val="0"/>
      <w:jc w:val="left"/>
    </w:pPr>
    <w:rPr>
      <w:rFonts w:ascii="宋体" w:hAnsi="宋体" w:cs="宋体"/>
      <w:kern w:val="0"/>
      <w:sz w:val="22"/>
      <w:szCs w:val="22"/>
      <w:lang w:eastAsia="en-US"/>
    </w:rPr>
  </w:style>
  <w:style w:type="paragraph" w:customStyle="1" w:styleId="72">
    <w:name w:val="列表段落1"/>
    <w:basedOn w:val="1"/>
    <w:qFormat/>
    <w:uiPriority w:val="34"/>
    <w:pPr>
      <w:ind w:firstLine="420" w:firstLineChars="200"/>
    </w:pPr>
  </w:style>
  <w:style w:type="paragraph" w:customStyle="1" w:styleId="73">
    <w:name w:val="Char Char"/>
    <w:basedOn w:val="1"/>
    <w:qFormat/>
    <w:uiPriority w:val="0"/>
    <w:pPr>
      <w:widowControl/>
      <w:spacing w:after="160" w:line="240" w:lineRule="exact"/>
      <w:jc w:val="left"/>
    </w:pPr>
    <w:rPr>
      <w:rFonts w:ascii="Verdana" w:hAnsi="Verdana" w:eastAsia="仿宋_GB2312"/>
      <w:kern w:val="0"/>
      <w:sz w:val="24"/>
      <w:lang w:eastAsia="en-US"/>
    </w:rPr>
  </w:style>
  <w:style w:type="paragraph" w:customStyle="1" w:styleId="74">
    <w:name w:val="Char11"/>
    <w:basedOn w:val="1"/>
    <w:qFormat/>
    <w:uiPriority w:val="0"/>
    <w:pPr>
      <w:tabs>
        <w:tab w:val="left" w:pos="1200"/>
        <w:tab w:val="left" w:pos="1800"/>
      </w:tabs>
      <w:ind w:left="1200" w:hanging="1110"/>
    </w:pPr>
    <w:rPr>
      <w:sz w:val="24"/>
      <w:szCs w:val="24"/>
    </w:rPr>
  </w:style>
  <w:style w:type="paragraph" w:customStyle="1" w:styleId="75">
    <w:name w:val="方案正文"/>
    <w:basedOn w:val="1"/>
    <w:qFormat/>
    <w:uiPriority w:val="0"/>
    <w:pPr>
      <w:spacing w:before="120" w:line="360" w:lineRule="auto"/>
      <w:ind w:firstLine="425" w:firstLineChars="177"/>
    </w:pPr>
    <w:rPr>
      <w:rFonts w:ascii="华文细黑" w:hAnsi="华文细黑" w:eastAsia="华文细黑"/>
      <w:kern w:val="0"/>
      <w:sz w:val="24"/>
      <w:szCs w:val="24"/>
    </w:rPr>
  </w:style>
  <w:style w:type="paragraph" w:customStyle="1" w:styleId="76">
    <w:name w:val="样式 四号 行距: 固定值 22 磅"/>
    <w:basedOn w:val="1"/>
    <w:qFormat/>
    <w:uiPriority w:val="0"/>
    <w:pPr>
      <w:spacing w:line="380" w:lineRule="exact"/>
    </w:pPr>
    <w:rPr>
      <w:rFonts w:cs="宋体"/>
      <w:sz w:val="28"/>
    </w:rPr>
  </w:style>
  <w:style w:type="paragraph" w:styleId="77">
    <w:name w:val="List Paragraph"/>
    <w:basedOn w:val="1"/>
    <w:qFormat/>
    <w:uiPriority w:val="99"/>
    <w:pPr>
      <w:ind w:firstLine="420" w:firstLineChars="200"/>
    </w:pPr>
    <w:rPr>
      <w:rFonts w:ascii="Calibri" w:hAnsi="Calibri"/>
      <w:szCs w:val="22"/>
    </w:rPr>
  </w:style>
  <w:style w:type="paragraph" w:customStyle="1" w:styleId="78">
    <w:name w:val="Char Char1"/>
    <w:basedOn w:val="1"/>
    <w:qFormat/>
    <w:uiPriority w:val="0"/>
    <w:pPr>
      <w:widowControl/>
      <w:spacing w:after="160" w:line="240" w:lineRule="exact"/>
      <w:jc w:val="left"/>
    </w:pPr>
    <w:rPr>
      <w:rFonts w:ascii="Verdana" w:hAnsi="Verdana" w:eastAsia="仿宋_GB2312"/>
      <w:kern w:val="0"/>
      <w:sz w:val="24"/>
      <w:lang w:eastAsia="en-US"/>
    </w:rPr>
  </w:style>
  <w:style w:type="paragraph" w:customStyle="1" w:styleId="79">
    <w:name w:val="Char1"/>
    <w:basedOn w:val="1"/>
    <w:qFormat/>
    <w:uiPriority w:val="0"/>
    <w:rPr>
      <w:rFonts w:ascii="仿宋_GB2312" w:eastAsia="仿宋_GB2312"/>
      <w:b/>
      <w:sz w:val="32"/>
      <w:szCs w:val="32"/>
    </w:rPr>
  </w:style>
  <w:style w:type="paragraph" w:customStyle="1" w:styleId="80">
    <w:name w:val="Char12"/>
    <w:basedOn w:val="1"/>
    <w:qFormat/>
    <w:uiPriority w:val="0"/>
    <w:rPr>
      <w:rFonts w:ascii="仿宋_GB2312" w:eastAsia="仿宋_GB2312"/>
      <w:b/>
      <w:sz w:val="32"/>
      <w:szCs w:val="32"/>
    </w:rPr>
  </w:style>
  <w:style w:type="paragraph" w:customStyle="1" w:styleId="81">
    <w:name w:val="正文－恩普"/>
    <w:basedOn w:val="9"/>
    <w:qFormat/>
    <w:uiPriority w:val="0"/>
    <w:pPr>
      <w:widowControl/>
      <w:spacing w:line="360" w:lineRule="auto"/>
      <w:ind w:firstLine="480" w:firstLineChars="200"/>
      <w:jc w:val="left"/>
    </w:pPr>
    <w:rPr>
      <w:kern w:val="0"/>
      <w:sz w:val="24"/>
    </w:rPr>
  </w:style>
  <w:style w:type="paragraph" w:customStyle="1" w:styleId="82">
    <w:name w:val="Char Char Char Char Char Char Char Char Char Char Char Char1 Char1"/>
    <w:basedOn w:val="10"/>
    <w:qFormat/>
    <w:uiPriority w:val="0"/>
    <w:rPr>
      <w:rFonts w:ascii="Tahoma" w:hAnsi="Tahoma"/>
      <w:sz w:val="24"/>
      <w:szCs w:val="24"/>
    </w:rPr>
  </w:style>
  <w:style w:type="paragraph" w:customStyle="1" w:styleId="83">
    <w:name w:val="样式 标题 2 + Times New Roman 四号 非加粗 段前: 5 磅 段后: 0 磅 行距: 固定值 20..."/>
    <w:basedOn w:val="5"/>
    <w:qFormat/>
    <w:uiPriority w:val="0"/>
    <w:pPr>
      <w:tabs>
        <w:tab w:val="left" w:pos="578"/>
      </w:tabs>
      <w:spacing w:before="0" w:beforeLines="50" w:after="0" w:afterLines="50" w:line="400" w:lineRule="exact"/>
      <w:ind w:left="578" w:hanging="578"/>
      <w:jc w:val="left"/>
    </w:pPr>
    <w:rPr>
      <w:rFonts w:ascii="Times New Roman" w:hAnsi="Times New Roman" w:eastAsia="仿宋_GB2312"/>
      <w:b w:val="0"/>
      <w:bCs w:val="0"/>
      <w:kern w:val="0"/>
      <w:sz w:val="28"/>
      <w:szCs w:val="28"/>
      <w:lang w:val="zh-CN"/>
    </w:rPr>
  </w:style>
  <w:style w:type="paragraph" w:customStyle="1" w:styleId="84">
    <w:name w:val="Char Char Char Char Char Char"/>
    <w:basedOn w:val="1"/>
    <w:qFormat/>
    <w:uiPriority w:val="0"/>
    <w:pPr>
      <w:ind w:firstLine="200" w:firstLineChars="200"/>
    </w:pPr>
    <w:rPr>
      <w:rFonts w:ascii="Tahoma" w:hAnsi="Tahoma"/>
      <w:sz w:val="24"/>
    </w:rPr>
  </w:style>
  <w:style w:type="paragraph" w:customStyle="1" w:styleId="85">
    <w:name w:val="正文-标准"/>
    <w:basedOn w:val="1"/>
    <w:qFormat/>
    <w:uiPriority w:val="0"/>
    <w:pPr>
      <w:autoSpaceDE w:val="0"/>
      <w:autoSpaceDN w:val="0"/>
      <w:adjustRightInd w:val="0"/>
      <w:spacing w:line="360" w:lineRule="exact"/>
      <w:jc w:val="left"/>
      <w:textAlignment w:val="baseline"/>
    </w:pPr>
    <w:rPr>
      <w:kern w:val="21"/>
    </w:rPr>
  </w:style>
  <w:style w:type="paragraph" w:customStyle="1" w:styleId="86">
    <w:name w:val="列出段落1"/>
    <w:basedOn w:val="1"/>
    <w:qFormat/>
    <w:uiPriority w:val="99"/>
    <w:pPr>
      <w:ind w:firstLine="420" w:firstLineChars="200"/>
    </w:pPr>
    <w:rPr>
      <w:rFonts w:ascii="Calibri" w:hAnsi="Calibri" w:cs="Calibri"/>
      <w:szCs w:val="21"/>
    </w:rPr>
  </w:style>
  <w:style w:type="paragraph" w:customStyle="1" w:styleId="87">
    <w:name w:val="正文 A"/>
    <w:qFormat/>
    <w:uiPriority w:val="0"/>
    <w:pPr>
      <w:widowControl w:val="0"/>
      <w:jc w:val="both"/>
    </w:pPr>
    <w:rPr>
      <w:rFonts w:ascii="Times New Roman" w:hAnsi="Times New Roman" w:eastAsia="Calibri" w:cs="Calibri"/>
      <w:color w:val="000000"/>
      <w:kern w:val="2"/>
      <w:sz w:val="21"/>
      <w:szCs w:val="21"/>
      <w:u w:color="000000"/>
      <w:lang w:val="en-US" w:eastAsia="zh-CN" w:bidi="ar-SA"/>
    </w:rPr>
  </w:style>
  <w:style w:type="table" w:customStyle="1" w:styleId="88">
    <w:name w:val="网格型9"/>
    <w:basedOn w:val="30"/>
    <w:qFormat/>
    <w:uiPriority w:val="59"/>
    <w:rPr>
      <w:rFonts w:ascii="Calibri" w:hAnsi="Calibri" w:eastAsia="Times New Roman"/>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paragraph" w:customStyle="1" w:styleId="89">
    <w:name w:val="参数正文"/>
    <w:qFormat/>
    <w:uiPriority w:val="0"/>
    <w:pPr>
      <w:widowControl w:val="0"/>
      <w:spacing w:line="360" w:lineRule="auto"/>
      <w:ind w:firstLine="480" w:firstLineChars="200"/>
    </w:pPr>
    <w:rPr>
      <w:rFonts w:ascii="宋体" w:hAnsi="宋体" w:eastAsia="宋体" w:cs="宋体"/>
      <w:sz w:val="24"/>
      <w:szCs w:val="24"/>
      <w:lang w:val="en-US" w:eastAsia="zh-CN" w:bidi="ar-SA"/>
    </w:rPr>
  </w:style>
  <w:style w:type="paragraph" w:customStyle="1" w:styleId="90">
    <w:name w:val="修订1"/>
    <w:qFormat/>
    <w:uiPriority w:val="99"/>
    <w:rPr>
      <w:rFonts w:ascii="Times New Roman" w:hAnsi="Times New Roman" w:eastAsia="宋体" w:cs="Times New Roman"/>
      <w:kern w:val="2"/>
      <w:sz w:val="21"/>
      <w:lang w:val="en-US" w:eastAsia="zh-CN" w:bidi="ar-SA"/>
    </w:rPr>
  </w:style>
  <w:style w:type="paragraph" w:customStyle="1" w:styleId="91">
    <w:name w:val="Body Text First Indent 21"/>
    <w:basedOn w:val="92"/>
    <w:qFormat/>
    <w:uiPriority w:val="0"/>
    <w:pPr>
      <w:ind w:firstLine="420"/>
    </w:pPr>
  </w:style>
  <w:style w:type="paragraph" w:customStyle="1" w:styleId="92">
    <w:name w:val="Body Text Indent1"/>
    <w:basedOn w:val="1"/>
    <w:qFormat/>
    <w:uiPriority w:val="0"/>
    <w:pPr>
      <w:ind w:left="420" w:leftChars="200"/>
    </w:pPr>
  </w:style>
  <w:style w:type="paragraph" w:customStyle="1" w:styleId="93">
    <w:name w:val="标题2"/>
    <w:basedOn w:val="5"/>
    <w:next w:val="1"/>
    <w:qFormat/>
    <w:uiPriority w:val="0"/>
    <w:pPr>
      <w:tabs>
        <w:tab w:val="left" w:pos="432"/>
        <w:tab w:val="left" w:pos="578"/>
        <w:tab w:val="left" w:pos="900"/>
        <w:tab w:val="left" w:pos="1440"/>
      </w:tabs>
      <w:spacing w:before="0" w:after="0" w:line="360" w:lineRule="auto"/>
      <w:ind w:left="357" w:hanging="357"/>
      <w:jc w:val="left"/>
    </w:pPr>
    <w:rPr>
      <w:rFonts w:ascii="仿宋" w:hAnsi="仿宋" w:eastAsia="仿宋"/>
      <w:bCs w:val="0"/>
      <w:szCs w:val="28"/>
    </w:rPr>
  </w:style>
  <w:style w:type="paragraph" w:customStyle="1" w:styleId="94">
    <w:name w:val="标题3"/>
    <w:basedOn w:val="6"/>
    <w:next w:val="25"/>
    <w:qFormat/>
    <w:uiPriority w:val="0"/>
    <w:pPr>
      <w:spacing w:after="0" w:line="360" w:lineRule="auto"/>
      <w:ind w:left="900" w:hanging="720"/>
    </w:pPr>
    <w:rPr>
      <w:rFonts w:ascii="仿宋" w:hAnsi="仿宋" w:eastAsia="仿宋" w:cs="仿宋"/>
    </w:rPr>
  </w:style>
  <w:style w:type="paragraph" w:customStyle="1" w:styleId="95">
    <w:name w:val="标题4_自定义"/>
    <w:basedOn w:val="7"/>
    <w:qFormat/>
    <w:uiPriority w:val="0"/>
    <w:pPr>
      <w:tabs>
        <w:tab w:val="left" w:pos="864"/>
      </w:tabs>
      <w:spacing w:before="0" w:after="0" w:line="360" w:lineRule="auto"/>
      <w:ind w:left="864" w:hanging="864"/>
    </w:pPr>
    <w:rPr>
      <w:rFonts w:ascii="Verdana" w:eastAsia="Verdana"/>
      <w:sz w:val="21"/>
    </w:rPr>
  </w:style>
  <w:style w:type="paragraph" w:customStyle="1" w:styleId="96">
    <w:name w:val="标题4"/>
    <w:basedOn w:val="7"/>
    <w:qFormat/>
    <w:uiPriority w:val="0"/>
    <w:pPr>
      <w:spacing w:line="372" w:lineRule="auto"/>
    </w:pPr>
    <w:rPr>
      <w:sz w:val="24"/>
      <w:lang w:val="zh-CN" w:bidi="zh-CN"/>
    </w:rPr>
  </w:style>
  <w:style w:type="paragraph" w:customStyle="1" w:styleId="97">
    <w:name w:val="paragraph"/>
    <w:basedOn w:val="1"/>
    <w:qFormat/>
    <w:uiPriority w:val="0"/>
    <w:pPr>
      <w:widowControl/>
      <w:spacing w:before="100" w:beforeAutospacing="1" w:after="100" w:afterAutospacing="1"/>
      <w:jc w:val="left"/>
    </w:pPr>
    <w:rPr>
      <w:rFonts w:ascii="等线" w:hAnsi="等线" w:eastAsia="等线"/>
      <w:kern w:val="0"/>
      <w:sz w:val="24"/>
    </w:rPr>
  </w:style>
  <w:style w:type="paragraph" w:customStyle="1" w:styleId="98">
    <w:name w:val="p0"/>
    <w:basedOn w:val="1"/>
    <w:qFormat/>
    <w:uiPriority w:val="0"/>
    <w:pPr>
      <w:widowControl/>
    </w:pPr>
    <w:rPr>
      <w:kern w:val="0"/>
      <w:szCs w:val="21"/>
    </w:rPr>
  </w:style>
  <w:style w:type="character" w:customStyle="1" w:styleId="99">
    <w:name w:val="cf01"/>
    <w:basedOn w:val="33"/>
    <w:qFormat/>
    <w:uiPriority w:val="0"/>
    <w:rPr>
      <w:rFonts w:hint="eastAsia" w:ascii="Microsoft YaHei UI" w:hAnsi="Microsoft YaHei UI" w:eastAsia="Microsoft YaHei UI"/>
      <w:sz w:val="18"/>
      <w:szCs w:val="18"/>
    </w:rPr>
  </w:style>
  <w:style w:type="paragraph" w:customStyle="1" w:styleId="100">
    <w:name w:val="WPSOffice手动目录 1"/>
    <w:qFormat/>
    <w:uiPriority w:val="0"/>
    <w:rPr>
      <w:rFonts w:ascii="等线" w:hAnsi="等线" w:eastAsia="等线" w:cs="宋体"/>
      <w:lang w:val="en-US" w:eastAsia="zh-CN" w:bidi="ar-SA"/>
    </w:rPr>
  </w:style>
  <w:style w:type="character" w:customStyle="1" w:styleId="101">
    <w:name w:val="font41"/>
    <w:basedOn w:val="33"/>
    <w:qFormat/>
    <w:uiPriority w:val="0"/>
    <w:rPr>
      <w:rFonts w:hint="eastAsia" w:ascii="宋体" w:hAnsi="宋体" w:eastAsia="宋体" w:cs="宋体"/>
      <w:color w:val="000000"/>
      <w:sz w:val="21"/>
      <w:szCs w:val="21"/>
      <w:u w:val="none"/>
    </w:rPr>
  </w:style>
  <w:style w:type="character" w:customStyle="1" w:styleId="102">
    <w:name w:val="font21"/>
    <w:basedOn w:val="33"/>
    <w:qFormat/>
    <w:uiPriority w:val="0"/>
    <w:rPr>
      <w:rFonts w:hint="default" w:ascii="Times New Roman" w:hAnsi="Times New Roman" w:cs="Times New Roman"/>
      <w:color w:val="000000"/>
      <w:sz w:val="21"/>
      <w:szCs w:val="21"/>
      <w:u w:val="none"/>
    </w:rPr>
  </w:style>
  <w:style w:type="character" w:customStyle="1" w:styleId="103">
    <w:name w:val="font61"/>
    <w:basedOn w:val="33"/>
    <w:qFormat/>
    <w:uiPriority w:val="0"/>
    <w:rPr>
      <w:rFonts w:hint="default" w:ascii="Times New Roman" w:hAnsi="Times New Roman" w:cs="Times New Roman"/>
      <w:b/>
      <w:bCs/>
      <w:color w:val="000000"/>
      <w:sz w:val="21"/>
      <w:szCs w:val="21"/>
      <w:u w:val="none"/>
    </w:rPr>
  </w:style>
  <w:style w:type="paragraph" w:customStyle="1" w:styleId="104">
    <w:name w:val="正文1"/>
    <w:qFormat/>
    <w:uiPriority w:val="0"/>
    <w:pPr>
      <w:widowControl w:val="0"/>
      <w:jc w:val="both"/>
    </w:pPr>
    <w:rPr>
      <w:rFonts w:ascii="Times New Roman" w:hAnsi="Times New Roman" w:eastAsia="宋体" w:cs="Times New Roman"/>
      <w:kern w:val="2"/>
      <w:sz w:val="21"/>
      <w:lang w:val="en-US" w:eastAsia="zh-CN" w:bidi="ar-SA"/>
    </w:rPr>
  </w:style>
  <w:style w:type="character" w:customStyle="1" w:styleId="105">
    <w:name w:val="style11"/>
    <w:qFormat/>
    <w:uiPriority w:val="0"/>
    <w:rPr>
      <w:rFonts w:hint="eastAsia" w:ascii="宋体" w:hAnsi="宋体" w:eastAsia="宋体"/>
      <w:sz w:val="18"/>
      <w:szCs w:val="18"/>
    </w:rPr>
  </w:style>
  <w:style w:type="paragraph" w:customStyle="1" w:styleId="106">
    <w:name w:val="正文（缩进）"/>
    <w:basedOn w:val="1"/>
    <w:qFormat/>
    <w:uiPriority w:val="0"/>
    <w:pPr>
      <w:spacing w:beforeLines="50" w:afterLines="50" w:line="360" w:lineRule="auto"/>
      <w:ind w:firstLine="480" w:firstLineChars="200"/>
    </w:pPr>
    <w:rPr>
      <w:rFonts w:ascii="Times New Roman" w:hAnsi="Times New Roman" w:eastAsia="宋体" w:cs="Times New Roman"/>
      <w:kern w:val="0"/>
      <w:sz w:val="24"/>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header" Target="header2.xml"/><Relationship Id="rId7" Type="http://schemas.openxmlformats.org/officeDocument/2006/relationships/footer" Target="footer4.xml"/><Relationship Id="rId6" Type="http://schemas.openxmlformats.org/officeDocument/2006/relationships/header" Target="header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theme" Target="theme/theme1.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Company>founder</Company>
  <Pages>47</Pages>
  <Words>24261</Words>
  <Characters>25616</Characters>
  <Paragraphs>1345</Paragraphs>
  <TotalTime>17</TotalTime>
  <ScaleCrop>false</ScaleCrop>
  <LinksUpToDate>false</LinksUpToDate>
  <CharactersWithSpaces>26956</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2023-02-04T00:41:00Z</dcterms:created>
  <dc:creator>founder</dc:creator>
  <cp:lastModifiedBy>cyh</cp:lastModifiedBy>
  <cp:lastPrinted>2024-12-30T05:17:00Z</cp:lastPrinted>
  <dcterms:modified xsi:type="dcterms:W3CDTF">2025-04-16T07:52:41Z</dcterms:modified>
  <dc:title>第二部分 投标方须知</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E80AEE7C485D4048A5A04AF50279477A</vt:lpwstr>
  </property>
  <property fmtid="{D5CDD505-2E9C-101B-9397-08002B2CF9AE}" pid="4" name="KSOTemplateDocerSaveRecord">
    <vt:lpwstr>eyJoZGlkIjoiYTcwZmU3NWFlMTJlMTBjYzcxY2YyZWFjNGI1MmMxMTIiLCJ1c2VySWQiOiIxNDM4OTkwNTM2In0=</vt:lpwstr>
  </property>
</Properties>
</file>