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970D5">
      <w:pPr>
        <w:adjustRightInd/>
        <w:spacing w:line="360" w:lineRule="auto"/>
        <w:jc w:val="center"/>
        <w:rPr>
          <w:rFonts w:ascii="宋体" w:hAnsi="宋体" w:cs="宋体"/>
          <w:b/>
          <w:color w:val="auto"/>
          <w:sz w:val="48"/>
          <w:szCs w:val="48"/>
          <w:highlight w:val="none"/>
        </w:rPr>
      </w:pPr>
    </w:p>
    <w:p w14:paraId="7CD8D0E7">
      <w:pPr>
        <w:adjustRightInd/>
        <w:spacing w:line="360" w:lineRule="auto"/>
        <w:jc w:val="center"/>
        <w:rPr>
          <w:rFonts w:hint="eastAsia" w:ascii="宋体" w:hAnsi="宋体" w:eastAsia="宋体" w:cs="宋体"/>
          <w:color w:val="auto"/>
          <w:sz w:val="48"/>
          <w:szCs w:val="48"/>
          <w:highlight w:val="none"/>
        </w:rPr>
      </w:pPr>
      <w:bookmarkStart w:id="0" w:name="_Toc4543"/>
    </w:p>
    <w:bookmarkEnd w:id="0"/>
    <w:p w14:paraId="7FF2E3C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北仑公安分局通信运维服务项目</w:t>
      </w:r>
    </w:p>
    <w:p w14:paraId="39F09BF2">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344A9B1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94CD3F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CBNB-20245573G</w:t>
      </w:r>
    </w:p>
    <w:p w14:paraId="43C32A04">
      <w:pPr>
        <w:adjustRightInd/>
        <w:spacing w:line="360" w:lineRule="auto"/>
        <w:rPr>
          <w:rFonts w:ascii="宋体" w:hAnsi="宋体" w:cs="宋体"/>
          <w:color w:val="auto"/>
          <w:sz w:val="28"/>
          <w:szCs w:val="20"/>
          <w:highlight w:val="none"/>
        </w:rPr>
      </w:pPr>
    </w:p>
    <w:p w14:paraId="68F47A8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B056C98">
      <w:pPr>
        <w:spacing w:line="360" w:lineRule="auto"/>
        <w:jc w:val="center"/>
        <w:rPr>
          <w:rFonts w:ascii="宋体" w:hAnsi="宋体" w:cs="宋体"/>
          <w:b/>
          <w:color w:val="auto"/>
          <w:sz w:val="44"/>
          <w:szCs w:val="44"/>
          <w:highlight w:val="none"/>
        </w:rPr>
      </w:pPr>
    </w:p>
    <w:p w14:paraId="493619F4">
      <w:pPr>
        <w:spacing w:line="360" w:lineRule="auto"/>
        <w:jc w:val="center"/>
        <w:rPr>
          <w:rFonts w:ascii="宋体" w:hAnsi="宋体" w:cs="宋体"/>
          <w:color w:val="auto"/>
          <w:sz w:val="24"/>
          <w:highlight w:val="none"/>
        </w:rPr>
      </w:pPr>
    </w:p>
    <w:p w14:paraId="28D52161">
      <w:pPr>
        <w:spacing w:line="360" w:lineRule="auto"/>
        <w:jc w:val="center"/>
        <w:rPr>
          <w:rFonts w:ascii="宋体" w:hAnsi="宋体" w:cs="宋体"/>
          <w:color w:val="auto"/>
          <w:sz w:val="24"/>
          <w:highlight w:val="none"/>
        </w:rPr>
      </w:pPr>
    </w:p>
    <w:p w14:paraId="4CABCA37">
      <w:pPr>
        <w:spacing w:line="360" w:lineRule="auto"/>
        <w:rPr>
          <w:rFonts w:ascii="宋体" w:hAnsi="宋体" w:cs="宋体"/>
          <w:color w:val="auto"/>
          <w:sz w:val="32"/>
          <w:szCs w:val="32"/>
          <w:highlight w:val="none"/>
        </w:rPr>
      </w:pPr>
    </w:p>
    <w:p w14:paraId="67136A97">
      <w:pPr>
        <w:pStyle w:val="64"/>
        <w:rPr>
          <w:rFonts w:ascii="宋体" w:hAnsi="宋体" w:cs="宋体"/>
          <w:color w:val="auto"/>
          <w:sz w:val="32"/>
          <w:szCs w:val="32"/>
          <w:highlight w:val="none"/>
        </w:rPr>
      </w:pPr>
    </w:p>
    <w:p w14:paraId="62063439">
      <w:pPr>
        <w:rPr>
          <w:color w:val="auto"/>
          <w:highlight w:val="none"/>
        </w:rPr>
      </w:pPr>
    </w:p>
    <w:p w14:paraId="0C877B6C">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采购人：</w:t>
      </w:r>
      <w:r>
        <w:rPr>
          <w:rFonts w:hint="eastAsia" w:ascii="宋体" w:hAnsi="宋体" w:cs="宋体"/>
          <w:bCs/>
          <w:color w:val="auto"/>
          <w:sz w:val="32"/>
          <w:szCs w:val="32"/>
          <w:highlight w:val="none"/>
          <w:lang w:eastAsia="zh-CN"/>
        </w:rPr>
        <w:t>宁波市公安局北仑分局</w:t>
      </w:r>
    </w:p>
    <w:p w14:paraId="2C77C360">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bookmarkStart w:id="1" w:name="_Toc2466"/>
      <w:r>
        <w:rPr>
          <w:rFonts w:hint="eastAsia" w:ascii="宋体" w:hAnsi="宋体" w:eastAsia="宋体" w:cs="宋体"/>
          <w:bCs/>
          <w:color w:val="auto"/>
          <w:sz w:val="32"/>
          <w:szCs w:val="32"/>
          <w:highlight w:val="none"/>
          <w:lang w:val="en-US" w:eastAsia="zh-CN"/>
        </w:rPr>
        <w:t>采购代理机构：宁波中基国际招标有限公司</w:t>
      </w:r>
      <w:bookmarkEnd w:id="1"/>
    </w:p>
    <w:p w14:paraId="1128491B">
      <w:pPr>
        <w:spacing w:line="360" w:lineRule="auto"/>
        <w:jc w:val="center"/>
        <w:rPr>
          <w:rFonts w:hint="eastAsia" w:ascii="宋体" w:hAnsi="宋体" w:eastAsia="宋体" w:cs="宋体"/>
          <w:bCs/>
          <w:color w:val="auto"/>
          <w:sz w:val="32"/>
          <w:szCs w:val="32"/>
          <w:highlight w:val="none"/>
          <w:lang w:eastAsia="zh-CN"/>
        </w:rPr>
      </w:pPr>
    </w:p>
    <w:p w14:paraId="67D7F4A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月</w:t>
      </w:r>
    </w:p>
    <w:p w14:paraId="484826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49A0BD30">
      <w:pPr>
        <w:spacing w:line="360" w:lineRule="auto"/>
        <w:jc w:val="center"/>
        <w:rPr>
          <w:rFonts w:ascii="宋体" w:hAnsi="宋体" w:cs="宋体"/>
          <w:color w:val="auto"/>
          <w:sz w:val="24"/>
          <w:highlight w:val="none"/>
        </w:rPr>
      </w:pPr>
    </w:p>
    <w:p w14:paraId="4843C250">
      <w:pPr>
        <w:spacing w:line="360" w:lineRule="auto"/>
        <w:outlineLvl w:val="9"/>
        <w:rPr>
          <w:rFonts w:ascii="宋体" w:hAnsi="宋体" w:cs="宋体"/>
          <w:color w:val="auto"/>
          <w:sz w:val="32"/>
          <w:szCs w:val="32"/>
          <w:highlight w:val="none"/>
        </w:rPr>
      </w:pPr>
    </w:p>
    <w:sdt>
      <w:sdtPr>
        <w:rPr>
          <w:rFonts w:ascii="宋体" w:hAnsi="宋体" w:eastAsia="宋体" w:cs="Times New Roman"/>
          <w:color w:val="auto"/>
          <w:kern w:val="2"/>
          <w:sz w:val="48"/>
          <w:szCs w:val="48"/>
          <w:highlight w:val="none"/>
          <w:lang w:val="en-US" w:eastAsia="zh-CN" w:bidi="ar-SA"/>
        </w:rPr>
        <w:id w:val="147476114"/>
        <w15:color w:val="DBDBDB"/>
        <w:docPartObj>
          <w:docPartGallery w:val="Table of Contents"/>
          <w:docPartUnique/>
        </w:docPartObj>
      </w:sdtPr>
      <w:sdtEndPr>
        <w:rPr>
          <w:rFonts w:ascii="宋体" w:hAnsi="宋体" w:eastAsia="宋体" w:cs="Times New Roman"/>
          <w:color w:val="auto"/>
          <w:kern w:val="2"/>
          <w:sz w:val="48"/>
          <w:szCs w:val="48"/>
          <w:highlight w:val="none"/>
          <w:lang w:val="en-US" w:eastAsia="zh-CN" w:bidi="ar-SA"/>
        </w:rPr>
      </w:sdtEndPr>
      <w:sdtContent>
        <w:p w14:paraId="627C330B">
          <w:pPr>
            <w:spacing w:before="0" w:beforeLines="0" w:after="0" w:afterLines="0" w:line="240" w:lineRule="auto"/>
            <w:ind w:left="0" w:leftChars="0" w:right="0" w:rightChars="0" w:firstLine="0" w:firstLineChars="0"/>
            <w:jc w:val="center"/>
            <w:rPr>
              <w:rFonts w:ascii="宋体" w:hAnsi="宋体" w:eastAsia="宋体"/>
              <w:color w:val="auto"/>
              <w:sz w:val="48"/>
              <w:szCs w:val="48"/>
              <w:highlight w:val="none"/>
            </w:rPr>
          </w:pPr>
          <w:r>
            <w:rPr>
              <w:rFonts w:ascii="宋体" w:hAnsi="宋体" w:eastAsia="宋体"/>
              <w:color w:val="auto"/>
              <w:sz w:val="48"/>
              <w:szCs w:val="48"/>
              <w:highlight w:val="none"/>
            </w:rPr>
            <w:t>目</w:t>
          </w:r>
          <w:r>
            <w:rPr>
              <w:rFonts w:hint="eastAsia" w:ascii="宋体" w:hAnsi="宋体" w:eastAsia="宋体"/>
              <w:color w:val="auto"/>
              <w:sz w:val="48"/>
              <w:szCs w:val="48"/>
              <w:highlight w:val="none"/>
              <w:lang w:val="en-US" w:eastAsia="zh-CN"/>
            </w:rPr>
            <w:t xml:space="preserve">  </w:t>
          </w:r>
          <w:r>
            <w:rPr>
              <w:rFonts w:ascii="宋体" w:hAnsi="宋体" w:eastAsia="宋体"/>
              <w:color w:val="auto"/>
              <w:sz w:val="48"/>
              <w:szCs w:val="48"/>
              <w:highlight w:val="none"/>
            </w:rPr>
            <w:t>录</w:t>
          </w:r>
        </w:p>
        <w:p w14:paraId="6B3273A7">
          <w:pPr>
            <w:pStyle w:val="64"/>
            <w:rPr>
              <w:rFonts w:ascii="宋体" w:hAnsi="宋体" w:eastAsia="宋体"/>
              <w:color w:val="auto"/>
              <w:sz w:val="48"/>
              <w:szCs w:val="48"/>
              <w:highlight w:val="none"/>
            </w:rPr>
          </w:pPr>
        </w:p>
        <w:p w14:paraId="2D6D2FFE">
          <w:pPr>
            <w:rPr>
              <w:color w:val="auto"/>
              <w:highlight w:val="none"/>
            </w:rPr>
          </w:pPr>
        </w:p>
        <w:p w14:paraId="7290CEFB">
          <w:pPr>
            <w:pStyle w:val="46"/>
            <w:keepNext w:val="0"/>
            <w:keepLines w:val="0"/>
            <w:pageBreakBefore w:val="0"/>
            <w:widowControl w:val="0"/>
            <w:tabs>
              <w:tab w:val="right" w:leader="dot" w:pos="9637"/>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_Toc8174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_Toc8174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4C3CDC">
          <w:pPr>
            <w:pStyle w:val="46"/>
            <w:keepNext w:val="0"/>
            <w:keepLines w:val="0"/>
            <w:pageBreakBefore w:val="0"/>
            <w:widowControl w:val="0"/>
            <w:tabs>
              <w:tab w:val="right" w:leader="dot" w:pos="9637"/>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_Toc27473 </w:instrText>
          </w:r>
          <w:r>
            <w:rPr>
              <w:rFonts w:hint="eastAsia" w:ascii="宋体" w:hAnsi="宋体" w:eastAsia="宋体" w:cs="宋体"/>
              <w:color w:val="auto"/>
              <w:sz w:val="28"/>
              <w:szCs w:val="28"/>
              <w:highlight w:val="none"/>
            </w:rPr>
            <w:fldChar w:fldCharType="separate"/>
          </w:r>
          <w:r>
            <w:rPr>
              <w:rFonts w:hint="eastAsia" w:ascii="宋体" w:hAnsi="宋体" w:cs="宋体"/>
              <w:color w:val="auto"/>
              <w:sz w:val="28"/>
              <w:szCs w:val="28"/>
              <w:highlight w:val="none"/>
            </w:rPr>
            <w:t>第二部分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_Toc27473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0077653">
          <w:pPr>
            <w:pStyle w:val="46"/>
            <w:keepNext w:val="0"/>
            <w:keepLines w:val="0"/>
            <w:pageBreakBefore w:val="0"/>
            <w:widowControl w:val="0"/>
            <w:tabs>
              <w:tab w:val="right" w:leader="dot" w:pos="9637"/>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_Toc9385 </w:instrText>
          </w:r>
          <w:r>
            <w:rPr>
              <w:rFonts w:hint="eastAsia" w:ascii="宋体" w:hAnsi="宋体" w:eastAsia="宋体" w:cs="宋体"/>
              <w:color w:val="auto"/>
              <w:sz w:val="28"/>
              <w:szCs w:val="28"/>
              <w:highlight w:val="none"/>
            </w:rPr>
            <w:fldChar w:fldCharType="separate"/>
          </w:r>
          <w:r>
            <w:rPr>
              <w:rFonts w:hint="eastAsia" w:ascii="宋体" w:hAnsi="宋体" w:cs="宋体"/>
              <w:color w:val="auto"/>
              <w:sz w:val="28"/>
              <w:szCs w:val="28"/>
              <w:highlight w:val="none"/>
            </w:rPr>
            <w:t>第三部分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_Toc9385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1766B3">
          <w:pPr>
            <w:pStyle w:val="46"/>
            <w:keepNext w:val="0"/>
            <w:keepLines w:val="0"/>
            <w:pageBreakBefore w:val="0"/>
            <w:widowControl w:val="0"/>
            <w:tabs>
              <w:tab w:val="right" w:leader="dot" w:pos="9637"/>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_Toc27851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_Toc27851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98C4F3">
          <w:pPr>
            <w:pStyle w:val="46"/>
            <w:keepNext w:val="0"/>
            <w:keepLines w:val="0"/>
            <w:pageBreakBefore w:val="0"/>
            <w:widowControl w:val="0"/>
            <w:tabs>
              <w:tab w:val="right" w:leader="dot" w:pos="9637"/>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_Toc9175 </w:instrText>
          </w:r>
          <w:r>
            <w:rPr>
              <w:rFonts w:hint="eastAsia" w:ascii="宋体" w:hAnsi="宋体" w:eastAsia="宋体" w:cs="宋体"/>
              <w:color w:val="auto"/>
              <w:sz w:val="28"/>
              <w:szCs w:val="28"/>
              <w:highlight w:val="none"/>
            </w:rPr>
            <w:fldChar w:fldCharType="separate"/>
          </w:r>
          <w:r>
            <w:rPr>
              <w:rFonts w:hint="eastAsia" w:ascii="宋体" w:hAnsi="宋体" w:cs="宋体"/>
              <w:color w:val="auto"/>
              <w:sz w:val="28"/>
              <w:szCs w:val="28"/>
              <w:highlight w:val="none"/>
            </w:rPr>
            <w:t>第五部分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_Toc9175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99247BE">
          <w:pPr>
            <w:pStyle w:val="46"/>
            <w:keepNext w:val="0"/>
            <w:keepLines w:val="0"/>
            <w:pageBreakBefore w:val="0"/>
            <w:widowControl w:val="0"/>
            <w:tabs>
              <w:tab w:val="right" w:leader="dot" w:pos="9637"/>
            </w:tabs>
            <w:kinsoku/>
            <w:wordWrap/>
            <w:overflowPunct/>
            <w:topLinePunct w:val="0"/>
            <w:autoSpaceDE/>
            <w:autoSpaceDN/>
            <w:bidi w:val="0"/>
            <w:adjustRightInd w:val="0"/>
            <w:snapToGrid/>
            <w:spacing w:line="360" w:lineRule="auto"/>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_Toc19598 </w:instrText>
          </w:r>
          <w:r>
            <w:rPr>
              <w:rFonts w:hint="eastAsia" w:ascii="宋体" w:hAnsi="宋体" w:eastAsia="宋体" w:cs="宋体"/>
              <w:color w:val="auto"/>
              <w:sz w:val="28"/>
              <w:szCs w:val="28"/>
              <w:highlight w:val="none"/>
            </w:rPr>
            <w:fldChar w:fldCharType="separate"/>
          </w:r>
          <w:r>
            <w:rPr>
              <w:rFonts w:hint="eastAsia" w:ascii="宋体" w:hAnsi="宋体" w:cs="宋体"/>
              <w:color w:val="auto"/>
              <w:sz w:val="28"/>
              <w:szCs w:val="28"/>
              <w:highlight w:val="none"/>
            </w:rPr>
            <w:t>第六部分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_Toc19598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0294E7">
          <w:pPr>
            <w:keepNext w:val="0"/>
            <w:keepLines w:val="0"/>
            <w:pageBreakBefore w:val="0"/>
            <w:widowControl w:val="0"/>
            <w:kinsoku/>
            <w:wordWrap/>
            <w:overflowPunct/>
            <w:topLinePunct w:val="0"/>
            <w:autoSpaceDE/>
            <w:autoSpaceDN/>
            <w:bidi w:val="0"/>
            <w:adjustRightInd w:val="0"/>
            <w:snapToGrid/>
            <w:spacing w:line="36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479B8C26">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30B1E4A1">
      <w:pPr>
        <w:spacing w:line="360" w:lineRule="auto"/>
        <w:ind w:firstLine="549" w:firstLineChars="229"/>
        <w:rPr>
          <w:rFonts w:ascii="宋体" w:hAnsi="宋体" w:cs="宋体"/>
          <w:color w:val="auto"/>
          <w:sz w:val="24"/>
          <w:highlight w:val="none"/>
        </w:rPr>
      </w:pPr>
    </w:p>
    <w:p w14:paraId="374B88E4">
      <w:pPr>
        <w:spacing w:line="360" w:lineRule="auto"/>
        <w:ind w:firstLine="549" w:firstLineChars="229"/>
        <w:rPr>
          <w:rFonts w:ascii="宋体" w:hAnsi="宋体" w:cs="宋体"/>
          <w:color w:val="auto"/>
          <w:sz w:val="24"/>
          <w:highlight w:val="none"/>
        </w:rPr>
      </w:pPr>
    </w:p>
    <w:p w14:paraId="063E5CCA">
      <w:pPr>
        <w:spacing w:line="360" w:lineRule="auto"/>
        <w:ind w:firstLine="549" w:firstLineChars="229"/>
        <w:rPr>
          <w:rFonts w:ascii="宋体" w:hAnsi="宋体" w:cs="宋体"/>
          <w:color w:val="auto"/>
          <w:sz w:val="24"/>
          <w:highlight w:val="none"/>
        </w:rPr>
      </w:pPr>
    </w:p>
    <w:p w14:paraId="04A445B5">
      <w:pPr>
        <w:spacing w:line="360" w:lineRule="auto"/>
        <w:ind w:firstLine="549" w:firstLineChars="229"/>
        <w:rPr>
          <w:rFonts w:ascii="宋体" w:hAnsi="宋体" w:cs="宋体"/>
          <w:color w:val="auto"/>
          <w:sz w:val="24"/>
          <w:highlight w:val="none"/>
        </w:rPr>
      </w:pPr>
    </w:p>
    <w:p w14:paraId="1307C87D">
      <w:pPr>
        <w:spacing w:line="360" w:lineRule="auto"/>
        <w:ind w:firstLine="549" w:firstLineChars="229"/>
        <w:rPr>
          <w:rFonts w:ascii="宋体" w:hAnsi="宋体" w:cs="宋体"/>
          <w:color w:val="auto"/>
          <w:sz w:val="24"/>
          <w:highlight w:val="none"/>
        </w:rPr>
      </w:pPr>
    </w:p>
    <w:p w14:paraId="0E06E8D8">
      <w:pPr>
        <w:spacing w:line="360" w:lineRule="auto"/>
        <w:ind w:firstLine="549" w:firstLineChars="229"/>
        <w:rPr>
          <w:rFonts w:ascii="宋体" w:hAnsi="宋体" w:cs="宋体"/>
          <w:color w:val="auto"/>
          <w:sz w:val="24"/>
          <w:highlight w:val="none"/>
        </w:rPr>
      </w:pPr>
    </w:p>
    <w:p w14:paraId="50ACB90C">
      <w:pPr>
        <w:spacing w:line="360" w:lineRule="auto"/>
        <w:ind w:firstLine="549" w:firstLineChars="229"/>
        <w:rPr>
          <w:rFonts w:ascii="宋体" w:hAnsi="宋体" w:cs="宋体"/>
          <w:color w:val="auto"/>
          <w:sz w:val="24"/>
          <w:highlight w:val="none"/>
        </w:rPr>
      </w:pPr>
    </w:p>
    <w:p w14:paraId="628B056B">
      <w:pPr>
        <w:spacing w:line="360" w:lineRule="auto"/>
        <w:ind w:firstLine="549" w:firstLineChars="229"/>
        <w:rPr>
          <w:rFonts w:ascii="宋体" w:hAnsi="宋体" w:cs="宋体"/>
          <w:color w:val="auto"/>
          <w:sz w:val="24"/>
          <w:highlight w:val="none"/>
        </w:rPr>
      </w:pPr>
    </w:p>
    <w:p w14:paraId="20846609">
      <w:pPr>
        <w:spacing w:line="360" w:lineRule="auto"/>
        <w:ind w:firstLine="549" w:firstLineChars="229"/>
        <w:rPr>
          <w:rFonts w:ascii="宋体" w:hAnsi="宋体" w:cs="宋体"/>
          <w:color w:val="auto"/>
          <w:sz w:val="24"/>
          <w:highlight w:val="none"/>
        </w:rPr>
      </w:pPr>
    </w:p>
    <w:p w14:paraId="59FFB009">
      <w:pPr>
        <w:spacing w:line="360" w:lineRule="auto"/>
        <w:ind w:firstLine="549" w:firstLineChars="229"/>
        <w:rPr>
          <w:rFonts w:ascii="宋体" w:hAnsi="宋体" w:cs="宋体"/>
          <w:color w:val="auto"/>
          <w:sz w:val="24"/>
          <w:highlight w:val="none"/>
        </w:rPr>
      </w:pPr>
    </w:p>
    <w:p w14:paraId="5074D9A3">
      <w:pPr>
        <w:spacing w:line="360" w:lineRule="auto"/>
        <w:ind w:firstLine="549" w:firstLineChars="229"/>
        <w:rPr>
          <w:rFonts w:ascii="宋体" w:hAnsi="宋体" w:cs="宋体"/>
          <w:color w:val="auto"/>
          <w:sz w:val="24"/>
          <w:highlight w:val="none"/>
        </w:rPr>
      </w:pPr>
    </w:p>
    <w:p w14:paraId="154314BD">
      <w:pPr>
        <w:spacing w:line="360" w:lineRule="auto"/>
        <w:ind w:firstLine="549" w:firstLineChars="229"/>
        <w:rPr>
          <w:rFonts w:ascii="宋体" w:hAnsi="宋体" w:cs="宋体"/>
          <w:color w:val="auto"/>
          <w:sz w:val="24"/>
          <w:highlight w:val="none"/>
        </w:rPr>
      </w:pPr>
    </w:p>
    <w:p w14:paraId="4D34D9B0">
      <w:pPr>
        <w:spacing w:line="360" w:lineRule="auto"/>
        <w:rPr>
          <w:rFonts w:ascii="宋体" w:hAnsi="宋体" w:cs="宋体"/>
          <w:color w:val="auto"/>
          <w:sz w:val="24"/>
          <w:highlight w:val="none"/>
        </w:rPr>
      </w:pPr>
    </w:p>
    <w:p w14:paraId="03A514C2">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_Toc8174"/>
      <w:bookmarkStart w:id="11" w:name="_Toc15656"/>
      <w:bookmarkStart w:id="12" w:name="第二部分"/>
      <w:bookmarkStart w:id="13" w:name="_Toc91899870"/>
      <w:bookmarkStart w:id="14" w:name="_Toc91899871"/>
      <w:r>
        <w:rPr>
          <w:rStyle w:val="284"/>
          <w:rFonts w:hint="eastAsia"/>
          <w:color w:val="auto"/>
          <w:highlight w:val="none"/>
        </w:rPr>
        <w:t>第一部分 招标公告</w:t>
      </w:r>
      <w:bookmarkEnd w:id="10"/>
      <w:bookmarkEnd w:id="11"/>
    </w:p>
    <w:p w14:paraId="539A4EB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项目概况</w:t>
      </w:r>
    </w:p>
    <w:p w14:paraId="7DB7433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eastAsiaTheme="minorEastAsia"/>
          <w:bCs/>
          <w:color w:val="auto"/>
          <w:sz w:val="24"/>
          <w:szCs w:val="24"/>
          <w:highlight w:val="none"/>
          <w:u w:val="single"/>
          <w:lang w:eastAsia="zh-CN"/>
        </w:rPr>
        <w:t>北仑公安分局通信运维服务项目</w:t>
      </w:r>
      <w:r>
        <w:rPr>
          <w:rFonts w:hint="eastAsia" w:asciiTheme="minorEastAsia" w:hAnsiTheme="minorEastAsia" w:eastAsiaTheme="minorEastAsia"/>
          <w:color w:val="auto"/>
          <w:sz w:val="24"/>
          <w:szCs w:val="24"/>
          <w:highlight w:val="none"/>
        </w:rPr>
        <w:t>招</w:t>
      </w:r>
      <w:r>
        <w:rPr>
          <w:rFonts w:hint="eastAsia" w:asciiTheme="minorEastAsia" w:hAnsiTheme="minorEastAsia" w:eastAsiaTheme="minorEastAsia"/>
          <w:color w:val="auto"/>
          <w:sz w:val="24"/>
          <w:highlight w:val="none"/>
        </w:rPr>
        <w:t>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4</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1</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8</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9</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30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95A7E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100A777">
      <w:pPr>
        <w:spacing w:line="360" w:lineRule="auto"/>
        <w:outlineLvl w:val="1"/>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u w:val="none"/>
        </w:rPr>
        <w:t xml:space="preserve">  </w:t>
      </w:r>
      <w:bookmarkStart w:id="15" w:name="_Toc23734"/>
      <w:r>
        <w:rPr>
          <w:rFonts w:hint="eastAsia" w:ascii="宋体" w:hAnsi="宋体" w:cs="宋体"/>
          <w:b/>
          <w:color w:val="auto"/>
          <w:sz w:val="24"/>
          <w:highlight w:val="none"/>
          <w:u w:val="none"/>
        </w:rPr>
        <w:t>项目编号：</w:t>
      </w:r>
      <w:bookmarkEnd w:id="15"/>
      <w:r>
        <w:rPr>
          <w:rFonts w:hint="eastAsia" w:ascii="宋体" w:hAnsi="宋体" w:cs="宋体"/>
          <w:bCs/>
          <w:color w:val="auto"/>
          <w:sz w:val="24"/>
          <w:szCs w:val="24"/>
          <w:highlight w:val="none"/>
          <w:u w:val="none"/>
          <w:lang w:eastAsia="zh-CN"/>
        </w:rPr>
        <w:t>CBNB-20245573G</w:t>
      </w:r>
    </w:p>
    <w:p w14:paraId="5073B2EC">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 xml:space="preserve">   </w:t>
      </w:r>
      <w:r>
        <w:rPr>
          <w:rFonts w:hint="eastAsia" w:ascii="宋体" w:hAnsi="宋体" w:cs="宋体"/>
          <w:b/>
          <w:color w:val="auto"/>
          <w:sz w:val="24"/>
          <w:highlight w:val="none"/>
          <w:u w:val="none"/>
        </w:rPr>
        <w:t xml:space="preserve"> 项目名称：</w:t>
      </w:r>
      <w:r>
        <w:rPr>
          <w:rFonts w:hint="eastAsia" w:ascii="宋体" w:hAnsi="宋体" w:cs="宋体"/>
          <w:bCs/>
          <w:color w:val="auto"/>
          <w:sz w:val="24"/>
          <w:szCs w:val="24"/>
          <w:highlight w:val="none"/>
          <w:u w:val="none"/>
          <w:lang w:eastAsia="zh-CN"/>
        </w:rPr>
        <w:t>北仑公安分局通信运维服务项目</w:t>
      </w:r>
    </w:p>
    <w:p w14:paraId="64008BAD">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val="0"/>
          <w:bCs w:val="0"/>
          <w:color w:val="auto"/>
          <w:sz w:val="24"/>
          <w:highlight w:val="none"/>
        </w:rPr>
        <w:t xml:space="preserve"> </w:t>
      </w:r>
      <w:r>
        <w:rPr>
          <w:rFonts w:hint="eastAsia" w:ascii="宋体" w:hAnsi="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350,000.00/年</w:t>
      </w:r>
    </w:p>
    <w:p w14:paraId="5F6D4B15">
      <w:pPr>
        <w:spacing w:line="360" w:lineRule="auto"/>
        <w:ind w:firstLine="480"/>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最高限价（元）：</w:t>
      </w:r>
      <w:r>
        <w:rPr>
          <w:rFonts w:hint="eastAsia" w:ascii="宋体" w:hAnsi="宋体" w:cs="宋体"/>
          <w:b w:val="0"/>
          <w:bCs w:val="0"/>
          <w:color w:val="auto"/>
          <w:sz w:val="24"/>
          <w:highlight w:val="none"/>
          <w:lang w:val="en-US" w:eastAsia="zh-CN"/>
        </w:rPr>
        <w:t>350,000.00/年</w:t>
      </w:r>
    </w:p>
    <w:p w14:paraId="391FBD2D">
      <w:pPr>
        <w:spacing w:line="360" w:lineRule="auto"/>
        <w:ind w:firstLine="480" w:firstLineChars="20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lang w:val="en-US" w:eastAsia="zh-CN"/>
        </w:rPr>
        <w:t>标项一：</w:t>
      </w:r>
    </w:p>
    <w:p w14:paraId="557C5390">
      <w:pPr>
        <w:spacing w:line="360" w:lineRule="auto"/>
        <w:ind w:firstLine="480" w:firstLineChars="20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宋体" w:hAnsi="宋体" w:cs="宋体" w:eastAsiaTheme="minorEastAsia"/>
          <w:bCs/>
          <w:color w:val="auto"/>
          <w:sz w:val="24"/>
          <w:szCs w:val="24"/>
          <w:highlight w:val="none"/>
          <w:u w:val="none"/>
          <w:lang w:eastAsia="zh-CN"/>
        </w:rPr>
        <w:t>北仑公安分局通信运维服务</w:t>
      </w:r>
    </w:p>
    <w:p w14:paraId="1DBD998F">
      <w:pPr>
        <w:spacing w:line="360" w:lineRule="auto"/>
        <w:ind w:firstLine="480" w:firstLineChars="20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数量:</w:t>
      </w:r>
      <w:r>
        <w:rPr>
          <w:rFonts w:hint="eastAsia" w:asciiTheme="minorEastAsia" w:hAnsiTheme="minorEastAsia" w:eastAsiaTheme="minorEastAsia"/>
          <w:snapToGrid/>
          <w:color w:val="auto"/>
          <w:kern w:val="2"/>
          <w:sz w:val="24"/>
          <w:szCs w:val="24"/>
          <w:highlight w:val="none"/>
          <w:lang w:val="en-US" w:eastAsia="zh-CN"/>
        </w:rPr>
        <w:t>1</w:t>
      </w:r>
    </w:p>
    <w:p w14:paraId="1B68A43F">
      <w:pPr>
        <w:spacing w:line="360" w:lineRule="auto"/>
        <w:ind w:firstLine="480" w:firstLineChars="200"/>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预算金额（元）:</w:t>
      </w:r>
      <w:r>
        <w:rPr>
          <w:rFonts w:hint="eastAsia" w:ascii="宋体" w:hAnsi="宋体" w:cs="宋体"/>
          <w:b w:val="0"/>
          <w:bCs w:val="0"/>
          <w:color w:val="auto"/>
          <w:sz w:val="24"/>
          <w:highlight w:val="none"/>
          <w:lang w:val="en-US" w:eastAsia="zh-CN"/>
        </w:rPr>
        <w:t>350,000.00/年</w:t>
      </w:r>
    </w:p>
    <w:p w14:paraId="05862EAC">
      <w:pPr>
        <w:pStyle w:val="64"/>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对分局大楼内各部门、16个大楼外单位以及各警务室的网络、电话、办公电脑以及打印机、扫描仪等系统和设备进行运维，处理各种故障及电脑安装的软件设置等问题；具体情况详见第二章《采购需求》。</w:t>
      </w:r>
    </w:p>
    <w:p w14:paraId="19BD6D93">
      <w:pPr>
        <w:pStyle w:val="2"/>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eastAsiaTheme="minorEastAsia"/>
          <w:color w:val="auto"/>
          <w:highlight w:val="none"/>
          <w:lang w:val="en-US" w:eastAsia="zh-CN"/>
        </w:rPr>
      </w:pPr>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lang w:val="en-US" w:eastAsia="zh-CN"/>
        </w:rPr>
        <w:t>三年总预算1,050,000.00元。</w:t>
      </w:r>
    </w:p>
    <w:p w14:paraId="2619E9E8">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highlight w:val="none"/>
        </w:rPr>
      </w:pPr>
      <w:bookmarkStart w:id="16" w:name="_Toc27797"/>
      <w:r>
        <w:rPr>
          <w:rFonts w:hint="eastAsia" w:ascii="宋体" w:hAnsi="宋体" w:cs="宋体"/>
          <w:b w:val="0"/>
          <w:bCs/>
          <w:color w:val="auto"/>
          <w:highlight w:val="none"/>
        </w:rPr>
        <w:t>合同履约期限：</w:t>
      </w:r>
      <w:bookmarkEnd w:id="16"/>
      <w:r>
        <w:rPr>
          <w:rFonts w:hint="eastAsia" w:ascii="宋体" w:hAnsi="宋体" w:cs="宋体"/>
          <w:b w:val="0"/>
          <w:bCs/>
          <w:color w:val="auto"/>
          <w:highlight w:val="none"/>
        </w:rPr>
        <w:t>本项目一招</w:t>
      </w:r>
      <w:r>
        <w:rPr>
          <w:rFonts w:hint="eastAsia" w:ascii="宋体" w:hAnsi="宋体" w:cs="宋体"/>
          <w:b w:val="0"/>
          <w:bCs/>
          <w:color w:val="auto"/>
          <w:highlight w:val="none"/>
          <w:lang w:val="en-US" w:eastAsia="zh-CN"/>
        </w:rPr>
        <w:t>三</w:t>
      </w:r>
      <w:r>
        <w:rPr>
          <w:rFonts w:hint="eastAsia" w:ascii="宋体" w:hAnsi="宋体" w:cs="宋体"/>
          <w:b w:val="0"/>
          <w:bCs/>
          <w:color w:val="auto"/>
          <w:highlight w:val="none"/>
        </w:rPr>
        <w:t>年，合同一年一签，采购人有权根据上年合同履约考核情况决定是否续签。</w:t>
      </w:r>
    </w:p>
    <w:p w14:paraId="1CDDF55C">
      <w:pPr>
        <w:pStyle w:val="2"/>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r>
        <w:rPr>
          <w:rFonts w:hint="eastAsia" w:hAnsi="宋体" w:cs="宋体"/>
          <w:b/>
          <w:color w:val="auto"/>
          <w:sz w:val="24"/>
          <w:highlight w:val="none"/>
          <w:lang w:eastAsia="zh-CN"/>
        </w:rPr>
        <w:t>。</w:t>
      </w:r>
    </w:p>
    <w:p w14:paraId="5775207F">
      <w:pPr>
        <w:spacing w:line="360" w:lineRule="auto"/>
        <w:outlineLvl w:val="1"/>
        <w:rPr>
          <w:rFonts w:ascii="宋体" w:hAnsi="宋体" w:cs="宋体"/>
          <w:b/>
          <w:color w:val="auto"/>
          <w:sz w:val="24"/>
          <w:highlight w:val="none"/>
        </w:rPr>
      </w:pPr>
      <w:bookmarkStart w:id="17" w:name="_Toc23184"/>
      <w:r>
        <w:rPr>
          <w:rFonts w:hint="eastAsia" w:ascii="宋体" w:hAnsi="宋体" w:cs="宋体"/>
          <w:b/>
          <w:color w:val="auto"/>
          <w:sz w:val="24"/>
          <w:highlight w:val="none"/>
        </w:rPr>
        <w:t>二、</w:t>
      </w:r>
      <w:bookmarkStart w:id="18" w:name="_Hlk101132948"/>
      <w:r>
        <w:rPr>
          <w:rFonts w:hint="eastAsia" w:ascii="宋体" w:hAnsi="宋体" w:cs="宋体"/>
          <w:b/>
          <w:color w:val="auto"/>
          <w:sz w:val="24"/>
          <w:highlight w:val="none"/>
        </w:rPr>
        <w:t>申请人的资格要求</w:t>
      </w:r>
      <w:bookmarkEnd w:id="18"/>
      <w:r>
        <w:rPr>
          <w:rFonts w:hint="eastAsia" w:ascii="宋体" w:hAnsi="宋体" w:cs="宋体"/>
          <w:b/>
          <w:color w:val="auto"/>
          <w:sz w:val="24"/>
          <w:highlight w:val="none"/>
        </w:rPr>
        <w:t>：</w:t>
      </w:r>
      <w:bookmarkEnd w:id="17"/>
    </w:p>
    <w:p w14:paraId="3E285903">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cs="宋体"/>
          <w:snapToGrid w:val="0"/>
          <w:color w:val="auto"/>
          <w:kern w:val="28"/>
          <w:sz w:val="24"/>
          <w:szCs w:val="20"/>
          <w:highlight w:val="none"/>
        </w:rPr>
        <w:t>、政府采购严重违法失信行为记录名单</w:t>
      </w:r>
      <w:r>
        <w:rPr>
          <w:rFonts w:hint="eastAsia" w:ascii="宋体" w:hAnsi="宋体" w:cs="宋体"/>
          <w:snapToGrid w:val="0"/>
          <w:color w:val="auto"/>
          <w:kern w:val="28"/>
          <w:sz w:val="24"/>
          <w:szCs w:val="20"/>
          <w:highlight w:val="none"/>
          <w:lang w:eastAsia="zh-CN"/>
        </w:rPr>
        <w:t>。</w:t>
      </w:r>
    </w:p>
    <w:p w14:paraId="58438F9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w:t>
      </w:r>
      <w:r>
        <w:rPr>
          <w:rFonts w:hint="eastAsia" w:ascii="宋体" w:hAnsi="宋体" w:eastAsia="宋体" w:cs="宋体"/>
          <w:snapToGrid w:val="0"/>
          <w:color w:val="auto"/>
          <w:kern w:val="28"/>
          <w:sz w:val="24"/>
          <w:szCs w:val="20"/>
          <w:highlight w:val="none"/>
        </w:rPr>
        <w:t>要求：</w:t>
      </w:r>
      <w:r>
        <w:rPr>
          <w:rFonts w:hint="eastAsia" w:ascii="宋体" w:hAnsi="宋体" w:cs="宋体"/>
          <w:snapToGrid w:val="0"/>
          <w:color w:val="auto"/>
          <w:kern w:val="28"/>
          <w:sz w:val="24"/>
          <w:szCs w:val="20"/>
          <w:highlight w:val="none"/>
          <w:lang w:val="en-US" w:eastAsia="zh-CN"/>
        </w:rPr>
        <w:t>本项目属于专门面向中小企业采购的项目，投标人应为符合《政府采购促进中小企业发展管理办法》（财库﹝2020﹞46 号）规定的中小企业（其中，小微企业包括视同为小型、微型企业的监狱企业、残疾人福利性单位）</w:t>
      </w:r>
      <w:r>
        <w:rPr>
          <w:rFonts w:hint="eastAsia" w:ascii="宋体" w:hAnsi="宋体" w:eastAsia="宋体" w:cs="宋体"/>
          <w:snapToGrid w:val="0"/>
          <w:color w:val="auto"/>
          <w:kern w:val="28"/>
          <w:sz w:val="24"/>
          <w:szCs w:val="20"/>
          <w:highlight w:val="none"/>
          <w:lang w:eastAsia="zh-CN"/>
        </w:rPr>
        <w:t>。</w:t>
      </w:r>
    </w:p>
    <w:p w14:paraId="2117C2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30FAAD">
      <w:pPr>
        <w:spacing w:line="360" w:lineRule="auto"/>
        <w:rPr>
          <w:rFonts w:ascii="宋体" w:hAnsi="宋体" w:cs="宋体"/>
          <w:b/>
          <w:color w:val="auto"/>
          <w:sz w:val="24"/>
          <w:highlight w:val="none"/>
        </w:rPr>
      </w:pPr>
      <w:bookmarkStart w:id="19" w:name="_Toc15435"/>
      <w:r>
        <w:rPr>
          <w:rFonts w:hint="eastAsia" w:ascii="宋体" w:hAnsi="宋体" w:cs="宋体"/>
          <w:b/>
          <w:color w:val="auto"/>
          <w:sz w:val="24"/>
          <w:highlight w:val="none"/>
        </w:rPr>
        <w:t>三、获取招标文件</w:t>
      </w:r>
      <w:bookmarkEnd w:id="19"/>
      <w:r>
        <w:rPr>
          <w:rFonts w:hint="eastAsia" w:ascii="宋体" w:hAnsi="宋体" w:cs="宋体"/>
          <w:b/>
          <w:color w:val="auto"/>
          <w:sz w:val="24"/>
          <w:highlight w:val="none"/>
        </w:rPr>
        <w:t xml:space="preserve"> </w:t>
      </w:r>
    </w:p>
    <w:p w14:paraId="450CA9F9">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4</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12</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17</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rPr>
        <w:t>至</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4</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12</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24</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rPr>
        <w:t>，每天上午00:00至12:00 ，下午12:00至23:59（北京时间，线上获取法定节假日均可，线下获取文件法定节假日除外）</w:t>
      </w:r>
    </w:p>
    <w:p w14:paraId="7D4F804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地点（网址）：政采云平台（https://www.zcygov.cn/） </w:t>
      </w:r>
    </w:p>
    <w:p w14:paraId="42D2115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14:paraId="789411C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5DE26DB9">
      <w:pPr>
        <w:spacing w:line="360" w:lineRule="auto"/>
        <w:outlineLvl w:val="1"/>
        <w:rPr>
          <w:rFonts w:ascii="宋体" w:hAnsi="宋体" w:cs="宋体"/>
          <w:b/>
          <w:bCs w:val="0"/>
          <w:color w:val="auto"/>
          <w:sz w:val="24"/>
          <w:highlight w:val="none"/>
        </w:rPr>
      </w:pPr>
      <w:bookmarkStart w:id="20" w:name="_Toc18115"/>
      <w:r>
        <w:rPr>
          <w:rFonts w:hint="eastAsia" w:ascii="宋体" w:hAnsi="宋体" w:cs="宋体"/>
          <w:b/>
          <w:bCs w:val="0"/>
          <w:color w:val="auto"/>
          <w:sz w:val="24"/>
          <w:highlight w:val="none"/>
        </w:rPr>
        <w:t>四、提交投标文件截止时间、开标时间和地点</w:t>
      </w:r>
      <w:bookmarkEnd w:id="20"/>
    </w:p>
    <w:p w14:paraId="6E726C56">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提交投标文件截止时间：</w:t>
      </w:r>
      <w:r>
        <w:rPr>
          <w:rFonts w:hint="eastAsia" w:ascii="宋体" w:hAnsi="宋体" w:cs="宋体"/>
          <w:b w:val="0"/>
          <w:bCs/>
          <w:color w:val="auto"/>
          <w:sz w:val="24"/>
          <w:highlight w:val="none"/>
          <w:u w:val="single"/>
        </w:rPr>
        <w:t xml:space="preserve"> 202</w:t>
      </w:r>
      <w:r>
        <w:rPr>
          <w:rFonts w:hint="eastAsia" w:ascii="宋体" w:hAnsi="宋体" w:cs="宋体"/>
          <w:b w:val="0"/>
          <w:bCs/>
          <w:color w:val="auto"/>
          <w:sz w:val="24"/>
          <w:highlight w:val="none"/>
          <w:u w:val="single"/>
          <w:lang w:val="en-US" w:eastAsia="zh-CN"/>
        </w:rPr>
        <w:t>4</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1</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8日9</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分</w:t>
      </w:r>
      <w:r>
        <w:rPr>
          <w:rFonts w:hint="eastAsia" w:ascii="宋体" w:hAnsi="宋体" w:cs="宋体"/>
          <w:b w:val="0"/>
          <w:bCs/>
          <w:color w:val="auto"/>
          <w:sz w:val="24"/>
          <w:highlight w:val="none"/>
        </w:rPr>
        <w:t>（北京时间）</w:t>
      </w:r>
    </w:p>
    <w:p w14:paraId="1E21D1E2">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 xml:space="preserve">投标地点（网址）：政采云平台（https://www.zcygov.cn/） </w:t>
      </w:r>
    </w:p>
    <w:p w14:paraId="137E288D">
      <w:pPr>
        <w:spacing w:line="360" w:lineRule="auto"/>
        <w:ind w:firstLine="480" w:firstLineChars="200"/>
        <w:rPr>
          <w:rFonts w:ascii="宋体" w:hAnsi="宋体" w:cs="宋体"/>
          <w:b w:val="0"/>
          <w:bCs/>
          <w:color w:val="auto"/>
          <w:sz w:val="24"/>
          <w:highlight w:val="none"/>
          <w:u w:val="single"/>
        </w:rPr>
      </w:pPr>
      <w:r>
        <w:rPr>
          <w:rFonts w:hint="eastAsia" w:ascii="宋体" w:hAnsi="宋体" w:cs="宋体"/>
          <w:b w:val="0"/>
          <w:bCs/>
          <w:color w:val="auto"/>
          <w:sz w:val="24"/>
          <w:highlight w:val="none"/>
        </w:rPr>
        <w:t>开标时间：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4</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1</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8日9</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3</w:t>
      </w:r>
      <w:bookmarkStart w:id="442" w:name="_GoBack"/>
      <w:bookmarkEnd w:id="442"/>
      <w:r>
        <w:rPr>
          <w:rFonts w:hint="eastAsia" w:ascii="宋体" w:hAnsi="宋体" w:cs="宋体"/>
          <w:b w:val="0"/>
          <w:bCs/>
          <w:color w:val="auto"/>
          <w:sz w:val="24"/>
          <w:highlight w:val="none"/>
          <w:u w:val="single"/>
          <w:lang w:val="en-US" w:eastAsia="zh-CN"/>
        </w:rPr>
        <w:t>0</w:t>
      </w:r>
      <w:r>
        <w:rPr>
          <w:rFonts w:hint="eastAsia" w:ascii="宋体" w:hAnsi="宋体" w:cs="宋体"/>
          <w:b w:val="0"/>
          <w:bCs/>
          <w:color w:val="auto"/>
          <w:sz w:val="24"/>
          <w:highlight w:val="none"/>
          <w:u w:val="single"/>
        </w:rPr>
        <w:t>分</w:t>
      </w:r>
      <w:r>
        <w:rPr>
          <w:rFonts w:hint="eastAsia" w:ascii="宋体" w:hAnsi="宋体" w:cs="宋体"/>
          <w:b w:val="0"/>
          <w:bCs/>
          <w:color w:val="auto"/>
          <w:sz w:val="24"/>
          <w:highlight w:val="none"/>
        </w:rPr>
        <w:t>（北京时间）</w:t>
      </w:r>
    </w:p>
    <w:p w14:paraId="6B669CEA">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开标地点（网址）：政采云平台（https://www.zcygov.cn/）</w:t>
      </w:r>
    </w:p>
    <w:p w14:paraId="77B75C7D">
      <w:pPr>
        <w:spacing w:line="360" w:lineRule="auto"/>
        <w:outlineLvl w:val="1"/>
        <w:rPr>
          <w:rFonts w:ascii="宋体" w:hAnsi="宋体" w:cs="宋体"/>
          <w:color w:val="auto"/>
          <w:sz w:val="24"/>
          <w:highlight w:val="none"/>
        </w:rPr>
      </w:pPr>
      <w:bookmarkStart w:id="21" w:name="_Toc16463"/>
      <w:r>
        <w:rPr>
          <w:rFonts w:hint="eastAsia" w:ascii="宋体" w:hAnsi="宋体" w:cs="宋体"/>
          <w:b/>
          <w:color w:val="auto"/>
          <w:sz w:val="24"/>
          <w:highlight w:val="none"/>
        </w:rPr>
        <w:t>五、公告期限</w:t>
      </w:r>
      <w:bookmarkEnd w:id="21"/>
      <w:r>
        <w:rPr>
          <w:rFonts w:hint="eastAsia" w:ascii="宋体" w:hAnsi="宋体" w:cs="宋体"/>
          <w:b/>
          <w:color w:val="auto"/>
          <w:sz w:val="24"/>
          <w:highlight w:val="none"/>
        </w:rPr>
        <w:t xml:space="preserve"> </w:t>
      </w:r>
    </w:p>
    <w:p w14:paraId="2BC0BE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9F03908">
      <w:pPr>
        <w:spacing w:line="360" w:lineRule="auto"/>
        <w:outlineLvl w:val="1"/>
        <w:rPr>
          <w:rFonts w:ascii="宋体" w:hAnsi="宋体" w:cs="宋体"/>
          <w:b/>
          <w:color w:val="auto"/>
          <w:sz w:val="24"/>
          <w:highlight w:val="none"/>
        </w:rPr>
      </w:pPr>
      <w:bookmarkStart w:id="22" w:name="_Toc20735"/>
      <w:r>
        <w:rPr>
          <w:rFonts w:hint="eastAsia" w:ascii="宋体" w:hAnsi="宋体" w:cs="宋体"/>
          <w:b/>
          <w:color w:val="auto"/>
          <w:sz w:val="24"/>
          <w:highlight w:val="none"/>
        </w:rPr>
        <w:t>六、其他补充事宜</w:t>
      </w:r>
      <w:bookmarkEnd w:id="22"/>
    </w:p>
    <w:p w14:paraId="4E0A21B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auto"/>
          <w:sz w:val="24"/>
          <w:highlight w:val="none"/>
        </w:rPr>
        <w:t>复的，可以在答复期满后十五个工作日内向同级政府采购监督管理部门投诉。质疑函范本、投诉书范本请到浙江政府采购网下载专区下载。</w:t>
      </w:r>
    </w:p>
    <w:p w14:paraId="3DBF984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w:t>
      </w:r>
      <w:r>
        <w:rPr>
          <w:rFonts w:hint="eastAsia" w:ascii="宋体" w:hAnsi="宋体" w:eastAsia="宋体" w:cs="宋体"/>
          <w:color w:val="auto"/>
          <w:sz w:val="24"/>
          <w:highlight w:val="none"/>
        </w:rPr>
        <w:t>其他事项：</w:t>
      </w:r>
    </w:p>
    <w:p w14:paraId="3074FE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需要落实的政府采购政策：包括节约资源、保护环境、支持创新、促进中小企业发展等。详见招标文件的第二部分总则。</w:t>
      </w:r>
    </w:p>
    <w:p w14:paraId="1AA42E9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auto"/>
          <w:sz w:val="24"/>
          <w:highlight w:val="none"/>
          <w:lang w:val="en-US" w:eastAsia="zh-CN"/>
        </w:rPr>
        <w:t>寄</w:t>
      </w:r>
      <w:r>
        <w:rPr>
          <w:rFonts w:hint="eastAsia" w:ascii="宋体" w:hAnsi="宋体" w:cs="宋体"/>
          <w:color w:val="auto"/>
          <w:sz w:val="24"/>
          <w:highlight w:val="none"/>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auto"/>
          <w:sz w:val="24"/>
          <w:highlight w:val="none"/>
        </w:rPr>
        <w:t>中心-帮助文档-项目采购-操作流程-电子招投标-政府采购项目电子交易管理操作指南-供应商”。</w:t>
      </w:r>
    </w:p>
    <w:p w14:paraId="54C98E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）招标文件公告期限与招标公告的公告期限一致。</w:t>
      </w:r>
    </w:p>
    <w:p w14:paraId="4BAE7AF7">
      <w:pPr>
        <w:spacing w:line="360" w:lineRule="auto"/>
        <w:outlineLvl w:val="1"/>
        <w:rPr>
          <w:rFonts w:ascii="宋体" w:hAnsi="宋体" w:cs="宋体"/>
          <w:b/>
          <w:color w:val="auto"/>
          <w:sz w:val="24"/>
          <w:highlight w:val="none"/>
        </w:rPr>
      </w:pPr>
      <w:bookmarkStart w:id="23" w:name="_Toc3685"/>
      <w:r>
        <w:rPr>
          <w:rFonts w:hint="eastAsia" w:ascii="宋体" w:hAnsi="宋体" w:cs="宋体"/>
          <w:b/>
          <w:color w:val="auto"/>
          <w:sz w:val="24"/>
          <w:highlight w:val="none"/>
        </w:rPr>
        <w:t>七、对本次采购提出询问、质疑、投诉，请按以下方式联系</w:t>
      </w:r>
      <w:bookmarkEnd w:id="23"/>
    </w:p>
    <w:p w14:paraId="681D8C5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79B76E1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宁波市公安局北仑分局</w:t>
      </w:r>
      <w:r>
        <w:rPr>
          <w:rFonts w:hint="eastAsia" w:ascii="宋体" w:hAnsi="宋体" w:eastAsia="宋体" w:cs="宋体"/>
          <w:color w:val="auto"/>
          <w:sz w:val="24"/>
          <w:highlight w:val="none"/>
        </w:rPr>
        <w:t>　</w:t>
      </w:r>
    </w:p>
    <w:p w14:paraId="2B0FB07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宁波市北仑区明州路777号</w:t>
      </w:r>
      <w:r>
        <w:rPr>
          <w:rFonts w:hint="eastAsia" w:ascii="宋体" w:hAnsi="宋体" w:eastAsia="宋体" w:cs="宋体"/>
          <w:color w:val="auto"/>
          <w:sz w:val="24"/>
          <w:highlight w:val="none"/>
        </w:rPr>
        <w:t xml:space="preserve">  　　</w:t>
      </w:r>
    </w:p>
    <w:p w14:paraId="21322F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7E8B736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邬</w:t>
      </w:r>
      <w:r>
        <w:rPr>
          <w:rFonts w:hint="eastAsia" w:ascii="宋体" w:hAnsi="宋体" w:eastAsia="宋体" w:cs="宋体"/>
          <w:color w:val="auto"/>
          <w:sz w:val="24"/>
          <w:highlight w:val="none"/>
        </w:rPr>
        <w:t>老师</w:t>
      </w:r>
    </w:p>
    <w:p w14:paraId="4879503E">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13957840571</w:t>
      </w:r>
    </w:p>
    <w:p w14:paraId="589A7477">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张老师</w:t>
      </w:r>
    </w:p>
    <w:p w14:paraId="704FA2C4">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0574-86775230</w:t>
      </w:r>
    </w:p>
    <w:p w14:paraId="321F0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p>
    <w:p w14:paraId="4D4C86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            </w:t>
      </w:r>
    </w:p>
    <w:p w14:paraId="25253A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名称：宁波中基国际招标有限公司             </w:t>
      </w:r>
    </w:p>
    <w:p w14:paraId="052663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地址：宁波市鄞州区天童南路666号中基大厦19楼             </w:t>
      </w:r>
    </w:p>
    <w:p w14:paraId="1F97A8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传真：0574-874253</w:t>
      </w:r>
      <w:r>
        <w:rPr>
          <w:rFonts w:hint="eastAsia" w:ascii="宋体" w:hAnsi="宋体" w:cs="宋体"/>
          <w:color w:val="auto"/>
          <w:sz w:val="24"/>
          <w:highlight w:val="none"/>
          <w:lang w:val="en-US" w:eastAsia="zh-CN"/>
        </w:rPr>
        <w:t>86</w:t>
      </w:r>
      <w:r>
        <w:rPr>
          <w:rFonts w:hint="eastAsia" w:ascii="宋体" w:hAnsi="宋体" w:eastAsia="宋体" w:cs="宋体"/>
          <w:color w:val="auto"/>
          <w:sz w:val="24"/>
          <w:highlight w:val="none"/>
        </w:rPr>
        <w:t>             </w:t>
      </w:r>
    </w:p>
    <w:p w14:paraId="74E578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江明、王辉云</w:t>
      </w:r>
      <w:r>
        <w:rPr>
          <w:rFonts w:hint="eastAsia" w:ascii="宋体" w:hAnsi="宋体" w:eastAsia="宋体" w:cs="宋体"/>
          <w:color w:val="auto"/>
          <w:sz w:val="24"/>
          <w:highlight w:val="none"/>
        </w:rPr>
        <w:t>              </w:t>
      </w:r>
    </w:p>
    <w:p w14:paraId="64D5E3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项目联系方式（询问）：0574-</w:t>
      </w:r>
      <w:r>
        <w:rPr>
          <w:rFonts w:hint="eastAsia" w:ascii="宋体" w:hAnsi="宋体" w:cs="宋体"/>
          <w:color w:val="auto"/>
          <w:sz w:val="24"/>
          <w:highlight w:val="none"/>
          <w:lang w:val="en-US" w:eastAsia="zh-CN"/>
        </w:rPr>
        <w:t>87425112</w:t>
      </w:r>
    </w:p>
    <w:p w14:paraId="393AD7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王老师</w:t>
      </w:r>
      <w:r>
        <w:rPr>
          <w:rFonts w:hint="eastAsia" w:ascii="宋体" w:hAnsi="宋体" w:eastAsia="宋体" w:cs="宋体"/>
          <w:color w:val="auto"/>
          <w:sz w:val="24"/>
          <w:highlight w:val="none"/>
        </w:rPr>
        <w:t>             </w:t>
      </w:r>
    </w:p>
    <w:p w14:paraId="11BA26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Cs w:val="21"/>
          <w:highlight w:val="none"/>
        </w:rPr>
      </w:pPr>
      <w:r>
        <w:rPr>
          <w:rFonts w:hint="eastAsia" w:ascii="宋体" w:hAnsi="宋体" w:eastAsia="宋体" w:cs="宋体"/>
          <w:color w:val="auto"/>
          <w:sz w:val="24"/>
          <w:highlight w:val="none"/>
        </w:rPr>
        <w:t>质疑联系方式：0574-8742</w:t>
      </w:r>
      <w:r>
        <w:rPr>
          <w:rFonts w:hint="eastAsia" w:ascii="宋体" w:hAnsi="宋体" w:cs="宋体"/>
          <w:color w:val="auto"/>
          <w:sz w:val="24"/>
          <w:highlight w:val="none"/>
          <w:lang w:val="en-US" w:eastAsia="zh-CN"/>
        </w:rPr>
        <w:t xml:space="preserve">5265 </w:t>
      </w:r>
      <w:r>
        <w:rPr>
          <w:rFonts w:hint="eastAsia" w:ascii="宋体" w:hAnsi="宋体" w:eastAsia="宋体" w:cs="宋体"/>
          <w:color w:val="auto"/>
          <w:sz w:val="24"/>
          <w:highlight w:val="none"/>
        </w:rPr>
        <w:t> 　　　</w:t>
      </w:r>
      <w:r>
        <w:rPr>
          <w:rFonts w:hint="eastAsia" w:ascii="宋体" w:hAnsi="宋体" w:cs="宋体"/>
          <w:color w:val="auto"/>
          <w:szCs w:val="21"/>
          <w:highlight w:val="none"/>
        </w:rPr>
        <w:t>　　　     </w:t>
      </w:r>
    </w:p>
    <w:p w14:paraId="11B54D1A">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16694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51865E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
        </w:rPr>
        <w:t>北仑区财政局政府采购办公室</w:t>
      </w:r>
    </w:p>
    <w:p w14:paraId="66AEEE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宁波市</w:t>
      </w:r>
      <w:r>
        <w:rPr>
          <w:rFonts w:hint="eastAsia" w:ascii="宋体" w:hAnsi="宋体" w:eastAsia="宋体" w:cs="宋体"/>
          <w:color w:val="auto"/>
          <w:sz w:val="24"/>
          <w:highlight w:val="none"/>
          <w:lang w:val="en"/>
        </w:rPr>
        <w:t>北仑区长江路1166号</w:t>
      </w:r>
    </w:p>
    <w:p w14:paraId="4BD562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2ECE7D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严</w:t>
      </w:r>
      <w:r>
        <w:rPr>
          <w:rFonts w:hint="eastAsia" w:ascii="宋体" w:hAnsi="宋体" w:eastAsia="宋体" w:cs="宋体"/>
          <w:color w:val="auto"/>
          <w:sz w:val="24"/>
          <w:highlight w:val="none"/>
        </w:rPr>
        <w:t>老师</w:t>
      </w:r>
    </w:p>
    <w:p w14:paraId="5BE551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
        </w:rPr>
        <w:t>0574-89383756</w:t>
      </w:r>
    </w:p>
    <w:p w14:paraId="2ECFCA83">
      <w:pPr>
        <w:pStyle w:val="25"/>
        <w:rPr>
          <w:rFonts w:hint="eastAsia"/>
          <w:color w:val="auto"/>
          <w:highlight w:val="none"/>
          <w:lang w:val="en"/>
        </w:rPr>
      </w:pPr>
    </w:p>
    <w:p w14:paraId="7FBB9E4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w:t>
      </w:r>
      <w:r>
        <w:rPr>
          <w:rFonts w:hint="eastAsia" w:ascii="宋体" w:hAnsi="宋体" w:cs="宋体"/>
          <w:color w:val="auto"/>
          <w:sz w:val="21"/>
          <w:szCs w:val="21"/>
          <w:highlight w:val="none"/>
        </w:rPr>
        <w:t>（https://www.zcygov.cn/），点击右侧咨询小采，获取采小蜜智能服务管家帮助，或拨打政采云服务热线95763获取热线服务帮助。</w:t>
      </w:r>
    </w:p>
    <w:p w14:paraId="63E1172C">
      <w:pPr>
        <w:spacing w:line="360" w:lineRule="auto"/>
        <w:ind w:firstLine="420" w:firstLineChars="200"/>
        <w:rPr>
          <w:rFonts w:hAnsi="宋体" w:cs="宋体"/>
          <w:b/>
          <w:color w:val="auto"/>
          <w:sz w:val="36"/>
          <w:szCs w:val="20"/>
          <w:highlight w:val="none"/>
        </w:rPr>
      </w:pPr>
      <w:r>
        <w:rPr>
          <w:rFonts w:hint="eastAsia" w:ascii="宋体" w:hAnsi="宋体" w:cs="宋体"/>
          <w:color w:val="auto"/>
          <w:sz w:val="21"/>
          <w:szCs w:val="21"/>
          <w:highlight w:val="none"/>
        </w:rPr>
        <w:t>CA问题联系电话（人工）：汇信CA 400-888-4636；天谷CA 400-087-8198。</w:t>
      </w:r>
      <w:r>
        <w:rPr>
          <w:rFonts w:hint="eastAsia" w:hAnsi="宋体" w:cs="宋体"/>
          <w:color w:val="auto"/>
          <w:sz w:val="21"/>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655CED4">
      <w:pPr>
        <w:pStyle w:val="4"/>
        <w:outlineLvl w:val="9"/>
        <w:rPr>
          <w:rFonts w:ascii="宋体"/>
          <w:snapToGrid w:val="0"/>
          <w:color w:val="auto"/>
          <w:highlight w:val="none"/>
        </w:rPr>
      </w:pPr>
      <w:r>
        <w:rPr>
          <w:color w:val="auto"/>
          <w:highlight w:val="none"/>
        </w:rPr>
        <w:br w:type="page"/>
      </w:r>
    </w:p>
    <w:p w14:paraId="3F9FB1B0">
      <w:pPr>
        <w:adjustRightInd/>
        <w:spacing w:line="360" w:lineRule="auto"/>
        <w:jc w:val="center"/>
        <w:outlineLvl w:val="0"/>
        <w:rPr>
          <w:rFonts w:ascii="宋体" w:hAnsi="宋体" w:cs="宋体"/>
          <w:b/>
          <w:color w:val="auto"/>
          <w:sz w:val="36"/>
          <w:szCs w:val="20"/>
          <w:highlight w:val="none"/>
        </w:rPr>
      </w:pPr>
      <w:bookmarkStart w:id="24" w:name="_Toc27473"/>
      <w:bookmarkStart w:id="25" w:name="_Toc31038"/>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4"/>
      <w:bookmarkEnd w:id="25"/>
    </w:p>
    <w:p w14:paraId="47AA20C7">
      <w:pPr>
        <w:adjustRightInd/>
        <w:spacing w:line="360" w:lineRule="auto"/>
        <w:ind w:firstLine="3845" w:firstLineChars="1197"/>
        <w:outlineLvl w:val="1"/>
        <w:rPr>
          <w:rFonts w:ascii="宋体" w:hAnsi="宋体" w:cs="宋体"/>
          <w:b/>
          <w:color w:val="auto"/>
          <w:sz w:val="32"/>
          <w:szCs w:val="20"/>
          <w:highlight w:val="none"/>
        </w:rPr>
      </w:pPr>
      <w:bookmarkStart w:id="26" w:name="_Toc17934"/>
      <w:r>
        <w:rPr>
          <w:rFonts w:hint="eastAsia" w:ascii="宋体" w:hAnsi="宋体" w:cs="宋体"/>
          <w:b/>
          <w:color w:val="auto"/>
          <w:sz w:val="32"/>
          <w:szCs w:val="20"/>
          <w:highlight w:val="none"/>
        </w:rPr>
        <w:t>前附表</w:t>
      </w:r>
      <w:bookmarkEnd w:id="26"/>
    </w:p>
    <w:tbl>
      <w:tblPr>
        <w:tblStyle w:val="65"/>
        <w:tblW w:w="10077" w:type="dxa"/>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870"/>
      </w:tblGrid>
      <w:tr w14:paraId="79AAB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80" w:type="dxa"/>
            <w:tcBorders>
              <w:top w:val="single" w:color="auto" w:sz="4" w:space="0"/>
              <w:left w:val="single" w:color="auto" w:sz="4" w:space="0"/>
              <w:bottom w:val="single" w:color="auto" w:sz="4" w:space="0"/>
              <w:right w:val="single" w:color="auto" w:sz="4" w:space="0"/>
            </w:tcBorders>
          </w:tcPr>
          <w:p w14:paraId="3FED1C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14:paraId="7724DF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4E2473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817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5C43A10C">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227" w:type="dxa"/>
            <w:tcBorders>
              <w:top w:val="single" w:color="000000" w:sz="8" w:space="0"/>
              <w:left w:val="single" w:color="auto" w:sz="4" w:space="0"/>
              <w:bottom w:val="single" w:color="000000" w:sz="8" w:space="0"/>
              <w:right w:val="single" w:color="000000" w:sz="8" w:space="0"/>
            </w:tcBorders>
            <w:vAlign w:val="center"/>
          </w:tcPr>
          <w:p w14:paraId="62041F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3AEC02D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w:t>
            </w:r>
          </w:p>
        </w:tc>
      </w:tr>
      <w:tr w14:paraId="0FF14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0728166E">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227" w:type="dxa"/>
            <w:tcBorders>
              <w:top w:val="single" w:color="000000" w:sz="8" w:space="0"/>
              <w:left w:val="single" w:color="auto" w:sz="4" w:space="0"/>
              <w:bottom w:val="single" w:color="000000" w:sz="8" w:space="0"/>
              <w:right w:val="single" w:color="000000" w:sz="8" w:space="0"/>
            </w:tcBorders>
            <w:vAlign w:val="center"/>
          </w:tcPr>
          <w:p w14:paraId="2E5E1B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58E29F88">
            <w:pPr>
              <w:numPr>
                <w:ilvl w:val="0"/>
                <w:numId w:val="0"/>
              </w:numPr>
              <w:snapToGrid w:val="0"/>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本项目为专门面向中小企业。</w:t>
            </w:r>
          </w:p>
          <w:p w14:paraId="20BC713B">
            <w:pPr>
              <w:numPr>
                <w:ilvl w:val="0"/>
                <w:numId w:val="0"/>
              </w:numPr>
              <w:snapToGrid w:val="0"/>
              <w:spacing w:line="360" w:lineRule="auto"/>
              <w:rPr>
                <w:rFonts w:hint="eastAsia"/>
                <w:color w:val="auto"/>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北仑公安分局通信运维服务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软件和信息技术服务业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446BC1D">
            <w:pPr>
              <w:pStyle w:val="4"/>
              <w:keepNext/>
              <w:keepLines/>
              <w:pageBreakBefore w:val="0"/>
              <w:widowControl w:val="0"/>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color w:val="auto"/>
                <w:kern w:val="28"/>
                <w:sz w:val="24"/>
                <w:szCs w:val="24"/>
                <w:highlight w:val="none"/>
                <w:lang w:val="en-US" w:eastAsia="zh-CN" w:bidi="ar-SA"/>
              </w:rPr>
            </w:pPr>
            <w:bookmarkStart w:id="27" w:name="_Toc15395"/>
            <w:r>
              <w:rPr>
                <w:rFonts w:hint="eastAsia" w:ascii="宋体" w:hAnsi="宋体" w:eastAsia="宋体" w:cs="宋体"/>
                <w:b w:val="0"/>
                <w:bCs w:val="0"/>
                <w:color w:val="auto"/>
                <w:kern w:val="28"/>
                <w:sz w:val="24"/>
                <w:szCs w:val="24"/>
                <w:highlight w:val="none"/>
                <w:lang w:val="en-US" w:eastAsia="zh-CN" w:bidi="ar-SA"/>
              </w:rPr>
              <w:t>备注：《关于印发中小企业划型标准规定的通知》（工信</w:t>
            </w:r>
            <w:bookmarkEnd w:id="27"/>
            <w:bookmarkStart w:id="28" w:name="_Toc11782"/>
            <w:r>
              <w:rPr>
                <w:rFonts w:hint="eastAsia" w:ascii="宋体" w:hAnsi="宋体" w:eastAsia="宋体" w:cs="宋体"/>
                <w:b w:val="0"/>
                <w:bCs w:val="0"/>
                <w:color w:val="auto"/>
                <w:kern w:val="28"/>
                <w:sz w:val="24"/>
                <w:szCs w:val="24"/>
                <w:highlight w:val="none"/>
                <w:lang w:val="en-US" w:eastAsia="zh-CN" w:bidi="ar-SA"/>
              </w:rPr>
              <w:t>部联企业〔2011〕300）：</w:t>
            </w:r>
            <w:bookmarkEnd w:id="28"/>
          </w:p>
          <w:p w14:paraId="645E1449">
            <w:pPr>
              <w:pStyle w:val="4"/>
              <w:keepNext/>
              <w:keepLines/>
              <w:pageBreakBefore w:val="0"/>
              <w:widowControl w:val="0"/>
              <w:kinsoku/>
              <w:wordWrap/>
              <w:overflowPunct/>
              <w:topLinePunct w:val="0"/>
              <w:autoSpaceDE/>
              <w:autoSpaceDN/>
              <w:bidi w:val="0"/>
              <w:adjustRightInd w:val="0"/>
              <w:snapToGrid w:val="0"/>
              <w:ind w:left="0" w:firstLine="0"/>
              <w:jc w:val="both"/>
              <w:textAlignment w:val="auto"/>
              <w:rPr>
                <w:rFonts w:ascii="宋体" w:hAnsi="宋体" w:eastAsia="宋体" w:cs="宋体"/>
                <w:color w:val="auto"/>
                <w:highlight w:val="none"/>
                <w:lang w:val="en-US"/>
              </w:rPr>
            </w:pPr>
            <w:r>
              <w:rPr>
                <w:rFonts w:hint="eastAsia" w:ascii="宋体" w:hAnsi="宋体" w:eastAsia="宋体" w:cs="宋体"/>
                <w:b/>
                <w:bCs/>
                <w:color w:val="auto"/>
                <w:kern w:val="28"/>
                <w:sz w:val="24"/>
                <w:szCs w:val="24"/>
                <w:highlight w:val="none"/>
                <w:lang w:val="en-US"/>
              </w:rPr>
              <w:t>软件和信息技术服务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C318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51177E7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2227" w:type="dxa"/>
            <w:tcBorders>
              <w:top w:val="single" w:color="000000" w:sz="8" w:space="0"/>
              <w:left w:val="single" w:color="auto" w:sz="4" w:space="0"/>
              <w:bottom w:val="single" w:color="000000" w:sz="8" w:space="0"/>
              <w:right w:val="single" w:color="000000" w:sz="8" w:space="0"/>
            </w:tcBorders>
            <w:vAlign w:val="center"/>
          </w:tcPr>
          <w:p w14:paraId="68B73F0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w:t>
            </w:r>
          </w:p>
          <w:p w14:paraId="449AE6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22EA00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6EF6ADB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Theme="minorEastAsia" w:hAnsiTheme="minorEastAsia" w:eastAsiaTheme="minorEastAsia"/>
                <w:snapToGrid/>
                <w:color w:val="auto"/>
                <w:kern w:val="2"/>
                <w:sz w:val="24"/>
                <w:szCs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A493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73EB4D12">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2227" w:type="dxa"/>
            <w:tcBorders>
              <w:top w:val="single" w:color="000000" w:sz="8" w:space="0"/>
              <w:left w:val="single" w:color="auto" w:sz="4" w:space="0"/>
              <w:bottom w:val="single" w:color="000000" w:sz="8" w:space="0"/>
              <w:right w:val="single" w:color="000000" w:sz="8" w:space="0"/>
            </w:tcBorders>
            <w:vAlign w:val="center"/>
          </w:tcPr>
          <w:p w14:paraId="18B8C7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2066450D">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497A71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F89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260ED5A">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2227" w:type="dxa"/>
            <w:tcBorders>
              <w:top w:val="single" w:color="000000" w:sz="8" w:space="0"/>
              <w:left w:val="single" w:color="auto" w:sz="4" w:space="0"/>
              <w:bottom w:val="single" w:color="000000" w:sz="8" w:space="0"/>
              <w:right w:val="single" w:color="000000" w:sz="8" w:space="0"/>
            </w:tcBorders>
            <w:vAlign w:val="center"/>
          </w:tcPr>
          <w:p w14:paraId="0800000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w:t>
            </w:r>
          </w:p>
          <w:p w14:paraId="1822A0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或现场考察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4926630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6D6B4F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1CDD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D70C44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6</w:t>
            </w:r>
          </w:p>
        </w:tc>
        <w:tc>
          <w:tcPr>
            <w:tcW w:w="2227" w:type="dxa"/>
            <w:tcBorders>
              <w:top w:val="single" w:color="000000" w:sz="8" w:space="0"/>
              <w:left w:val="single" w:color="auto" w:sz="4" w:space="0"/>
              <w:bottom w:val="single" w:color="000000" w:sz="8" w:space="0"/>
              <w:right w:val="single" w:color="000000" w:sz="8" w:space="0"/>
            </w:tcBorders>
            <w:vAlign w:val="center"/>
          </w:tcPr>
          <w:p w14:paraId="43EF2A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1C2F944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CE6B89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7C37D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8A5CE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493F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5A289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B88EA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8540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12CFDA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760E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CFB4A05">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7</w:t>
            </w:r>
          </w:p>
        </w:tc>
        <w:tc>
          <w:tcPr>
            <w:tcW w:w="2227" w:type="dxa"/>
            <w:tcBorders>
              <w:top w:val="single" w:color="000000" w:sz="8" w:space="0"/>
              <w:left w:val="single" w:color="auto" w:sz="4" w:space="0"/>
              <w:bottom w:val="single" w:color="000000" w:sz="8" w:space="0"/>
              <w:right w:val="single" w:color="000000" w:sz="8" w:space="0"/>
            </w:tcBorders>
            <w:vAlign w:val="center"/>
          </w:tcPr>
          <w:p w14:paraId="69B9915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0CE871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FF25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23CEB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人。讲解演示结束后按要求解答评标委员会提问。</w:t>
            </w:r>
          </w:p>
          <w:p w14:paraId="47F200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0E171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15DD3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B3E098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EE0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80" w:type="dxa"/>
            <w:vMerge w:val="restart"/>
            <w:tcBorders>
              <w:top w:val="single" w:color="auto" w:sz="4" w:space="0"/>
              <w:left w:val="single" w:color="auto" w:sz="4" w:space="0"/>
              <w:right w:val="single" w:color="auto" w:sz="4" w:space="0"/>
            </w:tcBorders>
          </w:tcPr>
          <w:p w14:paraId="1CB82128">
            <w:pPr>
              <w:snapToGrid w:val="0"/>
              <w:spacing w:line="360" w:lineRule="auto"/>
              <w:jc w:val="center"/>
              <w:rPr>
                <w:rFonts w:ascii="宋体" w:hAnsi="宋体" w:cs="宋体"/>
                <w:color w:val="auto"/>
                <w:sz w:val="24"/>
                <w:highlight w:val="none"/>
              </w:rPr>
            </w:pPr>
          </w:p>
          <w:p w14:paraId="7B3AC685">
            <w:pPr>
              <w:snapToGrid w:val="0"/>
              <w:spacing w:line="360" w:lineRule="auto"/>
              <w:jc w:val="center"/>
              <w:rPr>
                <w:rFonts w:ascii="宋体" w:hAnsi="宋体" w:cs="宋体"/>
                <w:color w:val="auto"/>
                <w:sz w:val="24"/>
                <w:highlight w:val="none"/>
              </w:rPr>
            </w:pPr>
          </w:p>
          <w:p w14:paraId="08FD2E3D">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8</w:t>
            </w:r>
          </w:p>
        </w:tc>
        <w:tc>
          <w:tcPr>
            <w:tcW w:w="2227" w:type="dxa"/>
            <w:vMerge w:val="restart"/>
            <w:tcBorders>
              <w:top w:val="single" w:color="000000" w:sz="8" w:space="0"/>
              <w:left w:val="single" w:color="auto" w:sz="4" w:space="0"/>
              <w:right w:val="single" w:color="000000" w:sz="8" w:space="0"/>
            </w:tcBorders>
            <w:vAlign w:val="center"/>
          </w:tcPr>
          <w:p w14:paraId="511700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03F47AE0">
            <w:pPr>
              <w:spacing w:line="360" w:lineRule="auto"/>
              <w:jc w:val="both"/>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46B07F9">
            <w:pPr>
              <w:spacing w:line="360" w:lineRule="auto"/>
              <w:jc w:val="both"/>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6CF5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trPr>
        <w:tc>
          <w:tcPr>
            <w:tcW w:w="980" w:type="dxa"/>
            <w:vMerge w:val="continue"/>
            <w:tcBorders>
              <w:left w:val="single" w:color="auto" w:sz="4" w:space="0"/>
              <w:bottom w:val="single" w:color="auto" w:sz="4" w:space="0"/>
              <w:right w:val="single" w:color="auto" w:sz="4" w:space="0"/>
            </w:tcBorders>
          </w:tcPr>
          <w:p w14:paraId="6FAE280C">
            <w:pPr>
              <w:snapToGrid w:val="0"/>
              <w:spacing w:line="360" w:lineRule="auto"/>
              <w:jc w:val="center"/>
              <w:rPr>
                <w:rFonts w:ascii="宋体" w:hAnsi="宋体" w:cs="宋体"/>
                <w:color w:val="auto"/>
                <w:sz w:val="24"/>
                <w:highlight w:val="none"/>
              </w:rPr>
            </w:pPr>
          </w:p>
        </w:tc>
        <w:tc>
          <w:tcPr>
            <w:tcW w:w="2227" w:type="dxa"/>
            <w:vMerge w:val="continue"/>
            <w:tcBorders>
              <w:left w:val="single" w:color="auto" w:sz="4" w:space="0"/>
              <w:bottom w:val="single" w:color="000000" w:sz="8" w:space="0"/>
              <w:right w:val="single" w:color="000000" w:sz="8" w:space="0"/>
            </w:tcBorders>
            <w:vAlign w:val="center"/>
          </w:tcPr>
          <w:p w14:paraId="76447407">
            <w:pPr>
              <w:snapToGrid w:val="0"/>
              <w:spacing w:line="360" w:lineRule="auto"/>
              <w:jc w:val="center"/>
              <w:rPr>
                <w:rFonts w:ascii="宋体" w:hAnsi="宋体" w:cs="宋体"/>
                <w:b/>
                <w:color w:val="auto"/>
                <w:sz w:val="24"/>
                <w:highlight w:val="none"/>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511922B4">
            <w:pPr>
              <w:spacing w:line="360" w:lineRule="auto"/>
              <w:jc w:val="both"/>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2118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tcPr>
          <w:p w14:paraId="7950ADCC">
            <w:pPr>
              <w:snapToGrid w:val="0"/>
              <w:spacing w:line="360" w:lineRule="auto"/>
              <w:jc w:val="center"/>
              <w:rPr>
                <w:rFonts w:ascii="宋体" w:hAnsi="宋体" w:cs="宋体"/>
                <w:color w:val="auto"/>
                <w:sz w:val="24"/>
                <w:highlight w:val="none"/>
              </w:rPr>
            </w:pPr>
          </w:p>
          <w:p w14:paraId="1BD78556">
            <w:pPr>
              <w:snapToGrid w:val="0"/>
              <w:spacing w:line="360" w:lineRule="auto"/>
              <w:jc w:val="center"/>
              <w:rPr>
                <w:rFonts w:ascii="宋体" w:hAnsi="宋体" w:cs="宋体"/>
                <w:color w:val="auto"/>
                <w:sz w:val="24"/>
                <w:highlight w:val="none"/>
              </w:rPr>
            </w:pPr>
          </w:p>
          <w:p w14:paraId="59165F05">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9</w:t>
            </w:r>
          </w:p>
        </w:tc>
        <w:tc>
          <w:tcPr>
            <w:tcW w:w="2227" w:type="dxa"/>
            <w:tcBorders>
              <w:top w:val="single" w:color="000000" w:sz="8" w:space="0"/>
              <w:left w:val="single" w:color="000000" w:sz="2" w:space="0"/>
              <w:bottom w:val="single" w:color="000000" w:sz="8" w:space="0"/>
              <w:right w:val="single" w:color="000000" w:sz="8" w:space="0"/>
            </w:tcBorders>
            <w:vAlign w:val="center"/>
          </w:tcPr>
          <w:p w14:paraId="5BB055E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w:t>
            </w:r>
          </w:p>
          <w:p w14:paraId="76F2A6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06CC818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66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0F94134B">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2227" w:type="dxa"/>
            <w:tcBorders>
              <w:top w:val="single" w:color="000000" w:sz="8" w:space="0"/>
              <w:left w:val="single" w:color="000000" w:sz="2" w:space="0"/>
              <w:bottom w:val="single" w:color="000000" w:sz="8" w:space="0"/>
              <w:right w:val="single" w:color="000000" w:sz="8" w:space="0"/>
            </w:tcBorders>
            <w:vAlign w:val="center"/>
          </w:tcPr>
          <w:p w14:paraId="125F4E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0EE5F78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2991956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FDAD9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CF76684">
            <w:pPr>
              <w:snapToGrid w:val="0"/>
              <w:spacing w:line="360" w:lineRule="auto"/>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5EF6712">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的报价（低于项目预算50%的），有可能影响产品质量或者不能诚信履约的，未能按要求提供书面说明或者提交相关证明材料证明其报价合理性的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46107D4">
            <w:pPr>
              <w:spacing w:line="360" w:lineRule="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A9F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980" w:type="dxa"/>
            <w:tcBorders>
              <w:top w:val="single" w:color="auto" w:sz="4" w:space="0"/>
              <w:left w:val="single" w:color="000000" w:sz="8" w:space="0"/>
              <w:right w:val="single" w:color="000000" w:sz="2" w:space="0"/>
            </w:tcBorders>
            <w:vAlign w:val="center"/>
          </w:tcPr>
          <w:p w14:paraId="66B3B540">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2227" w:type="dxa"/>
            <w:tcBorders>
              <w:top w:val="single" w:color="000000" w:sz="8" w:space="0"/>
              <w:left w:val="single" w:color="000000" w:sz="2" w:space="0"/>
              <w:right w:val="single" w:color="000000" w:sz="8" w:space="0"/>
            </w:tcBorders>
            <w:vAlign w:val="center"/>
          </w:tcPr>
          <w:p w14:paraId="4E79DA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70" w:type="dxa"/>
            <w:tcBorders>
              <w:top w:val="single" w:color="000000" w:sz="8" w:space="0"/>
              <w:left w:val="single" w:color="000000" w:sz="2" w:space="0"/>
              <w:right w:val="single" w:color="000000" w:sz="8" w:space="0"/>
            </w:tcBorders>
            <w:vAlign w:val="center"/>
          </w:tcPr>
          <w:p w14:paraId="670D3E51">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2F7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4A631D2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2227" w:type="dxa"/>
            <w:tcBorders>
              <w:top w:val="single" w:color="000000" w:sz="8" w:space="0"/>
              <w:left w:val="single" w:color="000000" w:sz="2" w:space="0"/>
              <w:bottom w:val="single" w:color="000000" w:sz="8" w:space="0"/>
              <w:right w:val="single" w:color="000000" w:sz="8" w:space="0"/>
            </w:tcBorders>
            <w:vAlign w:val="center"/>
          </w:tcPr>
          <w:p w14:paraId="681F9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01DEB37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供应商如提供备份投标文件的，可采用邮寄方式或直接提交方式递交备份投标文件</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供应商需</w:t>
            </w:r>
            <w:r>
              <w:rPr>
                <w:rFonts w:hint="eastAsia" w:ascii="宋体" w:hAnsi="宋体" w:eastAsia="宋体" w:cs="宋体"/>
                <w:snapToGrid w:val="0"/>
                <w:color w:val="auto"/>
                <w:kern w:val="28"/>
                <w:sz w:val="24"/>
                <w:highlight w:val="none"/>
              </w:rPr>
              <w:t>将以U盘存储的备份投标文件密封递交，逾期送达或未密封将予以拒收。</w:t>
            </w:r>
          </w:p>
          <w:p w14:paraId="32A0949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rPr>
              <w:t>采用邮寄方式递交备份投标文件，需按以下要求递交：</w:t>
            </w:r>
          </w:p>
          <w:p w14:paraId="399D4B7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供应商应在</w:t>
            </w:r>
            <w:r>
              <w:rPr>
                <w:rFonts w:hint="eastAsia" w:ascii="宋体" w:hAnsi="宋体" w:eastAsia="宋体" w:cs="宋体"/>
                <w:snapToGrid w:val="0"/>
                <w:color w:val="auto"/>
                <w:kern w:val="28"/>
                <w:sz w:val="24"/>
                <w:highlight w:val="none"/>
                <w:lang w:val="en-US" w:eastAsia="zh-CN"/>
              </w:rPr>
              <w:t>开标</w:t>
            </w:r>
            <w:r>
              <w:rPr>
                <w:rFonts w:hint="eastAsia" w:ascii="宋体" w:hAnsi="宋体" w:eastAsia="宋体" w:cs="宋体"/>
                <w:snapToGrid w:val="0"/>
                <w:color w:val="auto"/>
                <w:kern w:val="28"/>
                <w:sz w:val="24"/>
                <w:highlight w:val="none"/>
              </w:rPr>
              <w:t>前</w:t>
            </w:r>
            <w:r>
              <w:rPr>
                <w:rFonts w:hint="eastAsia" w:ascii="宋体" w:hAnsi="宋体" w:eastAsia="宋体" w:cs="宋体"/>
                <w:snapToGrid w:val="0"/>
                <w:color w:val="auto"/>
                <w:kern w:val="28"/>
                <w:sz w:val="24"/>
                <w:highlight w:val="none"/>
                <w:lang w:val="en-US" w:eastAsia="zh-CN"/>
              </w:rPr>
              <w:t>一日</w:t>
            </w:r>
            <w:r>
              <w:rPr>
                <w:rFonts w:hint="eastAsia" w:ascii="宋体" w:hAnsi="宋体" w:eastAsia="宋体" w:cs="宋体"/>
                <w:snapToGrid w:val="0"/>
                <w:color w:val="auto"/>
                <w:kern w:val="28"/>
                <w:sz w:val="24"/>
                <w:highlight w:val="none"/>
              </w:rPr>
              <w:t>17：00（含）前将备份</w:t>
            </w:r>
            <w:r>
              <w:rPr>
                <w:rFonts w:hint="eastAsia" w:ascii="宋体" w:hAnsi="宋体" w:eastAsia="宋体" w:cs="宋体"/>
                <w:snapToGrid w:val="0"/>
                <w:color w:val="auto"/>
                <w:kern w:val="28"/>
                <w:sz w:val="24"/>
                <w:highlight w:val="none"/>
                <w:lang w:val="en-US" w:eastAsia="zh-CN"/>
              </w:rPr>
              <w:t>投标文件</w:t>
            </w:r>
            <w:r>
              <w:rPr>
                <w:rFonts w:hint="eastAsia" w:ascii="宋体" w:hAnsi="宋体" w:eastAsia="宋体" w:cs="宋体"/>
                <w:snapToGrid w:val="0"/>
                <w:color w:val="auto"/>
                <w:kern w:val="28"/>
                <w:sz w:val="24"/>
                <w:highlight w:val="none"/>
              </w:rPr>
              <w:t>邮寄至规定地点，邮寄地址为：宁波市鄞州区天童南路666号中基大厦19楼业务</w:t>
            </w:r>
            <w:r>
              <w:rPr>
                <w:rFonts w:hint="eastAsia" w:ascii="宋体" w:hAnsi="宋体" w:cs="宋体"/>
                <w:snapToGrid w:val="0"/>
                <w:color w:val="auto"/>
                <w:kern w:val="28"/>
                <w:sz w:val="24"/>
                <w:highlight w:val="none"/>
                <w:lang w:val="en-US" w:eastAsia="zh-CN"/>
              </w:rPr>
              <w:t>六</w:t>
            </w:r>
            <w:r>
              <w:rPr>
                <w:rFonts w:hint="eastAsia" w:ascii="宋体" w:hAnsi="宋体" w:eastAsia="宋体" w:cs="宋体"/>
                <w:snapToGrid w:val="0"/>
                <w:color w:val="auto"/>
                <w:kern w:val="28"/>
                <w:sz w:val="24"/>
                <w:highlight w:val="none"/>
              </w:rPr>
              <w:t>部，收件人</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江明</w:t>
            </w:r>
            <w:r>
              <w:rPr>
                <w:rFonts w:hint="eastAsia" w:ascii="宋体" w:hAnsi="宋体" w:eastAsia="宋体" w:cs="宋体"/>
                <w:snapToGrid w:val="0"/>
                <w:color w:val="auto"/>
                <w:kern w:val="28"/>
                <w:sz w:val="24"/>
                <w:highlight w:val="none"/>
              </w:rPr>
              <w:t>，联系方式：0574-8742</w:t>
            </w:r>
            <w:r>
              <w:rPr>
                <w:rFonts w:hint="eastAsia" w:ascii="宋体" w:hAnsi="宋体" w:cs="宋体"/>
                <w:snapToGrid w:val="0"/>
                <w:color w:val="auto"/>
                <w:kern w:val="28"/>
                <w:sz w:val="24"/>
                <w:highlight w:val="none"/>
                <w:lang w:val="en-US" w:eastAsia="zh-CN"/>
              </w:rPr>
              <w:t>5112</w:t>
            </w:r>
            <w:r>
              <w:rPr>
                <w:rFonts w:hint="eastAsia" w:ascii="宋体" w:hAnsi="宋体" w:eastAsia="宋体" w:cs="宋体"/>
                <w:snapToGrid w:val="0"/>
                <w:color w:val="auto"/>
                <w:kern w:val="28"/>
                <w:sz w:val="24"/>
                <w:highlight w:val="none"/>
              </w:rPr>
              <w:t>。由采购代理工作人员进行签收，各供应商自行考虑邮寄在途时间，邮寄过程中无论何种因素导致备份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文件未按时递交的后果，均由供应商自行负责。备份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文件递交时间以采购代理实际收到备份</w:t>
            </w:r>
            <w:r>
              <w:rPr>
                <w:rFonts w:hint="eastAsia" w:ascii="宋体" w:hAnsi="宋体" w:eastAsia="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文件的时间为准。</w:t>
            </w:r>
          </w:p>
          <w:p w14:paraId="2CB8821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（3）采用直接提交方式递交备份投标文件，需按以下要求递交：在投标截止时间前将备份投标文件送至</w:t>
            </w:r>
            <w:r>
              <w:rPr>
                <w:rFonts w:hint="eastAsia" w:ascii="宋体" w:hAnsi="宋体" w:eastAsia="宋体" w:cs="宋体"/>
                <w:snapToGrid w:val="0"/>
                <w:color w:val="auto"/>
                <w:kern w:val="28"/>
                <w:sz w:val="24"/>
                <w:highlight w:val="none"/>
                <w:u w:val="single"/>
                <w:lang w:val="en-US" w:eastAsia="zh-CN"/>
              </w:rPr>
              <w:t xml:space="preserve"> </w:t>
            </w:r>
            <w:r>
              <w:rPr>
                <w:rFonts w:hint="eastAsia" w:hAnsi="宋体" w:cs="宋体"/>
                <w:color w:val="auto"/>
                <w:kern w:val="28"/>
                <w:sz w:val="24"/>
                <w:highlight w:val="none"/>
                <w:u w:val="single"/>
              </w:rPr>
              <w:t>北仑区（开发区）公共资源交易中心开标室（宁波市北仑区长江路1166号行政服务中心三楼）</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snapToGrid w:val="0"/>
                <w:color w:val="auto"/>
                <w:kern w:val="28"/>
                <w:sz w:val="24"/>
                <w:highlight w:val="none"/>
                <w:lang w:val="en-US" w:eastAsia="zh-CN"/>
              </w:rPr>
              <w:t xml:space="preserve">。       </w:t>
            </w:r>
          </w:p>
          <w:p w14:paraId="36F28DD0">
            <w:pPr>
              <w:spacing w:line="360" w:lineRule="auto"/>
              <w:rPr>
                <w:rFonts w:hint="eastAsia" w:eastAsia="宋体"/>
                <w:color w:val="auto"/>
                <w:highlight w:val="none"/>
                <w:lang w:eastAsia="zh-CN"/>
              </w:rPr>
            </w:pPr>
            <w:r>
              <w:rPr>
                <w:rFonts w:hint="eastAsia" w:ascii="宋体" w:hAnsi="宋体" w:eastAsia="宋体" w:cs="宋体"/>
                <w:b/>
                <w:bCs/>
                <w:snapToGrid w:val="0"/>
                <w:color w:val="auto"/>
                <w:kern w:val="28"/>
                <w:sz w:val="24"/>
                <w:highlight w:val="none"/>
              </w:rPr>
              <w:t>采购人、</w:t>
            </w:r>
            <w:r>
              <w:rPr>
                <w:rFonts w:hint="eastAsia" w:ascii="宋体" w:hAnsi="宋体" w:eastAsia="宋体" w:cs="宋体"/>
                <w:b/>
                <w:bCs/>
                <w:snapToGrid w:val="0"/>
                <w:color w:val="auto"/>
                <w:kern w:val="28"/>
                <w:sz w:val="24"/>
                <w:highlight w:val="none"/>
                <w:lang w:eastAsia="zh-CN"/>
              </w:rPr>
              <w:t>采购代理机构</w:t>
            </w:r>
            <w:r>
              <w:rPr>
                <w:rFonts w:hint="eastAsia" w:ascii="宋体" w:hAnsi="宋体" w:eastAsia="宋体" w:cs="宋体"/>
                <w:b/>
                <w:bCs/>
                <w:snapToGrid w:val="0"/>
                <w:color w:val="auto"/>
                <w:kern w:val="28"/>
                <w:sz w:val="24"/>
                <w:highlight w:val="none"/>
              </w:rPr>
              <w:t>不强制投标人提交备份投标文件</w:t>
            </w:r>
            <w:r>
              <w:rPr>
                <w:rFonts w:hint="eastAsia" w:ascii="宋体" w:hAnsi="宋体" w:eastAsia="宋体" w:cs="宋体"/>
                <w:b/>
                <w:bCs/>
                <w:snapToGrid w:val="0"/>
                <w:color w:val="auto"/>
                <w:kern w:val="28"/>
                <w:sz w:val="24"/>
                <w:highlight w:val="none"/>
                <w:lang w:eastAsia="zh-CN"/>
              </w:rPr>
              <w:t>。</w:t>
            </w:r>
          </w:p>
        </w:tc>
      </w:tr>
      <w:tr w14:paraId="0496C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trPr>
        <w:tc>
          <w:tcPr>
            <w:tcW w:w="980" w:type="dxa"/>
            <w:vMerge w:val="restart"/>
            <w:tcBorders>
              <w:top w:val="single" w:color="auto" w:sz="4" w:space="0"/>
              <w:left w:val="single" w:color="000000" w:sz="8" w:space="0"/>
              <w:right w:val="single" w:color="000000" w:sz="2" w:space="0"/>
            </w:tcBorders>
            <w:vAlign w:val="center"/>
          </w:tcPr>
          <w:p w14:paraId="664447B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13</w:t>
            </w:r>
          </w:p>
        </w:tc>
        <w:tc>
          <w:tcPr>
            <w:tcW w:w="2227" w:type="dxa"/>
            <w:vMerge w:val="restart"/>
            <w:tcBorders>
              <w:top w:val="single" w:color="000000" w:sz="8" w:space="0"/>
              <w:left w:val="single" w:color="000000" w:sz="2" w:space="0"/>
              <w:right w:val="single" w:color="000000" w:sz="8" w:space="0"/>
            </w:tcBorders>
            <w:vAlign w:val="center"/>
          </w:tcPr>
          <w:p w14:paraId="74447BB6">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7C0EAF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6841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4" w:hRule="atLeast"/>
          <w:tblHeader/>
        </w:trPr>
        <w:tc>
          <w:tcPr>
            <w:tcW w:w="980" w:type="dxa"/>
            <w:vMerge w:val="continue"/>
            <w:tcBorders>
              <w:left w:val="single" w:color="000000" w:sz="8" w:space="0"/>
              <w:right w:val="single" w:color="000000" w:sz="2" w:space="0"/>
            </w:tcBorders>
            <w:vAlign w:val="center"/>
          </w:tcPr>
          <w:p w14:paraId="38DDED14">
            <w:pPr>
              <w:snapToGrid w:val="0"/>
              <w:spacing w:line="360" w:lineRule="auto"/>
              <w:jc w:val="center"/>
              <w:rPr>
                <w:rFonts w:hint="eastAsia" w:ascii="宋体" w:hAnsi="宋体" w:cs="宋体"/>
                <w:b/>
                <w:bCs/>
                <w:color w:val="auto"/>
                <w:sz w:val="24"/>
                <w:highlight w:val="none"/>
              </w:rPr>
            </w:pPr>
          </w:p>
        </w:tc>
        <w:tc>
          <w:tcPr>
            <w:tcW w:w="2227" w:type="dxa"/>
            <w:vMerge w:val="continue"/>
            <w:tcBorders>
              <w:left w:val="single" w:color="000000" w:sz="2" w:space="0"/>
              <w:right w:val="single" w:color="000000" w:sz="8" w:space="0"/>
            </w:tcBorders>
            <w:vAlign w:val="center"/>
          </w:tcPr>
          <w:p w14:paraId="7994199A">
            <w:pPr>
              <w:snapToGrid w:val="0"/>
              <w:spacing w:line="360" w:lineRule="auto"/>
              <w:jc w:val="center"/>
              <w:rPr>
                <w:rFonts w:hint="eastAsia" w:cs="仿宋_GB2312" w:asciiTheme="minorEastAsia" w:hAnsiTheme="minorEastAsia" w:eastAsiaTheme="minorEastAsia"/>
                <w:b/>
                <w:color w:val="auto"/>
                <w:sz w:val="24"/>
                <w:highlight w:val="none"/>
              </w:rPr>
            </w:pPr>
          </w:p>
        </w:tc>
        <w:tc>
          <w:tcPr>
            <w:tcW w:w="6870" w:type="dxa"/>
            <w:tcBorders>
              <w:top w:val="single" w:color="000000" w:sz="8" w:space="0"/>
              <w:left w:val="single" w:color="000000" w:sz="2" w:space="0"/>
              <w:bottom w:val="single" w:color="000000" w:sz="8" w:space="0"/>
              <w:right w:val="single" w:color="000000" w:sz="8" w:space="0"/>
            </w:tcBorders>
            <w:vAlign w:val="center"/>
          </w:tcPr>
          <w:p w14:paraId="2EF60E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5973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cs="Arial" w:asciiTheme="minorEastAsia" w:hAnsiTheme="minorEastAsia"/>
                <w:color w:val="auto"/>
                <w:kern w:val="0"/>
                <w:sz w:val="24"/>
                <w:highlight w:val="none"/>
                <w:lang w:eastAsia="zh-CN"/>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30E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980" w:type="dxa"/>
            <w:tcBorders>
              <w:top w:val="single" w:color="auto" w:sz="4" w:space="0"/>
              <w:left w:val="single" w:color="000000" w:sz="8" w:space="0"/>
              <w:right w:val="single" w:color="000000" w:sz="2" w:space="0"/>
            </w:tcBorders>
            <w:vAlign w:val="center"/>
          </w:tcPr>
          <w:p w14:paraId="634BCF0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p>
        </w:tc>
        <w:tc>
          <w:tcPr>
            <w:tcW w:w="2227" w:type="dxa"/>
            <w:tcBorders>
              <w:top w:val="single" w:color="000000" w:sz="8" w:space="0"/>
              <w:left w:val="single" w:color="000000" w:sz="2" w:space="0"/>
              <w:right w:val="single" w:color="000000" w:sz="8" w:space="0"/>
            </w:tcBorders>
            <w:vAlign w:val="center"/>
          </w:tcPr>
          <w:p w14:paraId="25C31B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870" w:type="dxa"/>
            <w:tcBorders>
              <w:top w:val="single" w:color="000000" w:sz="8" w:space="0"/>
              <w:left w:val="single" w:color="000000" w:sz="2" w:space="0"/>
              <w:bottom w:val="single" w:color="000000" w:sz="8" w:space="0"/>
              <w:right w:val="single" w:color="000000" w:sz="8" w:space="0"/>
            </w:tcBorders>
            <w:vAlign w:val="center"/>
          </w:tcPr>
          <w:p w14:paraId="7284B83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1</w:t>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收取方式：</w:t>
            </w:r>
            <w:r>
              <w:rPr>
                <w:rFonts w:hint="eastAsia" w:ascii="宋体" w:hAnsi="宋体" w:cs="宋体"/>
                <w:snapToGrid w:val="0"/>
                <w:color w:val="auto"/>
                <w:kern w:val="28"/>
                <w:sz w:val="24"/>
                <w:highlight w:val="none"/>
              </w:rPr>
              <w:t>供应商应当自</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结果公告发布之日起5个工作日内一次性向采购代理机构支付代理服务费。</w:t>
            </w:r>
          </w:p>
          <w:p w14:paraId="08B41E51">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（2）采购</w:t>
            </w:r>
            <w:r>
              <w:rPr>
                <w:rFonts w:hint="eastAsia" w:ascii="宋体" w:hAnsi="宋体" w:eastAsia="宋体" w:cs="宋体"/>
                <w:snapToGrid w:val="0"/>
                <w:color w:val="auto"/>
                <w:kern w:val="28"/>
                <w:sz w:val="24"/>
                <w:highlight w:val="none"/>
              </w:rPr>
              <w:t>代理服务费用收取标准：</w:t>
            </w:r>
            <w:r>
              <w:rPr>
                <w:rFonts w:hint="eastAsia" w:ascii="宋体" w:hAnsi="宋体" w:cs="宋体"/>
                <w:snapToGrid w:val="0"/>
                <w:color w:val="auto"/>
                <w:kern w:val="28"/>
                <w:sz w:val="24"/>
                <w:highlight w:val="none"/>
                <w:lang w:val="en-US" w:eastAsia="zh-CN"/>
              </w:rPr>
              <w:t>本项目向中标人收取3000元代理服务费。</w:t>
            </w:r>
          </w:p>
          <w:p w14:paraId="12FC367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3</w:t>
            </w:r>
            <w:r>
              <w:rPr>
                <w:rFonts w:hint="eastAsia" w:ascii="宋体" w:hAnsi="宋体" w:cs="宋体"/>
                <w:snapToGrid w:val="0"/>
                <w:color w:val="auto"/>
                <w:kern w:val="28"/>
                <w:sz w:val="24"/>
                <w:highlight w:val="none"/>
              </w:rPr>
              <w:t>）支付形式及账号：</w:t>
            </w:r>
          </w:p>
          <w:p w14:paraId="2769D63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①代理服务费缴纳形式：汇票/电汇/现金</w:t>
            </w:r>
          </w:p>
          <w:p w14:paraId="758AE3D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 ：</w:t>
            </w:r>
          </w:p>
          <w:p w14:paraId="1555338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5CFBC19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5A48B04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w:t>
            </w:r>
            <w:r>
              <w:rPr>
                <w:rFonts w:hint="eastAsia" w:ascii="宋体" w:hAnsi="宋体" w:eastAsia="宋体" w:cs="宋体"/>
                <w:snapToGrid w:val="0"/>
                <w:color w:val="auto"/>
                <w:kern w:val="28"/>
                <w:sz w:val="24"/>
                <w:highlight w:val="none"/>
              </w:rPr>
              <w:t>31010122000005488</w:t>
            </w:r>
          </w:p>
          <w:p w14:paraId="2612800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（4）</w:t>
            </w:r>
            <w:r>
              <w:rPr>
                <w:rFonts w:hint="eastAsia" w:ascii="宋体" w:hAnsi="宋体" w:cs="宋体"/>
                <w:snapToGrid w:val="0"/>
                <w:color w:val="auto"/>
                <w:kern w:val="28"/>
                <w:sz w:val="24"/>
                <w:highlight w:val="none"/>
              </w:rPr>
              <w:t>支付流程：</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供应商按照</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结果公告确定金额支付至采购代理机构账户后将汇款底单、开票信息和发票邮寄地址发送至</w:t>
            </w:r>
            <w:r>
              <w:rPr>
                <w:rFonts w:hint="eastAsia" w:ascii="宋体" w:hAnsi="宋体" w:cs="宋体"/>
                <w:snapToGrid w:val="0"/>
                <w:color w:val="auto"/>
                <w:kern w:val="28"/>
                <w:sz w:val="24"/>
                <w:highlight w:val="none"/>
                <w:u w:val="single"/>
                <w:lang w:val="en-US" w:eastAsia="zh-CN"/>
              </w:rPr>
              <w:t xml:space="preserve"> 1430491316@qq.com</w:t>
            </w:r>
            <w:r>
              <w:rPr>
                <w:rFonts w:hint="eastAsia" w:ascii="宋体" w:hAnsi="宋体" w:cs="宋体"/>
                <w:snapToGrid w:val="0"/>
                <w:color w:val="auto"/>
                <w:kern w:val="28"/>
                <w:sz w:val="24"/>
                <w:highlight w:val="none"/>
              </w:rPr>
              <w:t>，采购代理机构在收到邮件后开具发票。</w:t>
            </w:r>
          </w:p>
        </w:tc>
      </w:tr>
    </w:tbl>
    <w:p w14:paraId="43F73B40">
      <w:pPr>
        <w:snapToGrid w:val="0"/>
        <w:spacing w:line="360" w:lineRule="auto"/>
        <w:jc w:val="center"/>
        <w:rPr>
          <w:rFonts w:ascii="宋体" w:hAnsi="宋体" w:cs="宋体"/>
          <w:b/>
          <w:color w:val="auto"/>
          <w:sz w:val="32"/>
          <w:szCs w:val="20"/>
          <w:highlight w:val="none"/>
        </w:rPr>
      </w:pPr>
    </w:p>
    <w:bookmarkEnd w:id="14"/>
    <w:p w14:paraId="3E61BAFC">
      <w:pPr>
        <w:rPr>
          <w:rFonts w:hint="eastAsia" w:ascii="宋体" w:hAnsi="宋体" w:cs="宋体"/>
          <w:b/>
          <w:color w:val="auto"/>
          <w:sz w:val="32"/>
          <w:szCs w:val="20"/>
          <w:highlight w:val="none"/>
        </w:rPr>
      </w:pPr>
      <w:bookmarkStart w:id="29" w:name="第三部分"/>
      <w:bookmarkStart w:id="30" w:name="_Toc164416483"/>
      <w:r>
        <w:rPr>
          <w:rFonts w:hint="eastAsia" w:ascii="宋体" w:hAnsi="宋体" w:cs="宋体"/>
          <w:b/>
          <w:color w:val="auto"/>
          <w:sz w:val="32"/>
          <w:szCs w:val="20"/>
          <w:highlight w:val="none"/>
        </w:rPr>
        <w:br w:type="page"/>
      </w:r>
    </w:p>
    <w:p w14:paraId="64C616B7">
      <w:pPr>
        <w:adjustRightInd/>
        <w:spacing w:line="360" w:lineRule="auto"/>
        <w:ind w:firstLine="3845" w:firstLineChars="1197"/>
        <w:outlineLvl w:val="1"/>
        <w:rPr>
          <w:rFonts w:ascii="宋体" w:hAnsi="宋体" w:cs="宋体"/>
          <w:b/>
          <w:color w:val="auto"/>
          <w:sz w:val="32"/>
          <w:szCs w:val="20"/>
          <w:highlight w:val="none"/>
        </w:rPr>
      </w:pPr>
      <w:bookmarkStart w:id="31" w:name="_Toc19896"/>
      <w:r>
        <w:rPr>
          <w:rFonts w:hint="eastAsia" w:ascii="宋体" w:hAnsi="宋体" w:cs="宋体"/>
          <w:b/>
          <w:color w:val="auto"/>
          <w:sz w:val="32"/>
          <w:szCs w:val="20"/>
          <w:highlight w:val="none"/>
        </w:rPr>
        <w:t>一、总则</w:t>
      </w:r>
      <w:bookmarkEnd w:id="31"/>
    </w:p>
    <w:p w14:paraId="39961E4A">
      <w:pPr>
        <w:snapToGrid w:val="0"/>
        <w:spacing w:line="360" w:lineRule="auto"/>
        <w:ind w:firstLine="361" w:firstLineChars="150"/>
        <w:jc w:val="left"/>
        <w:outlineLvl w:val="1"/>
        <w:rPr>
          <w:rFonts w:ascii="宋体" w:hAnsi="宋体" w:cs="宋体"/>
          <w:b/>
          <w:color w:val="auto"/>
          <w:sz w:val="24"/>
          <w:highlight w:val="none"/>
        </w:rPr>
      </w:pPr>
      <w:bookmarkStart w:id="32" w:name="_Toc4803"/>
      <w:r>
        <w:rPr>
          <w:rFonts w:hint="eastAsia" w:ascii="宋体" w:hAnsi="宋体" w:cs="宋体"/>
          <w:b/>
          <w:color w:val="auto"/>
          <w:sz w:val="24"/>
          <w:highlight w:val="none"/>
        </w:rPr>
        <w:t>1. 适用范围</w:t>
      </w:r>
      <w:bookmarkEnd w:id="32"/>
    </w:p>
    <w:p w14:paraId="1FE274B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47038AD">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3" w:name="_Toc17533"/>
      <w:r>
        <w:rPr>
          <w:rFonts w:hint="eastAsia" w:ascii="宋体" w:hAnsi="宋体" w:eastAsia="宋体" w:cs="宋体"/>
          <w:b/>
          <w:color w:val="auto"/>
          <w:sz w:val="24"/>
          <w:highlight w:val="none"/>
        </w:rPr>
        <w:t>2.定义</w:t>
      </w:r>
      <w:bookmarkEnd w:id="33"/>
    </w:p>
    <w:p w14:paraId="4CF6A4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51186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2026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705461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1685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p w14:paraId="6AD3DB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8944F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86099C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0DBAFE6">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sz w:val="24"/>
          <w:highlight w:val="none"/>
          <w:lang w:eastAsia="zh-CN"/>
        </w:rPr>
        <w:t>。</w:t>
      </w:r>
    </w:p>
    <w:p w14:paraId="083FF10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587D76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CA223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4" w:name="_Hlk107568539"/>
    </w:p>
    <w:p w14:paraId="4E0A0A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鼓励供应商在参加政府采购过程中开展绿色设计、选择绿色材料、打造绿色制造工艺、开展绿色运输、做好废弃产品回收处理，实现产品全周期的绿色环保。</w:t>
      </w:r>
      <w:bookmarkEnd w:id="34"/>
    </w:p>
    <w:p w14:paraId="022317A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B3B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24D8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A52D63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C0912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75AF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4304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87C5D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B42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6A8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250DDF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DD6F8B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3.4.1对省级以上主管部门认定的首台套产品，自纳入《省推广应用指导目录》起三年内参加政府采购活动，视同已具备相应销售业绩，业绩分为满分。</w:t>
      </w:r>
    </w:p>
    <w:p w14:paraId="150ACA9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C82E53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04ECD667">
      <w:pPr>
        <w:spacing w:line="360" w:lineRule="auto"/>
        <w:ind w:firstLine="480" w:firstLineChars="200"/>
        <w:rPr>
          <w:b/>
          <w:color w:val="auto"/>
          <w:highlight w:val="none"/>
        </w:rPr>
      </w:pPr>
      <w:r>
        <w:rPr>
          <w:rFonts w:hint="eastAsia" w:ascii="宋体" w:hAnsi="宋体" w:cs="宋体"/>
          <w:color w:val="auto"/>
          <w:sz w:val="24"/>
          <w:highlight w:val="none"/>
        </w:rPr>
        <w:cr/>
      </w:r>
      <w:r>
        <w:rPr>
          <w:rFonts w:hint="eastAsia" w:ascii="宋体" w:hAnsi="宋体" w:eastAsia="宋体" w:cs="宋体"/>
          <w:b/>
          <w:color w:val="auto"/>
          <w:sz w:val="24"/>
          <w:szCs w:val="24"/>
          <w:highlight w:val="none"/>
        </w:rPr>
        <w:t>4. 询问、质疑、投诉</w:t>
      </w:r>
    </w:p>
    <w:p w14:paraId="047B3F4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4EBEFAE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9147B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08F27EE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F6E3FCD">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7FCD7D8">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65DC7E58">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p>
    <w:p w14:paraId="7276308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4C3F370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5D1AEEB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0A6E23B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77EBC5F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08EC1A6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3AD815E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568A00BC">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.3.6提出质疑的日期。</w:t>
      </w:r>
    </w:p>
    <w:p w14:paraId="4DB09919">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5493A2E">
      <w:pPr>
        <w:pStyle w:val="34"/>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质疑函范本请到浙江政府采购网下载专区下载。</w:t>
      </w:r>
    </w:p>
    <w:p w14:paraId="06A083F3">
      <w:pPr>
        <w:pStyle w:val="34"/>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4.2.4</w:t>
      </w:r>
      <w:r>
        <w:rPr>
          <w:rFonts w:hint="eastAsia" w:ascii="宋体" w:hAnsi="宋体" w:eastAsia="宋体" w:cs="宋体"/>
          <w:color w:val="auto"/>
          <w:kern w:val="0"/>
          <w:sz w:val="24"/>
          <w:highlight w:val="none"/>
          <w:lang w:val="zh-CN" w:eastAsia="zh-CN"/>
        </w:rPr>
        <w:t>对同一采购程序环节的质疑，供应商须在法定质疑期内一次性提出。</w:t>
      </w:r>
    </w:p>
    <w:p w14:paraId="4B2FF7FB">
      <w:pPr>
        <w:pStyle w:val="34"/>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4.2.5</w:t>
      </w:r>
      <w:r>
        <w:rPr>
          <w:rFonts w:hint="eastAsia" w:ascii="宋体" w:hAnsi="宋体" w:eastAsia="宋体" w:cs="宋体"/>
          <w:color w:val="auto"/>
          <w:kern w:val="0"/>
          <w:sz w:val="24"/>
          <w:highlight w:val="none"/>
          <w:lang w:val="zh-CN"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lang w:val="en-US" w:eastAsia="zh-CN"/>
        </w:rPr>
        <w:t>浙江省财政厅关于进一步加强政府采购公平竞争打造最优营商环境的通知</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en-US" w:eastAsia="zh-CN"/>
        </w:rPr>
        <w:t>浙财</w:t>
      </w:r>
      <w:r>
        <w:rPr>
          <w:rFonts w:hint="eastAsia" w:ascii="宋体" w:hAnsi="宋体" w:eastAsia="宋体" w:cs="宋体"/>
          <w:color w:val="auto"/>
          <w:kern w:val="0"/>
          <w:sz w:val="24"/>
          <w:highlight w:val="none"/>
          <w:lang w:val="zh-CN" w:eastAsia="zh-CN"/>
        </w:rPr>
        <w:t>采监〔2021〕</w:t>
      </w:r>
      <w:r>
        <w:rPr>
          <w:rFonts w:hint="eastAsia" w:ascii="宋体" w:hAnsi="宋体" w:eastAsia="宋体" w:cs="宋体"/>
          <w:color w:val="auto"/>
          <w:kern w:val="0"/>
          <w:sz w:val="24"/>
          <w:highlight w:val="none"/>
          <w:lang w:val="en-US" w:eastAsia="zh-CN"/>
        </w:rPr>
        <w:t>2</w:t>
      </w:r>
      <w:r>
        <w:rPr>
          <w:rFonts w:hint="eastAsia"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号）,采购人或者采购代理机构在质疑回复后5个工作日内，在浙江政府采购网的“其他公告”栏目公开质疑答复，答复内容应当完整。质疑函作为附件上传。</w:t>
      </w:r>
    </w:p>
    <w:p w14:paraId="3DF458FD">
      <w:pPr>
        <w:pStyle w:val="3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w:t>
      </w:r>
      <w:r>
        <w:rPr>
          <w:rFonts w:hint="eastAsia"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询问或者质疑事项可能影响采购结果的，采购人应当暂停签订合同，已经签订合同的，应当中止履行合同。</w:t>
      </w:r>
    </w:p>
    <w:p w14:paraId="616A734B">
      <w:pPr>
        <w:pStyle w:val="34"/>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.3供应商投诉</w:t>
      </w:r>
    </w:p>
    <w:p w14:paraId="26772AC8">
      <w:pPr>
        <w:pStyle w:val="3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4.3.1质疑供应商对采购人、采购代理机构的答复不满意或者采购人、采购代理机构未在规定的时间内作出答复的，可以在答复期满后十五个工作日内向同级政府采购监督管理部门提出投诉。</w:t>
      </w:r>
    </w:p>
    <w:p w14:paraId="69C4A566">
      <w:pPr>
        <w:pStyle w:val="3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供应商投诉的事项不得超出已质疑事项的范围，基于质疑答复内容提出的投诉事项除外。</w:t>
      </w:r>
    </w:p>
    <w:p w14:paraId="265791EE">
      <w:pPr>
        <w:pStyle w:val="3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4.3.3供应商投诉应当有明确的请求和必要的证明材料。</w:t>
      </w:r>
    </w:p>
    <w:p w14:paraId="0A8A32C7">
      <w:pPr>
        <w:pStyle w:val="3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4.3.5 以联合体形式参加政府采购活动的，其投诉应当由组成联合体的所有供应商共同提出。</w:t>
      </w:r>
    </w:p>
    <w:p w14:paraId="3B5AD7DC">
      <w:pPr>
        <w:pStyle w:val="3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投诉书范本请到浙江政府采购网下载专区下载。</w:t>
      </w:r>
    </w:p>
    <w:p w14:paraId="52AEF84C">
      <w:pPr>
        <w:pStyle w:val="133"/>
        <w:snapToGrid w:val="0"/>
        <w:spacing w:before="0"/>
        <w:ind w:firstLine="360"/>
        <w:rPr>
          <w:rFonts w:ascii="宋体" w:hAnsi="宋体" w:cs="宋体"/>
          <w:color w:val="auto"/>
          <w:sz w:val="18"/>
          <w:szCs w:val="18"/>
          <w:highlight w:val="none"/>
        </w:rPr>
      </w:pPr>
    </w:p>
    <w:p w14:paraId="2E44D850">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5" w:name="_Toc20717"/>
      <w:r>
        <w:rPr>
          <w:rFonts w:hint="eastAsia" w:ascii="宋体" w:hAnsi="宋体" w:cs="宋体"/>
          <w:b/>
          <w:color w:val="auto"/>
          <w:sz w:val="32"/>
          <w:szCs w:val="20"/>
          <w:highlight w:val="none"/>
        </w:rPr>
        <w:t>二、招标文件的构成、澄清、修改</w:t>
      </w:r>
      <w:bookmarkEnd w:id="35"/>
    </w:p>
    <w:p w14:paraId="3E63CF5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68BD26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04E44D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4516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DEA01D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DD7418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B58C37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8308F8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6362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505733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261AC2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7FE8FF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145AE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3BEBD23">
      <w:pPr>
        <w:adjustRightInd/>
        <w:spacing w:line="360" w:lineRule="auto"/>
        <w:jc w:val="center"/>
        <w:outlineLvl w:val="1"/>
        <w:rPr>
          <w:rFonts w:ascii="宋体" w:hAnsi="宋体" w:cs="宋体"/>
          <w:b/>
          <w:color w:val="auto"/>
          <w:sz w:val="30"/>
          <w:szCs w:val="20"/>
          <w:highlight w:val="none"/>
        </w:rPr>
      </w:pPr>
      <w:bookmarkStart w:id="36" w:name="_Toc6708"/>
      <w:r>
        <w:rPr>
          <w:rFonts w:hint="eastAsia" w:ascii="宋体" w:hAnsi="宋体" w:cs="宋体"/>
          <w:b/>
          <w:color w:val="auto"/>
          <w:sz w:val="30"/>
          <w:szCs w:val="20"/>
          <w:highlight w:val="none"/>
        </w:rPr>
        <w:t>三、投标</w:t>
      </w:r>
      <w:bookmarkEnd w:id="36"/>
    </w:p>
    <w:p w14:paraId="27D752B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9EBE22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5811C4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CDE2CB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C0A90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DF3ADAE">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6E9A69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DB630C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62BEC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70F3D2">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1154F79">
      <w:pPr>
        <w:snapToGrid w:val="0"/>
        <w:spacing w:line="360" w:lineRule="auto"/>
        <w:ind w:left="479" w:leftChars="228" w:firstLine="480" w:firstLineChars="200"/>
        <w:rPr>
          <w:rFonts w:hint="eastAsia"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04D334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6C47BF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7" w:name="_Hlk101259339"/>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w:t>
      </w:r>
      <w:bookmarkEnd w:id="37"/>
      <w:r>
        <w:rPr>
          <w:rFonts w:hint="eastAsia" w:hAnsi="宋体"/>
          <w:color w:val="auto"/>
          <w:kern w:val="0"/>
          <w:sz w:val="24"/>
          <w:highlight w:val="none"/>
        </w:rPr>
        <w:t>（</w:t>
      </w:r>
      <w:r>
        <w:rPr>
          <w:rFonts w:hint="eastAsia" w:hAnsi="宋体"/>
          <w:color w:val="auto"/>
          <w:kern w:val="0"/>
          <w:sz w:val="24"/>
          <w:highlight w:val="none"/>
          <w:lang w:val="en-US" w:eastAsia="zh-CN"/>
        </w:rPr>
        <w:t>如适用</w:t>
      </w:r>
      <w:r>
        <w:rPr>
          <w:rFonts w:hint="eastAsia" w:hAnsi="宋体"/>
          <w:color w:val="auto"/>
          <w:kern w:val="0"/>
          <w:sz w:val="24"/>
          <w:highlight w:val="none"/>
        </w:rPr>
        <w:t>）</w:t>
      </w:r>
      <w:r>
        <w:rPr>
          <w:rFonts w:hint="eastAsia" w:ascii="宋体" w:hAnsi="宋体" w:cs="宋体"/>
          <w:snapToGrid w:val="0"/>
          <w:color w:val="auto"/>
          <w:kern w:val="28"/>
          <w:sz w:val="24"/>
          <w:szCs w:val="20"/>
          <w:highlight w:val="none"/>
        </w:rPr>
        <w:t>；</w:t>
      </w:r>
    </w:p>
    <w:p w14:paraId="28748C4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落实政府采购政策需满足的资格要求（提供以下资料之一）：</w:t>
      </w:r>
    </w:p>
    <w:p w14:paraId="1F4CB0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11.1.4-1中小企业声明函；</w:t>
      </w:r>
    </w:p>
    <w:p w14:paraId="431404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11.1.4-2残疾人福利性单位声明函(如有）；</w:t>
      </w:r>
    </w:p>
    <w:p w14:paraId="67CD9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11.1.4-3由省级以上监狱管理局、戒毒管理局（含新疆生产建设兵团）出具的属于监狱企业的证明文件（如有）。</w:t>
      </w:r>
    </w:p>
    <w:p w14:paraId="20FA0128">
      <w:pPr>
        <w:pStyle w:val="23"/>
        <w:rPr>
          <w:rFonts w:hint="eastAsia" w:hAnsi="宋体"/>
          <w:color w:val="auto"/>
          <w:kern w:val="0"/>
          <w:sz w:val="24"/>
          <w:highlight w:val="none"/>
        </w:rPr>
      </w:pPr>
      <w:r>
        <w:rPr>
          <w:rFonts w:hint="eastAsia" w:hAnsi="宋体" w:cs="宋体"/>
          <w:color w:val="auto"/>
          <w:sz w:val="24"/>
          <w:highlight w:val="none"/>
          <w:lang w:val="en-US" w:eastAsia="zh-CN"/>
        </w:rPr>
        <w:t xml:space="preserve">        11.1.5</w:t>
      </w:r>
      <w:r>
        <w:rPr>
          <w:rFonts w:hint="eastAsia" w:hAnsi="宋体"/>
          <w:color w:val="auto"/>
          <w:kern w:val="0"/>
          <w:sz w:val="24"/>
          <w:highlight w:val="none"/>
        </w:rPr>
        <w:t>业务专用章使用说明函（如适用）</w:t>
      </w:r>
    </w:p>
    <w:p w14:paraId="61475A3B">
      <w:pPr>
        <w:pStyle w:val="23"/>
        <w:ind w:firstLine="964" w:firstLineChars="4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920FD42">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11.2.1投标函</w:t>
      </w:r>
      <w:r>
        <w:rPr>
          <w:rFonts w:hint="eastAsia" w:ascii="宋体" w:hAnsi="宋体" w:cs="宋体"/>
          <w:color w:val="auto"/>
          <w:sz w:val="24"/>
          <w:highlight w:val="none"/>
          <w:lang w:val="en-US" w:eastAsia="zh-CN"/>
        </w:rPr>
        <w:t>；</w:t>
      </w:r>
    </w:p>
    <w:p w14:paraId="4F09885A">
      <w:pPr>
        <w:snapToGrid w:val="0"/>
        <w:spacing w:line="360" w:lineRule="auto"/>
        <w:ind w:left="958" w:leftChars="456" w:firstLine="0" w:firstLineChars="0"/>
        <w:rPr>
          <w:rFonts w:hint="eastAsia" w:ascii="宋体" w:hAnsi="宋体" w:cs="宋体"/>
          <w:color w:val="auto"/>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lang w:val="en-US" w:eastAsia="zh-CN"/>
        </w:rPr>
        <w:t>；</w:t>
      </w:r>
    </w:p>
    <w:p w14:paraId="4A9C5FB6">
      <w:pPr>
        <w:snapToGrid w:val="0"/>
        <w:spacing w:line="360" w:lineRule="auto"/>
        <w:ind w:left="958" w:leftChars="456" w:firstLine="0" w:firstLineChars="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分包意向协议</w:t>
      </w:r>
      <w:r>
        <w:rPr>
          <w:rFonts w:hint="eastAsia" w:hAnsi="宋体"/>
          <w:color w:val="auto"/>
          <w:kern w:val="0"/>
          <w:sz w:val="24"/>
          <w:highlight w:val="none"/>
        </w:rPr>
        <w:t>（如适用）</w:t>
      </w:r>
      <w:r>
        <w:rPr>
          <w:rFonts w:hint="eastAsia" w:ascii="宋体" w:hAnsi="宋体" w:cs="宋体"/>
          <w:snapToGrid w:val="0"/>
          <w:color w:val="auto"/>
          <w:kern w:val="28"/>
          <w:sz w:val="24"/>
          <w:szCs w:val="20"/>
          <w:highlight w:val="none"/>
          <w:lang w:val="en-US" w:eastAsia="zh-CN"/>
        </w:rPr>
        <w:t>；</w:t>
      </w:r>
    </w:p>
    <w:p w14:paraId="330115A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sz w:val="24"/>
          <w:highlight w:val="none"/>
          <w:lang w:val="en-US" w:eastAsia="zh-CN"/>
        </w:rPr>
        <w:t>；</w:t>
      </w:r>
    </w:p>
    <w:p w14:paraId="31525BCA">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lang w:val="en-US" w:eastAsia="zh-CN"/>
        </w:rPr>
        <w:t>；</w:t>
      </w:r>
    </w:p>
    <w:p w14:paraId="2B8F2CCB">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lang w:val="en-US" w:eastAsia="zh-CN"/>
        </w:rPr>
        <w:t>；</w:t>
      </w:r>
    </w:p>
    <w:p w14:paraId="70BCCD11">
      <w:pPr>
        <w:pStyle w:val="23"/>
        <w:ind w:firstLine="960" w:firstLineChars="400"/>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eastAsia="宋体" w:cs="宋体"/>
          <w:snapToGrid/>
          <w:color w:val="auto"/>
          <w:kern w:val="2"/>
          <w:sz w:val="24"/>
          <w:szCs w:val="24"/>
          <w:highlight w:val="none"/>
          <w:lang w:val="en-US" w:eastAsia="zh-CN" w:bidi="ar-SA"/>
        </w:rPr>
        <w:t>1.2.7评标标准相应的商务技术资料；</w:t>
      </w:r>
    </w:p>
    <w:p w14:paraId="38B16B5F">
      <w:pPr>
        <w:snapToGrid w:val="0"/>
        <w:spacing w:line="360" w:lineRule="auto"/>
        <w:rPr>
          <w:rFonts w:hint="eastAsia" w:ascii="宋体" w:hAnsi="宋体" w:eastAsia="宋体" w:cs="宋体"/>
          <w:color w:val="auto"/>
          <w:highlight w:val="none"/>
          <w:lang w:val="en-US" w:eastAsia="zh-CN"/>
        </w:rPr>
      </w:pPr>
    </w:p>
    <w:p w14:paraId="2B6A1818">
      <w:pPr>
        <w:snapToGrid w:val="0"/>
        <w:spacing w:line="360" w:lineRule="auto"/>
        <w:ind w:firstLine="964" w:firstLineChars="4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C027DD9">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cs="宋体"/>
          <w:color w:val="auto"/>
          <w:sz w:val="24"/>
          <w:highlight w:val="none"/>
        </w:rPr>
        <w:t>11.3.1开标一览表；</w:t>
      </w:r>
    </w:p>
    <w:p w14:paraId="5D285D4D">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2投标报价明细表；</w:t>
      </w:r>
    </w:p>
    <w:p w14:paraId="08BEB868">
      <w:pPr>
        <w:pStyle w:val="23"/>
        <w:rPr>
          <w:color w:val="auto"/>
          <w:highlight w:val="none"/>
        </w:rPr>
      </w:pPr>
    </w:p>
    <w:p w14:paraId="691D43F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ECF069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5BE60B3">
      <w:pPr>
        <w:snapToGrid w:val="0"/>
        <w:spacing w:line="360" w:lineRule="auto"/>
        <w:rPr>
          <w:rFonts w:hint="eastAsia" w:ascii="宋体" w:hAnsi="宋体" w:eastAsia="宋体" w:cs="宋体"/>
          <w:b/>
          <w:color w:val="auto"/>
          <w:sz w:val="24"/>
          <w:highlight w:val="none"/>
        </w:rPr>
      </w:pPr>
      <w:bookmarkStart w:id="38" w:name="_Toc1441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38"/>
    </w:p>
    <w:p w14:paraId="6613C73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2207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45EF3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F6F66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358F7AF">
      <w:pPr>
        <w:pStyle w:val="133"/>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2082CF4">
      <w:pPr>
        <w:pStyle w:val="133"/>
        <w:snapToGrid w:val="0"/>
        <w:spacing w:before="0"/>
        <w:ind w:firstLine="480"/>
        <w:rPr>
          <w:rFonts w:ascii="宋体" w:hAnsi="宋体" w:cs="宋体"/>
          <w:b/>
          <w:color w:val="auto"/>
          <w:highlight w:val="none"/>
        </w:rPr>
      </w:pPr>
      <w:r>
        <w:rPr>
          <w:rFonts w:hint="eastAsia" w:ascii="宋体" w:hAnsi="宋体" w:cs="宋体"/>
          <w:bCs/>
          <w:color w:val="auto"/>
          <w:szCs w:val="21"/>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90F06E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auto"/>
          <w:highlight w:val="none"/>
          <w:lang w:val="en-US" w:eastAsia="zh-CN"/>
        </w:rPr>
        <w:t>章</w:t>
      </w:r>
      <w:r>
        <w:rPr>
          <w:rFonts w:hint="eastAsia" w:ascii="宋体" w:hAnsi="宋体" w:cs="宋体"/>
          <w:color w:val="auto"/>
          <w:highlight w:val="none"/>
        </w:rPr>
        <w:t>。</w:t>
      </w:r>
    </w:p>
    <w:p w14:paraId="285A70F5">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w:t>
      </w:r>
      <w:r>
        <w:rPr>
          <w:rFonts w:hint="eastAsia" w:ascii="宋体" w:hAnsi="宋体" w:cs="宋体"/>
          <w:color w:val="auto"/>
          <w:highlight w:val="none"/>
          <w:lang w:val="en-US" w:eastAsia="zh-CN"/>
        </w:rPr>
        <w:t>章</w:t>
      </w:r>
      <w:r>
        <w:rPr>
          <w:rFonts w:hint="eastAsia" w:ascii="宋体" w:hAnsi="宋体" w:cs="宋体"/>
          <w:color w:val="auto"/>
          <w:highlight w:val="none"/>
        </w:rPr>
        <w:t>。</w:t>
      </w:r>
    </w:p>
    <w:p w14:paraId="5A9FE0D7">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46C913D">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111B79">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533DD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DE8CF3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7E78676">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w:t>
      </w:r>
      <w:r>
        <w:rPr>
          <w:rFonts w:hint="eastAsia" w:hAnsi="宋体" w:cs="宋体"/>
          <w:color w:val="auto"/>
          <w:sz w:val="24"/>
          <w:szCs w:val="24"/>
          <w:highlight w:val="none"/>
          <w:lang w:val="en-US" w:eastAsia="zh-CN"/>
        </w:rPr>
        <w:t>寄</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不强制投标人提交备份投标文件。</w:t>
      </w:r>
    </w:p>
    <w:p w14:paraId="41F08A17">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ascii="宋体" w:hAnsi="宋体" w:eastAsia="宋体" w:cs="宋体"/>
          <w:snapToGrid w:val="0"/>
          <w:color w:val="auto"/>
          <w:kern w:val="28"/>
          <w:sz w:val="24"/>
          <w:highlight w:val="none"/>
        </w:rPr>
        <w:t>U盘存储</w:t>
      </w:r>
      <w:r>
        <w:rPr>
          <w:rFonts w:hint="eastAsia" w:hAnsi="宋体" w:cs="宋体"/>
          <w:color w:val="auto"/>
          <w:sz w:val="24"/>
          <w:highlight w:val="none"/>
          <w:lang w:val="en-US" w:eastAsia="zh-CN"/>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C82327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BC73C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方式递交备份投标文件的，投标人应先将备份投标文件按要求密封和标记，再进行</w:t>
      </w:r>
      <w:r>
        <w:rPr>
          <w:rFonts w:hint="eastAsia" w:hAnsi="宋体" w:cs="宋体"/>
          <w:color w:val="auto"/>
          <w:sz w:val="24"/>
          <w:szCs w:val="24"/>
          <w:highlight w:val="none"/>
          <w:lang w:val="en-US" w:eastAsia="zh-CN"/>
        </w:rPr>
        <w:t>邮件外</w:t>
      </w:r>
      <w:r>
        <w:rPr>
          <w:rFonts w:hint="eastAsia" w:hAnsi="宋体" w:cs="宋体"/>
          <w:color w:val="auto"/>
          <w:sz w:val="24"/>
          <w:szCs w:val="24"/>
          <w:highlight w:val="none"/>
        </w:rPr>
        <w:t>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61502C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CBAC625">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296F0D4">
      <w:pPr>
        <w:pStyle w:val="25"/>
        <w:spacing w:line="360" w:lineRule="auto"/>
        <w:ind w:firstLine="360" w:firstLineChars="150"/>
        <w:rPr>
          <w:rFonts w:hint="eastAsia" w:eastAsia="宋体" w:cs="宋体"/>
          <w:color w:val="auto"/>
          <w:szCs w:val="21"/>
          <w:highlight w:val="none"/>
          <w:lang w:val="en-US"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778E720F">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CBD6DF0">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4D9EA43">
      <w:pPr>
        <w:spacing w:line="360" w:lineRule="auto"/>
        <w:ind w:firstLine="420" w:firstLineChars="200"/>
        <w:rPr>
          <w:rFonts w:ascii="宋体" w:hAnsi="宋体" w:cs="宋体"/>
          <w:b/>
          <w:color w:val="auto"/>
          <w:sz w:val="24"/>
          <w:szCs w:val="21"/>
          <w:highlight w:val="none"/>
        </w:rPr>
      </w:pPr>
      <w:r>
        <w:rPr>
          <w:rFonts w:hint="eastAsia" w:ascii="宋体" w:hAnsi="宋体" w:cs="宋体"/>
          <w:bCs/>
          <w:color w:val="auto"/>
          <w:szCs w:val="21"/>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5BB4591">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A6873E5">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0025BC0">
      <w:pPr>
        <w:pStyle w:val="133"/>
        <w:spacing w:before="0"/>
        <w:ind w:firstLine="643"/>
        <w:rPr>
          <w:rFonts w:ascii="宋体" w:hAnsi="宋体" w:cs="宋体"/>
          <w:b/>
          <w:color w:val="auto"/>
          <w:sz w:val="32"/>
          <w:highlight w:val="none"/>
        </w:rPr>
      </w:pPr>
    </w:p>
    <w:p w14:paraId="1DDCA828">
      <w:pPr>
        <w:pStyle w:val="133"/>
        <w:spacing w:before="0"/>
        <w:ind w:firstLine="1928" w:firstLineChars="600"/>
        <w:outlineLvl w:val="1"/>
        <w:rPr>
          <w:rFonts w:ascii="宋体" w:hAnsi="宋体" w:cs="宋体"/>
          <w:b/>
          <w:color w:val="auto"/>
          <w:sz w:val="32"/>
          <w:highlight w:val="none"/>
        </w:rPr>
      </w:pPr>
      <w:bookmarkStart w:id="39" w:name="_Toc24357"/>
      <w:r>
        <w:rPr>
          <w:rFonts w:hint="eastAsia" w:ascii="宋体" w:hAnsi="宋体" w:cs="宋体"/>
          <w:b/>
          <w:color w:val="auto"/>
          <w:sz w:val="32"/>
          <w:highlight w:val="none"/>
        </w:rPr>
        <w:t>四、开标、资格审查与信用信息查询</w:t>
      </w:r>
      <w:bookmarkEnd w:id="39"/>
    </w:p>
    <w:p w14:paraId="35F4A8C5">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9E3B7D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DD9387F">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945C77C">
      <w:pPr>
        <w:pStyle w:val="557"/>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04207F7B">
      <w:pPr>
        <w:autoSpaceDE w:val="0"/>
        <w:autoSpaceDN w:val="0"/>
        <w:spacing w:line="360" w:lineRule="auto"/>
        <w:ind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（1）投标截止时间后，供应商登录政府采购云平台，用“项目采购-开标评标”功能对电子投标文件进行在线解密，在线解密电子投标文件时间为开标时间后30分钟内。</w:t>
      </w:r>
    </w:p>
    <w:p w14:paraId="7E4D3026">
      <w:pPr>
        <w:autoSpaceDE w:val="0"/>
        <w:autoSpaceDN w:val="0"/>
        <w:spacing w:line="360" w:lineRule="auto"/>
        <w:ind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（2）在政府采购云平台开启已解密供应商的“资格文件、商务技术文件、报价文件”，并做开标记录；</w:t>
      </w:r>
    </w:p>
    <w:p w14:paraId="53EDDFE9">
      <w:pPr>
        <w:autoSpaceDE w:val="0"/>
        <w:autoSpaceDN w:val="0"/>
        <w:spacing w:line="360" w:lineRule="auto"/>
        <w:ind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（3）在政府采购云平台公布评审结果。</w:t>
      </w:r>
    </w:p>
    <w:p w14:paraId="10F2EE6B">
      <w:pPr>
        <w:pStyle w:val="557"/>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（4）开标会议结束。　</w:t>
      </w:r>
    </w:p>
    <w:p w14:paraId="09918F85">
      <w:pPr>
        <w:pStyle w:val="557"/>
        <w:spacing w:before="0" w:line="360" w:lineRule="auto"/>
        <w:ind w:left="0" w:firstLine="241" w:firstLineChars="100"/>
        <w:contextualSpacing/>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17F3231E">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3D48915A">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EF39C10">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61E53B">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3E089E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F1CBD48">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4CAC0E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491F7A8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894EFA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eastAsia="宋体" w:cs="宋体"/>
          <w:color w:val="auto"/>
          <w:sz w:val="24"/>
          <w:highlight w:val="none"/>
          <w:lang w:val="en-US"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054AFEB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A40BAE">
      <w:pPr>
        <w:pStyle w:val="133"/>
        <w:spacing w:before="0"/>
        <w:ind w:firstLine="0" w:firstLineChars="0"/>
        <w:rPr>
          <w:rFonts w:ascii="宋体" w:hAnsi="宋体" w:cs="宋体"/>
          <w:color w:val="auto"/>
          <w:kern w:val="0"/>
          <w:szCs w:val="24"/>
          <w:highlight w:val="none"/>
        </w:rPr>
      </w:pPr>
    </w:p>
    <w:p w14:paraId="477F82EF">
      <w:pPr>
        <w:snapToGrid w:val="0"/>
        <w:spacing w:line="360" w:lineRule="auto"/>
        <w:jc w:val="center"/>
        <w:outlineLvl w:val="1"/>
        <w:rPr>
          <w:rFonts w:ascii="宋体" w:hAnsi="宋体" w:cs="宋体"/>
          <w:b/>
          <w:color w:val="auto"/>
          <w:sz w:val="36"/>
          <w:szCs w:val="36"/>
          <w:highlight w:val="none"/>
        </w:rPr>
      </w:pPr>
      <w:bookmarkStart w:id="40" w:name="_Toc23139"/>
      <w:r>
        <w:rPr>
          <w:rFonts w:hint="eastAsia" w:ascii="宋体" w:hAnsi="宋体" w:cs="宋体"/>
          <w:b/>
          <w:color w:val="auto"/>
          <w:sz w:val="36"/>
          <w:szCs w:val="36"/>
          <w:highlight w:val="none"/>
        </w:rPr>
        <w:t>五、评标</w:t>
      </w:r>
      <w:bookmarkEnd w:id="40"/>
    </w:p>
    <w:p w14:paraId="00A6ACFF">
      <w:pPr>
        <w:spacing w:line="360" w:lineRule="auto"/>
        <w:rPr>
          <w:rFonts w:hint="eastAsia" w:ascii="宋体" w:hAnsi="宋体" w:cs="宋体"/>
          <w:color w:val="auto"/>
          <w:sz w:val="24"/>
          <w:highlight w:val="none"/>
        </w:rPr>
      </w:pPr>
      <w:bookmarkStart w:id="41" w:name="_Toc91899903"/>
      <w:r>
        <w:rPr>
          <w:rFonts w:hint="eastAsia" w:ascii="宋体" w:hAnsi="宋体" w:cs="宋体"/>
          <w:b w:val="0"/>
          <w:bCs/>
          <w:color w:val="auto"/>
          <w:sz w:val="24"/>
          <w:highlight w:val="none"/>
        </w:rPr>
        <w:t>21.</w:t>
      </w:r>
      <w:r>
        <w:rPr>
          <w:rFonts w:hint="eastAsia" w:ascii="宋体" w:hAnsi="宋体" w:cs="宋体"/>
          <w:b w:val="0"/>
          <w:bCs/>
          <w:color w:val="auto"/>
          <w:highlight w:val="none"/>
        </w:rPr>
        <w:t xml:space="preserve"> </w:t>
      </w:r>
      <w:r>
        <w:rPr>
          <w:rFonts w:hint="eastAsia" w:ascii="宋体" w:hAnsi="宋体" w:cs="宋体"/>
          <w:b w:val="0"/>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26728B46">
      <w:pPr>
        <w:spacing w:line="360" w:lineRule="auto"/>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3C161718">
      <w:pPr>
        <w:spacing w:line="360" w:lineRule="auto"/>
        <w:rPr>
          <w:rFonts w:ascii="宋体" w:hAnsi="宋体" w:cs="宋体"/>
          <w:b/>
          <w:color w:val="auto"/>
          <w:sz w:val="24"/>
          <w:highlight w:val="none"/>
        </w:rPr>
      </w:pPr>
    </w:p>
    <w:p w14:paraId="4E68CED8">
      <w:pPr>
        <w:snapToGrid w:val="0"/>
        <w:spacing w:line="360" w:lineRule="auto"/>
        <w:jc w:val="center"/>
        <w:outlineLvl w:val="1"/>
        <w:rPr>
          <w:rFonts w:ascii="宋体" w:hAnsi="宋体" w:cs="宋体"/>
          <w:b/>
          <w:color w:val="auto"/>
          <w:sz w:val="36"/>
          <w:szCs w:val="36"/>
          <w:highlight w:val="none"/>
        </w:rPr>
      </w:pPr>
      <w:bookmarkStart w:id="42" w:name="_Toc32708"/>
      <w:r>
        <w:rPr>
          <w:rFonts w:hint="eastAsia" w:ascii="宋体" w:hAnsi="宋体" w:cs="宋体"/>
          <w:b/>
          <w:color w:val="auto"/>
          <w:sz w:val="36"/>
          <w:szCs w:val="36"/>
          <w:highlight w:val="none"/>
        </w:rPr>
        <w:t>六、定 标</w:t>
      </w:r>
      <w:bookmarkEnd w:id="42"/>
    </w:p>
    <w:p w14:paraId="407CA5E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6DC25F">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2164A4E0">
      <w:pPr>
        <w:pStyle w:val="133"/>
        <w:numPr>
          <w:ilvl w:val="0"/>
          <w:numId w:val="1"/>
        </w:numP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中标通知与中标结果公告</w:t>
      </w:r>
    </w:p>
    <w:p w14:paraId="593D409D">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.1自中标人确定之日起2个工作日内，采购代理机构通过电子交易平台向中标人发出中标通知书，同时编制发布采购结果公告。采购代理机构也可以以纸质形式进行中标通知。</w:t>
      </w:r>
    </w:p>
    <w:p w14:paraId="3F1897B9">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.2中标结果公告内容包括采购人及其委托的采购代理机构的名称、地址、联系方式，项目名称和项目编号，中标人名称、地址和中标金额，主要中标标的的名称、</w:t>
      </w:r>
      <w:r>
        <w:rPr>
          <w:rFonts w:hint="eastAsia" w:ascii="宋体" w:hAnsi="宋体" w:cs="宋体"/>
          <w:color w:val="auto"/>
          <w:szCs w:val="24"/>
          <w:highlight w:val="none"/>
          <w:lang w:val="en-US" w:eastAsia="zh-CN"/>
        </w:rPr>
        <w:t>服务要求</w:t>
      </w:r>
      <w:r>
        <w:rPr>
          <w:rFonts w:hint="eastAsia" w:ascii="宋体" w:hAnsi="宋体" w:eastAsia="宋体" w:cs="宋体"/>
          <w:color w:val="auto"/>
          <w:szCs w:val="24"/>
          <w:highlight w:val="none"/>
          <w:lang w:val="en-US" w:eastAsia="zh-CN"/>
        </w:rPr>
        <w:t>或者标的基本概况</w:t>
      </w:r>
      <w:r>
        <w:rPr>
          <w:rFonts w:hint="eastAsia" w:ascii="宋体" w:hAnsi="宋体" w:cs="宋体"/>
          <w:color w:val="auto"/>
          <w:szCs w:val="24"/>
          <w:highlight w:val="none"/>
          <w:lang w:val="en-US" w:eastAsia="zh-CN"/>
        </w:rPr>
        <w:t>等</w:t>
      </w:r>
      <w:r>
        <w:rPr>
          <w:rFonts w:hint="eastAsia" w:ascii="宋体" w:hAnsi="宋体" w:eastAsia="宋体" w:cs="宋体"/>
          <w:color w:val="auto"/>
          <w:szCs w:val="24"/>
          <w:highlight w:val="none"/>
        </w:rPr>
        <w:t>、中标公告期限以及评审专家名单、评分汇总及明细。</w:t>
      </w:r>
    </w:p>
    <w:p w14:paraId="15CC12B9">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.3公告期限为1个工作日。</w:t>
      </w:r>
    </w:p>
    <w:p w14:paraId="4E1AF40A">
      <w:pPr>
        <w:snapToGrid w:val="0"/>
        <w:spacing w:line="360" w:lineRule="auto"/>
        <w:ind w:left="120" w:leftChars="57" w:firstLine="482" w:firstLineChars="150"/>
        <w:jc w:val="center"/>
        <w:rPr>
          <w:rFonts w:ascii="宋体" w:hAnsi="宋体" w:cs="宋体"/>
          <w:b/>
          <w:color w:val="auto"/>
          <w:sz w:val="32"/>
          <w:highlight w:val="none"/>
        </w:rPr>
      </w:pPr>
    </w:p>
    <w:p w14:paraId="37E24B23">
      <w:pPr>
        <w:snapToGrid w:val="0"/>
        <w:spacing w:line="360" w:lineRule="auto"/>
        <w:ind w:left="120" w:leftChars="57" w:firstLine="482" w:firstLineChars="150"/>
        <w:jc w:val="center"/>
        <w:outlineLvl w:val="1"/>
        <w:rPr>
          <w:rFonts w:ascii="宋体" w:hAnsi="宋体" w:cs="宋体"/>
          <w:b/>
          <w:color w:val="auto"/>
          <w:sz w:val="32"/>
          <w:highlight w:val="none"/>
        </w:rPr>
      </w:pPr>
      <w:bookmarkStart w:id="43" w:name="_Toc22272"/>
      <w:r>
        <w:rPr>
          <w:rFonts w:hint="eastAsia" w:ascii="宋体" w:hAnsi="宋体" w:cs="宋体"/>
          <w:b/>
          <w:color w:val="auto"/>
          <w:sz w:val="32"/>
          <w:highlight w:val="none"/>
        </w:rPr>
        <w:t>七、合同授予</w:t>
      </w:r>
      <w:bookmarkEnd w:id="43"/>
    </w:p>
    <w:p w14:paraId="31CDACA5">
      <w:pPr>
        <w:pStyle w:val="25"/>
        <w:spacing w:line="360" w:lineRule="auto"/>
        <w:ind w:left="479" w:hanging="479" w:hangingChars="199"/>
        <w:rPr>
          <w:rFonts w:cs="宋体"/>
          <w:b/>
          <w:bCs w:val="0"/>
          <w:color w:val="auto"/>
          <w:highlight w:val="none"/>
        </w:rPr>
      </w:pPr>
      <w:r>
        <w:rPr>
          <w:rFonts w:hint="eastAsia" w:cs="宋体"/>
          <w:b/>
          <w:bCs w:val="0"/>
          <w:color w:val="auto"/>
          <w:highlight w:val="none"/>
        </w:rPr>
        <w:t>24. 合同主要条款详见第五部分拟签订的合同文本。</w:t>
      </w:r>
    </w:p>
    <w:p w14:paraId="48AD7E10">
      <w:pPr>
        <w:pStyle w:val="25"/>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5F53AD0E">
      <w:pPr>
        <w:pStyle w:val="133"/>
        <w:spacing w:before="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 采购人与中标供应商应当在中标通知书发出之日起三十日内，按照招标文件及中标供应商的投标文件确定的事项签订政府采购合同，并在合同签订之日起2个工作日内依法发布合同公告。</w:t>
      </w:r>
    </w:p>
    <w:p w14:paraId="6BA3F610">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2C23F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1C5AB5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85DCFDD">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w:t>
      </w:r>
      <w:r>
        <w:rPr>
          <w:rFonts w:hint="eastAsia" w:ascii="宋体" w:hAnsi="宋体" w:cs="宋体"/>
          <w:color w:val="auto"/>
          <w:highlight w:val="none"/>
          <w:lang w:val="en-US" w:eastAsia="zh-CN"/>
        </w:rPr>
        <w:t>进行</w:t>
      </w:r>
      <w:r>
        <w:rPr>
          <w:rFonts w:hint="eastAsia" w:ascii="宋体" w:hAnsi="宋体" w:cs="宋体"/>
          <w:color w:val="auto"/>
          <w:highlight w:val="none"/>
        </w:rPr>
        <w:t>签订，</w:t>
      </w:r>
      <w:r>
        <w:rPr>
          <w:rFonts w:hint="eastAsia" w:ascii="宋体" w:hAnsi="宋体" w:cs="宋体"/>
          <w:color w:val="auto"/>
          <w:highlight w:val="none"/>
          <w:lang w:val="en-US" w:eastAsia="zh-CN"/>
        </w:rPr>
        <w:t>并进行</w:t>
      </w:r>
      <w:r>
        <w:rPr>
          <w:rFonts w:hint="eastAsia" w:ascii="宋体" w:hAnsi="宋体" w:cs="宋体"/>
          <w:color w:val="auto"/>
          <w:highlight w:val="none"/>
        </w:rPr>
        <w:t>备案。</w:t>
      </w:r>
    </w:p>
    <w:p w14:paraId="0D0FBB14">
      <w:pPr>
        <w:pStyle w:val="25"/>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无</w:t>
      </w:r>
      <w:r>
        <w:rPr>
          <w:rFonts w:hint="eastAsia" w:cs="宋体"/>
          <w:b/>
          <w:color w:val="auto"/>
          <w:highlight w:val="none"/>
          <w:lang w:eastAsia="zh-CN"/>
        </w:rPr>
        <w:t>）</w:t>
      </w:r>
    </w:p>
    <w:p w14:paraId="21EFAED4">
      <w:pPr>
        <w:rPr>
          <w:color w:val="auto"/>
          <w:highlight w:val="none"/>
        </w:rPr>
      </w:pPr>
    </w:p>
    <w:p w14:paraId="2186F0C8">
      <w:pPr>
        <w:rPr>
          <w:rFonts w:hint="eastAsia" w:ascii="宋体" w:hAnsi="宋体" w:cs="宋体"/>
          <w:b/>
          <w:color w:val="auto"/>
          <w:sz w:val="32"/>
          <w:highlight w:val="none"/>
        </w:rPr>
      </w:pPr>
      <w:bookmarkStart w:id="44" w:name="_Toc362"/>
    </w:p>
    <w:p w14:paraId="78D431F1">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4"/>
    </w:p>
    <w:p w14:paraId="630068A1">
      <w:pPr>
        <w:pStyle w:val="133"/>
        <w:snapToGrid w:val="0"/>
        <w:spacing w:before="0"/>
        <w:ind w:firstLine="0" w:firstLineChars="0"/>
        <w:rPr>
          <w:rFonts w:ascii="宋体" w:hAnsi="宋体" w:cs="宋体"/>
          <w:color w:val="auto"/>
          <w:highlight w:val="none"/>
        </w:rPr>
      </w:pPr>
      <w:r>
        <w:rPr>
          <w:rFonts w:hint="eastAsia" w:ascii="宋体" w:hAnsi="宋体" w:cs="宋体"/>
          <w:b/>
          <w:bCs/>
          <w:color w:val="auto"/>
          <w:kern w:val="2"/>
          <w:sz w:val="24"/>
          <w:szCs w:val="20"/>
          <w:highlight w:val="none"/>
          <w:lang w:val="en-US" w:eastAsia="zh-CN"/>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36BBF7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6DB6E6F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53DE38C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6F1EA68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6012C7D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4DA9288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747AA4D">
      <w:pPr>
        <w:tabs>
          <w:tab w:val="left" w:pos="0"/>
        </w:tabs>
        <w:spacing w:line="360" w:lineRule="auto"/>
        <w:ind w:firstLine="480"/>
        <w:rPr>
          <w:rFonts w:ascii="宋体" w:hAnsi="宋体" w:cs="宋体"/>
          <w:color w:val="auto"/>
          <w:sz w:val="24"/>
          <w:highlight w:val="none"/>
        </w:rPr>
      </w:pPr>
    </w:p>
    <w:bookmarkEnd w:id="29"/>
    <w:bookmarkEnd w:id="30"/>
    <w:bookmarkEnd w:id="41"/>
    <w:p w14:paraId="645EDC83">
      <w:pPr>
        <w:rPr>
          <w:rFonts w:hint="eastAsia" w:ascii="宋体" w:hAnsi="宋体" w:cs="宋体"/>
          <w:b/>
          <w:color w:val="auto"/>
          <w:sz w:val="36"/>
          <w:szCs w:val="36"/>
          <w:highlight w:val="none"/>
        </w:rPr>
      </w:pPr>
      <w:bookmarkStart w:id="45" w:name="_Toc9385"/>
      <w:bookmarkStart w:id="46" w:name="_Toc17321"/>
      <w:bookmarkStart w:id="47" w:name="第四部分"/>
      <w:r>
        <w:rPr>
          <w:rFonts w:hint="eastAsia" w:ascii="宋体" w:hAnsi="宋体" w:cs="宋体"/>
          <w:b/>
          <w:color w:val="auto"/>
          <w:sz w:val="36"/>
          <w:szCs w:val="36"/>
          <w:highlight w:val="none"/>
        </w:rPr>
        <w:br w:type="page"/>
      </w:r>
    </w:p>
    <w:p w14:paraId="5C90563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45"/>
      <w:bookmarkEnd w:id="46"/>
    </w:p>
    <w:p w14:paraId="1CDB9C4D">
      <w:pPr>
        <w:widowControl w:val="0"/>
        <w:adjustRightInd/>
        <w:snapToGrid w:val="0"/>
        <w:spacing w:before="120" w:beforeLines="0" w:after="120" w:afterLines="0" w:line="240" w:lineRule="auto"/>
        <w:jc w:val="both"/>
        <w:outlineLvl w:val="0"/>
        <w:rPr>
          <w:rFonts w:hint="eastAsia" w:ascii="宋体" w:hAnsi="宋体" w:eastAsia="宋体" w:cs="宋体"/>
          <w:color w:val="auto"/>
          <w:kern w:val="0"/>
          <w:sz w:val="24"/>
          <w:szCs w:val="24"/>
          <w:highlight w:val="none"/>
          <w:lang w:val="en-US" w:eastAsia="zh-CN" w:bidi="ar-SA"/>
        </w:rPr>
      </w:pPr>
      <w:bookmarkStart w:id="48" w:name="_Toc22878"/>
      <w:r>
        <w:rPr>
          <w:rFonts w:hint="eastAsia" w:ascii="宋体" w:hAnsi="宋体" w:eastAsia="宋体" w:cs="宋体"/>
          <w:color w:val="auto"/>
          <w:kern w:val="0"/>
          <w:sz w:val="24"/>
          <w:szCs w:val="24"/>
          <w:highlight w:val="none"/>
          <w:lang w:val="en-US" w:eastAsia="zh-CN" w:bidi="ar-SA"/>
        </w:rPr>
        <w:t>项目名称：北仑公安分局通信运维服务项目</w:t>
      </w:r>
    </w:p>
    <w:p w14:paraId="2B4AD737">
      <w:pPr>
        <w:widowControl w:val="0"/>
        <w:adjustRightInd/>
        <w:snapToGrid w:val="0"/>
        <w:spacing w:before="120" w:beforeLines="0" w:after="120" w:afterLines="0" w:line="240" w:lineRule="auto"/>
        <w:jc w:val="both"/>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采购单位名称：宁波市公安局北仑分局</w:t>
      </w:r>
    </w:p>
    <w:p w14:paraId="20CA7264">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一、项目要求</w:t>
      </w:r>
    </w:p>
    <w:tbl>
      <w:tblPr>
        <w:tblStyle w:val="65"/>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7"/>
        <w:gridCol w:w="8064"/>
      </w:tblGrid>
      <w:tr w14:paraId="0D61C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87" w:type="dxa"/>
            <w:tcBorders>
              <w:top w:val="single" w:color="auto" w:sz="4" w:space="0"/>
              <w:left w:val="single" w:color="auto" w:sz="4" w:space="0"/>
              <w:bottom w:val="single" w:color="auto" w:sz="4" w:space="0"/>
              <w:right w:val="single" w:color="auto" w:sz="4" w:space="0"/>
            </w:tcBorders>
            <w:vAlign w:val="center"/>
          </w:tcPr>
          <w:p w14:paraId="7BDF5EE4">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采购内容</w:t>
            </w:r>
          </w:p>
        </w:tc>
        <w:tc>
          <w:tcPr>
            <w:tcW w:w="8064" w:type="dxa"/>
            <w:tcBorders>
              <w:top w:val="single" w:color="auto" w:sz="4" w:space="0"/>
              <w:left w:val="single" w:color="auto" w:sz="4" w:space="0"/>
              <w:bottom w:val="single" w:color="auto" w:sz="4" w:space="0"/>
              <w:right w:val="single" w:color="auto" w:sz="4" w:space="0"/>
            </w:tcBorders>
            <w:vAlign w:val="center"/>
          </w:tcPr>
          <w:p w14:paraId="44B990B2">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北仑公安分局通信运维服务</w:t>
            </w:r>
          </w:p>
        </w:tc>
      </w:tr>
      <w:tr w14:paraId="08A3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7" w:type="dxa"/>
            <w:tcBorders>
              <w:top w:val="single" w:color="auto" w:sz="4" w:space="0"/>
              <w:left w:val="single" w:color="auto" w:sz="4" w:space="0"/>
              <w:bottom w:val="single" w:color="auto" w:sz="4" w:space="0"/>
              <w:right w:val="single" w:color="auto" w:sz="4" w:space="0"/>
            </w:tcBorders>
            <w:vAlign w:val="center"/>
          </w:tcPr>
          <w:p w14:paraId="22B6790E">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用途</w:t>
            </w:r>
          </w:p>
        </w:tc>
        <w:tc>
          <w:tcPr>
            <w:tcW w:w="8064" w:type="dxa"/>
            <w:tcBorders>
              <w:top w:val="single" w:color="auto" w:sz="4" w:space="0"/>
              <w:left w:val="single" w:color="auto" w:sz="4" w:space="0"/>
              <w:bottom w:val="single" w:color="auto" w:sz="4" w:space="0"/>
              <w:right w:val="single" w:color="auto" w:sz="4" w:space="0"/>
            </w:tcBorders>
            <w:vAlign w:val="center"/>
          </w:tcPr>
          <w:p w14:paraId="21660612">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对分局大楼内各部门、16个大楼外单位以及各警务室的网络、电话、办公电脑以及打印机、扫描仪等系统和设备进行运维，处理各种故障及电脑安装的软件设置等问题。</w:t>
            </w:r>
          </w:p>
        </w:tc>
      </w:tr>
    </w:tbl>
    <w:p w14:paraId="158DC5BE">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p>
    <w:p w14:paraId="1A6267C4">
      <w:pPr>
        <w:widowControl w:val="0"/>
        <w:adjustRightInd/>
        <w:snapToGrid w:val="0"/>
        <w:spacing w:before="120" w:beforeLines="0" w:after="120" w:afterLines="0" w:line="240" w:lineRule="auto"/>
        <w:jc w:val="both"/>
        <w:outlineLvl w:val="0"/>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w:t>
      </w:r>
      <w:r>
        <w:rPr>
          <w:rFonts w:ascii="宋体" w:hAnsi="宋体" w:eastAsia="宋体" w:cs="Times New Roman"/>
          <w:color w:val="auto"/>
          <w:kern w:val="2"/>
          <w:sz w:val="21"/>
          <w:szCs w:val="21"/>
          <w:highlight w:val="none"/>
          <w:lang w:val="en-US" w:eastAsia="zh-CN" w:bidi="ar-SA"/>
        </w:rPr>
        <w:t>、商务要求表</w:t>
      </w:r>
    </w:p>
    <w:tbl>
      <w:tblPr>
        <w:tblStyle w:val="65"/>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8066"/>
      </w:tblGrid>
      <w:tr w14:paraId="57466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9" w:hRule="atLeast"/>
        </w:trPr>
        <w:tc>
          <w:tcPr>
            <w:tcW w:w="1785" w:type="dxa"/>
            <w:tcBorders>
              <w:top w:val="single" w:color="auto" w:sz="4" w:space="0"/>
              <w:left w:val="single" w:color="auto" w:sz="4" w:space="0"/>
              <w:bottom w:val="single" w:color="auto" w:sz="4" w:space="0"/>
              <w:right w:val="single" w:color="auto" w:sz="4" w:space="0"/>
            </w:tcBorders>
            <w:vAlign w:val="center"/>
          </w:tcPr>
          <w:p w14:paraId="13529E43">
            <w:pPr>
              <w:adjustRightInd/>
              <w:snapToGrid w:val="0"/>
              <w:rPr>
                <w:rFonts w:ascii="宋体" w:hAnsi="宋体" w:cs="Times New Roman"/>
                <w:color w:val="auto"/>
                <w:szCs w:val="21"/>
                <w:highlight w:val="none"/>
              </w:rPr>
            </w:pPr>
            <w:r>
              <w:rPr>
                <w:rFonts w:hint="eastAsia" w:ascii="宋体" w:hAnsi="宋体" w:cs="Times New Roman"/>
                <w:color w:val="auto"/>
                <w:szCs w:val="21"/>
                <w:highlight w:val="none"/>
              </w:rPr>
              <w:t>服务要求</w:t>
            </w:r>
          </w:p>
        </w:tc>
        <w:tc>
          <w:tcPr>
            <w:tcW w:w="8066" w:type="dxa"/>
            <w:tcBorders>
              <w:top w:val="single" w:color="auto" w:sz="4" w:space="0"/>
              <w:left w:val="single" w:color="auto" w:sz="4" w:space="0"/>
              <w:bottom w:val="single" w:color="auto" w:sz="4" w:space="0"/>
              <w:right w:val="single" w:color="auto" w:sz="4" w:space="0"/>
            </w:tcBorders>
            <w:vAlign w:val="center"/>
          </w:tcPr>
          <w:p w14:paraId="13E9B09A">
            <w:pPr>
              <w:keepNext w:val="0"/>
              <w:keepLines w:val="0"/>
              <w:pageBreakBefore w:val="0"/>
              <w:widowControl w:val="0"/>
              <w:numPr>
                <w:ilvl w:val="0"/>
                <w:numId w:val="2"/>
              </w:numPr>
              <w:tabs>
                <w:tab w:val="left" w:pos="72"/>
              </w:tabs>
              <w:kinsoku/>
              <w:wordWrap/>
              <w:overflowPunct/>
              <w:topLinePunct w:val="0"/>
              <w:autoSpaceDE/>
              <w:autoSpaceDN/>
              <w:bidi w:val="0"/>
              <w:adjustRightInd/>
              <w:snapToGrid w:val="0"/>
              <w:spacing w:before="120" w:beforeLines="0" w:after="120" w:afterLines="0" w:line="240" w:lineRule="auto"/>
              <w:jc w:val="both"/>
              <w:textAlignment w:val="auto"/>
              <w:outlineLvl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运维服务期内投标人在工作日上班时间</w:t>
            </w:r>
            <w:r>
              <w:rPr>
                <w:rFonts w:hint="eastAsia" w:ascii="宋体" w:hAnsi="宋体" w:cs="Times New Roman"/>
                <w:color w:val="auto"/>
                <w:kern w:val="2"/>
                <w:sz w:val="21"/>
                <w:szCs w:val="21"/>
                <w:highlight w:val="none"/>
                <w:lang w:val="en-US" w:eastAsia="zh-CN" w:bidi="ar-SA"/>
              </w:rPr>
              <w:t>至少</w:t>
            </w:r>
            <w:r>
              <w:rPr>
                <w:rFonts w:hint="eastAsia" w:ascii="宋体" w:hAnsi="宋体" w:eastAsia="宋体" w:cs="Times New Roman"/>
                <w:color w:val="auto"/>
                <w:kern w:val="2"/>
                <w:sz w:val="21"/>
                <w:szCs w:val="21"/>
                <w:highlight w:val="none"/>
                <w:lang w:val="en-US" w:eastAsia="zh-CN" w:bidi="ar-SA"/>
              </w:rPr>
              <w:t>提供3名技术人员的运维服务；工作日非上班时间以及非工作日全天至少安排1名技术人员值班；特殊情况下根据招标人要求安排所有技术人员加班，不再收取加班费用。</w:t>
            </w:r>
          </w:p>
          <w:p w14:paraId="02BA928C">
            <w:pPr>
              <w:keepNext w:val="0"/>
              <w:keepLines w:val="0"/>
              <w:pageBreakBefore w:val="0"/>
              <w:widowControl w:val="0"/>
              <w:numPr>
                <w:ilvl w:val="0"/>
                <w:numId w:val="2"/>
              </w:numPr>
              <w:tabs>
                <w:tab w:val="left" w:pos="72"/>
              </w:tabs>
              <w:kinsoku/>
              <w:wordWrap/>
              <w:overflowPunct/>
              <w:topLinePunct w:val="0"/>
              <w:autoSpaceDE/>
              <w:autoSpaceDN/>
              <w:bidi w:val="0"/>
              <w:adjustRightInd/>
              <w:snapToGrid w:val="0"/>
              <w:spacing w:before="120" w:beforeLines="0" w:after="120" w:afterLines="0" w:line="240" w:lineRule="auto"/>
              <w:jc w:val="both"/>
              <w:textAlignment w:val="auto"/>
              <w:outlineLvl w:val="0"/>
              <w:rPr>
                <w:rFonts w:ascii="宋体" w:hAnsi="宋体" w:eastAsia="宋体" w:cs="宋体"/>
                <w:color w:val="auto"/>
                <w:kern w:val="0"/>
                <w:sz w:val="24"/>
                <w:szCs w:val="24"/>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运维服务所需工作用车由投标人提供。</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3、投标人和技术人员必须签署保密协议，对涉及招标人业务系统的程序、数据及相关信息等进行保密，不得擅自拷贝、传播、向他人透露。</w:t>
            </w:r>
            <w:r>
              <w:rPr>
                <w:rFonts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4、投标人应制定详细、合理、科学的运维方案及实施措施，提供有效的运营维护服务。</w:t>
            </w:r>
            <w:r>
              <w:rPr>
                <w:rFonts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5、投标人应为采购单位建立完整的运维档案，包括但不限于巡查、维修情况记录。</w:t>
            </w:r>
          </w:p>
        </w:tc>
      </w:tr>
      <w:tr w14:paraId="0C094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785" w:type="dxa"/>
            <w:tcBorders>
              <w:top w:val="single" w:color="auto" w:sz="4" w:space="0"/>
              <w:left w:val="single" w:color="auto" w:sz="4" w:space="0"/>
              <w:bottom w:val="single" w:color="auto" w:sz="4" w:space="0"/>
              <w:right w:val="single" w:color="auto" w:sz="4" w:space="0"/>
            </w:tcBorders>
            <w:vAlign w:val="center"/>
          </w:tcPr>
          <w:p w14:paraId="5AC54095">
            <w:pPr>
              <w:adjustRightInd/>
              <w:snapToGrid w:val="0"/>
              <w:rPr>
                <w:rFonts w:ascii="宋体" w:hAnsi="宋体" w:cs="Times New Roman"/>
                <w:color w:val="auto"/>
                <w:szCs w:val="21"/>
                <w:highlight w:val="none"/>
              </w:rPr>
            </w:pPr>
            <w:r>
              <w:rPr>
                <w:rFonts w:hint="eastAsia" w:ascii="宋体" w:hAnsi="宋体" w:cs="Times New Roman"/>
                <w:color w:val="auto"/>
                <w:szCs w:val="21"/>
                <w:highlight w:val="none"/>
                <w:lang w:val="en-US" w:eastAsia="zh-CN"/>
              </w:rPr>
              <w:t>服务</w:t>
            </w:r>
            <w:r>
              <w:rPr>
                <w:rFonts w:hint="eastAsia" w:ascii="宋体" w:hAnsi="宋体" w:cs="Times New Roman"/>
                <w:color w:val="auto"/>
                <w:szCs w:val="21"/>
                <w:highlight w:val="none"/>
              </w:rPr>
              <w:t>时间及地点</w:t>
            </w:r>
          </w:p>
        </w:tc>
        <w:tc>
          <w:tcPr>
            <w:tcW w:w="8066" w:type="dxa"/>
            <w:tcBorders>
              <w:top w:val="single" w:color="auto" w:sz="4" w:space="0"/>
              <w:left w:val="single" w:color="auto" w:sz="4" w:space="0"/>
              <w:bottom w:val="single" w:color="auto" w:sz="4" w:space="0"/>
              <w:right w:val="single" w:color="auto" w:sz="4" w:space="0"/>
            </w:tcBorders>
            <w:vAlign w:val="center"/>
          </w:tcPr>
          <w:p w14:paraId="6C0BCAAF">
            <w:pPr>
              <w:adjustRightInd/>
              <w:snapToGrid w:val="0"/>
              <w:rPr>
                <w:rFonts w:hint="eastAsia" w:ascii="宋体" w:hAnsi="宋体" w:eastAsia="宋体" w:cs="Times New Roman"/>
                <w:color w:val="auto"/>
                <w:szCs w:val="21"/>
                <w:highlight w:val="none"/>
                <w:u w:val="none"/>
                <w:lang w:eastAsia="zh-CN"/>
              </w:rPr>
            </w:pPr>
            <w:r>
              <w:rPr>
                <w:rFonts w:hint="eastAsia" w:ascii="宋体" w:hAnsi="宋体" w:cs="Times New Roman"/>
                <w:color w:val="auto"/>
                <w:szCs w:val="21"/>
                <w:highlight w:val="none"/>
                <w:u w:val="none"/>
                <w:lang w:val="en-US" w:eastAsia="zh-CN"/>
              </w:rPr>
              <w:t>服务时间</w:t>
            </w:r>
            <w:r>
              <w:rPr>
                <w:rFonts w:hint="eastAsia" w:ascii="宋体" w:hAnsi="宋体" w:cs="Times New Roman"/>
                <w:color w:val="auto"/>
                <w:szCs w:val="21"/>
                <w:highlight w:val="none"/>
                <w:u w:val="none"/>
              </w:rPr>
              <w:t>：合同签订后7天内</w:t>
            </w:r>
            <w:r>
              <w:rPr>
                <w:rFonts w:hint="eastAsia" w:ascii="宋体" w:hAnsi="宋体" w:cs="Times New Roman"/>
                <w:color w:val="auto"/>
                <w:szCs w:val="21"/>
                <w:highlight w:val="none"/>
                <w:u w:val="none"/>
                <w:lang w:eastAsia="zh-CN"/>
              </w:rPr>
              <w:t>开始提供</w:t>
            </w:r>
            <w:r>
              <w:rPr>
                <w:rFonts w:hint="eastAsia" w:ascii="宋体" w:hAnsi="宋体" w:cs="Times New Roman"/>
                <w:color w:val="auto"/>
                <w:szCs w:val="21"/>
                <w:highlight w:val="none"/>
                <w:u w:val="none"/>
              </w:rPr>
              <w:t>通信运维服务</w:t>
            </w:r>
          </w:p>
          <w:p w14:paraId="504E8BEF">
            <w:pPr>
              <w:adjustRightInd/>
              <w:snapToGrid w:val="0"/>
              <w:rPr>
                <w:rFonts w:ascii="宋体" w:hAnsi="宋体" w:cs="Times New Roman"/>
                <w:color w:val="auto"/>
                <w:szCs w:val="21"/>
                <w:highlight w:val="none"/>
              </w:rPr>
            </w:pPr>
            <w:r>
              <w:rPr>
                <w:rFonts w:hint="eastAsia" w:ascii="宋体" w:hAnsi="宋体" w:cs="Times New Roman"/>
                <w:color w:val="auto"/>
                <w:szCs w:val="21"/>
                <w:highlight w:val="none"/>
                <w:u w:val="none"/>
              </w:rPr>
              <w:t>地点：宁波市公安局北仑分局指定地点</w:t>
            </w:r>
          </w:p>
        </w:tc>
      </w:tr>
      <w:tr w14:paraId="56801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785" w:type="dxa"/>
            <w:tcBorders>
              <w:top w:val="single" w:color="auto" w:sz="4" w:space="0"/>
              <w:left w:val="single" w:color="auto" w:sz="4" w:space="0"/>
              <w:bottom w:val="single" w:color="auto" w:sz="4" w:space="0"/>
              <w:right w:val="single" w:color="auto" w:sz="4" w:space="0"/>
            </w:tcBorders>
            <w:vAlign w:val="center"/>
          </w:tcPr>
          <w:p w14:paraId="68A1D775">
            <w:pPr>
              <w:adjustRightInd/>
              <w:snapToGrid w:val="0"/>
              <w:rPr>
                <w:rFonts w:ascii="宋体" w:hAnsi="宋体" w:cs="Times New Roman"/>
                <w:color w:val="auto"/>
                <w:szCs w:val="21"/>
                <w:highlight w:val="none"/>
              </w:rPr>
            </w:pPr>
            <w:r>
              <w:rPr>
                <w:rFonts w:hint="eastAsia" w:ascii="宋体" w:hAnsi="宋体" w:cs="Times New Roman"/>
                <w:color w:val="auto"/>
                <w:szCs w:val="21"/>
                <w:highlight w:val="none"/>
              </w:rPr>
              <w:t>付款条件</w:t>
            </w:r>
          </w:p>
        </w:tc>
        <w:tc>
          <w:tcPr>
            <w:tcW w:w="8066" w:type="dxa"/>
            <w:tcBorders>
              <w:top w:val="single" w:color="auto" w:sz="4" w:space="0"/>
              <w:left w:val="single" w:color="auto" w:sz="4" w:space="0"/>
              <w:bottom w:val="single" w:color="auto" w:sz="4" w:space="0"/>
              <w:right w:val="single" w:color="auto" w:sz="4" w:space="0"/>
            </w:tcBorders>
            <w:vAlign w:val="center"/>
          </w:tcPr>
          <w:p w14:paraId="790C9F59">
            <w:pPr>
              <w:adjustRightInd/>
              <w:snapToGrid w:val="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合同签订后具备支付条件，7个工作日内甲方支付给乙方合同价的30%，每年6月份支付至合同价的80%，合同到期后7个工作日内甲方向乙方支付合同余款，付款时扣除按考核应扣款项。</w:t>
            </w:r>
          </w:p>
        </w:tc>
      </w:tr>
      <w:tr w14:paraId="23EB9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785" w:type="dxa"/>
            <w:tcBorders>
              <w:top w:val="single" w:color="auto" w:sz="4" w:space="0"/>
              <w:left w:val="single" w:color="auto" w:sz="4" w:space="0"/>
              <w:bottom w:val="single" w:color="auto" w:sz="4" w:space="0"/>
              <w:right w:val="single" w:color="auto" w:sz="4" w:space="0"/>
            </w:tcBorders>
            <w:vAlign w:val="center"/>
          </w:tcPr>
          <w:p w14:paraId="764F9117">
            <w:pPr>
              <w:adjustRightInd/>
              <w:snapToGrid w:val="0"/>
              <w:rPr>
                <w:rFonts w:ascii="宋体" w:hAnsi="宋体" w:cs="Times New Roman"/>
                <w:color w:val="auto"/>
                <w:szCs w:val="21"/>
                <w:highlight w:val="none"/>
              </w:rPr>
            </w:pPr>
            <w:r>
              <w:rPr>
                <w:rFonts w:hint="eastAsia" w:ascii="宋体" w:hAnsi="宋体" w:cs="Times New Roman"/>
                <w:color w:val="auto"/>
                <w:szCs w:val="21"/>
                <w:highlight w:val="none"/>
              </w:rPr>
              <w:t>服务时间</w:t>
            </w:r>
          </w:p>
        </w:tc>
        <w:tc>
          <w:tcPr>
            <w:tcW w:w="8066" w:type="dxa"/>
            <w:tcBorders>
              <w:top w:val="single" w:color="auto" w:sz="4" w:space="0"/>
              <w:left w:val="single" w:color="auto" w:sz="4" w:space="0"/>
              <w:bottom w:val="single" w:color="auto" w:sz="4" w:space="0"/>
              <w:right w:val="single" w:color="auto" w:sz="4" w:space="0"/>
            </w:tcBorders>
            <w:vAlign w:val="center"/>
          </w:tcPr>
          <w:p w14:paraId="5449B1E0">
            <w:pPr>
              <w:adjustRightInd/>
              <w:snapToGrid w:val="0"/>
              <w:rPr>
                <w:rFonts w:ascii="宋体" w:hAnsi="宋体" w:cs="Times New Roman"/>
                <w:color w:val="auto"/>
                <w:szCs w:val="21"/>
                <w:highlight w:val="none"/>
              </w:rPr>
            </w:pPr>
            <w:r>
              <w:rPr>
                <w:rFonts w:hint="eastAsia" w:ascii="宋体" w:hAnsi="宋体" w:cs="Times New Roman"/>
                <w:color w:val="auto"/>
                <w:szCs w:val="21"/>
                <w:highlight w:val="none"/>
                <w:lang w:val="en-US" w:eastAsia="zh-CN"/>
              </w:rPr>
              <w:t>本项目一招三年，合同一年一签，采购人有权根据上年合同履约考核情况决定是否续签</w:t>
            </w:r>
            <w:r>
              <w:rPr>
                <w:rFonts w:hint="eastAsia" w:ascii="宋体" w:hAnsi="宋体" w:cs="Times New Roman"/>
                <w:color w:val="auto"/>
                <w:szCs w:val="21"/>
                <w:highlight w:val="none"/>
              </w:rPr>
              <w:t>。</w:t>
            </w:r>
          </w:p>
        </w:tc>
      </w:tr>
    </w:tbl>
    <w:p w14:paraId="2CC4EBBC">
      <w:pPr>
        <w:adjustRightInd/>
        <w:snapToGrid w:val="0"/>
        <w:rPr>
          <w:rFonts w:ascii="宋体" w:hAnsi="宋体" w:cs="Times New Roman"/>
          <w:color w:val="auto"/>
          <w:szCs w:val="21"/>
          <w:highlight w:val="none"/>
        </w:rPr>
      </w:pPr>
    </w:p>
    <w:p w14:paraId="7051CEED">
      <w:pPr>
        <w:numPr>
          <w:ilvl w:val="0"/>
          <w:numId w:val="3"/>
        </w:numPr>
        <w:adjustRightInd/>
        <w:snapToGrid w:val="0"/>
        <w:spacing w:line="360" w:lineRule="auto"/>
        <w:ind w:left="420" w:hanging="420"/>
        <w:rPr>
          <w:rFonts w:ascii="Times New Roman" w:hAnsi="Times New Roman" w:cs="Times New Roman"/>
          <w:b/>
          <w:color w:val="auto"/>
          <w:szCs w:val="21"/>
          <w:highlight w:val="none"/>
        </w:rPr>
      </w:pPr>
      <w:r>
        <w:rPr>
          <w:rFonts w:hint="eastAsia" w:ascii="Times New Roman" w:hAnsi="Times New Roman" w:cs="Times New Roman"/>
          <w:color w:val="auto"/>
          <w:highlight w:val="none"/>
        </w:rPr>
        <w:t>技术具体需求：</w:t>
      </w:r>
    </w:p>
    <w:p w14:paraId="17929713">
      <w:pPr>
        <w:adjustRightInd/>
        <w:snapToGrid w:val="0"/>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1、项目背景</w:t>
      </w:r>
    </w:p>
    <w:p w14:paraId="7D16D365">
      <w:pPr>
        <w:widowControl/>
        <w:adjustRightInd/>
        <w:spacing w:line="360" w:lineRule="auto"/>
        <w:ind w:right="300"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目前，分局大楼内各部门、1</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个大楼外单位以及各警务室的网络、电话、办公电脑以及打印机、扫描仪等数量庞大，共计设备3000多个，各种故障及电脑安装的软件设置问题繁多，需有专业人员进行定期巡检和处理故障。</w:t>
      </w:r>
    </w:p>
    <w:p w14:paraId="44BAB3D6">
      <w:pPr>
        <w:widowControl/>
        <w:adjustRightInd/>
        <w:spacing w:line="360" w:lineRule="auto"/>
        <w:ind w:right="300" w:firstLine="420" w:firstLineChars="200"/>
        <w:jc w:val="left"/>
        <w:rPr>
          <w:rFonts w:hint="eastAsia" w:ascii="宋体" w:hAnsi="宋体" w:cs="宋体"/>
          <w:b/>
          <w:bCs/>
          <w:color w:val="auto"/>
          <w:kern w:val="0"/>
          <w:sz w:val="24"/>
          <w:highlight w:val="none"/>
        </w:rPr>
      </w:pPr>
      <w:r>
        <w:rPr>
          <w:rFonts w:hint="eastAsia" w:ascii="宋体" w:hAnsi="宋体" w:cs="Times New Roman"/>
          <w:color w:val="auto"/>
          <w:szCs w:val="21"/>
          <w:highlight w:val="none"/>
        </w:rPr>
        <w:t>因公安信息网、视频专网、警务室网等与外网之间实行物理隔离，上级公安机关对相关电脑有较为严格的管理规定并安装多个安全管理软件，同时公安信息网上的很多软件对配置、安装等有特殊的要求，运维服务单位及其技术人员需严格遵守</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的相关管理制度和技术要求。</w:t>
      </w:r>
    </w:p>
    <w:p w14:paraId="4B168B8C">
      <w:pPr>
        <w:widowControl/>
        <w:adjustRightInd/>
        <w:spacing w:line="360" w:lineRule="auto"/>
        <w:ind w:right="3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2、项目采购内容</w:t>
      </w:r>
    </w:p>
    <w:p w14:paraId="78DF8774">
      <w:pPr>
        <w:widowControl/>
        <w:adjustRightInd/>
        <w:spacing w:line="360" w:lineRule="auto"/>
        <w:ind w:right="300"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一是对分局大楼内的公安网、</w:t>
      </w:r>
      <w:r>
        <w:rPr>
          <w:rFonts w:hint="eastAsia" w:ascii="宋体" w:hAnsi="宋体" w:cs="Times New Roman"/>
          <w:color w:val="auto"/>
          <w:szCs w:val="21"/>
          <w:highlight w:val="none"/>
          <w:lang w:eastAsia="zh-CN"/>
        </w:rPr>
        <w:t>政务</w:t>
      </w:r>
      <w:r>
        <w:rPr>
          <w:rFonts w:hint="eastAsia" w:ascii="宋体" w:hAnsi="宋体" w:cs="Times New Roman"/>
          <w:color w:val="auto"/>
          <w:szCs w:val="21"/>
          <w:highlight w:val="none"/>
        </w:rPr>
        <w:t>专网、互联网、其它网络和电话系统的设备维护、线缆跳接和安全管理；保持主机房和楼层配线房的设备和跳线整洁有序，并对网络设备进行规范标识；对分局大楼内的视频会议系统、视频指挥系统、视频点名系统等进行定期检查和维护；对于要求显示设备和网络的特殊会议会场进行相应的搭建、测试和拆除工作；对可以由运维人员保障的会议进行通信保障；对分局大楼内的公安网电脑按照上级要求安装相应的安全软件；对分局大楼内所有的电脑、打印机、扫描仪、传真机等设备的各种故障进行分析和维修；对分局大楼内的所有电脑上的常用业务系统故障进行分析和维修。要求在分局大楼内有故障实时响应，30分钟内到达现场处理。需更换硬件的，收取成本费。</w:t>
      </w:r>
    </w:p>
    <w:p w14:paraId="468B3799">
      <w:pPr>
        <w:widowControl/>
        <w:adjustRightInd/>
        <w:spacing w:line="360" w:lineRule="auto"/>
        <w:ind w:right="300"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二是对新碶派出所、大碶派出所、小港派出所、霞浦派出所、柴桥派出所、白峰派出所、春晓派出所、甬保派出所、郭巨派出所、梅山派出所、</w:t>
      </w:r>
      <w:r>
        <w:rPr>
          <w:rFonts w:hint="eastAsia" w:ascii="宋体" w:hAnsi="宋体" w:cs="Times New Roman"/>
          <w:color w:val="auto"/>
          <w:szCs w:val="21"/>
          <w:highlight w:val="none"/>
          <w:lang w:eastAsia="zh-CN"/>
        </w:rPr>
        <w:t>榭南派出所、</w:t>
      </w:r>
      <w:r>
        <w:rPr>
          <w:rFonts w:hint="eastAsia" w:ascii="宋体" w:hAnsi="宋体" w:cs="Times New Roman"/>
          <w:color w:val="auto"/>
          <w:szCs w:val="21"/>
          <w:highlight w:val="none"/>
        </w:rPr>
        <w:t>看守所(拘留所)、</w:t>
      </w:r>
      <w:r>
        <w:rPr>
          <w:rFonts w:hint="eastAsia" w:ascii="宋体" w:hAnsi="宋体" w:cs="Times New Roman"/>
          <w:color w:val="auto"/>
          <w:szCs w:val="21"/>
          <w:highlight w:val="none"/>
          <w:lang w:eastAsia="zh-CN"/>
        </w:rPr>
        <w:t>执法办案中心、</w:t>
      </w:r>
      <w:r>
        <w:rPr>
          <w:rFonts w:hint="eastAsia" w:ascii="宋体" w:hAnsi="宋体" w:cs="Times New Roman"/>
          <w:color w:val="auto"/>
          <w:szCs w:val="21"/>
          <w:highlight w:val="none"/>
        </w:rPr>
        <w:t>行政审批</w:t>
      </w:r>
      <w:r>
        <w:rPr>
          <w:rFonts w:hint="eastAsia" w:ascii="宋体" w:hAnsi="宋体" w:cs="Times New Roman"/>
          <w:color w:val="auto"/>
          <w:szCs w:val="21"/>
          <w:highlight w:val="none"/>
          <w:lang w:eastAsia="zh-CN"/>
        </w:rPr>
        <w:t>中心</w:t>
      </w:r>
      <w:r>
        <w:rPr>
          <w:rFonts w:hint="eastAsia" w:ascii="宋体" w:hAnsi="宋体" w:cs="Times New Roman"/>
          <w:color w:val="auto"/>
          <w:szCs w:val="21"/>
          <w:highlight w:val="none"/>
        </w:rPr>
        <w:t>、巡特警大队、</w:t>
      </w:r>
      <w:r>
        <w:rPr>
          <w:rFonts w:hint="eastAsia" w:ascii="宋体" w:hAnsi="宋体" w:cs="Times New Roman"/>
          <w:color w:val="auto"/>
          <w:szCs w:val="21"/>
          <w:highlight w:val="none"/>
          <w:lang w:eastAsia="zh-CN"/>
        </w:rPr>
        <w:t>刑侦大队技术中队</w:t>
      </w:r>
      <w:r>
        <w:rPr>
          <w:rFonts w:hint="eastAsia" w:ascii="宋体" w:hAnsi="宋体" w:cs="Times New Roman"/>
          <w:color w:val="auto"/>
          <w:szCs w:val="21"/>
          <w:highlight w:val="none"/>
        </w:rPr>
        <w:t>等1</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个分局大楼外单位的公安网、视频专网、互联网、其它网络和电话系统的设备维护、线缆跳接和安全管理；保持主机房和楼层配线房的设备和跳线整洁有序，并对网络设备进行规范标识；对视频会议系统、视频点名系统等进行定期检查和维修维护；对上述单位的公安网电脑按照上级要求安装相应的安全软件；对上述单位所有的电脑、打印机、扫描仪、传真机等设备的各种故障进行分析和维修；对这些单位的所有电脑上的常用业务系统故障进行分析和维修。要求对每个单位每周巡检和维修次数不少于1次。需更换硬件的，收取成本费。</w:t>
      </w:r>
    </w:p>
    <w:p w14:paraId="277B0FE2">
      <w:pPr>
        <w:widowControl/>
        <w:adjustRightInd/>
        <w:spacing w:line="360" w:lineRule="auto"/>
        <w:ind w:right="300"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三是承担分布在全区的</w:t>
      </w:r>
      <w:r>
        <w:rPr>
          <w:rFonts w:hint="eastAsia" w:ascii="宋体" w:hAnsi="宋体" w:cs="Times New Roman"/>
          <w:color w:val="auto"/>
          <w:szCs w:val="21"/>
          <w:highlight w:val="none"/>
          <w:lang w:val="en-US" w:eastAsia="zh-CN"/>
        </w:rPr>
        <w:t>73</w:t>
      </w:r>
      <w:r>
        <w:rPr>
          <w:rFonts w:hint="eastAsia" w:ascii="宋体" w:hAnsi="宋体" w:cs="Times New Roman"/>
          <w:color w:val="auto"/>
          <w:szCs w:val="21"/>
          <w:highlight w:val="none"/>
        </w:rPr>
        <w:t>个警务室进行驻外公安VPN网络和电脑的维修服务，确保发生故障的警务室VPN网络电脑在一周内修复。需更换硬件的，收取成本费。</w:t>
      </w:r>
    </w:p>
    <w:p w14:paraId="607864B2">
      <w:pPr>
        <w:adjustRightInd/>
        <w:rPr>
          <w:rFonts w:ascii="宋体" w:hAnsi="宋体" w:cs="宋体"/>
          <w:b/>
          <w:bCs/>
          <w:color w:val="auto"/>
          <w:kern w:val="0"/>
          <w:sz w:val="24"/>
          <w:highlight w:val="none"/>
        </w:rPr>
      </w:pPr>
    </w:p>
    <w:p w14:paraId="45760680">
      <w:pPr>
        <w:widowControl/>
        <w:adjustRightInd/>
        <w:spacing w:line="360" w:lineRule="auto"/>
        <w:ind w:left="118" w:right="3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w:t>
      </w:r>
      <w:r>
        <w:rPr>
          <w:rFonts w:hint="eastAsia" w:ascii="宋体" w:hAnsi="宋体" w:cs="宋体"/>
          <w:b/>
          <w:bCs/>
          <w:color w:val="auto"/>
          <w:kern w:val="0"/>
          <w:sz w:val="24"/>
          <w:highlight w:val="none"/>
          <w:lang w:eastAsia="zh-CN"/>
        </w:rPr>
        <w:t>运维</w:t>
      </w:r>
      <w:r>
        <w:rPr>
          <w:rFonts w:hint="eastAsia" w:ascii="宋体" w:hAnsi="宋体" w:cs="宋体"/>
          <w:b/>
          <w:bCs/>
          <w:color w:val="auto"/>
          <w:kern w:val="0"/>
          <w:sz w:val="24"/>
          <w:highlight w:val="none"/>
        </w:rPr>
        <w:t>服务人员要求</w:t>
      </w:r>
    </w:p>
    <w:p w14:paraId="4892946D">
      <w:pPr>
        <w:widowControl/>
        <w:adjustRightInd/>
        <w:spacing w:line="360" w:lineRule="auto"/>
        <w:ind w:right="3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投标人负责招聘通信运维服务技术人员，并承担合同期内技术人员的工资、福利、办公支出等各项人力成本。技术人员具体要求：</w:t>
      </w:r>
    </w:p>
    <w:p w14:paraId="11CBC1FA">
      <w:pPr>
        <w:widowControl/>
        <w:adjustRightInd/>
        <w:spacing w:line="360" w:lineRule="auto"/>
        <w:ind w:right="3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（1）配置至少包括3名技术人员。</w:t>
      </w:r>
    </w:p>
    <w:p w14:paraId="3C2B64AF">
      <w:pPr>
        <w:widowControl/>
        <w:adjustRightInd/>
        <w:spacing w:line="360" w:lineRule="auto"/>
        <w:ind w:right="30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运维</w:t>
      </w:r>
      <w:r>
        <w:rPr>
          <w:rFonts w:hint="eastAsia" w:ascii="宋体" w:hAnsi="宋体" w:cs="宋体"/>
          <w:color w:val="auto"/>
          <w:kern w:val="0"/>
          <w:szCs w:val="21"/>
          <w:highlight w:val="none"/>
        </w:rPr>
        <w:t>服务人员要具备与所在岗位相适应的资质，具体资质要求详见下表：</w:t>
      </w:r>
    </w:p>
    <w:tbl>
      <w:tblPr>
        <w:tblStyle w:val="65"/>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342"/>
        <w:gridCol w:w="3868"/>
        <w:gridCol w:w="2962"/>
      </w:tblGrid>
      <w:tr w14:paraId="747B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77" w:type="dxa"/>
            <w:vAlign w:val="center"/>
          </w:tcPr>
          <w:p w14:paraId="26D4616A">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岗位</w:t>
            </w:r>
          </w:p>
        </w:tc>
        <w:tc>
          <w:tcPr>
            <w:tcW w:w="1342" w:type="dxa"/>
            <w:vAlign w:val="center"/>
          </w:tcPr>
          <w:p w14:paraId="07D044F0">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人数</w:t>
            </w:r>
          </w:p>
        </w:tc>
        <w:tc>
          <w:tcPr>
            <w:tcW w:w="3868" w:type="dxa"/>
            <w:vAlign w:val="center"/>
          </w:tcPr>
          <w:p w14:paraId="4E2326D2">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工作时间</w:t>
            </w:r>
          </w:p>
        </w:tc>
        <w:tc>
          <w:tcPr>
            <w:tcW w:w="2962" w:type="dxa"/>
            <w:vAlign w:val="center"/>
          </w:tcPr>
          <w:p w14:paraId="6DF39DE8">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资质</w:t>
            </w:r>
          </w:p>
        </w:tc>
      </w:tr>
      <w:tr w14:paraId="340F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677" w:type="dxa"/>
            <w:vAlign w:val="center"/>
          </w:tcPr>
          <w:p w14:paraId="18BAF40B">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技术人员</w:t>
            </w:r>
          </w:p>
        </w:tc>
        <w:tc>
          <w:tcPr>
            <w:tcW w:w="1342" w:type="dxa"/>
            <w:vAlign w:val="center"/>
          </w:tcPr>
          <w:p w14:paraId="77ED6434">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color w:val="auto"/>
                <w:highlight w:val="none"/>
                <w:lang w:val="en-US" w:eastAsia="zh-CN"/>
              </w:rPr>
              <w:t>至少</w:t>
            </w:r>
            <w:r>
              <w:rPr>
                <w:rFonts w:hint="eastAsia" w:ascii="宋体" w:hAnsi="宋体" w:eastAsia="宋体" w:cs="宋体"/>
                <w:color w:val="auto"/>
                <w:spacing w:val="0"/>
                <w:kern w:val="2"/>
                <w:sz w:val="21"/>
                <w:szCs w:val="21"/>
                <w:highlight w:val="none"/>
                <w:lang w:val="en-US" w:eastAsia="zh-CN" w:bidi="ar-SA"/>
              </w:rPr>
              <w:t>3人</w:t>
            </w:r>
          </w:p>
        </w:tc>
        <w:tc>
          <w:tcPr>
            <w:tcW w:w="3868" w:type="dxa"/>
            <w:vAlign w:val="center"/>
          </w:tcPr>
          <w:p w14:paraId="553F98BA">
            <w:pPr>
              <w:widowControl w:val="0"/>
              <w:adjustRightInd w:val="0"/>
              <w:snapToGrid w:val="0"/>
              <w:spacing w:after="0" w:line="240" w:lineRule="auto"/>
              <w:ind w:left="0" w:leftChars="0" w:firstLine="0" w:firstLineChars="0"/>
              <w:jc w:val="center"/>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在招标人工作日的工作时间，</w:t>
            </w:r>
            <w:r>
              <w:rPr>
                <w:rFonts w:hint="eastAsia" w:ascii="宋体" w:hAnsi="宋体" w:cs="宋体"/>
                <w:color w:val="auto"/>
                <w:spacing w:val="0"/>
                <w:kern w:val="2"/>
                <w:sz w:val="21"/>
                <w:szCs w:val="21"/>
                <w:highlight w:val="none"/>
                <w:lang w:val="en-US" w:eastAsia="zh-CN" w:bidi="ar-SA"/>
              </w:rPr>
              <w:t>至少</w:t>
            </w:r>
            <w:r>
              <w:rPr>
                <w:rFonts w:hint="eastAsia" w:ascii="宋体" w:hAnsi="宋体" w:eastAsia="宋体" w:cs="宋体"/>
                <w:color w:val="auto"/>
                <w:spacing w:val="0"/>
                <w:kern w:val="2"/>
                <w:sz w:val="21"/>
                <w:szCs w:val="21"/>
                <w:highlight w:val="none"/>
                <w:lang w:val="en-US" w:eastAsia="zh-CN" w:bidi="ar-SA"/>
              </w:rPr>
              <w:t>3人同时上班；工作日非工作时间和非工作日要求至少1人值班</w:t>
            </w:r>
          </w:p>
        </w:tc>
        <w:tc>
          <w:tcPr>
            <w:tcW w:w="2962" w:type="dxa"/>
            <w:vAlign w:val="center"/>
          </w:tcPr>
          <w:p w14:paraId="25D979F7">
            <w:pPr>
              <w:widowControl w:val="0"/>
              <w:numPr>
                <w:ilvl w:val="0"/>
                <w:numId w:val="4"/>
              </w:numPr>
              <w:adjustRightInd w:val="0"/>
              <w:snapToGrid w:val="0"/>
              <w:spacing w:after="0" w:line="240" w:lineRule="auto"/>
              <w:ind w:left="420" w:leftChars="0" w:hanging="420" w:firstLineChars="0"/>
              <w:jc w:val="both"/>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无违法犯罪记录；</w:t>
            </w:r>
          </w:p>
          <w:p w14:paraId="0C16213E">
            <w:pPr>
              <w:widowControl w:val="0"/>
              <w:numPr>
                <w:ilvl w:val="0"/>
                <w:numId w:val="4"/>
              </w:numPr>
              <w:adjustRightInd w:val="0"/>
              <w:snapToGrid w:val="0"/>
              <w:spacing w:after="0" w:line="240" w:lineRule="auto"/>
              <w:ind w:left="420" w:leftChars="0" w:hanging="420" w:firstLineChars="0"/>
              <w:jc w:val="both"/>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熟练掌握计算机基本操作；</w:t>
            </w:r>
          </w:p>
          <w:p w14:paraId="4BDA5F34">
            <w:pPr>
              <w:widowControl w:val="0"/>
              <w:numPr>
                <w:ilvl w:val="0"/>
                <w:numId w:val="4"/>
              </w:numPr>
              <w:adjustRightInd w:val="0"/>
              <w:snapToGrid w:val="0"/>
              <w:spacing w:after="0" w:line="240" w:lineRule="auto"/>
              <w:ind w:left="420" w:leftChars="0" w:hanging="420" w:firstLineChars="0"/>
              <w:jc w:val="both"/>
              <w:rPr>
                <w:rFonts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具有较好的语言表达能力和沟通能力；</w:t>
            </w:r>
          </w:p>
        </w:tc>
      </w:tr>
    </w:tbl>
    <w:p w14:paraId="09184D45">
      <w:pPr>
        <w:widowControl w:val="0"/>
        <w:adjustRightInd/>
        <w:spacing w:after="0" w:line="240" w:lineRule="auto"/>
        <w:ind w:left="0" w:leftChars="0" w:firstLine="480" w:firstLineChars="200"/>
        <w:jc w:val="both"/>
        <w:rPr>
          <w:rFonts w:ascii="宋体" w:hAnsi="宋体" w:eastAsia="Times New Roman" w:cs="Times New Roman"/>
          <w:color w:val="auto"/>
          <w:spacing w:val="0"/>
          <w:kern w:val="2"/>
          <w:sz w:val="24"/>
          <w:szCs w:val="24"/>
          <w:highlight w:val="none"/>
          <w:lang w:val="en-US" w:eastAsia="zh-CN" w:bidi="ar-SA"/>
        </w:rPr>
      </w:pPr>
    </w:p>
    <w:p w14:paraId="563E83A4">
      <w:pPr>
        <w:widowControl/>
        <w:adjustRightInd/>
        <w:spacing w:line="360" w:lineRule="auto"/>
        <w:ind w:left="118" w:right="3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4、服务要求</w:t>
      </w:r>
    </w:p>
    <w:p w14:paraId="527ED458">
      <w:pPr>
        <w:widowControl/>
        <w:adjustRightInd/>
        <w:spacing w:line="360" w:lineRule="auto"/>
        <w:ind w:right="300" w:firstLine="480" w:firstLineChars="200"/>
        <w:jc w:val="left"/>
        <w:rPr>
          <w:rFonts w:hint="eastAsia" w:ascii="宋体" w:hAnsi="宋体" w:eastAsia="宋体" w:cs="Times New Roman"/>
          <w:b/>
          <w:color w:val="auto"/>
          <w:sz w:val="24"/>
          <w:szCs w:val="24"/>
          <w:highlight w:val="none"/>
          <w:lang w:val="en-US" w:eastAsia="zh-CN"/>
        </w:rPr>
      </w:pPr>
      <w:r>
        <w:rPr>
          <w:rFonts w:hint="eastAsia" w:ascii="宋体" w:hAnsi="宋体" w:cs="宋体"/>
          <w:color w:val="auto"/>
          <w:kern w:val="0"/>
          <w:sz w:val="24"/>
          <w:highlight w:val="none"/>
        </w:rPr>
        <w:t>1、运维服务期内投标人需提供7×24小时的运营维护服务，投标人应承诺在突发事件发生时提供24小时不间断运维服务，并承诺加班不收取额外费用。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    2、投标人及其技术人员必须签署保密协议，承诺对涉及</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业务系统的程序、数据及相关信息等进行保密，不得擅自拷贝、传播、向他人透露。</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    3、投标人应制定详细、合理、科学的运维方案及实施措施，提供有效的运营维护服务。</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    4、投标人应为</w:t>
      </w:r>
      <w:r>
        <w:rPr>
          <w:rFonts w:hint="eastAsia" w:ascii="宋体" w:hAnsi="宋体" w:cs="宋体"/>
          <w:color w:val="auto"/>
          <w:kern w:val="0"/>
          <w:sz w:val="24"/>
          <w:highlight w:val="none"/>
          <w:lang w:val="en-US" w:eastAsia="zh-CN"/>
        </w:rPr>
        <w:t>招标人</w:t>
      </w:r>
      <w:r>
        <w:rPr>
          <w:rFonts w:hint="eastAsia" w:ascii="宋体" w:hAnsi="宋体" w:cs="宋体"/>
          <w:color w:val="auto"/>
          <w:kern w:val="0"/>
          <w:sz w:val="24"/>
          <w:highlight w:val="none"/>
        </w:rPr>
        <w:t>建立完整的运维档案，包括但不限于巡查和维修情况记录。</w:t>
      </w:r>
      <w:r>
        <w:rPr>
          <w:rFonts w:hint="eastAsia" w:ascii="宋体" w:hAnsi="宋体" w:eastAsia="宋体" w:cs="Times New Roman"/>
          <w:b/>
          <w:color w:val="auto"/>
          <w:sz w:val="24"/>
          <w:szCs w:val="24"/>
          <w:highlight w:val="none"/>
          <w:lang w:val="en-US" w:eastAsia="zh-CN"/>
        </w:rPr>
        <w:br w:type="page"/>
      </w:r>
    </w:p>
    <w:p w14:paraId="51602F41">
      <w:pPr>
        <w:rPr>
          <w:rFonts w:hint="eastAsia" w:ascii="宋体" w:hAnsi="宋体" w:cs="宋体"/>
          <w:b/>
          <w:bCs/>
          <w:color w:val="auto"/>
          <w:sz w:val="24"/>
          <w:szCs w:val="24"/>
          <w:highlight w:val="none"/>
          <w:lang w:val="en-US" w:eastAsia="zh-CN"/>
        </w:rPr>
      </w:pPr>
    </w:p>
    <w:p w14:paraId="78E6D76E">
      <w:pPr>
        <w:spacing w:line="360" w:lineRule="auto"/>
        <w:jc w:val="center"/>
        <w:outlineLvl w:val="0"/>
        <w:rPr>
          <w:rFonts w:hint="eastAsia" w:ascii="宋体" w:hAnsi="宋体" w:eastAsia="宋体" w:cs="宋体"/>
          <w:b/>
          <w:color w:val="auto"/>
          <w:sz w:val="36"/>
          <w:szCs w:val="36"/>
          <w:highlight w:val="none"/>
        </w:rPr>
      </w:pPr>
      <w:bookmarkStart w:id="49" w:name="_Toc27851"/>
      <w:r>
        <w:rPr>
          <w:rFonts w:hint="eastAsia" w:ascii="宋体" w:hAnsi="宋体" w:eastAsia="宋体" w:cs="宋体"/>
          <w:b/>
          <w:color w:val="auto"/>
          <w:sz w:val="36"/>
          <w:szCs w:val="36"/>
          <w:highlight w:val="none"/>
        </w:rPr>
        <w:t xml:space="preserve">第四部分   </w:t>
      </w:r>
      <w:bookmarkStart w:id="50" w:name="_Toc184314444"/>
      <w:bookmarkEnd w:id="50"/>
      <w:bookmarkStart w:id="51" w:name="_Toc184310334"/>
      <w:bookmarkEnd w:id="51"/>
      <w:bookmarkStart w:id="52" w:name="_Toc184314436"/>
      <w:bookmarkEnd w:id="52"/>
      <w:bookmarkStart w:id="53" w:name="_Toc184314469"/>
      <w:bookmarkEnd w:id="53"/>
      <w:bookmarkStart w:id="54" w:name="_Toc184310303"/>
      <w:bookmarkEnd w:id="54"/>
      <w:bookmarkStart w:id="55" w:name="_Toc184310272"/>
      <w:bookmarkEnd w:id="55"/>
      <w:bookmarkStart w:id="56" w:name="_Toc184312131"/>
      <w:bookmarkEnd w:id="56"/>
      <w:bookmarkStart w:id="57" w:name="_Toc184312083"/>
      <w:bookmarkEnd w:id="57"/>
      <w:bookmarkStart w:id="58" w:name="_Toc184310284"/>
      <w:bookmarkEnd w:id="58"/>
      <w:bookmarkStart w:id="59" w:name="_Toc184313283"/>
      <w:bookmarkEnd w:id="59"/>
      <w:bookmarkStart w:id="60" w:name="_Toc184312093"/>
      <w:bookmarkEnd w:id="60"/>
      <w:bookmarkStart w:id="61" w:name="_Toc184313241"/>
      <w:bookmarkEnd w:id="61"/>
      <w:bookmarkStart w:id="62" w:name="_Toc184312128"/>
      <w:bookmarkEnd w:id="62"/>
      <w:bookmarkStart w:id="63" w:name="_Toc184310321"/>
      <w:bookmarkEnd w:id="63"/>
      <w:bookmarkStart w:id="64" w:name="_Toc184308088"/>
      <w:bookmarkEnd w:id="64"/>
      <w:bookmarkStart w:id="65" w:name="_Toc184313264"/>
      <w:bookmarkEnd w:id="65"/>
      <w:bookmarkStart w:id="66" w:name="_Toc184312099"/>
      <w:bookmarkEnd w:id="66"/>
      <w:bookmarkStart w:id="67" w:name="_Toc184314435"/>
      <w:bookmarkEnd w:id="67"/>
      <w:bookmarkStart w:id="68" w:name="_Toc184314431"/>
      <w:bookmarkEnd w:id="68"/>
      <w:bookmarkStart w:id="69" w:name="_Toc184313240"/>
      <w:bookmarkEnd w:id="69"/>
      <w:bookmarkStart w:id="70" w:name="_Toc184312126"/>
      <w:bookmarkEnd w:id="70"/>
      <w:bookmarkStart w:id="71" w:name="_Toc184312129"/>
      <w:bookmarkEnd w:id="71"/>
      <w:bookmarkStart w:id="72" w:name="_Toc184308086"/>
      <w:bookmarkEnd w:id="72"/>
      <w:bookmarkStart w:id="73" w:name="_Toc184313282"/>
      <w:bookmarkEnd w:id="73"/>
      <w:bookmarkStart w:id="74" w:name="_Toc184308089"/>
      <w:bookmarkEnd w:id="74"/>
      <w:bookmarkStart w:id="75" w:name="_Toc184308075"/>
      <w:bookmarkEnd w:id="75"/>
      <w:bookmarkStart w:id="76" w:name="_Toc184310318"/>
      <w:bookmarkEnd w:id="76"/>
      <w:bookmarkStart w:id="77" w:name="_Toc184308098"/>
      <w:bookmarkEnd w:id="77"/>
      <w:bookmarkStart w:id="78" w:name="_Toc184313258"/>
      <w:bookmarkEnd w:id="78"/>
      <w:bookmarkStart w:id="79" w:name="_Toc184313290"/>
      <w:bookmarkEnd w:id="79"/>
      <w:bookmarkStart w:id="80" w:name="_Toc184313292"/>
      <w:bookmarkEnd w:id="80"/>
      <w:bookmarkStart w:id="81" w:name="_Toc184312108"/>
      <w:bookmarkEnd w:id="81"/>
      <w:bookmarkStart w:id="82" w:name="_Toc184312135"/>
      <w:bookmarkEnd w:id="82"/>
      <w:bookmarkStart w:id="83" w:name="_Toc184314422"/>
      <w:bookmarkEnd w:id="83"/>
      <w:bookmarkStart w:id="84" w:name="_Toc184312117"/>
      <w:bookmarkEnd w:id="84"/>
      <w:bookmarkStart w:id="85" w:name="_Toc184310317"/>
      <w:bookmarkEnd w:id="85"/>
      <w:bookmarkStart w:id="86" w:name="_Toc184313310"/>
      <w:bookmarkEnd w:id="86"/>
      <w:bookmarkStart w:id="87" w:name="_Toc184313254"/>
      <w:bookmarkEnd w:id="87"/>
      <w:bookmarkStart w:id="88" w:name="_Toc184312102"/>
      <w:bookmarkEnd w:id="88"/>
      <w:bookmarkStart w:id="89" w:name="_Toc184314477"/>
      <w:bookmarkEnd w:id="89"/>
      <w:bookmarkStart w:id="90" w:name="_Toc184308063"/>
      <w:bookmarkEnd w:id="90"/>
      <w:bookmarkStart w:id="91" w:name="_Toc184313284"/>
      <w:bookmarkEnd w:id="91"/>
      <w:bookmarkStart w:id="92" w:name="_Toc184313285"/>
      <w:bookmarkEnd w:id="92"/>
      <w:bookmarkStart w:id="93" w:name="_Toc184313270"/>
      <w:bookmarkEnd w:id="93"/>
      <w:bookmarkStart w:id="94" w:name="_Toc184310302"/>
      <w:bookmarkEnd w:id="94"/>
      <w:bookmarkStart w:id="95" w:name="_Toc184310306"/>
      <w:bookmarkEnd w:id="95"/>
      <w:bookmarkStart w:id="96" w:name="_Toc184313268"/>
      <w:bookmarkEnd w:id="96"/>
      <w:bookmarkStart w:id="97" w:name="_Toc184308106"/>
      <w:bookmarkEnd w:id="97"/>
      <w:bookmarkStart w:id="98" w:name="_Toc184312084"/>
      <w:bookmarkEnd w:id="98"/>
      <w:bookmarkStart w:id="99" w:name="_Toc184308041"/>
      <w:bookmarkEnd w:id="99"/>
      <w:bookmarkStart w:id="100" w:name="_Toc184314479"/>
      <w:bookmarkEnd w:id="100"/>
      <w:bookmarkStart w:id="101" w:name="_Toc184312076"/>
      <w:bookmarkEnd w:id="101"/>
      <w:bookmarkStart w:id="102" w:name="_Toc184308093"/>
      <w:bookmarkEnd w:id="102"/>
      <w:bookmarkStart w:id="103" w:name="_Toc184314421"/>
      <w:bookmarkEnd w:id="103"/>
      <w:bookmarkStart w:id="104" w:name="_Toc184308096"/>
      <w:bookmarkEnd w:id="104"/>
      <w:bookmarkStart w:id="105" w:name="_Toc184310323"/>
      <w:bookmarkEnd w:id="105"/>
      <w:bookmarkStart w:id="106" w:name="_Toc184310330"/>
      <w:bookmarkEnd w:id="106"/>
      <w:bookmarkStart w:id="107" w:name="_Toc184314454"/>
      <w:bookmarkEnd w:id="107"/>
      <w:bookmarkStart w:id="108" w:name="_Toc184313259"/>
      <w:bookmarkEnd w:id="108"/>
      <w:bookmarkStart w:id="109" w:name="_Toc184314451"/>
      <w:bookmarkEnd w:id="109"/>
      <w:bookmarkStart w:id="110" w:name="_Toc184310308"/>
      <w:bookmarkEnd w:id="110"/>
      <w:bookmarkStart w:id="111" w:name="_Toc184308104"/>
      <w:bookmarkEnd w:id="111"/>
      <w:bookmarkStart w:id="112" w:name="_Toc184313267"/>
      <w:bookmarkEnd w:id="112"/>
      <w:bookmarkStart w:id="113" w:name="_Toc184312115"/>
      <w:bookmarkEnd w:id="113"/>
      <w:bookmarkStart w:id="114" w:name="_Toc184310342"/>
      <w:bookmarkEnd w:id="114"/>
      <w:bookmarkStart w:id="115" w:name="_Toc184310289"/>
      <w:bookmarkEnd w:id="115"/>
      <w:bookmarkStart w:id="116" w:name="_Toc184313276"/>
      <w:bookmarkEnd w:id="116"/>
      <w:bookmarkStart w:id="117" w:name="_Toc184313244"/>
      <w:bookmarkEnd w:id="117"/>
      <w:bookmarkStart w:id="118" w:name="_Toc184310273"/>
      <w:bookmarkEnd w:id="118"/>
      <w:bookmarkStart w:id="119" w:name="_Toc184313306"/>
      <w:bookmarkEnd w:id="119"/>
      <w:bookmarkStart w:id="120" w:name="_Toc184308048"/>
      <w:bookmarkEnd w:id="120"/>
      <w:bookmarkStart w:id="121" w:name="_Toc184310285"/>
      <w:bookmarkEnd w:id="121"/>
      <w:bookmarkStart w:id="122" w:name="_Toc184310314"/>
      <w:bookmarkEnd w:id="122"/>
      <w:bookmarkStart w:id="123" w:name="_Toc184312079"/>
      <w:bookmarkEnd w:id="123"/>
      <w:bookmarkStart w:id="124" w:name="_Toc184308059"/>
      <w:bookmarkEnd w:id="124"/>
      <w:bookmarkStart w:id="125" w:name="_Toc184308047"/>
      <w:bookmarkEnd w:id="125"/>
      <w:bookmarkStart w:id="126" w:name="_Toc184310340"/>
      <w:bookmarkEnd w:id="126"/>
      <w:bookmarkStart w:id="127" w:name="_Toc184310301"/>
      <w:bookmarkEnd w:id="127"/>
      <w:bookmarkStart w:id="128" w:name="_Toc184312109"/>
      <w:bookmarkEnd w:id="128"/>
      <w:bookmarkStart w:id="129" w:name="_Toc184313257"/>
      <w:bookmarkEnd w:id="129"/>
      <w:bookmarkStart w:id="130" w:name="_Toc184313251"/>
      <w:bookmarkEnd w:id="130"/>
      <w:bookmarkStart w:id="131" w:name="_Toc184310294"/>
      <w:bookmarkEnd w:id="131"/>
      <w:bookmarkStart w:id="132" w:name="_Toc184314410"/>
      <w:bookmarkEnd w:id="132"/>
      <w:bookmarkStart w:id="133" w:name="_Toc184314433"/>
      <w:bookmarkEnd w:id="133"/>
      <w:bookmarkStart w:id="134" w:name="_Toc184310293"/>
      <w:bookmarkEnd w:id="134"/>
      <w:bookmarkStart w:id="135" w:name="_Toc184313307"/>
      <w:bookmarkEnd w:id="135"/>
      <w:bookmarkStart w:id="136" w:name="_Toc184312112"/>
      <w:bookmarkEnd w:id="136"/>
      <w:bookmarkStart w:id="137" w:name="_Toc184310286"/>
      <w:bookmarkEnd w:id="137"/>
      <w:bookmarkStart w:id="138" w:name="_Toc184310279"/>
      <w:bookmarkEnd w:id="138"/>
      <w:bookmarkStart w:id="139" w:name="_Toc184314465"/>
      <w:bookmarkEnd w:id="139"/>
      <w:bookmarkStart w:id="140" w:name="_Toc184308068"/>
      <w:bookmarkEnd w:id="140"/>
      <w:bookmarkStart w:id="141" w:name="_Toc184313286"/>
      <w:bookmarkEnd w:id="141"/>
      <w:bookmarkStart w:id="142" w:name="_Toc184313265"/>
      <w:bookmarkEnd w:id="142"/>
      <w:bookmarkStart w:id="143" w:name="_Toc184312123"/>
      <w:bookmarkEnd w:id="143"/>
      <w:bookmarkStart w:id="144" w:name="_Toc184314419"/>
      <w:bookmarkEnd w:id="144"/>
      <w:bookmarkStart w:id="145" w:name="_Toc184310296"/>
      <w:bookmarkEnd w:id="145"/>
      <w:bookmarkStart w:id="146" w:name="_Toc184313279"/>
      <w:bookmarkEnd w:id="146"/>
      <w:bookmarkStart w:id="147" w:name="_Toc184312094"/>
      <w:bookmarkEnd w:id="147"/>
      <w:bookmarkStart w:id="148" w:name="_Toc184314457"/>
      <w:bookmarkEnd w:id="148"/>
      <w:bookmarkStart w:id="149" w:name="_Toc184312068"/>
      <w:bookmarkEnd w:id="149"/>
      <w:bookmarkStart w:id="150" w:name="_Toc184312113"/>
      <w:bookmarkEnd w:id="150"/>
      <w:bookmarkStart w:id="151" w:name="_Toc184312139"/>
      <w:bookmarkEnd w:id="151"/>
      <w:bookmarkStart w:id="152" w:name="_Toc184313304"/>
      <w:bookmarkEnd w:id="152"/>
      <w:bookmarkStart w:id="153" w:name="_Toc184313289"/>
      <w:bookmarkEnd w:id="153"/>
      <w:bookmarkStart w:id="154" w:name="_Toc184310319"/>
      <w:bookmarkEnd w:id="154"/>
      <w:bookmarkStart w:id="155" w:name="_Toc184310300"/>
      <w:bookmarkEnd w:id="155"/>
      <w:bookmarkStart w:id="156" w:name="_Toc184308060"/>
      <w:bookmarkEnd w:id="156"/>
      <w:bookmarkStart w:id="157" w:name="_Toc184314472"/>
      <w:bookmarkEnd w:id="157"/>
      <w:bookmarkStart w:id="158" w:name="_Toc184310275"/>
      <w:bookmarkEnd w:id="158"/>
      <w:bookmarkStart w:id="159" w:name="_Toc184313271"/>
      <w:bookmarkEnd w:id="159"/>
      <w:bookmarkStart w:id="160" w:name="_Toc184314439"/>
      <w:bookmarkEnd w:id="160"/>
      <w:bookmarkStart w:id="161" w:name="_Toc184308037"/>
      <w:bookmarkEnd w:id="161"/>
      <w:bookmarkStart w:id="162" w:name="_Toc184313294"/>
      <w:bookmarkEnd w:id="162"/>
      <w:bookmarkStart w:id="163" w:name="_Toc184313242"/>
      <w:bookmarkEnd w:id="163"/>
      <w:bookmarkStart w:id="164" w:name="_Toc184313243"/>
      <w:bookmarkEnd w:id="164"/>
      <w:bookmarkStart w:id="165" w:name="_Toc184308055"/>
      <w:bookmarkEnd w:id="165"/>
      <w:bookmarkStart w:id="166" w:name="_Toc184308046"/>
      <w:bookmarkEnd w:id="166"/>
      <w:bookmarkStart w:id="167" w:name="_Toc184312086"/>
      <w:bookmarkEnd w:id="167"/>
      <w:bookmarkStart w:id="168" w:name="_Toc184312097"/>
      <w:bookmarkEnd w:id="168"/>
      <w:bookmarkStart w:id="169" w:name="_Toc184308036"/>
      <w:bookmarkEnd w:id="169"/>
      <w:bookmarkStart w:id="170" w:name="_Toc184314448"/>
      <w:bookmarkEnd w:id="170"/>
      <w:bookmarkStart w:id="171" w:name="_Toc184312136"/>
      <w:bookmarkEnd w:id="171"/>
      <w:bookmarkStart w:id="172" w:name="_Toc184314412"/>
      <w:bookmarkEnd w:id="172"/>
      <w:bookmarkStart w:id="173" w:name="_Toc184313281"/>
      <w:bookmarkEnd w:id="173"/>
      <w:bookmarkStart w:id="174" w:name="_Toc184313302"/>
      <w:bookmarkEnd w:id="174"/>
      <w:bookmarkStart w:id="175" w:name="_Toc184314416"/>
      <w:bookmarkEnd w:id="175"/>
      <w:bookmarkStart w:id="176" w:name="_Toc184314428"/>
      <w:bookmarkEnd w:id="176"/>
      <w:bookmarkStart w:id="177" w:name="_Toc184308069"/>
      <w:bookmarkEnd w:id="177"/>
      <w:bookmarkStart w:id="178" w:name="_Toc184313249"/>
      <w:bookmarkEnd w:id="178"/>
      <w:bookmarkStart w:id="179" w:name="_Toc184312118"/>
      <w:bookmarkEnd w:id="179"/>
      <w:bookmarkStart w:id="180" w:name="_Toc184308074"/>
      <w:bookmarkEnd w:id="180"/>
      <w:bookmarkStart w:id="181" w:name="_Toc184310276"/>
      <w:bookmarkEnd w:id="181"/>
      <w:bookmarkStart w:id="182" w:name="_Toc184310315"/>
      <w:bookmarkEnd w:id="182"/>
      <w:bookmarkStart w:id="183" w:name="_Toc184308103"/>
      <w:bookmarkEnd w:id="183"/>
      <w:bookmarkStart w:id="184" w:name="_Toc184313273"/>
      <w:bookmarkEnd w:id="184"/>
      <w:bookmarkStart w:id="185" w:name="_Toc184310316"/>
      <w:bookmarkEnd w:id="185"/>
      <w:bookmarkStart w:id="186" w:name="_Toc184310322"/>
      <w:bookmarkEnd w:id="186"/>
      <w:bookmarkStart w:id="187" w:name="_Toc184312070"/>
      <w:bookmarkEnd w:id="187"/>
      <w:bookmarkStart w:id="188" w:name="_Toc184308050"/>
      <w:bookmarkEnd w:id="188"/>
      <w:bookmarkStart w:id="189" w:name="_Toc184308054"/>
      <w:bookmarkEnd w:id="189"/>
      <w:bookmarkStart w:id="190" w:name="_Toc184308052"/>
      <w:bookmarkEnd w:id="190"/>
      <w:bookmarkStart w:id="191" w:name="_Toc184312125"/>
      <w:bookmarkEnd w:id="191"/>
      <w:bookmarkStart w:id="192" w:name="_Toc184312080"/>
      <w:bookmarkEnd w:id="192"/>
      <w:bookmarkStart w:id="193" w:name="_Toc184314474"/>
      <w:bookmarkEnd w:id="193"/>
      <w:bookmarkStart w:id="194" w:name="_Toc184313255"/>
      <w:bookmarkEnd w:id="194"/>
      <w:bookmarkStart w:id="195" w:name="_Toc184308095"/>
      <w:bookmarkEnd w:id="195"/>
      <w:bookmarkStart w:id="196" w:name="_Toc184312104"/>
      <w:bookmarkEnd w:id="196"/>
      <w:bookmarkStart w:id="197" w:name="_Toc184313305"/>
      <w:bookmarkEnd w:id="197"/>
      <w:bookmarkStart w:id="198" w:name="_Toc184314452"/>
      <w:bookmarkEnd w:id="198"/>
      <w:bookmarkStart w:id="199" w:name="_Toc184312089"/>
      <w:bookmarkEnd w:id="199"/>
      <w:bookmarkStart w:id="200" w:name="_Toc184314417"/>
      <w:bookmarkEnd w:id="200"/>
      <w:bookmarkStart w:id="201" w:name="_Toc184314459"/>
      <w:bookmarkEnd w:id="201"/>
      <w:bookmarkStart w:id="202" w:name="_Toc184314415"/>
      <w:bookmarkEnd w:id="202"/>
      <w:bookmarkStart w:id="203" w:name="_Toc184313308"/>
      <w:bookmarkEnd w:id="203"/>
      <w:bookmarkStart w:id="204" w:name="_Toc184314429"/>
      <w:bookmarkEnd w:id="204"/>
      <w:bookmarkStart w:id="205" w:name="_Toc184308064"/>
      <w:bookmarkEnd w:id="205"/>
      <w:bookmarkStart w:id="206" w:name="_Toc184310311"/>
      <w:bookmarkEnd w:id="206"/>
      <w:bookmarkStart w:id="207" w:name="_Toc184314455"/>
      <w:bookmarkEnd w:id="207"/>
      <w:bookmarkStart w:id="208" w:name="_Toc184313275"/>
      <w:bookmarkEnd w:id="208"/>
      <w:bookmarkStart w:id="209" w:name="_Toc184314427"/>
      <w:bookmarkEnd w:id="209"/>
      <w:bookmarkStart w:id="210" w:name="_Toc184312073"/>
      <w:bookmarkEnd w:id="210"/>
      <w:bookmarkStart w:id="211" w:name="_Toc184308081"/>
      <w:bookmarkEnd w:id="211"/>
      <w:bookmarkStart w:id="212" w:name="_Toc184313246"/>
      <w:bookmarkEnd w:id="212"/>
      <w:bookmarkStart w:id="213" w:name="_Toc184314430"/>
      <w:bookmarkEnd w:id="213"/>
      <w:bookmarkStart w:id="214" w:name="_Toc184310338"/>
      <w:bookmarkEnd w:id="214"/>
      <w:bookmarkStart w:id="215" w:name="_Toc184310326"/>
      <w:bookmarkEnd w:id="215"/>
      <w:bookmarkStart w:id="216" w:name="_Toc184308080"/>
      <w:bookmarkEnd w:id="216"/>
      <w:bookmarkStart w:id="217" w:name="_Toc184310283"/>
      <w:bookmarkEnd w:id="217"/>
      <w:bookmarkStart w:id="218" w:name="_Toc184314450"/>
      <w:bookmarkEnd w:id="218"/>
      <w:bookmarkStart w:id="219" w:name="_Toc184308067"/>
      <w:bookmarkEnd w:id="219"/>
      <w:bookmarkStart w:id="220" w:name="_Toc184314458"/>
      <w:bookmarkEnd w:id="220"/>
      <w:bookmarkStart w:id="221" w:name="_Toc184313295"/>
      <w:bookmarkEnd w:id="221"/>
      <w:bookmarkStart w:id="222" w:name="_Toc184310336"/>
      <w:bookmarkEnd w:id="222"/>
      <w:bookmarkStart w:id="223" w:name="_Toc184313262"/>
      <w:bookmarkEnd w:id="223"/>
      <w:bookmarkStart w:id="224" w:name="_Toc184308053"/>
      <w:bookmarkEnd w:id="224"/>
      <w:bookmarkStart w:id="225" w:name="_Toc184308049"/>
      <w:bookmarkEnd w:id="225"/>
      <w:bookmarkStart w:id="226" w:name="_Toc184308087"/>
      <w:bookmarkEnd w:id="226"/>
      <w:bookmarkStart w:id="227" w:name="_Toc184314418"/>
      <w:bookmarkEnd w:id="227"/>
      <w:bookmarkStart w:id="228" w:name="_Toc184308062"/>
      <w:bookmarkEnd w:id="228"/>
      <w:bookmarkStart w:id="229" w:name="_Toc184310297"/>
      <w:bookmarkEnd w:id="229"/>
      <w:bookmarkStart w:id="230" w:name="_Toc184314478"/>
      <w:bookmarkEnd w:id="230"/>
      <w:bookmarkStart w:id="231" w:name="_Toc184310328"/>
      <w:bookmarkEnd w:id="231"/>
      <w:bookmarkStart w:id="232" w:name="_Toc184313288"/>
      <w:bookmarkEnd w:id="232"/>
      <w:bookmarkStart w:id="233" w:name="_Toc184314464"/>
      <w:bookmarkEnd w:id="233"/>
      <w:bookmarkStart w:id="234" w:name="_Toc184314481"/>
      <w:bookmarkEnd w:id="234"/>
      <w:bookmarkStart w:id="235" w:name="_Toc184314473"/>
      <w:bookmarkEnd w:id="235"/>
      <w:bookmarkStart w:id="236" w:name="_Toc184313266"/>
      <w:bookmarkEnd w:id="236"/>
      <w:bookmarkStart w:id="237" w:name="_Toc184312121"/>
      <w:bookmarkEnd w:id="237"/>
      <w:bookmarkStart w:id="238" w:name="_Toc184312098"/>
      <w:bookmarkEnd w:id="238"/>
      <w:bookmarkStart w:id="239" w:name="_Toc184314470"/>
      <w:bookmarkEnd w:id="239"/>
      <w:bookmarkStart w:id="240" w:name="_Toc184308082"/>
      <w:bookmarkEnd w:id="240"/>
      <w:bookmarkStart w:id="241" w:name="_Toc184313287"/>
      <w:bookmarkEnd w:id="241"/>
      <w:bookmarkStart w:id="242" w:name="_Toc184312124"/>
      <w:bookmarkEnd w:id="242"/>
      <w:bookmarkStart w:id="243" w:name="_Toc184310344"/>
      <w:bookmarkEnd w:id="243"/>
      <w:bookmarkStart w:id="244" w:name="_Toc184314434"/>
      <w:bookmarkEnd w:id="244"/>
      <w:bookmarkStart w:id="245" w:name="_Toc184313253"/>
      <w:bookmarkEnd w:id="245"/>
      <w:bookmarkStart w:id="246" w:name="_Toc184312133"/>
      <w:bookmarkEnd w:id="246"/>
      <w:bookmarkStart w:id="247" w:name="_Toc184308040"/>
      <w:bookmarkEnd w:id="247"/>
      <w:bookmarkStart w:id="248" w:name="_Toc184310331"/>
      <w:bookmarkEnd w:id="248"/>
      <w:bookmarkStart w:id="249" w:name="_Toc184314480"/>
      <w:bookmarkEnd w:id="249"/>
      <w:bookmarkStart w:id="250" w:name="_Toc184308102"/>
      <w:bookmarkEnd w:id="250"/>
      <w:bookmarkStart w:id="251" w:name="_Toc184312116"/>
      <w:bookmarkEnd w:id="251"/>
      <w:bookmarkStart w:id="252" w:name="_Toc184308107"/>
      <w:bookmarkEnd w:id="252"/>
      <w:bookmarkStart w:id="253" w:name="_Toc184313245"/>
      <w:bookmarkEnd w:id="253"/>
      <w:bookmarkStart w:id="254" w:name="_Toc184312074"/>
      <w:bookmarkEnd w:id="254"/>
      <w:bookmarkStart w:id="255" w:name="_Toc184312095"/>
      <w:bookmarkEnd w:id="255"/>
      <w:bookmarkStart w:id="256" w:name="_Toc184313256"/>
      <w:bookmarkEnd w:id="256"/>
      <w:bookmarkStart w:id="257" w:name="_Toc184312137"/>
      <w:bookmarkEnd w:id="257"/>
      <w:bookmarkStart w:id="258" w:name="_Toc184312081"/>
      <w:bookmarkEnd w:id="258"/>
      <w:bookmarkStart w:id="259" w:name="_Toc184308099"/>
      <w:bookmarkEnd w:id="259"/>
      <w:bookmarkStart w:id="260" w:name="_Toc184308091"/>
      <w:bookmarkEnd w:id="260"/>
      <w:bookmarkStart w:id="261" w:name="_Toc184310299"/>
      <w:bookmarkEnd w:id="261"/>
      <w:bookmarkStart w:id="262" w:name="_Toc184308061"/>
      <w:bookmarkEnd w:id="262"/>
      <w:bookmarkStart w:id="263" w:name="_Toc184308083"/>
      <w:bookmarkEnd w:id="263"/>
      <w:bookmarkStart w:id="264" w:name="_Toc184310333"/>
      <w:bookmarkEnd w:id="264"/>
      <w:bookmarkStart w:id="265" w:name="_Toc184308108"/>
      <w:bookmarkEnd w:id="265"/>
      <w:bookmarkStart w:id="266" w:name="_Toc184310341"/>
      <w:bookmarkEnd w:id="266"/>
      <w:bookmarkStart w:id="267" w:name="_Toc184312119"/>
      <w:bookmarkEnd w:id="267"/>
      <w:bookmarkStart w:id="268" w:name="_Toc184308045"/>
      <w:bookmarkEnd w:id="268"/>
      <w:bookmarkStart w:id="269" w:name="_Toc184310287"/>
      <w:bookmarkEnd w:id="269"/>
      <w:bookmarkStart w:id="270" w:name="_Toc184314467"/>
      <w:bookmarkEnd w:id="270"/>
      <w:bookmarkStart w:id="271" w:name="_Toc184314425"/>
      <w:bookmarkEnd w:id="271"/>
      <w:bookmarkStart w:id="272" w:name="_Toc184312092"/>
      <w:bookmarkEnd w:id="272"/>
      <w:bookmarkStart w:id="273" w:name="_Toc184314445"/>
      <w:bookmarkEnd w:id="273"/>
      <w:bookmarkStart w:id="274" w:name="_Toc184314456"/>
      <w:bookmarkEnd w:id="274"/>
      <w:bookmarkStart w:id="275" w:name="_Toc184310281"/>
      <w:bookmarkEnd w:id="275"/>
      <w:bookmarkStart w:id="276" w:name="_Toc184310313"/>
      <w:bookmarkEnd w:id="276"/>
      <w:bookmarkStart w:id="277" w:name="_Toc184308097"/>
      <w:bookmarkEnd w:id="277"/>
      <w:bookmarkStart w:id="278" w:name="_Toc184310307"/>
      <w:bookmarkEnd w:id="278"/>
      <w:bookmarkStart w:id="279" w:name="_Toc184310274"/>
      <w:bookmarkEnd w:id="279"/>
      <w:bookmarkStart w:id="280" w:name="_Toc184310290"/>
      <w:bookmarkEnd w:id="280"/>
      <w:bookmarkStart w:id="281" w:name="_Toc184312114"/>
      <w:bookmarkEnd w:id="281"/>
      <w:bookmarkStart w:id="282" w:name="_Toc184310324"/>
      <w:bookmarkEnd w:id="282"/>
      <w:bookmarkStart w:id="283" w:name="_Toc184308076"/>
      <w:bookmarkEnd w:id="283"/>
      <w:bookmarkStart w:id="284" w:name="_Toc184312132"/>
      <w:bookmarkEnd w:id="284"/>
      <w:bookmarkStart w:id="285" w:name="_Toc184314432"/>
      <w:bookmarkEnd w:id="285"/>
      <w:bookmarkStart w:id="286" w:name="_Toc184308085"/>
      <w:bookmarkEnd w:id="286"/>
      <w:bookmarkStart w:id="287" w:name="_Toc184308058"/>
      <w:bookmarkEnd w:id="287"/>
      <w:bookmarkStart w:id="288" w:name="_Toc184312107"/>
      <w:bookmarkEnd w:id="288"/>
      <w:bookmarkStart w:id="289" w:name="_Toc184310295"/>
      <w:bookmarkEnd w:id="289"/>
      <w:bookmarkStart w:id="290" w:name="_Toc184314442"/>
      <w:bookmarkEnd w:id="290"/>
      <w:bookmarkStart w:id="291" w:name="_Toc184312090"/>
      <w:bookmarkEnd w:id="291"/>
      <w:bookmarkStart w:id="292" w:name="_Toc184308039"/>
      <w:bookmarkEnd w:id="292"/>
      <w:bookmarkStart w:id="293" w:name="_Toc184310291"/>
      <w:bookmarkEnd w:id="293"/>
      <w:bookmarkStart w:id="294" w:name="_Toc184314437"/>
      <w:bookmarkEnd w:id="294"/>
      <w:bookmarkStart w:id="295" w:name="_Toc184314413"/>
      <w:bookmarkEnd w:id="295"/>
      <w:bookmarkStart w:id="296" w:name="_Toc184312105"/>
      <w:bookmarkEnd w:id="296"/>
      <w:bookmarkStart w:id="297" w:name="_Toc184314441"/>
      <w:bookmarkEnd w:id="297"/>
      <w:bookmarkStart w:id="298" w:name="_Toc184314447"/>
      <w:bookmarkEnd w:id="298"/>
      <w:bookmarkStart w:id="299" w:name="_Toc184312101"/>
      <w:bookmarkEnd w:id="299"/>
      <w:bookmarkStart w:id="300" w:name="_Toc184308092"/>
      <w:bookmarkEnd w:id="300"/>
      <w:bookmarkStart w:id="301" w:name="_Toc184314443"/>
      <w:bookmarkEnd w:id="301"/>
      <w:bookmarkStart w:id="302" w:name="_Toc184314440"/>
      <w:bookmarkEnd w:id="302"/>
      <w:bookmarkStart w:id="303" w:name="_Toc184312138"/>
      <w:bookmarkEnd w:id="303"/>
      <w:bookmarkStart w:id="304" w:name="_Toc184312091"/>
      <w:bookmarkEnd w:id="304"/>
      <w:bookmarkStart w:id="305" w:name="_Toc184312067"/>
      <w:bookmarkEnd w:id="305"/>
      <w:bookmarkStart w:id="306" w:name="_Toc184312120"/>
      <w:bookmarkEnd w:id="306"/>
      <w:bookmarkStart w:id="307" w:name="_Toc184313263"/>
      <w:bookmarkEnd w:id="307"/>
      <w:bookmarkStart w:id="308" w:name="_Toc184310310"/>
      <w:bookmarkEnd w:id="308"/>
      <w:bookmarkStart w:id="309" w:name="_Toc184312096"/>
      <w:bookmarkEnd w:id="309"/>
      <w:bookmarkStart w:id="310" w:name="_Toc184310277"/>
      <w:bookmarkEnd w:id="310"/>
      <w:bookmarkStart w:id="311" w:name="_Toc184314482"/>
      <w:bookmarkEnd w:id="311"/>
      <w:bookmarkStart w:id="312" w:name="_Toc184313280"/>
      <w:bookmarkEnd w:id="312"/>
      <w:bookmarkStart w:id="313" w:name="_Toc184312077"/>
      <w:bookmarkEnd w:id="313"/>
      <w:bookmarkStart w:id="314" w:name="_Toc184310280"/>
      <w:bookmarkEnd w:id="314"/>
      <w:bookmarkStart w:id="315" w:name="_Toc184314461"/>
      <w:bookmarkEnd w:id="315"/>
      <w:bookmarkStart w:id="316" w:name="_Toc184313299"/>
      <w:bookmarkEnd w:id="316"/>
      <w:bookmarkStart w:id="317" w:name="_Toc184310304"/>
      <w:bookmarkEnd w:id="317"/>
      <w:bookmarkStart w:id="318" w:name="_Toc184312130"/>
      <w:bookmarkEnd w:id="318"/>
      <w:bookmarkStart w:id="319" w:name="_Toc184308094"/>
      <w:bookmarkEnd w:id="319"/>
      <w:bookmarkStart w:id="320" w:name="_Toc184312071"/>
      <w:bookmarkEnd w:id="320"/>
      <w:bookmarkStart w:id="321" w:name="_Toc184308084"/>
      <w:bookmarkEnd w:id="321"/>
      <w:bookmarkStart w:id="322" w:name="_Toc184314411"/>
      <w:bookmarkEnd w:id="322"/>
      <w:bookmarkStart w:id="323" w:name="_Toc184312078"/>
      <w:bookmarkEnd w:id="323"/>
      <w:bookmarkStart w:id="324" w:name="_Toc184308057"/>
      <w:bookmarkEnd w:id="324"/>
      <w:bookmarkStart w:id="325" w:name="_Toc184308072"/>
      <w:bookmarkEnd w:id="325"/>
      <w:bookmarkStart w:id="326" w:name="_Toc184308078"/>
      <w:bookmarkEnd w:id="326"/>
      <w:bookmarkStart w:id="327" w:name="_Toc184314453"/>
      <w:bookmarkEnd w:id="327"/>
      <w:bookmarkStart w:id="328" w:name="_Toc184310339"/>
      <w:bookmarkEnd w:id="328"/>
      <w:bookmarkStart w:id="329" w:name="_Toc184308071"/>
      <w:bookmarkEnd w:id="329"/>
      <w:bookmarkStart w:id="330" w:name="_Toc184310305"/>
      <w:bookmarkEnd w:id="330"/>
      <w:bookmarkStart w:id="331" w:name="_Toc184308044"/>
      <w:bookmarkEnd w:id="331"/>
      <w:bookmarkStart w:id="332" w:name="_Toc184308077"/>
      <w:bookmarkEnd w:id="332"/>
      <w:bookmarkStart w:id="333" w:name="_Toc184314426"/>
      <w:bookmarkEnd w:id="333"/>
      <w:bookmarkStart w:id="334" w:name="_Toc184312069"/>
      <w:bookmarkEnd w:id="334"/>
      <w:bookmarkStart w:id="335" w:name="_Toc184312085"/>
      <w:bookmarkEnd w:id="335"/>
      <w:bookmarkStart w:id="336" w:name="_Toc184308090"/>
      <w:bookmarkEnd w:id="336"/>
      <w:bookmarkStart w:id="337" w:name="_Toc184308100"/>
      <w:bookmarkEnd w:id="337"/>
      <w:bookmarkStart w:id="338" w:name="_Toc184310282"/>
      <w:bookmarkEnd w:id="338"/>
      <w:bookmarkStart w:id="339" w:name="_Toc184313291"/>
      <w:bookmarkEnd w:id="339"/>
      <w:bookmarkStart w:id="340" w:name="_Toc184313248"/>
      <w:bookmarkEnd w:id="340"/>
      <w:bookmarkStart w:id="341" w:name="_Toc184313298"/>
      <w:bookmarkEnd w:id="341"/>
      <w:bookmarkStart w:id="342" w:name="_Toc184314466"/>
      <w:bookmarkEnd w:id="342"/>
      <w:bookmarkStart w:id="343" w:name="_Toc184310288"/>
      <w:bookmarkEnd w:id="343"/>
      <w:bookmarkStart w:id="344" w:name="_Toc184313260"/>
      <w:bookmarkEnd w:id="344"/>
      <w:bookmarkStart w:id="345" w:name="_Toc184308043"/>
      <w:bookmarkEnd w:id="345"/>
      <w:bookmarkStart w:id="346" w:name="_Toc184312122"/>
      <w:bookmarkEnd w:id="346"/>
      <w:bookmarkStart w:id="347" w:name="_Toc184314420"/>
      <w:bookmarkEnd w:id="347"/>
      <w:bookmarkStart w:id="348" w:name="_Toc184310309"/>
      <w:bookmarkEnd w:id="348"/>
      <w:bookmarkStart w:id="349" w:name="_Toc184314424"/>
      <w:bookmarkEnd w:id="349"/>
      <w:bookmarkStart w:id="350" w:name="_Toc184310329"/>
      <w:bookmarkEnd w:id="350"/>
      <w:bookmarkStart w:id="351" w:name="_Toc184312072"/>
      <w:bookmarkEnd w:id="351"/>
      <w:bookmarkStart w:id="352" w:name="_Toc184314446"/>
      <w:bookmarkEnd w:id="352"/>
      <w:bookmarkStart w:id="353" w:name="_Toc184308042"/>
      <w:bookmarkEnd w:id="353"/>
      <w:bookmarkStart w:id="354" w:name="_Toc184314471"/>
      <w:bookmarkEnd w:id="354"/>
      <w:bookmarkStart w:id="355" w:name="_Toc184314476"/>
      <w:bookmarkEnd w:id="355"/>
      <w:bookmarkStart w:id="356" w:name="_Toc184308070"/>
      <w:bookmarkEnd w:id="356"/>
      <w:bookmarkStart w:id="357" w:name="_Toc184313278"/>
      <w:bookmarkEnd w:id="357"/>
      <w:bookmarkStart w:id="358" w:name="_Toc184312110"/>
      <w:bookmarkEnd w:id="358"/>
      <w:bookmarkStart w:id="359" w:name="_Toc184313300"/>
      <w:bookmarkEnd w:id="359"/>
      <w:bookmarkStart w:id="360" w:name="_Toc184308051"/>
      <w:bookmarkEnd w:id="360"/>
      <w:bookmarkStart w:id="361" w:name="_Toc184310337"/>
      <w:bookmarkEnd w:id="361"/>
      <w:bookmarkStart w:id="362" w:name="_Toc184313297"/>
      <w:bookmarkEnd w:id="362"/>
      <w:bookmarkStart w:id="363" w:name="_Toc184313252"/>
      <w:bookmarkEnd w:id="363"/>
      <w:bookmarkStart w:id="364" w:name="_Toc184310327"/>
      <w:bookmarkEnd w:id="364"/>
      <w:bookmarkStart w:id="365" w:name="_Toc184313238"/>
      <w:bookmarkEnd w:id="365"/>
      <w:bookmarkStart w:id="366" w:name="_Toc184313261"/>
      <w:bookmarkEnd w:id="366"/>
      <w:bookmarkStart w:id="367" w:name="_Toc184312103"/>
      <w:bookmarkEnd w:id="367"/>
      <w:bookmarkStart w:id="368" w:name="_Toc184314423"/>
      <w:bookmarkEnd w:id="368"/>
      <w:bookmarkStart w:id="369" w:name="_Toc184314414"/>
      <w:bookmarkEnd w:id="369"/>
      <w:bookmarkStart w:id="370" w:name="_Toc184310312"/>
      <w:bookmarkEnd w:id="370"/>
      <w:bookmarkStart w:id="371" w:name="_Toc184313296"/>
      <w:bookmarkEnd w:id="371"/>
      <w:bookmarkStart w:id="372" w:name="_Toc184314463"/>
      <w:bookmarkEnd w:id="372"/>
      <w:bookmarkStart w:id="373" w:name="_Toc184310298"/>
      <w:bookmarkEnd w:id="373"/>
      <w:bookmarkStart w:id="374" w:name="_Toc184313309"/>
      <w:bookmarkEnd w:id="374"/>
      <w:bookmarkStart w:id="375" w:name="_Toc184308073"/>
      <w:bookmarkEnd w:id="375"/>
      <w:bookmarkStart w:id="376" w:name="_Toc184310325"/>
      <w:bookmarkEnd w:id="376"/>
      <w:bookmarkStart w:id="377" w:name="_Toc184313250"/>
      <w:bookmarkEnd w:id="377"/>
      <w:bookmarkStart w:id="378" w:name="_Toc184313277"/>
      <w:bookmarkEnd w:id="378"/>
      <w:bookmarkStart w:id="379" w:name="_Toc184308079"/>
      <w:bookmarkEnd w:id="379"/>
      <w:bookmarkStart w:id="380" w:name="_Toc184310335"/>
      <w:bookmarkEnd w:id="380"/>
      <w:bookmarkStart w:id="381" w:name="_Toc184312082"/>
      <w:bookmarkEnd w:id="381"/>
      <w:bookmarkStart w:id="382" w:name="_Toc184313247"/>
      <w:bookmarkEnd w:id="382"/>
      <w:bookmarkStart w:id="383" w:name="_Toc184310278"/>
      <w:bookmarkEnd w:id="383"/>
      <w:bookmarkStart w:id="384" w:name="_Toc184313293"/>
      <w:bookmarkEnd w:id="384"/>
      <w:bookmarkStart w:id="385" w:name="_Toc184313272"/>
      <w:bookmarkEnd w:id="385"/>
      <w:bookmarkStart w:id="386" w:name="_Toc184314460"/>
      <w:bookmarkEnd w:id="386"/>
      <w:bookmarkStart w:id="387" w:name="_Toc184310332"/>
      <w:bookmarkEnd w:id="387"/>
      <w:bookmarkStart w:id="388" w:name="_Toc184312100"/>
      <w:bookmarkEnd w:id="388"/>
      <w:bookmarkStart w:id="389" w:name="_Toc184314475"/>
      <w:bookmarkEnd w:id="389"/>
      <w:bookmarkStart w:id="390" w:name="_Toc184313301"/>
      <w:bookmarkEnd w:id="390"/>
      <w:bookmarkStart w:id="391" w:name="_Toc184314468"/>
      <w:bookmarkEnd w:id="391"/>
      <w:bookmarkStart w:id="392" w:name="_Toc184314449"/>
      <w:bookmarkEnd w:id="392"/>
      <w:bookmarkStart w:id="393" w:name="_Toc184310320"/>
      <w:bookmarkEnd w:id="393"/>
      <w:bookmarkStart w:id="394" w:name="_Toc184313239"/>
      <w:bookmarkEnd w:id="394"/>
      <w:bookmarkStart w:id="395" w:name="_Toc184308105"/>
      <w:bookmarkEnd w:id="395"/>
      <w:bookmarkStart w:id="396" w:name="_Toc184312111"/>
      <w:bookmarkEnd w:id="396"/>
      <w:bookmarkStart w:id="397" w:name="_Toc184313303"/>
      <w:bookmarkEnd w:id="397"/>
      <w:bookmarkStart w:id="398" w:name="_Toc184308101"/>
      <w:bookmarkEnd w:id="398"/>
      <w:bookmarkStart w:id="399" w:name="_Toc184308066"/>
      <w:bookmarkEnd w:id="399"/>
      <w:bookmarkStart w:id="400" w:name="_Toc184310292"/>
      <w:bookmarkEnd w:id="400"/>
      <w:bookmarkStart w:id="401" w:name="_Toc184308038"/>
      <w:bookmarkEnd w:id="401"/>
      <w:bookmarkStart w:id="402" w:name="_Toc184312127"/>
      <w:bookmarkEnd w:id="402"/>
      <w:bookmarkStart w:id="403" w:name="_Toc184310343"/>
      <w:bookmarkEnd w:id="403"/>
      <w:bookmarkStart w:id="404" w:name="_Toc184314462"/>
      <w:bookmarkEnd w:id="404"/>
      <w:bookmarkStart w:id="405" w:name="_Toc184312106"/>
      <w:bookmarkEnd w:id="405"/>
      <w:bookmarkStart w:id="406" w:name="_Toc184314438"/>
      <w:bookmarkEnd w:id="406"/>
      <w:bookmarkStart w:id="407" w:name="_Toc184308056"/>
      <w:bookmarkEnd w:id="407"/>
      <w:bookmarkStart w:id="408" w:name="_Toc184312087"/>
      <w:bookmarkEnd w:id="408"/>
      <w:bookmarkStart w:id="409" w:name="_Toc184312088"/>
      <w:bookmarkEnd w:id="409"/>
      <w:bookmarkStart w:id="410" w:name="_Toc184312075"/>
      <w:bookmarkEnd w:id="410"/>
      <w:bookmarkStart w:id="411" w:name="_Toc184308065"/>
      <w:bookmarkEnd w:id="411"/>
      <w:bookmarkStart w:id="412" w:name="_Toc184313269"/>
      <w:bookmarkEnd w:id="412"/>
      <w:bookmarkStart w:id="413" w:name="_Toc184313274"/>
      <w:bookmarkEnd w:id="413"/>
      <w:bookmarkStart w:id="414" w:name="_Toc184312134"/>
      <w:bookmarkEnd w:id="414"/>
      <w:r>
        <w:rPr>
          <w:rFonts w:hint="eastAsia" w:ascii="宋体" w:hAnsi="宋体" w:eastAsia="宋体" w:cs="宋体"/>
          <w:b/>
          <w:color w:val="auto"/>
          <w:sz w:val="36"/>
          <w:szCs w:val="36"/>
          <w:highlight w:val="none"/>
        </w:rPr>
        <w:t>评标办法</w:t>
      </w:r>
      <w:bookmarkEnd w:id="48"/>
      <w:bookmarkEnd w:id="49"/>
    </w:p>
    <w:p w14:paraId="1E9E25E3">
      <w:pPr>
        <w:snapToGrid w:val="0"/>
        <w:spacing w:line="360" w:lineRule="auto"/>
        <w:jc w:val="center"/>
        <w:rPr>
          <w:rFonts w:hint="eastAsia" w:ascii="宋体" w:hAnsi="宋体" w:cs="宋体"/>
          <w:b/>
          <w:color w:val="auto"/>
          <w:sz w:val="24"/>
          <w:szCs w:val="24"/>
          <w:highlight w:val="none"/>
        </w:rPr>
      </w:pPr>
    </w:p>
    <w:p w14:paraId="1E6194A6">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评标办法前附表</w:t>
      </w:r>
    </w:p>
    <w:tbl>
      <w:tblPr>
        <w:tblStyle w:val="65"/>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160"/>
        <w:gridCol w:w="6810"/>
        <w:gridCol w:w="1120"/>
      </w:tblGrid>
      <w:tr w14:paraId="6D4C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55" w:type="dxa"/>
            <w:gridSpan w:val="3"/>
            <w:noWrap w:val="0"/>
            <w:vAlign w:val="center"/>
          </w:tcPr>
          <w:p w14:paraId="278F20D8">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评分项及分值</w:t>
            </w:r>
          </w:p>
        </w:tc>
        <w:tc>
          <w:tcPr>
            <w:tcW w:w="1120" w:type="dxa"/>
            <w:noWrap w:val="0"/>
            <w:vAlign w:val="center"/>
          </w:tcPr>
          <w:p w14:paraId="7511C7E9">
            <w:pPr>
              <w:spacing w:line="36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评审类型</w:t>
            </w:r>
          </w:p>
        </w:tc>
      </w:tr>
      <w:tr w14:paraId="613C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restart"/>
            <w:noWrap w:val="0"/>
            <w:vAlign w:val="center"/>
          </w:tcPr>
          <w:p w14:paraId="3C3FB046">
            <w:pPr>
              <w:spacing w:line="30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技术</w:t>
            </w:r>
          </w:p>
          <w:p w14:paraId="5951BB7A">
            <w:pPr>
              <w:spacing w:line="30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商务</w:t>
            </w:r>
          </w:p>
          <w:p w14:paraId="47B62AC2">
            <w:pPr>
              <w:spacing w:line="30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w:t>
            </w:r>
            <w:r>
              <w:rPr>
                <w:rFonts w:hint="eastAsia" w:ascii="宋体" w:hAnsi="宋体" w:cs="宋体"/>
                <w:b/>
                <w:bCs/>
                <w:color w:val="auto"/>
                <w:szCs w:val="21"/>
                <w:highlight w:val="none"/>
                <w:shd w:val="clear" w:color="auto" w:fill="auto"/>
                <w:lang w:val="en-US" w:eastAsia="zh-CN"/>
              </w:rPr>
              <w:t>80</w:t>
            </w:r>
            <w:r>
              <w:rPr>
                <w:rFonts w:hint="eastAsia" w:ascii="宋体" w:hAnsi="宋体" w:eastAsia="宋体" w:cs="宋体"/>
                <w:b/>
                <w:bCs/>
                <w:color w:val="auto"/>
                <w:szCs w:val="21"/>
                <w:highlight w:val="none"/>
                <w:shd w:val="clear" w:color="auto" w:fill="auto"/>
              </w:rPr>
              <w:t>分）</w:t>
            </w:r>
          </w:p>
        </w:tc>
        <w:tc>
          <w:tcPr>
            <w:tcW w:w="1160" w:type="dxa"/>
            <w:noWrap w:val="0"/>
            <w:vAlign w:val="center"/>
          </w:tcPr>
          <w:p w14:paraId="78EB18A0">
            <w:pPr>
              <w:spacing w:line="340" w:lineRule="exact"/>
              <w:jc w:val="center"/>
              <w:rPr>
                <w:rFonts w:hint="eastAsia" w:ascii="宋体" w:hAnsi="宋体" w:cs="宋体"/>
                <w:color w:val="auto"/>
                <w:szCs w:val="21"/>
                <w:highlight w:val="none"/>
                <w:lang w:val="en-US" w:eastAsia="zh-CN"/>
              </w:rPr>
            </w:pPr>
          </w:p>
          <w:p w14:paraId="11D6CDC4">
            <w:pPr>
              <w:spacing w:line="3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1、项目现场情况了解及分析（5分）</w:t>
            </w:r>
          </w:p>
        </w:tc>
        <w:tc>
          <w:tcPr>
            <w:tcW w:w="6810" w:type="dxa"/>
            <w:shd w:val="clear" w:color="auto" w:fill="auto"/>
            <w:noWrap w:val="0"/>
            <w:vAlign w:val="center"/>
          </w:tcPr>
          <w:p w14:paraId="30260C3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1.1项目现场情况了解及分析（5分）：根据投标人提供的北仑公安分局大楼、北仑公安分局大楼外各下属单位、各</w:t>
            </w:r>
            <w:r>
              <w:rPr>
                <w:rFonts w:hint="eastAsia" w:ascii="宋体" w:hAnsi="宋体" w:cs="宋体"/>
                <w:color w:val="auto"/>
                <w:highlight w:val="none"/>
                <w:lang w:val="en-US" w:eastAsia="zh-CN"/>
              </w:rPr>
              <w:t>警务室</w:t>
            </w:r>
            <w:r>
              <w:rPr>
                <w:rFonts w:hint="eastAsia" w:ascii="宋体" w:hAnsi="宋体" w:eastAsia="宋体" w:cs="宋体"/>
                <w:color w:val="auto"/>
                <w:highlight w:val="none"/>
                <w:lang w:val="en-US" w:eastAsia="zh-CN"/>
              </w:rPr>
              <w:t>项目现场了解报告进行评议：</w:t>
            </w:r>
          </w:p>
          <w:p w14:paraId="78585FB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①项目现场了解报告内容详细、完整、有针对性</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得5分；</w:t>
            </w:r>
          </w:p>
          <w:p w14:paraId="4B75A08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②项目现场了解报告具有基本内容的得3分；</w:t>
            </w:r>
          </w:p>
          <w:p w14:paraId="1F47B6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③内容过于简单，缺乏针对性的得1分；</w:t>
            </w:r>
          </w:p>
          <w:p w14:paraId="3A5B8E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highlight w:val="none"/>
                <w:lang w:val="en-US" w:eastAsia="zh-CN"/>
              </w:rPr>
              <w:t>④未提供相关内容不得分。</w:t>
            </w:r>
          </w:p>
        </w:tc>
        <w:tc>
          <w:tcPr>
            <w:tcW w:w="1120" w:type="dxa"/>
            <w:shd w:val="clear" w:color="auto" w:fill="auto"/>
            <w:noWrap w:val="0"/>
            <w:vAlign w:val="center"/>
          </w:tcPr>
          <w:p w14:paraId="4CEDEDC0">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4888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2824A217">
            <w:pPr>
              <w:spacing w:line="360" w:lineRule="auto"/>
              <w:jc w:val="center"/>
              <w:rPr>
                <w:rFonts w:hint="eastAsia" w:ascii="宋体" w:hAnsi="宋体" w:eastAsia="宋体" w:cs="宋体"/>
                <w:color w:val="auto"/>
                <w:szCs w:val="21"/>
                <w:highlight w:val="none"/>
                <w:shd w:val="clear" w:color="auto" w:fill="auto"/>
              </w:rPr>
            </w:pPr>
          </w:p>
        </w:tc>
        <w:tc>
          <w:tcPr>
            <w:tcW w:w="1160" w:type="dxa"/>
            <w:vMerge w:val="restart"/>
            <w:noWrap w:val="0"/>
            <w:vAlign w:val="center"/>
          </w:tcPr>
          <w:p w14:paraId="6549C1D5">
            <w:pPr>
              <w:spacing w:line="3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2、信息化系统管理及运维的整体设想及策划（15分）</w:t>
            </w:r>
          </w:p>
        </w:tc>
        <w:tc>
          <w:tcPr>
            <w:tcW w:w="6810" w:type="dxa"/>
            <w:tcBorders>
              <w:left w:val="single" w:color="000000" w:sz="2" w:space="0"/>
            </w:tcBorders>
            <w:shd w:val="clear" w:color="auto" w:fill="auto"/>
            <w:noWrap w:val="0"/>
            <w:vAlign w:val="center"/>
          </w:tcPr>
          <w:p w14:paraId="7F066F4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.1理念及目标（</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分）：评委根据</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信息化系统管理及运维服务管理理念及目标进行综合评议：</w:t>
            </w:r>
          </w:p>
          <w:p w14:paraId="7CF695C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①信息化系统管理及运维服务管理目标定位明确、理念先进及符合实际的得5分；</w:t>
            </w:r>
          </w:p>
          <w:p w14:paraId="5C5B4B0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w:t>
            </w:r>
            <w:r>
              <w:rPr>
                <w:rFonts w:hint="eastAsia" w:ascii="宋体" w:hAnsi="宋体" w:cs="宋体"/>
                <w:color w:val="auto"/>
                <w:highlight w:val="none"/>
                <w:lang w:val="en-US" w:eastAsia="zh-CN"/>
              </w:rPr>
              <w:t>信息化系统管理及运维服务管理定位、理念</w:t>
            </w:r>
            <w:r>
              <w:rPr>
                <w:rFonts w:hint="eastAsia" w:ascii="宋体" w:hAnsi="宋体" w:eastAsia="宋体" w:cs="宋体"/>
                <w:color w:val="auto"/>
                <w:highlight w:val="none"/>
                <w:lang w:val="en-US" w:eastAsia="zh-CN"/>
              </w:rPr>
              <w:t>内容完整，但缺少针对性</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有待补充的得3分；</w:t>
            </w:r>
          </w:p>
          <w:p w14:paraId="27EDF9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③信息化系统管理及运维服务管理定位、理念内容未进行详细阐述，细节有待完善的得1分；</w:t>
            </w:r>
          </w:p>
          <w:p w14:paraId="47A9FBA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3335B0D6">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0AD4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042A7D1A">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noWrap w:val="0"/>
            <w:vAlign w:val="center"/>
          </w:tcPr>
          <w:p w14:paraId="24D840BA">
            <w:pPr>
              <w:spacing w:line="340" w:lineRule="exact"/>
              <w:jc w:val="center"/>
              <w:rPr>
                <w:rFonts w:hint="eastAsia" w:ascii="宋体" w:hAnsi="宋体" w:cs="宋体"/>
                <w:color w:val="auto"/>
                <w:szCs w:val="21"/>
                <w:highlight w:val="none"/>
                <w:lang w:val="en-US" w:eastAsia="zh-CN"/>
              </w:rPr>
            </w:pPr>
          </w:p>
        </w:tc>
        <w:tc>
          <w:tcPr>
            <w:tcW w:w="6810" w:type="dxa"/>
            <w:tcBorders>
              <w:left w:val="single" w:color="000000" w:sz="2" w:space="0"/>
            </w:tcBorders>
            <w:shd w:val="clear" w:color="auto" w:fill="auto"/>
            <w:noWrap w:val="0"/>
            <w:vAlign w:val="center"/>
          </w:tcPr>
          <w:p w14:paraId="47ADA9D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2.2服务方案（5分）：</w:t>
            </w:r>
            <w:r>
              <w:rPr>
                <w:rFonts w:hint="eastAsia" w:ascii="宋体" w:hAnsi="宋体" w:eastAsia="宋体" w:cs="宋体"/>
                <w:color w:val="auto"/>
                <w:highlight w:val="none"/>
                <w:lang w:val="en-US" w:eastAsia="zh-CN"/>
              </w:rPr>
              <w:t>评委根据投标人信息化系统管理及运维服务方案</w:t>
            </w:r>
            <w:r>
              <w:rPr>
                <w:rFonts w:hint="eastAsia" w:ascii="宋体" w:hAnsi="宋体" w:cs="宋体"/>
                <w:color w:val="auto"/>
                <w:highlight w:val="none"/>
                <w:lang w:val="en-US" w:eastAsia="zh-CN"/>
              </w:rPr>
              <w:t>进行综合评议：</w:t>
            </w:r>
          </w:p>
          <w:p w14:paraId="564E670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color w:val="auto"/>
                <w:highlight w:val="none"/>
                <w:lang w:val="en-US" w:eastAsia="zh-CN"/>
              </w:rPr>
            </w:pPr>
            <w:r>
              <w:rPr>
                <w:rFonts w:hint="default" w:ascii="宋体" w:hAnsi="宋体" w:cs="宋体"/>
                <w:color w:val="auto"/>
                <w:highlight w:val="none"/>
                <w:lang w:val="en-US" w:eastAsia="zh-CN"/>
              </w:rPr>
              <w:t>①信信息化系统管理及运维服务方案科学合理，工作操作规程及流程规范可行</w:t>
            </w:r>
            <w:r>
              <w:rPr>
                <w:rFonts w:hint="eastAsia" w:ascii="宋体" w:hAnsi="宋体" w:cs="宋体"/>
                <w:color w:val="auto"/>
                <w:highlight w:val="none"/>
                <w:lang w:val="en-US" w:eastAsia="zh-CN"/>
              </w:rPr>
              <w:t>的</w:t>
            </w:r>
            <w:r>
              <w:rPr>
                <w:rFonts w:hint="default" w:ascii="宋体" w:hAnsi="宋体" w:cs="宋体"/>
                <w:color w:val="auto"/>
                <w:highlight w:val="none"/>
                <w:lang w:val="en-US" w:eastAsia="zh-CN"/>
              </w:rPr>
              <w:t>得5分；</w:t>
            </w:r>
          </w:p>
          <w:p w14:paraId="448C675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color w:val="auto"/>
                <w:highlight w:val="none"/>
                <w:lang w:val="en-US" w:eastAsia="zh-CN"/>
              </w:rPr>
            </w:pPr>
            <w:r>
              <w:rPr>
                <w:rFonts w:hint="default" w:ascii="宋体" w:hAnsi="宋体" w:cs="宋体"/>
                <w:color w:val="auto"/>
                <w:highlight w:val="none"/>
                <w:lang w:val="en-US" w:eastAsia="zh-CN"/>
              </w:rPr>
              <w:t>②信息化系统管理及运维服务方案科学合理，工作操作规程及流程规范可行的得</w:t>
            </w:r>
            <w:r>
              <w:rPr>
                <w:rFonts w:hint="eastAsia" w:ascii="宋体" w:hAnsi="宋体" w:cs="宋体"/>
                <w:color w:val="auto"/>
                <w:highlight w:val="none"/>
                <w:lang w:val="en-US" w:eastAsia="zh-CN"/>
              </w:rPr>
              <w:t>3</w:t>
            </w:r>
            <w:r>
              <w:rPr>
                <w:rFonts w:hint="default" w:ascii="宋体" w:hAnsi="宋体" w:cs="宋体"/>
                <w:color w:val="auto"/>
                <w:highlight w:val="none"/>
                <w:lang w:val="en-US" w:eastAsia="zh-CN"/>
              </w:rPr>
              <w:t>分；</w:t>
            </w:r>
          </w:p>
          <w:p w14:paraId="18840DC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color w:val="auto"/>
                <w:highlight w:val="none"/>
                <w:lang w:val="en-US" w:eastAsia="zh-CN"/>
              </w:rPr>
            </w:pPr>
            <w:r>
              <w:rPr>
                <w:rFonts w:hint="default" w:ascii="宋体" w:hAnsi="宋体" w:cs="宋体"/>
                <w:color w:val="auto"/>
                <w:highlight w:val="none"/>
                <w:lang w:val="en-US" w:eastAsia="zh-CN"/>
              </w:rPr>
              <w:t>③信息化系统管理及运维服务</w:t>
            </w:r>
            <w:r>
              <w:rPr>
                <w:rFonts w:hint="eastAsia" w:ascii="宋体" w:hAnsi="宋体" w:cs="宋体"/>
                <w:color w:val="auto"/>
                <w:highlight w:val="none"/>
                <w:lang w:val="en-US" w:eastAsia="zh-CN"/>
              </w:rPr>
              <w:t>方案</w:t>
            </w:r>
            <w:r>
              <w:rPr>
                <w:rFonts w:hint="default" w:ascii="宋体" w:hAnsi="宋体" w:cs="宋体"/>
                <w:color w:val="auto"/>
                <w:highlight w:val="none"/>
                <w:lang w:val="en-US" w:eastAsia="zh-CN"/>
              </w:rPr>
              <w:t>未进行详细阐述的得1分；</w:t>
            </w:r>
          </w:p>
          <w:p w14:paraId="6986732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color w:val="auto"/>
                <w:highlight w:val="none"/>
                <w:lang w:val="en-US" w:eastAsia="zh-CN"/>
              </w:rPr>
            </w:pPr>
            <w:r>
              <w:rPr>
                <w:rFonts w:hint="default" w:ascii="宋体" w:hAnsi="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05BCD424">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4147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42B019E5">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noWrap w:val="0"/>
            <w:vAlign w:val="center"/>
          </w:tcPr>
          <w:p w14:paraId="46349C51">
            <w:pPr>
              <w:spacing w:line="340" w:lineRule="exact"/>
              <w:jc w:val="center"/>
              <w:rPr>
                <w:rFonts w:hint="eastAsia" w:ascii="宋体" w:hAnsi="宋体" w:cs="宋体"/>
                <w:color w:val="auto"/>
                <w:szCs w:val="21"/>
                <w:highlight w:val="none"/>
                <w:lang w:val="en-US" w:eastAsia="zh-CN"/>
              </w:rPr>
            </w:pPr>
          </w:p>
        </w:tc>
        <w:tc>
          <w:tcPr>
            <w:tcW w:w="6810" w:type="dxa"/>
            <w:tcBorders>
              <w:left w:val="single" w:color="000000" w:sz="2" w:space="0"/>
            </w:tcBorders>
            <w:shd w:val="clear" w:color="auto" w:fill="auto"/>
            <w:noWrap w:val="0"/>
            <w:vAlign w:val="center"/>
          </w:tcPr>
          <w:p w14:paraId="69A3B0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2.3重难点分析（5分）：评委根据投标人</w:t>
            </w:r>
            <w:r>
              <w:rPr>
                <w:rFonts w:hint="eastAsia" w:ascii="宋体" w:hAnsi="宋体" w:eastAsia="宋体" w:cs="宋体"/>
                <w:color w:val="auto"/>
                <w:highlight w:val="none"/>
                <w:lang w:val="en-US" w:eastAsia="zh-CN"/>
              </w:rPr>
              <w:t>对本次信息化系统管理及运维服务工作的特点和服务思路的理解分析</w:t>
            </w:r>
            <w:r>
              <w:rPr>
                <w:rFonts w:hint="eastAsia" w:ascii="宋体" w:hAnsi="宋体" w:cs="宋体"/>
                <w:color w:val="auto"/>
                <w:highlight w:val="none"/>
                <w:lang w:val="en-US" w:eastAsia="zh-CN"/>
              </w:rPr>
              <w:t>进行综合评议：</w:t>
            </w:r>
          </w:p>
          <w:p w14:paraId="3BD7665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①重点、难点分析较到位，针对性解决方案较切中项目实际，具有一定实际意义，能基本解决实际问题的得5分；</w:t>
            </w:r>
          </w:p>
          <w:p w14:paraId="7C5A144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②重点、难点分析不够到位，针对性解决方案不够切中项目实际，不够具有实际意义，能一定程度解决实际问题的得3分；</w:t>
            </w:r>
          </w:p>
          <w:p w14:paraId="5405B09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③重难点分析未进行详细阐述的得1分；</w:t>
            </w:r>
          </w:p>
          <w:p w14:paraId="74E6A6B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34003077">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0877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622D380E">
            <w:pPr>
              <w:spacing w:line="360" w:lineRule="auto"/>
              <w:jc w:val="center"/>
              <w:rPr>
                <w:rFonts w:hint="eastAsia" w:ascii="宋体" w:hAnsi="宋体" w:eastAsia="宋体" w:cs="宋体"/>
                <w:color w:val="auto"/>
                <w:szCs w:val="21"/>
                <w:highlight w:val="none"/>
                <w:shd w:val="clear" w:color="auto" w:fill="auto"/>
              </w:rPr>
            </w:pPr>
          </w:p>
        </w:tc>
        <w:tc>
          <w:tcPr>
            <w:tcW w:w="1160" w:type="dxa"/>
            <w:vMerge w:val="restart"/>
            <w:noWrap w:val="0"/>
            <w:vAlign w:val="center"/>
          </w:tcPr>
          <w:p w14:paraId="076E8B50">
            <w:pPr>
              <w:spacing w:line="3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3、详细的维保方案（10分）</w:t>
            </w:r>
          </w:p>
        </w:tc>
        <w:tc>
          <w:tcPr>
            <w:tcW w:w="6810" w:type="dxa"/>
            <w:tcBorders>
              <w:left w:val="single" w:color="000000" w:sz="2" w:space="0"/>
            </w:tcBorders>
            <w:shd w:val="clear" w:color="auto" w:fill="auto"/>
            <w:noWrap w:val="0"/>
            <w:vAlign w:val="center"/>
          </w:tcPr>
          <w:p w14:paraId="543B3DA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3.1根据投标人针对本项目制定切实可行的维保服务方案，明确服务内容、服务频率、服务质量等内容，根据提供的维保方案进行</w:t>
            </w:r>
            <w:r>
              <w:rPr>
                <w:rFonts w:hint="eastAsia" w:ascii="宋体" w:hAnsi="宋体" w:cs="宋体"/>
                <w:color w:val="auto"/>
                <w:highlight w:val="none"/>
                <w:lang w:val="en-US" w:eastAsia="zh-CN"/>
              </w:rPr>
              <w:t>评议</w:t>
            </w:r>
            <w:r>
              <w:rPr>
                <w:rFonts w:hint="eastAsia" w:ascii="宋体" w:hAnsi="宋体" w:eastAsia="宋体" w:cs="宋体"/>
                <w:color w:val="auto"/>
                <w:highlight w:val="none"/>
                <w:lang w:val="en-US" w:eastAsia="zh-CN"/>
              </w:rPr>
              <w:t>：</w:t>
            </w:r>
          </w:p>
          <w:p w14:paraId="75ABBB5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①方案内容完整全面、措施完善、可行；能确保正常运作的得5分；</w:t>
            </w:r>
          </w:p>
          <w:p w14:paraId="319D1DB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②方案内容完整，但缺少针对性，措施内容齐全，但存在较少瑕疵、部分细节有待补充，可行性略有欠缺的得3分；</w:t>
            </w:r>
          </w:p>
          <w:p w14:paraId="0B03433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③方案内容未进行详细阐述，措施内容阐述较为笼统，细节有待完善，可行性较差的得1分；</w:t>
            </w:r>
          </w:p>
          <w:p w14:paraId="1CEC511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235C57BB">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0D78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02C5DA8E">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noWrap w:val="0"/>
            <w:vAlign w:val="center"/>
          </w:tcPr>
          <w:p w14:paraId="09CB721E">
            <w:pPr>
              <w:spacing w:line="340" w:lineRule="exact"/>
              <w:jc w:val="center"/>
              <w:rPr>
                <w:rFonts w:hint="eastAsia" w:ascii="宋体" w:hAnsi="宋体" w:cs="宋体"/>
                <w:color w:val="auto"/>
                <w:szCs w:val="21"/>
                <w:highlight w:val="none"/>
                <w:lang w:val="en-US" w:eastAsia="zh-CN"/>
              </w:rPr>
            </w:pPr>
          </w:p>
        </w:tc>
        <w:tc>
          <w:tcPr>
            <w:tcW w:w="6810" w:type="dxa"/>
            <w:tcBorders>
              <w:left w:val="single" w:color="000000" w:sz="2" w:space="0"/>
            </w:tcBorders>
            <w:shd w:val="clear" w:color="auto" w:fill="auto"/>
            <w:noWrap w:val="0"/>
            <w:vAlign w:val="center"/>
          </w:tcPr>
          <w:p w14:paraId="756A55E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3.2根据投标人针对本项目制定切实可行的维保服务方案，包括办公设备维保服务、基础数据维保服务、各项信息化检查填报、值班值守服务、咨询和技术支撑等进行评议：</w:t>
            </w:r>
          </w:p>
          <w:p w14:paraId="0F2E4E1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①方案详细、完整，工作计划明确，能完全符合本项目采购需求的得5分；</w:t>
            </w:r>
          </w:p>
          <w:p w14:paraId="093DE7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②方案较详细、较完整，工作计划较明确，较符合本项目采购需求的得3分；</w:t>
            </w:r>
          </w:p>
          <w:p w14:paraId="1CCA4FB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③方案不够详细、不够完整，工作计划不够明确，不够符合本项目采购需求的得1分；</w:t>
            </w:r>
          </w:p>
          <w:p w14:paraId="3DD6CF7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3A00F9B1">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30F0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27312AE9">
            <w:pPr>
              <w:spacing w:line="360" w:lineRule="auto"/>
              <w:jc w:val="center"/>
              <w:rPr>
                <w:rFonts w:hint="eastAsia" w:ascii="宋体" w:hAnsi="宋体" w:eastAsia="宋体" w:cs="宋体"/>
                <w:color w:val="auto"/>
                <w:szCs w:val="21"/>
                <w:highlight w:val="none"/>
                <w:shd w:val="clear" w:color="auto" w:fill="auto"/>
              </w:rPr>
            </w:pPr>
          </w:p>
        </w:tc>
        <w:tc>
          <w:tcPr>
            <w:tcW w:w="1160" w:type="dxa"/>
            <w:vMerge w:val="restart"/>
            <w:shd w:val="clear" w:color="auto" w:fill="auto"/>
            <w:noWrap w:val="0"/>
            <w:vAlign w:val="center"/>
          </w:tcPr>
          <w:p w14:paraId="6E13B6D1">
            <w:pPr>
              <w:spacing w:line="3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4、服务质量保证措施</w:t>
            </w:r>
          </w:p>
          <w:p w14:paraId="4CAC13D4">
            <w:pPr>
              <w:spacing w:line="340" w:lineRule="exact"/>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810" w:type="dxa"/>
            <w:tcBorders>
              <w:left w:val="single" w:color="000000" w:sz="2" w:space="0"/>
            </w:tcBorders>
            <w:shd w:val="clear" w:color="auto" w:fill="auto"/>
            <w:noWrap w:val="0"/>
            <w:vAlign w:val="center"/>
          </w:tcPr>
          <w:p w14:paraId="539BA13E">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4.1人员保障方案（5分）：根据投标人提供的人员保障方案，包括重点岗位的人员数量保障，工作及休息时间的协调安排统筹方案进行评议：</w:t>
            </w:r>
          </w:p>
          <w:p w14:paraId="303F533C">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①符合本项目实际、内容完整、充实，合理用工，能有效保障分局通信运作的得5分；</w:t>
            </w:r>
          </w:p>
          <w:p w14:paraId="0F3528AC">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②符合要求，内容完整，但有所欠缺的得3分；</w:t>
            </w:r>
          </w:p>
          <w:p w14:paraId="0795E655">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③内容较为笼统，且可执行力较差的得1分；</w:t>
            </w:r>
          </w:p>
          <w:p w14:paraId="2F50F302">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12AD69E1">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0ECD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6C4C1012">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shd w:val="clear" w:color="auto" w:fill="auto"/>
            <w:noWrap w:val="0"/>
            <w:vAlign w:val="center"/>
          </w:tcPr>
          <w:p w14:paraId="21020563">
            <w:pPr>
              <w:spacing w:line="340" w:lineRule="exact"/>
              <w:jc w:val="center"/>
              <w:rPr>
                <w:rFonts w:hint="eastAsia" w:ascii="宋体" w:hAnsi="宋体" w:eastAsia="宋体" w:cs="宋体"/>
                <w:color w:val="auto"/>
                <w:kern w:val="2"/>
                <w:sz w:val="21"/>
                <w:szCs w:val="21"/>
                <w:highlight w:val="none"/>
                <w:lang w:val="en-US" w:eastAsia="zh-CN" w:bidi="ar-SA"/>
              </w:rPr>
            </w:pPr>
          </w:p>
        </w:tc>
        <w:tc>
          <w:tcPr>
            <w:tcW w:w="6810" w:type="dxa"/>
            <w:tcBorders>
              <w:left w:val="single" w:color="000000" w:sz="2" w:space="0"/>
            </w:tcBorders>
            <w:shd w:val="clear" w:color="auto" w:fill="auto"/>
            <w:noWrap w:val="0"/>
            <w:vAlign w:val="center"/>
          </w:tcPr>
          <w:p w14:paraId="1214F38A">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信息管理方案（5分）：根据投标人提供的信息管理方案，包括不仅限于各环节信息管理方案具体、明确，管理运作流程设计是否结合实际情况等内容进行评议：</w:t>
            </w:r>
          </w:p>
          <w:p w14:paraId="45D2AB5E">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①方案内容完全结合实际情况，各环节有明确的信息管理方案，管理运作流程设计能确保</w:t>
            </w:r>
            <w:r>
              <w:rPr>
                <w:rFonts w:hint="eastAsia" w:cs="Times New Roman"/>
                <w:color w:val="auto"/>
                <w:kern w:val="2"/>
                <w:sz w:val="21"/>
                <w:szCs w:val="24"/>
                <w:highlight w:val="none"/>
                <w:lang w:val="en-US" w:eastAsia="zh-CN" w:bidi="ar-SA"/>
              </w:rPr>
              <w:t>通信</w:t>
            </w:r>
            <w:r>
              <w:rPr>
                <w:rFonts w:hint="eastAsia" w:ascii="Times New Roman" w:hAnsi="Times New Roman" w:eastAsia="宋体" w:cs="Times New Roman"/>
                <w:color w:val="auto"/>
                <w:kern w:val="2"/>
                <w:sz w:val="21"/>
                <w:szCs w:val="24"/>
                <w:highlight w:val="none"/>
                <w:lang w:val="en-US" w:eastAsia="zh-CN" w:bidi="ar-SA"/>
              </w:rPr>
              <w:t>的安全和稳定的得5分；</w:t>
            </w:r>
          </w:p>
          <w:p w14:paraId="78B50035">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②方案内容符合实际情况，各环节能提供有针对性信息管理方案的得3分；</w:t>
            </w:r>
          </w:p>
          <w:p w14:paraId="6F13F51C">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③内容简单，信息管理运作流程设计模糊有待改进，管理目标架构松散，针对性不强，与本项目实际需求存在差距的得1分；</w:t>
            </w:r>
          </w:p>
          <w:p w14:paraId="1F36C0E4">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④未提供相关内容不得分。</w:t>
            </w:r>
          </w:p>
        </w:tc>
        <w:tc>
          <w:tcPr>
            <w:tcW w:w="1120" w:type="dxa"/>
            <w:tcBorders>
              <w:left w:val="single" w:color="000000" w:sz="2" w:space="0"/>
            </w:tcBorders>
            <w:shd w:val="clear" w:color="auto" w:fill="auto"/>
            <w:noWrap w:val="0"/>
            <w:vAlign w:val="center"/>
          </w:tcPr>
          <w:p w14:paraId="2B894C82">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3559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1D9A9929">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shd w:val="clear" w:color="auto" w:fill="auto"/>
            <w:noWrap w:val="0"/>
            <w:vAlign w:val="center"/>
          </w:tcPr>
          <w:p w14:paraId="46B498B4">
            <w:pPr>
              <w:spacing w:line="340" w:lineRule="exact"/>
              <w:jc w:val="center"/>
              <w:rPr>
                <w:rFonts w:hint="eastAsia" w:ascii="宋体" w:hAnsi="宋体" w:eastAsia="宋体" w:cs="宋体"/>
                <w:color w:val="auto"/>
                <w:kern w:val="2"/>
                <w:sz w:val="21"/>
                <w:szCs w:val="21"/>
                <w:highlight w:val="none"/>
                <w:lang w:val="en-US" w:eastAsia="zh-CN" w:bidi="ar-SA"/>
              </w:rPr>
            </w:pPr>
          </w:p>
        </w:tc>
        <w:tc>
          <w:tcPr>
            <w:tcW w:w="6810" w:type="dxa"/>
            <w:tcBorders>
              <w:left w:val="single" w:color="000000" w:sz="2" w:space="0"/>
            </w:tcBorders>
            <w:shd w:val="clear" w:color="auto" w:fill="auto"/>
            <w:noWrap w:val="0"/>
            <w:vAlign w:val="center"/>
          </w:tcPr>
          <w:p w14:paraId="32DF2E61">
            <w:pPr>
              <w:spacing w:line="360" w:lineRule="auto"/>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4.3服务优势与承诺（5分）：投标人根据自身情况与实际需求，提供服务优势与服务承诺，评委根据其服务优势与服务承诺进行评议：</w:t>
            </w:r>
          </w:p>
          <w:p w14:paraId="1AA26593">
            <w:pPr>
              <w:spacing w:line="360" w:lineRule="auto"/>
              <w:rPr>
                <w:rFonts w:hint="default" w:cs="Times New Roman"/>
                <w:color w:val="auto"/>
                <w:kern w:val="2"/>
                <w:sz w:val="21"/>
                <w:szCs w:val="24"/>
                <w:highlight w:val="none"/>
                <w:lang w:val="en-US" w:eastAsia="zh-CN" w:bidi="ar-SA"/>
              </w:rPr>
            </w:pPr>
            <w:r>
              <w:rPr>
                <w:rFonts w:hint="default" w:cs="Times New Roman"/>
                <w:color w:val="auto"/>
                <w:kern w:val="2"/>
                <w:sz w:val="21"/>
                <w:szCs w:val="24"/>
                <w:highlight w:val="none"/>
                <w:lang w:val="en-US" w:eastAsia="zh-CN" w:bidi="ar-SA"/>
              </w:rPr>
              <w:t>①</w:t>
            </w:r>
            <w:r>
              <w:rPr>
                <w:rFonts w:hint="eastAsia" w:cs="Times New Roman"/>
                <w:color w:val="auto"/>
                <w:kern w:val="2"/>
                <w:sz w:val="21"/>
                <w:szCs w:val="24"/>
                <w:highlight w:val="none"/>
                <w:lang w:val="en-US" w:eastAsia="zh-CN" w:bidi="ar-SA"/>
              </w:rPr>
              <w:t>服务优势突出</w:t>
            </w:r>
            <w:r>
              <w:rPr>
                <w:rFonts w:hint="default"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服务承诺切实可行</w:t>
            </w:r>
            <w:r>
              <w:rPr>
                <w:rFonts w:hint="default" w:cs="Times New Roman"/>
                <w:color w:val="auto"/>
                <w:kern w:val="2"/>
                <w:sz w:val="21"/>
                <w:szCs w:val="24"/>
                <w:highlight w:val="none"/>
                <w:lang w:val="en-US" w:eastAsia="zh-CN" w:bidi="ar-SA"/>
              </w:rPr>
              <w:t>的得5分；</w:t>
            </w:r>
          </w:p>
          <w:p w14:paraId="716E264E">
            <w:pPr>
              <w:spacing w:line="360" w:lineRule="auto"/>
              <w:rPr>
                <w:rFonts w:hint="default" w:cs="Times New Roman"/>
                <w:color w:val="auto"/>
                <w:kern w:val="2"/>
                <w:sz w:val="21"/>
                <w:szCs w:val="24"/>
                <w:highlight w:val="none"/>
                <w:lang w:val="en-US" w:eastAsia="zh-CN" w:bidi="ar-SA"/>
              </w:rPr>
            </w:pPr>
            <w:r>
              <w:rPr>
                <w:rFonts w:hint="default" w:cs="Times New Roman"/>
                <w:color w:val="auto"/>
                <w:kern w:val="2"/>
                <w:sz w:val="21"/>
                <w:szCs w:val="24"/>
                <w:highlight w:val="none"/>
                <w:lang w:val="en-US" w:eastAsia="zh-CN" w:bidi="ar-SA"/>
              </w:rPr>
              <w:t>②</w:t>
            </w:r>
            <w:r>
              <w:rPr>
                <w:rFonts w:hint="eastAsia" w:cs="Times New Roman"/>
                <w:color w:val="auto"/>
                <w:kern w:val="2"/>
                <w:sz w:val="21"/>
                <w:szCs w:val="24"/>
                <w:highlight w:val="none"/>
                <w:lang w:val="en-US" w:eastAsia="zh-CN" w:bidi="ar-SA"/>
              </w:rPr>
              <w:t>服务优势一般</w:t>
            </w:r>
            <w:r>
              <w:rPr>
                <w:rFonts w:hint="default"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服务承诺可行性一般</w:t>
            </w:r>
            <w:r>
              <w:rPr>
                <w:rFonts w:hint="default" w:cs="Times New Roman"/>
                <w:color w:val="auto"/>
                <w:kern w:val="2"/>
                <w:sz w:val="21"/>
                <w:szCs w:val="24"/>
                <w:highlight w:val="none"/>
                <w:lang w:val="en-US" w:eastAsia="zh-CN" w:bidi="ar-SA"/>
              </w:rPr>
              <w:t>的得3分；</w:t>
            </w:r>
          </w:p>
          <w:p w14:paraId="566F5F74">
            <w:pPr>
              <w:spacing w:line="360" w:lineRule="auto"/>
              <w:rPr>
                <w:rFonts w:hint="default" w:cs="Times New Roman"/>
                <w:color w:val="auto"/>
                <w:kern w:val="2"/>
                <w:sz w:val="21"/>
                <w:szCs w:val="24"/>
                <w:highlight w:val="none"/>
                <w:lang w:val="en-US" w:eastAsia="zh-CN" w:bidi="ar-SA"/>
              </w:rPr>
            </w:pPr>
            <w:r>
              <w:rPr>
                <w:rFonts w:hint="default" w:cs="Times New Roman"/>
                <w:color w:val="auto"/>
                <w:kern w:val="2"/>
                <w:sz w:val="21"/>
                <w:szCs w:val="24"/>
                <w:highlight w:val="none"/>
                <w:lang w:val="en-US" w:eastAsia="zh-CN" w:bidi="ar-SA"/>
              </w:rPr>
              <w:t>③</w:t>
            </w:r>
            <w:r>
              <w:rPr>
                <w:rFonts w:hint="eastAsia" w:cs="Times New Roman"/>
                <w:color w:val="auto"/>
                <w:kern w:val="2"/>
                <w:sz w:val="21"/>
                <w:szCs w:val="24"/>
                <w:highlight w:val="none"/>
                <w:lang w:val="en-US" w:eastAsia="zh-CN" w:bidi="ar-SA"/>
              </w:rPr>
              <w:t>服务优势和服务承诺均不突出</w:t>
            </w:r>
            <w:r>
              <w:rPr>
                <w:rFonts w:hint="default" w:cs="Times New Roman"/>
                <w:color w:val="auto"/>
                <w:kern w:val="2"/>
                <w:sz w:val="21"/>
                <w:szCs w:val="24"/>
                <w:highlight w:val="none"/>
                <w:lang w:val="en-US" w:eastAsia="zh-CN" w:bidi="ar-SA"/>
              </w:rPr>
              <w:t>的得1分；</w:t>
            </w:r>
          </w:p>
          <w:p w14:paraId="5064E816">
            <w:pPr>
              <w:spacing w:line="360" w:lineRule="auto"/>
              <w:rPr>
                <w:rFonts w:hint="default" w:cs="Times New Roman"/>
                <w:color w:val="auto"/>
                <w:kern w:val="2"/>
                <w:sz w:val="21"/>
                <w:szCs w:val="24"/>
                <w:highlight w:val="none"/>
                <w:lang w:val="en-US" w:eastAsia="zh-CN" w:bidi="ar-SA"/>
              </w:rPr>
            </w:pPr>
            <w:r>
              <w:rPr>
                <w:rFonts w:hint="default" w:cs="Times New Roman"/>
                <w:color w:val="auto"/>
                <w:kern w:val="2"/>
                <w:sz w:val="21"/>
                <w:szCs w:val="24"/>
                <w:highlight w:val="none"/>
                <w:lang w:val="en-US" w:eastAsia="zh-CN" w:bidi="ar-SA"/>
              </w:rPr>
              <w:t>④未提供相关内容不得分。</w:t>
            </w:r>
          </w:p>
        </w:tc>
        <w:tc>
          <w:tcPr>
            <w:tcW w:w="1120" w:type="dxa"/>
            <w:tcBorders>
              <w:left w:val="single" w:color="000000" w:sz="2" w:space="0"/>
            </w:tcBorders>
            <w:shd w:val="clear" w:color="auto" w:fill="auto"/>
            <w:noWrap w:val="0"/>
            <w:vAlign w:val="center"/>
          </w:tcPr>
          <w:p w14:paraId="5C0AB2B5">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1367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6AB168BA">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shd w:val="clear" w:color="auto" w:fill="auto"/>
            <w:noWrap w:val="0"/>
            <w:vAlign w:val="center"/>
          </w:tcPr>
          <w:p w14:paraId="59E4BDE5">
            <w:pPr>
              <w:spacing w:line="340" w:lineRule="exact"/>
              <w:jc w:val="center"/>
              <w:rPr>
                <w:rFonts w:hint="eastAsia" w:ascii="宋体" w:hAnsi="宋体" w:eastAsia="宋体" w:cs="宋体"/>
                <w:color w:val="auto"/>
                <w:kern w:val="2"/>
                <w:sz w:val="21"/>
                <w:szCs w:val="21"/>
                <w:highlight w:val="none"/>
                <w:lang w:val="en-US" w:eastAsia="zh-CN" w:bidi="ar-SA"/>
              </w:rPr>
            </w:pPr>
          </w:p>
        </w:tc>
        <w:tc>
          <w:tcPr>
            <w:tcW w:w="6810" w:type="dxa"/>
            <w:tcBorders>
              <w:left w:val="single" w:color="000000" w:sz="2" w:space="0"/>
            </w:tcBorders>
            <w:shd w:val="clear" w:color="auto" w:fill="auto"/>
            <w:noWrap w:val="0"/>
            <w:vAlign w:val="center"/>
          </w:tcPr>
          <w:p w14:paraId="51FA015D">
            <w:pPr>
              <w:spacing w:line="360" w:lineRule="auto"/>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4.4技术支撑服务（5分）：根据投标人售后技术支撑服务进行评议：</w:t>
            </w:r>
          </w:p>
          <w:p w14:paraId="47284A93">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①</w:t>
            </w:r>
            <w:r>
              <w:rPr>
                <w:rFonts w:hint="eastAsia" w:ascii="Times New Roman" w:hAnsi="Times New Roman" w:eastAsia="宋体" w:cs="Times New Roman"/>
                <w:color w:val="auto"/>
                <w:kern w:val="2"/>
                <w:sz w:val="21"/>
                <w:szCs w:val="24"/>
                <w:highlight w:val="none"/>
                <w:lang w:val="en-US" w:eastAsia="zh-CN" w:bidi="ar-SA"/>
              </w:rPr>
              <w:t>响应速度快，服务网点、技术人员完善</w:t>
            </w:r>
            <w:r>
              <w:rPr>
                <w:rFonts w:hint="default" w:ascii="Times New Roman" w:hAnsi="Times New Roman" w:eastAsia="宋体" w:cs="Times New Roman"/>
                <w:color w:val="auto"/>
                <w:kern w:val="2"/>
                <w:sz w:val="21"/>
                <w:szCs w:val="24"/>
                <w:highlight w:val="none"/>
                <w:lang w:val="en-US" w:eastAsia="zh-CN" w:bidi="ar-SA"/>
              </w:rPr>
              <w:t>的得5分；</w:t>
            </w:r>
          </w:p>
          <w:p w14:paraId="1AE64C56">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②</w:t>
            </w:r>
            <w:r>
              <w:rPr>
                <w:rFonts w:hint="eastAsia" w:ascii="Times New Roman" w:hAnsi="Times New Roman" w:eastAsia="宋体" w:cs="Times New Roman"/>
                <w:color w:val="auto"/>
                <w:kern w:val="2"/>
                <w:sz w:val="21"/>
                <w:szCs w:val="24"/>
                <w:highlight w:val="none"/>
                <w:lang w:val="en-US" w:eastAsia="zh-CN" w:bidi="ar-SA"/>
              </w:rPr>
              <w:t>响应速度较快</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服务网点、技术人员配置</w:t>
            </w:r>
            <w:r>
              <w:rPr>
                <w:rFonts w:hint="default" w:ascii="Times New Roman" w:hAnsi="Times New Roman" w:eastAsia="宋体" w:cs="Times New Roman"/>
                <w:color w:val="auto"/>
                <w:kern w:val="2"/>
                <w:sz w:val="21"/>
                <w:szCs w:val="24"/>
                <w:highlight w:val="none"/>
                <w:lang w:val="en-US" w:eastAsia="zh-CN" w:bidi="ar-SA"/>
              </w:rPr>
              <w:t>一般的得3分；</w:t>
            </w:r>
          </w:p>
          <w:p w14:paraId="7EE02FD4">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③</w:t>
            </w:r>
            <w:r>
              <w:rPr>
                <w:rFonts w:hint="eastAsia" w:ascii="Times New Roman" w:hAnsi="Times New Roman" w:eastAsia="宋体" w:cs="Times New Roman"/>
                <w:color w:val="auto"/>
                <w:kern w:val="2"/>
                <w:sz w:val="21"/>
                <w:szCs w:val="24"/>
                <w:highlight w:val="none"/>
                <w:lang w:val="en-US" w:eastAsia="zh-CN" w:bidi="ar-SA"/>
              </w:rPr>
              <w:t>响应速度慢、服务网点、技术人员配置均较差的</w:t>
            </w:r>
            <w:r>
              <w:rPr>
                <w:rFonts w:hint="default" w:ascii="Times New Roman" w:hAnsi="Times New Roman" w:eastAsia="宋体" w:cs="Times New Roman"/>
                <w:color w:val="auto"/>
                <w:kern w:val="2"/>
                <w:sz w:val="21"/>
                <w:szCs w:val="24"/>
                <w:highlight w:val="none"/>
                <w:lang w:val="en-US" w:eastAsia="zh-CN" w:bidi="ar-SA"/>
              </w:rPr>
              <w:t>得1分；</w:t>
            </w:r>
          </w:p>
          <w:p w14:paraId="71ED9569">
            <w:pPr>
              <w:spacing w:line="360" w:lineRule="auto"/>
              <w:rPr>
                <w:rFonts w:hint="default"/>
                <w:color w:val="auto"/>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④未提供相关内容不得分。</w:t>
            </w:r>
          </w:p>
        </w:tc>
        <w:tc>
          <w:tcPr>
            <w:tcW w:w="1120" w:type="dxa"/>
            <w:tcBorders>
              <w:left w:val="single" w:color="000000" w:sz="2" w:space="0"/>
            </w:tcBorders>
            <w:shd w:val="clear" w:color="auto" w:fill="auto"/>
            <w:noWrap w:val="0"/>
            <w:vAlign w:val="center"/>
          </w:tcPr>
          <w:p w14:paraId="6F4A924E">
            <w:pPr>
              <w:spacing w:line="360" w:lineRule="auto"/>
              <w:jc w:val="cente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主观分</w:t>
            </w:r>
          </w:p>
        </w:tc>
      </w:tr>
      <w:tr w14:paraId="0BD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noWrap w:val="0"/>
            <w:vAlign w:val="center"/>
          </w:tcPr>
          <w:p w14:paraId="5CCC14EA">
            <w:pPr>
              <w:spacing w:line="360" w:lineRule="auto"/>
              <w:jc w:val="center"/>
              <w:rPr>
                <w:rFonts w:hint="eastAsia" w:ascii="宋体" w:hAnsi="宋体" w:eastAsia="宋体" w:cs="宋体"/>
                <w:color w:val="auto"/>
                <w:szCs w:val="21"/>
                <w:highlight w:val="none"/>
                <w:shd w:val="clear" w:color="auto" w:fill="auto"/>
              </w:rPr>
            </w:pPr>
          </w:p>
        </w:tc>
        <w:tc>
          <w:tcPr>
            <w:tcW w:w="1160" w:type="dxa"/>
            <w:shd w:val="clear" w:color="auto" w:fill="auto"/>
            <w:noWrap w:val="0"/>
            <w:vAlign w:val="center"/>
          </w:tcPr>
          <w:p w14:paraId="78925959">
            <w:pPr>
              <w:spacing w:line="340" w:lineRule="exact"/>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5、突发事件应急预案（5分）</w:t>
            </w:r>
          </w:p>
        </w:tc>
        <w:tc>
          <w:tcPr>
            <w:tcW w:w="6810" w:type="dxa"/>
            <w:tcBorders>
              <w:left w:val="single" w:color="000000" w:sz="2" w:space="0"/>
            </w:tcBorders>
            <w:shd w:val="clear" w:color="auto" w:fill="auto"/>
            <w:noWrap w:val="0"/>
            <w:vAlign w:val="center"/>
          </w:tcPr>
          <w:p w14:paraId="4E614DBC">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5.1</w:t>
            </w:r>
            <w:r>
              <w:rPr>
                <w:rFonts w:hint="eastAsia" w:ascii="宋体" w:hAnsi="宋体" w:eastAsia="宋体" w:cs="宋体"/>
                <w:color w:val="auto"/>
                <w:highlight w:val="none"/>
                <w:lang w:val="en-US" w:eastAsia="zh-CN"/>
              </w:rPr>
              <w:t>根据投标人提供的方案是否具有对各类特殊时期（包括突发技术问题、人员问题等）的保障方案</w:t>
            </w:r>
            <w:r>
              <w:rPr>
                <w:rFonts w:hint="eastAsia" w:ascii="宋体" w:hAnsi="宋体" w:cs="宋体"/>
                <w:color w:val="auto"/>
                <w:highlight w:val="none"/>
                <w:lang w:val="en-US" w:eastAsia="zh-CN"/>
              </w:rPr>
              <w:t>，是否具有良好的应急处理能力，能提出完善的应急</w:t>
            </w:r>
            <w:r>
              <w:rPr>
                <w:rFonts w:hint="eastAsia" w:ascii="宋体" w:hAnsi="宋体" w:eastAsia="宋体" w:cs="宋体"/>
                <w:color w:val="auto"/>
                <w:highlight w:val="none"/>
                <w:lang w:val="en-US" w:eastAsia="zh-CN"/>
              </w:rPr>
              <w:t>措施</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进行评议：</w:t>
            </w:r>
          </w:p>
          <w:p w14:paraId="04C6AAF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cs="宋体"/>
                <w:color w:val="auto"/>
                <w:highlight w:val="none"/>
                <w:lang w:val="en-US" w:eastAsia="zh-CN"/>
              </w:rPr>
              <w:t>具有应急预案管理体系，能制定</w:t>
            </w:r>
            <w:r>
              <w:rPr>
                <w:rFonts w:hint="eastAsia" w:ascii="宋体" w:hAnsi="宋体" w:eastAsia="宋体" w:cs="宋体"/>
                <w:color w:val="auto"/>
                <w:highlight w:val="none"/>
                <w:lang w:val="en-US" w:eastAsia="zh-CN"/>
              </w:rPr>
              <w:t>详尽的应急预案</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能解决特殊时期的实际问题，并</w:t>
            </w:r>
            <w:r>
              <w:rPr>
                <w:rFonts w:hint="eastAsia" w:ascii="宋体" w:hAnsi="宋体" w:cs="宋体"/>
                <w:color w:val="auto"/>
                <w:highlight w:val="none"/>
                <w:lang w:val="en-US" w:eastAsia="zh-CN"/>
              </w:rPr>
              <w:t>具有良好的公共安全应急处理管理体系，能</w:t>
            </w:r>
            <w:r>
              <w:rPr>
                <w:rFonts w:hint="eastAsia" w:ascii="宋体" w:hAnsi="宋体" w:eastAsia="宋体" w:cs="宋体"/>
                <w:color w:val="auto"/>
                <w:highlight w:val="none"/>
                <w:lang w:val="en-US" w:eastAsia="zh-CN"/>
              </w:rPr>
              <w:t>把特殊事件对于本项目的不利影响降到最低得5分；</w:t>
            </w:r>
          </w:p>
          <w:p w14:paraId="60577FAF">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②有应急预案，</w:t>
            </w:r>
            <w:r>
              <w:rPr>
                <w:rFonts w:hint="eastAsia" w:ascii="宋体" w:hAnsi="宋体" w:cs="宋体"/>
                <w:color w:val="auto"/>
                <w:highlight w:val="none"/>
                <w:lang w:val="en-US" w:eastAsia="zh-CN"/>
              </w:rPr>
              <w:t>具备一定的公共安全应急处理能力，</w:t>
            </w:r>
            <w:r>
              <w:rPr>
                <w:rFonts w:hint="eastAsia" w:ascii="宋体" w:hAnsi="宋体" w:eastAsia="宋体" w:cs="宋体"/>
                <w:color w:val="auto"/>
                <w:highlight w:val="none"/>
                <w:lang w:val="en-US" w:eastAsia="zh-CN"/>
              </w:rPr>
              <w:t>能解决特殊时期的部分问题的得3分；</w:t>
            </w:r>
          </w:p>
          <w:p w14:paraId="41CBD2D8">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③应急预案没有针对性</w:t>
            </w:r>
            <w:r>
              <w:rPr>
                <w:rFonts w:hint="eastAsia" w:ascii="宋体" w:hAnsi="宋体" w:cs="宋体"/>
                <w:color w:val="auto"/>
                <w:highlight w:val="none"/>
                <w:lang w:val="en-US" w:eastAsia="zh-CN"/>
              </w:rPr>
              <w:t>，公共安全应急处理能力一般，</w:t>
            </w:r>
            <w:r>
              <w:rPr>
                <w:rFonts w:hint="eastAsia" w:ascii="宋体" w:hAnsi="宋体" w:eastAsia="宋体" w:cs="宋体"/>
                <w:color w:val="auto"/>
                <w:highlight w:val="none"/>
                <w:lang w:val="en-US" w:eastAsia="zh-CN"/>
              </w:rPr>
              <w:t>不能解决实际问题的得1分；</w:t>
            </w:r>
          </w:p>
          <w:p w14:paraId="0ACA23B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649AA3AE">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3301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5" w:type="dxa"/>
            <w:vMerge w:val="continue"/>
            <w:noWrap w:val="0"/>
            <w:vAlign w:val="center"/>
          </w:tcPr>
          <w:p w14:paraId="49ED5B85">
            <w:pPr>
              <w:spacing w:line="360" w:lineRule="auto"/>
              <w:jc w:val="center"/>
              <w:rPr>
                <w:rFonts w:hint="eastAsia" w:ascii="宋体" w:hAnsi="宋体" w:eastAsia="宋体" w:cs="宋体"/>
                <w:color w:val="auto"/>
                <w:szCs w:val="21"/>
                <w:highlight w:val="none"/>
                <w:shd w:val="clear" w:color="auto" w:fill="auto"/>
              </w:rPr>
            </w:pPr>
          </w:p>
        </w:tc>
        <w:tc>
          <w:tcPr>
            <w:tcW w:w="1160" w:type="dxa"/>
            <w:noWrap w:val="0"/>
            <w:vAlign w:val="center"/>
          </w:tcPr>
          <w:p w14:paraId="0A4753EE">
            <w:pPr>
              <w:spacing w:line="3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6、管理制度（5分）</w:t>
            </w:r>
          </w:p>
        </w:tc>
        <w:tc>
          <w:tcPr>
            <w:tcW w:w="6810" w:type="dxa"/>
            <w:tcBorders>
              <w:left w:val="single" w:color="000000" w:sz="2" w:space="0"/>
            </w:tcBorders>
            <w:shd w:val="clear" w:color="auto" w:fill="auto"/>
            <w:noWrap w:val="0"/>
            <w:vAlign w:val="center"/>
          </w:tcPr>
          <w:p w14:paraId="6EB4493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6.1根据投标人提供的管理机构设置合理性，管理构架和各部门职责是否明确，管理、激励、监督、奖惩、组织等规章制度是否健全规范等内容进行评议：</w:t>
            </w:r>
          </w:p>
          <w:p w14:paraId="31BDE90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①管理机构设置合理，管理架构、职责明确，各项规章制度健全规范，实际操作性强；与采购人日常管理要求相符合的得5分；</w:t>
            </w:r>
          </w:p>
          <w:p w14:paraId="75F135D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②管理机构设置、管理架构、职责以及各项规章制度等各项内容齐全，但存在较少瑕疵、部分细节有待补充的得3分；</w:t>
            </w:r>
          </w:p>
          <w:p w14:paraId="4AD208A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③管理机构设置、管理架构、职责等内容未进行详细阐述，各项规章制度内容阐述较为笼统，细节有待完善的得1分；</w:t>
            </w:r>
          </w:p>
          <w:p w14:paraId="6C72CBB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6B228C0D">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6560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5" w:type="dxa"/>
            <w:vMerge w:val="continue"/>
            <w:noWrap w:val="0"/>
            <w:vAlign w:val="center"/>
          </w:tcPr>
          <w:p w14:paraId="55A5B523">
            <w:pPr>
              <w:spacing w:line="360" w:lineRule="auto"/>
              <w:jc w:val="center"/>
              <w:rPr>
                <w:rFonts w:hint="eastAsia" w:ascii="宋体" w:hAnsi="宋体" w:eastAsia="宋体" w:cs="宋体"/>
                <w:color w:val="auto"/>
                <w:szCs w:val="21"/>
                <w:highlight w:val="none"/>
                <w:shd w:val="clear" w:color="auto" w:fill="auto"/>
              </w:rPr>
            </w:pPr>
          </w:p>
        </w:tc>
        <w:tc>
          <w:tcPr>
            <w:tcW w:w="1160" w:type="dxa"/>
            <w:vMerge w:val="restart"/>
            <w:shd w:val="clear" w:color="auto" w:fill="auto"/>
            <w:noWrap w:val="0"/>
            <w:vAlign w:val="center"/>
          </w:tcPr>
          <w:p w14:paraId="66C3A4A1">
            <w:pPr>
              <w:spacing w:line="340" w:lineRule="exact"/>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1"/>
                <w:highlight w:val="none"/>
                <w:lang w:val="en-US" w:eastAsia="zh-CN"/>
              </w:rPr>
              <w:t>7、人员配备管理方案 （14分）</w:t>
            </w:r>
          </w:p>
        </w:tc>
        <w:tc>
          <w:tcPr>
            <w:tcW w:w="6810" w:type="dxa"/>
            <w:tcBorders>
              <w:left w:val="single" w:color="000000" w:sz="2" w:space="0"/>
            </w:tcBorders>
            <w:shd w:val="clear" w:color="auto" w:fill="auto"/>
            <w:noWrap w:val="0"/>
            <w:vAlign w:val="center"/>
          </w:tcPr>
          <w:p w14:paraId="7E286289">
            <w:pPr>
              <w:spacing w:line="360" w:lineRule="auto"/>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7.1</w:t>
            </w:r>
            <w:r>
              <w:rPr>
                <w:rFonts w:hint="eastAsia" w:ascii="宋体" w:hAnsi="宋体" w:eastAsia="宋体" w:cs="宋体"/>
                <w:color w:val="auto"/>
                <w:highlight w:val="none"/>
                <w:lang w:val="en-US" w:eastAsia="zh-CN"/>
              </w:rPr>
              <w:t>岗位配备方案（5分）：根据投标人提供针对本项目的岗位配备方案，从人员安排的数量，方案的完整性等进行评议：</w:t>
            </w:r>
          </w:p>
          <w:p w14:paraId="7AB07B5F">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①岗位的配备在数量上满足本项目的实际需求，各种技术人员配备完整，排班计划明确合理，人员经验丰富且人员整体素质良好，合同期间能顺利完成任务的得5分；</w:t>
            </w:r>
          </w:p>
          <w:p w14:paraId="08F954B1">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②岗位的配备及排班计划能满足本项目的实际需求，但部分有待完善补充的，各种技术人员配备基本符合采购人需求的得3分；</w:t>
            </w:r>
          </w:p>
          <w:p w14:paraId="4C75AEFC">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③人员的配备、排班计划及各种技术力量配备存在缺漏项的得1分；</w:t>
            </w:r>
          </w:p>
          <w:p w14:paraId="440F837C">
            <w:pPr>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0FD51BBC">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66BD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5" w:type="dxa"/>
            <w:vMerge w:val="continue"/>
            <w:noWrap w:val="0"/>
            <w:vAlign w:val="center"/>
          </w:tcPr>
          <w:p w14:paraId="62C6F385">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noWrap w:val="0"/>
            <w:vAlign w:val="center"/>
          </w:tcPr>
          <w:p w14:paraId="3A71C2C1">
            <w:pPr>
              <w:spacing w:line="340" w:lineRule="exact"/>
              <w:jc w:val="center"/>
              <w:rPr>
                <w:rFonts w:hint="eastAsia" w:ascii="宋体" w:hAnsi="宋体" w:cs="宋体"/>
                <w:color w:val="auto"/>
                <w:kern w:val="2"/>
                <w:sz w:val="21"/>
                <w:szCs w:val="21"/>
                <w:highlight w:val="none"/>
                <w:lang w:val="en-US" w:eastAsia="zh-CN" w:bidi="ar-SA"/>
              </w:rPr>
            </w:pPr>
          </w:p>
        </w:tc>
        <w:tc>
          <w:tcPr>
            <w:tcW w:w="6810" w:type="dxa"/>
            <w:tcBorders>
              <w:left w:val="single" w:color="000000" w:sz="2" w:space="0"/>
            </w:tcBorders>
            <w:shd w:val="clear" w:color="auto" w:fill="auto"/>
            <w:noWrap w:val="0"/>
            <w:vAlign w:val="center"/>
          </w:tcPr>
          <w:p w14:paraId="06673C57">
            <w:pPr>
              <w:spacing w:line="360" w:lineRule="auto"/>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7.2</w:t>
            </w:r>
            <w:r>
              <w:rPr>
                <w:rFonts w:hint="eastAsia" w:ascii="宋体" w:hAnsi="宋体" w:eastAsia="宋体" w:cs="宋体"/>
                <w:color w:val="auto"/>
                <w:highlight w:val="none"/>
                <w:lang w:val="en-US" w:eastAsia="zh-CN"/>
              </w:rPr>
              <w:t>人员维稳方案（5分）：根据投标人提供的确保本项目员工工资福利、人员稳定方案进行评议：</w:t>
            </w:r>
          </w:p>
          <w:p w14:paraId="24653783">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①方案完整合理，为本项目人员提供的工资福利等有利于维持本项目人员稳定、减少人员频繁流动的风险的得5分； </w:t>
            </w:r>
          </w:p>
          <w:p w14:paraId="3F1880CB">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②方案基本完整，为本项目人员提供的工资福利对维持人员稳定有一定作用的得3分；</w:t>
            </w:r>
          </w:p>
          <w:p w14:paraId="2299D679">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③方案不完整、为本项目人员提供的工资福利不能维持人员稳定、存在较大风险的得1分；</w:t>
            </w:r>
          </w:p>
          <w:p w14:paraId="4DEC58CD">
            <w:pPr>
              <w:spacing w:line="360"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highlight w:val="none"/>
                <w:lang w:val="en-US" w:eastAsia="zh-CN"/>
              </w:rPr>
              <w:t>④未提供相关内容不得分。</w:t>
            </w:r>
          </w:p>
        </w:tc>
        <w:tc>
          <w:tcPr>
            <w:tcW w:w="1120" w:type="dxa"/>
            <w:tcBorders>
              <w:left w:val="single" w:color="000000" w:sz="2" w:space="0"/>
            </w:tcBorders>
            <w:shd w:val="clear" w:color="auto" w:fill="auto"/>
            <w:noWrap w:val="0"/>
            <w:vAlign w:val="center"/>
          </w:tcPr>
          <w:p w14:paraId="6F719A1D">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eastAsia="宋体" w:cs="宋体"/>
                <w:color w:val="auto"/>
                <w:highlight w:val="none"/>
                <w:shd w:val="clear" w:color="auto" w:fill="auto"/>
                <w:lang w:val="en-US" w:eastAsia="zh-CN"/>
              </w:rPr>
              <w:t>主观分</w:t>
            </w:r>
          </w:p>
        </w:tc>
      </w:tr>
      <w:tr w14:paraId="5CBE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5" w:type="dxa"/>
            <w:vMerge w:val="continue"/>
            <w:noWrap w:val="0"/>
            <w:vAlign w:val="center"/>
          </w:tcPr>
          <w:p w14:paraId="4A52F64A">
            <w:pPr>
              <w:spacing w:line="360" w:lineRule="auto"/>
              <w:jc w:val="center"/>
              <w:rPr>
                <w:rFonts w:hint="eastAsia" w:ascii="宋体" w:hAnsi="宋体" w:eastAsia="宋体" w:cs="宋体"/>
                <w:color w:val="auto"/>
                <w:szCs w:val="21"/>
                <w:highlight w:val="none"/>
                <w:shd w:val="clear" w:color="auto" w:fill="auto"/>
              </w:rPr>
            </w:pPr>
          </w:p>
        </w:tc>
        <w:tc>
          <w:tcPr>
            <w:tcW w:w="1160" w:type="dxa"/>
            <w:vMerge w:val="continue"/>
            <w:noWrap w:val="0"/>
            <w:vAlign w:val="center"/>
          </w:tcPr>
          <w:p w14:paraId="7580CDE5">
            <w:pPr>
              <w:spacing w:line="340" w:lineRule="exact"/>
              <w:jc w:val="center"/>
              <w:rPr>
                <w:rFonts w:hint="eastAsia" w:ascii="宋体" w:hAnsi="宋体" w:cs="宋体"/>
                <w:color w:val="auto"/>
                <w:kern w:val="2"/>
                <w:sz w:val="21"/>
                <w:szCs w:val="21"/>
                <w:highlight w:val="none"/>
                <w:lang w:val="en-US" w:eastAsia="zh-CN" w:bidi="ar-SA"/>
              </w:rPr>
            </w:pPr>
          </w:p>
        </w:tc>
        <w:tc>
          <w:tcPr>
            <w:tcW w:w="6810" w:type="dxa"/>
            <w:tcBorders>
              <w:left w:val="single" w:color="000000" w:sz="2" w:space="0"/>
            </w:tcBorders>
            <w:shd w:val="clear" w:color="auto" w:fill="auto"/>
            <w:noWrap w:val="0"/>
            <w:vAlign w:val="center"/>
          </w:tcPr>
          <w:p w14:paraId="393A4AB5">
            <w:pPr>
              <w:spacing w:line="360" w:lineRule="auto"/>
              <w:rPr>
                <w:rFonts w:hint="eastAsia" w:ascii="宋体" w:hAnsi="宋体" w:cs="宋体"/>
                <w:color w:val="auto"/>
                <w:highlight w:val="none"/>
                <w:lang w:eastAsia="zh-CN"/>
              </w:rPr>
            </w:pPr>
            <w:r>
              <w:rPr>
                <w:rFonts w:hint="eastAsia" w:ascii="宋体" w:hAnsi="宋体" w:cs="宋体"/>
                <w:color w:val="auto"/>
                <w:highlight w:val="none"/>
                <w:lang w:val="en-US" w:eastAsia="zh-CN"/>
              </w:rPr>
              <w:t>7.3</w:t>
            </w:r>
            <w:r>
              <w:rPr>
                <w:rFonts w:hint="eastAsia" w:ascii="宋体" w:hAnsi="宋体" w:eastAsia="宋体" w:cs="宋体"/>
                <w:color w:val="auto"/>
                <w:highlight w:val="none"/>
              </w:rPr>
              <w:t>人员</w:t>
            </w:r>
            <w:r>
              <w:rPr>
                <w:rFonts w:hint="eastAsia" w:ascii="宋体" w:hAnsi="宋体" w:cs="宋体"/>
                <w:color w:val="auto"/>
                <w:highlight w:val="none"/>
                <w:lang w:val="en-US" w:eastAsia="zh-CN"/>
              </w:rPr>
              <w:t>经验</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eastAsia="zh-CN"/>
              </w:rPr>
              <w:t>）：服务人员有从事过信息化设备运维服务项目</w:t>
            </w:r>
            <w:r>
              <w:rPr>
                <w:rFonts w:hint="eastAsia" w:ascii="宋体" w:hAnsi="宋体" w:cs="宋体"/>
                <w:color w:val="auto"/>
                <w:highlight w:val="none"/>
                <w:lang w:val="en-US" w:eastAsia="zh-CN"/>
              </w:rPr>
              <w:t>经验</w:t>
            </w:r>
            <w:r>
              <w:rPr>
                <w:rFonts w:hint="eastAsia" w:ascii="宋体" w:hAnsi="宋体" w:eastAsia="宋体" w:cs="宋体"/>
                <w:color w:val="auto"/>
                <w:highlight w:val="none"/>
                <w:lang w:eastAsia="zh-CN"/>
              </w:rPr>
              <w:t>的</w:t>
            </w:r>
            <w:r>
              <w:rPr>
                <w:rFonts w:hint="eastAsia" w:ascii="宋体" w:hAnsi="宋体" w:cs="宋体"/>
                <w:color w:val="auto"/>
                <w:highlight w:val="none"/>
                <w:lang w:eastAsia="zh-CN"/>
              </w:rPr>
              <w:t>，每名服务人员得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分，最多得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w:t>
            </w:r>
          </w:p>
          <w:p w14:paraId="5EDDAE09">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投标文件中提供合同复印件、用户证明及在本单位缴纳社保证明</w:t>
            </w:r>
            <w:r>
              <w:rPr>
                <w:rFonts w:hint="eastAsia" w:ascii="宋体" w:hAnsi="宋体" w:cs="宋体"/>
                <w:color w:val="auto"/>
                <w:highlight w:val="none"/>
                <w:lang w:eastAsia="zh-CN"/>
              </w:rPr>
              <w:t>）。</w:t>
            </w:r>
          </w:p>
        </w:tc>
        <w:tc>
          <w:tcPr>
            <w:tcW w:w="1120" w:type="dxa"/>
            <w:tcBorders>
              <w:left w:val="single" w:color="000000" w:sz="2" w:space="0"/>
            </w:tcBorders>
            <w:shd w:val="clear" w:color="auto" w:fill="auto"/>
            <w:noWrap w:val="0"/>
            <w:vAlign w:val="center"/>
          </w:tcPr>
          <w:p w14:paraId="62D3BBFA">
            <w:pPr>
              <w:spacing w:line="360" w:lineRule="auto"/>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highlight w:val="none"/>
                <w:shd w:val="clear" w:color="auto" w:fill="auto"/>
                <w:lang w:val="en-US" w:eastAsia="zh-CN"/>
              </w:rPr>
              <w:t>客</w:t>
            </w:r>
            <w:r>
              <w:rPr>
                <w:rFonts w:hint="eastAsia" w:ascii="宋体" w:hAnsi="宋体" w:eastAsia="宋体" w:cs="宋体"/>
                <w:color w:val="auto"/>
                <w:highlight w:val="none"/>
                <w:shd w:val="clear" w:color="auto" w:fill="auto"/>
                <w:lang w:val="en-US" w:eastAsia="zh-CN"/>
              </w:rPr>
              <w:t>观分</w:t>
            </w:r>
          </w:p>
        </w:tc>
      </w:tr>
      <w:tr w14:paraId="1635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85" w:type="dxa"/>
            <w:vMerge w:val="continue"/>
            <w:noWrap w:val="0"/>
            <w:vAlign w:val="center"/>
          </w:tcPr>
          <w:p w14:paraId="38597015">
            <w:pPr>
              <w:spacing w:line="360" w:lineRule="auto"/>
              <w:jc w:val="center"/>
              <w:rPr>
                <w:rFonts w:hint="eastAsia" w:ascii="宋体" w:hAnsi="宋体" w:eastAsia="宋体" w:cs="宋体"/>
                <w:color w:val="auto"/>
                <w:szCs w:val="21"/>
                <w:highlight w:val="none"/>
                <w:shd w:val="clear" w:color="auto" w:fill="auto"/>
              </w:rPr>
            </w:pPr>
          </w:p>
        </w:tc>
        <w:tc>
          <w:tcPr>
            <w:tcW w:w="7970" w:type="dxa"/>
            <w:gridSpan w:val="2"/>
            <w:noWrap w:val="0"/>
            <w:vAlign w:val="center"/>
          </w:tcPr>
          <w:p w14:paraId="4BC49368">
            <w:pPr>
              <w:spacing w:line="360" w:lineRule="auto"/>
              <w:rPr>
                <w:rFonts w:hint="eastAsia" w:ascii="宋体" w:hAnsi="宋体" w:eastAsia="宋体" w:cs="宋体"/>
                <w:color w:val="auto"/>
                <w:szCs w:val="21"/>
                <w:highlight w:val="none"/>
                <w:shd w:val="clear" w:color="auto" w:fill="auto"/>
              </w:rPr>
            </w:pPr>
            <w:r>
              <w:rPr>
                <w:rFonts w:hint="eastAsia" w:ascii="宋体" w:hAnsi="宋体" w:cs="宋体"/>
                <w:b w:val="0"/>
                <w:bCs w:val="0"/>
                <w:color w:val="auto"/>
                <w:szCs w:val="21"/>
                <w:highlight w:val="none"/>
                <w:shd w:val="clear" w:color="auto" w:fill="auto"/>
                <w:lang w:val="en-US" w:eastAsia="zh-CN"/>
              </w:rPr>
              <w:t>8、</w:t>
            </w:r>
            <w:r>
              <w:rPr>
                <w:rFonts w:hint="eastAsia" w:ascii="宋体" w:hAnsi="宋体" w:eastAsia="宋体" w:cs="宋体"/>
                <w:b w:val="0"/>
                <w:bCs w:val="0"/>
                <w:color w:val="auto"/>
                <w:szCs w:val="21"/>
                <w:highlight w:val="none"/>
                <w:shd w:val="clear" w:color="auto" w:fill="auto"/>
                <w:lang w:val="zh-CN"/>
              </w:rPr>
              <w:t>业绩（</w:t>
            </w:r>
            <w:r>
              <w:rPr>
                <w:rFonts w:hint="eastAsia" w:ascii="宋体" w:hAnsi="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lang w:val="zh-CN"/>
              </w:rPr>
              <w:t>分）：</w:t>
            </w:r>
            <w:r>
              <w:rPr>
                <w:rFonts w:hint="eastAsia" w:ascii="宋体" w:hAnsi="宋体" w:eastAsia="宋体" w:cs="宋体"/>
                <w:b w:val="0"/>
                <w:bCs w:val="0"/>
                <w:color w:val="auto"/>
                <w:szCs w:val="21"/>
                <w:highlight w:val="none"/>
                <w:shd w:val="clear" w:color="auto" w:fill="auto"/>
                <w:lang w:val="en-US" w:eastAsia="zh-CN"/>
              </w:rPr>
              <w:t>202</w:t>
            </w:r>
            <w:r>
              <w:rPr>
                <w:rFonts w:hint="eastAsia" w:ascii="宋体" w:hAnsi="宋体" w:cs="宋体"/>
                <w:b w:val="0"/>
                <w:bCs w:val="0"/>
                <w:color w:val="auto"/>
                <w:szCs w:val="21"/>
                <w:highlight w:val="none"/>
                <w:shd w:val="clear" w:color="auto" w:fill="auto"/>
                <w:lang w:val="en-US" w:eastAsia="zh-CN"/>
              </w:rPr>
              <w:t>1</w:t>
            </w:r>
            <w:r>
              <w:rPr>
                <w:rFonts w:hint="eastAsia" w:ascii="宋体" w:hAnsi="宋体" w:eastAsia="宋体" w:cs="宋体"/>
                <w:b w:val="0"/>
                <w:bCs w:val="0"/>
                <w:color w:val="auto"/>
                <w:szCs w:val="21"/>
                <w:highlight w:val="none"/>
                <w:shd w:val="clear" w:color="auto" w:fill="auto"/>
              </w:rPr>
              <w:t>年1月1日至今（以合同签订时间为准）</w:t>
            </w:r>
            <w:r>
              <w:rPr>
                <w:rFonts w:hint="eastAsia" w:ascii="宋体" w:hAnsi="宋体" w:cs="宋体"/>
                <w:b w:val="0"/>
                <w:bCs w:val="0"/>
                <w:color w:val="auto"/>
                <w:szCs w:val="21"/>
                <w:highlight w:val="none"/>
                <w:shd w:val="clear" w:color="auto" w:fill="auto"/>
                <w:lang w:eastAsia="zh-CN"/>
              </w:rPr>
              <w:t>，</w:t>
            </w:r>
            <w:r>
              <w:rPr>
                <w:rFonts w:hint="eastAsia" w:ascii="宋体" w:hAnsi="宋体" w:cs="宋体"/>
                <w:b w:val="0"/>
                <w:bCs w:val="0"/>
                <w:color w:val="auto"/>
                <w:szCs w:val="21"/>
                <w:highlight w:val="none"/>
                <w:shd w:val="clear" w:color="auto" w:fill="auto"/>
                <w:lang w:val="en-US" w:eastAsia="zh-CN"/>
              </w:rPr>
              <w:t>投标人承接过信息化设备运维服务项目的</w:t>
            </w:r>
            <w:r>
              <w:rPr>
                <w:rFonts w:hint="eastAsia" w:ascii="宋体" w:hAnsi="宋体" w:eastAsia="宋体" w:cs="宋体"/>
                <w:b w:val="0"/>
                <w:bCs w:val="0"/>
                <w:color w:val="auto"/>
                <w:szCs w:val="21"/>
                <w:highlight w:val="none"/>
                <w:shd w:val="clear" w:color="auto" w:fill="auto"/>
              </w:rPr>
              <w:t>，每</w:t>
            </w:r>
            <w:r>
              <w:rPr>
                <w:rFonts w:hint="eastAsia" w:ascii="宋体" w:hAnsi="宋体" w:eastAsia="宋体" w:cs="宋体"/>
                <w:b w:val="0"/>
                <w:bCs w:val="0"/>
                <w:color w:val="auto"/>
                <w:szCs w:val="21"/>
                <w:highlight w:val="none"/>
                <w:shd w:val="clear" w:color="auto" w:fill="auto"/>
                <w:lang w:val="en-US" w:eastAsia="zh-CN"/>
              </w:rPr>
              <w:t>提供一</w:t>
            </w:r>
            <w:r>
              <w:rPr>
                <w:rFonts w:hint="eastAsia" w:ascii="宋体" w:hAnsi="宋体" w:eastAsia="宋体" w:cs="宋体"/>
                <w:b w:val="0"/>
                <w:bCs w:val="0"/>
                <w:color w:val="auto"/>
                <w:szCs w:val="21"/>
                <w:highlight w:val="none"/>
                <w:shd w:val="clear" w:color="auto" w:fill="auto"/>
              </w:rPr>
              <w:t>份合同得</w:t>
            </w:r>
            <w:r>
              <w:rPr>
                <w:rFonts w:hint="eastAsia" w:ascii="宋体" w:hAnsi="宋体" w:cs="宋体"/>
                <w:b w:val="0"/>
                <w:bCs w:val="0"/>
                <w:color w:val="auto"/>
                <w:szCs w:val="21"/>
                <w:highlight w:val="none"/>
                <w:shd w:val="clear" w:color="auto" w:fill="auto"/>
                <w:lang w:val="en-US" w:eastAsia="zh-CN"/>
              </w:rPr>
              <w:t>1</w:t>
            </w:r>
            <w:r>
              <w:rPr>
                <w:rFonts w:hint="eastAsia" w:ascii="宋体" w:hAnsi="宋体" w:eastAsia="宋体" w:cs="宋体"/>
                <w:b w:val="0"/>
                <w:bCs w:val="0"/>
                <w:color w:val="auto"/>
                <w:szCs w:val="21"/>
                <w:highlight w:val="none"/>
                <w:shd w:val="clear" w:color="auto" w:fill="auto"/>
              </w:rPr>
              <w:t>分，</w:t>
            </w:r>
            <w:r>
              <w:rPr>
                <w:rFonts w:hint="eastAsia" w:ascii="宋体" w:hAnsi="宋体" w:cs="宋体"/>
                <w:b w:val="0"/>
                <w:bCs w:val="0"/>
                <w:color w:val="auto"/>
                <w:szCs w:val="21"/>
                <w:highlight w:val="none"/>
                <w:shd w:val="clear" w:color="auto" w:fill="auto"/>
                <w:lang w:val="en-US" w:eastAsia="zh-CN"/>
              </w:rPr>
              <w:t>本项</w:t>
            </w:r>
            <w:r>
              <w:rPr>
                <w:rFonts w:hint="eastAsia" w:ascii="宋体" w:hAnsi="宋体" w:eastAsia="宋体" w:cs="宋体"/>
                <w:b w:val="0"/>
                <w:bCs w:val="0"/>
                <w:color w:val="auto"/>
                <w:szCs w:val="21"/>
                <w:highlight w:val="none"/>
                <w:shd w:val="clear" w:color="auto" w:fill="auto"/>
              </w:rPr>
              <w:t>最高</w:t>
            </w:r>
            <w:r>
              <w:rPr>
                <w:rFonts w:hint="eastAsia" w:ascii="宋体" w:hAnsi="宋体" w:cs="宋体"/>
                <w:b w:val="0"/>
                <w:bCs w:val="0"/>
                <w:color w:val="auto"/>
                <w:szCs w:val="21"/>
                <w:highlight w:val="none"/>
                <w:shd w:val="clear" w:color="auto" w:fill="auto"/>
                <w:lang w:val="en-US" w:eastAsia="zh-CN"/>
              </w:rPr>
              <w:t>2</w:t>
            </w:r>
            <w:r>
              <w:rPr>
                <w:rFonts w:hint="eastAsia" w:ascii="宋体" w:hAnsi="宋体" w:eastAsia="宋体" w:cs="宋体"/>
                <w:b w:val="0"/>
                <w:bCs w:val="0"/>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投标文件中提供合同复印件并加盖公章，未提供的或未按要求盖章的视为无效业绩</w:t>
            </w:r>
            <w:r>
              <w:rPr>
                <w:rFonts w:hint="eastAsia" w:ascii="宋体" w:hAnsi="宋体" w:eastAsia="宋体" w:cs="宋体"/>
                <w:b w:val="0"/>
                <w:bCs w:val="0"/>
                <w:color w:val="auto"/>
                <w:szCs w:val="21"/>
                <w:highlight w:val="none"/>
                <w:shd w:val="clear" w:color="auto" w:fill="auto"/>
                <w:lang w:eastAsia="zh-CN"/>
              </w:rPr>
              <w:t>）</w:t>
            </w:r>
            <w:r>
              <w:rPr>
                <w:rFonts w:hint="eastAsia" w:ascii="宋体" w:hAnsi="宋体" w:eastAsia="宋体" w:cs="宋体"/>
                <w:b w:val="0"/>
                <w:bCs w:val="0"/>
                <w:color w:val="auto"/>
                <w:szCs w:val="21"/>
                <w:highlight w:val="none"/>
                <w:shd w:val="clear" w:color="auto" w:fill="auto"/>
              </w:rPr>
              <w:t>。</w:t>
            </w:r>
          </w:p>
        </w:tc>
        <w:tc>
          <w:tcPr>
            <w:tcW w:w="1120" w:type="dxa"/>
            <w:noWrap w:val="0"/>
            <w:vAlign w:val="center"/>
          </w:tcPr>
          <w:p w14:paraId="5EC613D3">
            <w:pPr>
              <w:spacing w:line="360" w:lineRule="auto"/>
              <w:jc w:val="center"/>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lang w:val="en-US" w:eastAsia="zh-CN"/>
              </w:rPr>
              <w:t>客观分</w:t>
            </w:r>
          </w:p>
        </w:tc>
      </w:tr>
      <w:tr w14:paraId="4F90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85" w:type="dxa"/>
            <w:vMerge w:val="continue"/>
            <w:noWrap w:val="0"/>
            <w:vAlign w:val="center"/>
          </w:tcPr>
          <w:p w14:paraId="089597B4">
            <w:pPr>
              <w:spacing w:line="360" w:lineRule="auto"/>
              <w:jc w:val="center"/>
              <w:rPr>
                <w:rFonts w:hint="eastAsia" w:ascii="宋体" w:hAnsi="宋体" w:eastAsia="宋体" w:cs="宋体"/>
                <w:color w:val="auto"/>
                <w:szCs w:val="21"/>
                <w:highlight w:val="none"/>
                <w:shd w:val="clear" w:color="auto" w:fill="auto"/>
              </w:rPr>
            </w:pPr>
          </w:p>
        </w:tc>
        <w:tc>
          <w:tcPr>
            <w:tcW w:w="7970" w:type="dxa"/>
            <w:gridSpan w:val="2"/>
            <w:noWrap w:val="0"/>
            <w:vAlign w:val="center"/>
          </w:tcPr>
          <w:p w14:paraId="3C37639D">
            <w:pPr>
              <w:spacing w:line="360" w:lineRule="auto"/>
              <w:rPr>
                <w:rFonts w:hint="default" w:ascii="宋体" w:hAnsi="宋体" w:eastAsia="宋体" w:cs="宋体"/>
                <w:b w:val="0"/>
                <w:bCs w:val="0"/>
                <w:color w:val="auto"/>
                <w:szCs w:val="21"/>
                <w:highlight w:val="none"/>
                <w:shd w:val="clear" w:color="auto" w:fill="auto"/>
                <w:lang w:val="en-US" w:eastAsia="zh-CN"/>
              </w:rPr>
            </w:pPr>
            <w:r>
              <w:rPr>
                <w:rFonts w:hint="eastAsia" w:ascii="宋体" w:hAnsi="宋体" w:cs="宋体"/>
                <w:b w:val="0"/>
                <w:bCs w:val="0"/>
                <w:color w:val="auto"/>
                <w:szCs w:val="21"/>
                <w:highlight w:val="none"/>
                <w:shd w:val="clear" w:color="auto" w:fill="auto"/>
                <w:lang w:val="en-US" w:eastAsia="zh-CN"/>
              </w:rPr>
              <w:t>9、</w:t>
            </w:r>
            <w:r>
              <w:rPr>
                <w:rFonts w:hint="eastAsia" w:ascii="宋体" w:hAnsi="宋体" w:eastAsia="宋体" w:cs="宋体"/>
                <w:b w:val="0"/>
                <w:bCs w:val="0"/>
                <w:color w:val="auto"/>
                <w:szCs w:val="21"/>
                <w:highlight w:val="none"/>
                <w:shd w:val="clear" w:color="auto" w:fill="auto"/>
                <w:lang w:val="en-US" w:eastAsia="zh-CN"/>
              </w:rPr>
              <w:t>证书（</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lang w:val="en-US" w:eastAsia="zh-CN"/>
              </w:rPr>
              <w:t>分）：</w:t>
            </w:r>
            <w:r>
              <w:rPr>
                <w:rFonts w:hint="eastAsia" w:ascii="宋体" w:hAnsi="宋体" w:cs="宋体"/>
                <w:b w:val="0"/>
                <w:bCs w:val="0"/>
                <w:color w:val="auto"/>
                <w:szCs w:val="21"/>
                <w:highlight w:val="none"/>
                <w:shd w:val="clear" w:color="auto" w:fill="auto"/>
                <w:lang w:val="en-US" w:eastAsia="zh-CN"/>
              </w:rPr>
              <w:t>投标人具有以下证书的，每提供一个证书得1分，满分为4分。</w:t>
            </w:r>
          </w:p>
          <w:p w14:paraId="61794FC9">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①质量管理体系认证证书</w:t>
            </w:r>
          </w:p>
          <w:p w14:paraId="07D4F43E">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②环境管理体系认证证书</w:t>
            </w:r>
          </w:p>
          <w:p w14:paraId="332A6FD9">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③职业健康安全管理体系认证证书</w:t>
            </w:r>
          </w:p>
          <w:p w14:paraId="4C6B5D84">
            <w:pPr>
              <w:spacing w:line="360" w:lineRule="auto"/>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④</w:t>
            </w:r>
            <w:r>
              <w:rPr>
                <w:rFonts w:hint="eastAsia" w:ascii="宋体" w:hAnsi="宋体" w:cs="宋体"/>
                <w:color w:val="auto"/>
                <w:szCs w:val="21"/>
                <w:highlight w:val="none"/>
                <w:lang w:val="en-US" w:eastAsia="zh-CN"/>
              </w:rPr>
              <w:t>信息安全系统运维资质证书</w:t>
            </w:r>
          </w:p>
          <w:p w14:paraId="5C42BC8A">
            <w:pPr>
              <w:spacing w:line="360" w:lineRule="auto"/>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（投标文件中提供以上有效的证书</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lang w:val="en-US" w:eastAsia="zh-CN"/>
              </w:rPr>
              <w:t>加盖公章</w:t>
            </w:r>
            <w:r>
              <w:rPr>
                <w:rFonts w:hint="eastAsia" w:ascii="宋体" w:hAnsi="宋体" w:cs="宋体"/>
                <w:color w:val="auto"/>
                <w:szCs w:val="21"/>
                <w:highlight w:val="none"/>
                <w:shd w:val="clear" w:color="auto" w:fill="auto"/>
                <w:lang w:val="en-US" w:eastAsia="zh-CN"/>
              </w:rPr>
              <w:t>，以上证书需在有效期内</w:t>
            </w:r>
            <w:r>
              <w:rPr>
                <w:rFonts w:hint="eastAsia" w:ascii="宋体" w:hAnsi="宋体" w:eastAsia="宋体" w:cs="宋体"/>
                <w:color w:val="auto"/>
                <w:szCs w:val="21"/>
                <w:highlight w:val="none"/>
                <w:shd w:val="clear" w:color="auto" w:fill="auto"/>
                <w:lang w:val="en-US" w:eastAsia="zh-CN"/>
              </w:rPr>
              <w:t>）</w:t>
            </w:r>
            <w:r>
              <w:rPr>
                <w:rFonts w:hint="eastAsia" w:ascii="宋体" w:hAnsi="宋体" w:cs="宋体"/>
                <w:color w:val="auto"/>
                <w:szCs w:val="21"/>
                <w:highlight w:val="none"/>
                <w:shd w:val="clear" w:color="auto" w:fill="auto"/>
                <w:lang w:val="en-US" w:eastAsia="zh-CN"/>
              </w:rPr>
              <w:t>。</w:t>
            </w:r>
          </w:p>
        </w:tc>
        <w:tc>
          <w:tcPr>
            <w:tcW w:w="1120" w:type="dxa"/>
            <w:noWrap w:val="0"/>
            <w:vAlign w:val="center"/>
          </w:tcPr>
          <w:p w14:paraId="5D5DCA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b w:val="0"/>
                <w:bCs w:val="0"/>
                <w:color w:val="auto"/>
                <w:szCs w:val="21"/>
                <w:highlight w:val="none"/>
                <w:shd w:val="clear" w:color="auto" w:fill="auto"/>
                <w:lang w:val="en-US" w:eastAsia="zh-CN"/>
              </w:rPr>
              <w:t>客观分</w:t>
            </w:r>
          </w:p>
        </w:tc>
      </w:tr>
      <w:tr w14:paraId="68BB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85" w:type="dxa"/>
            <w:shd w:val="clear" w:color="auto" w:fill="auto"/>
            <w:noWrap w:val="0"/>
            <w:vAlign w:val="center"/>
          </w:tcPr>
          <w:p w14:paraId="431D847C">
            <w:pPr>
              <w:spacing w:line="360" w:lineRule="exac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价格分</w:t>
            </w:r>
          </w:p>
          <w:p w14:paraId="007EC9F1">
            <w:pPr>
              <w:spacing w:line="360" w:lineRule="exact"/>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w:t>
            </w:r>
            <w:r>
              <w:rPr>
                <w:rFonts w:hint="eastAsia" w:ascii="宋体" w:hAnsi="宋体" w:cs="宋体"/>
                <w:b/>
                <w:bCs/>
                <w:color w:val="auto"/>
                <w:szCs w:val="21"/>
                <w:highlight w:val="none"/>
                <w:shd w:val="clear" w:color="auto" w:fill="auto"/>
                <w:lang w:val="en-US" w:eastAsia="zh-CN"/>
              </w:rPr>
              <w:t>20</w:t>
            </w:r>
            <w:r>
              <w:rPr>
                <w:rFonts w:hint="eastAsia" w:ascii="宋体" w:hAnsi="宋体" w:eastAsia="宋体" w:cs="宋体"/>
                <w:b/>
                <w:bCs/>
                <w:color w:val="auto"/>
                <w:szCs w:val="21"/>
                <w:highlight w:val="none"/>
                <w:shd w:val="clear" w:color="auto" w:fill="auto"/>
              </w:rPr>
              <w:t>分）</w:t>
            </w:r>
          </w:p>
        </w:tc>
        <w:tc>
          <w:tcPr>
            <w:tcW w:w="7970" w:type="dxa"/>
            <w:gridSpan w:val="2"/>
            <w:shd w:val="clear" w:color="auto" w:fill="auto"/>
            <w:noWrap w:val="0"/>
            <w:vAlign w:val="center"/>
          </w:tcPr>
          <w:p w14:paraId="693B98C1">
            <w:pPr>
              <w:tabs>
                <w:tab w:val="left" w:pos="0"/>
              </w:tabs>
              <w:spacing w:line="360" w:lineRule="auto"/>
              <w:rPr>
                <w:rFonts w:hint="eastAsia" w:ascii="宋体" w:hAnsi="宋体" w:cs="宋体"/>
                <w:bCs/>
                <w:color w:val="auto"/>
                <w:szCs w:val="21"/>
                <w:highlight w:val="none"/>
                <w:shd w:val="clear" w:color="auto" w:fill="auto"/>
                <w:lang w:val="en-US" w:eastAsia="zh-CN"/>
              </w:rPr>
            </w:pPr>
            <w:r>
              <w:rPr>
                <w:rFonts w:hint="eastAsia" w:ascii="宋体" w:hAnsi="宋体" w:cs="宋体"/>
                <w:bCs/>
                <w:color w:val="auto"/>
                <w:szCs w:val="21"/>
                <w:highlight w:val="none"/>
                <w:shd w:val="clear" w:color="auto" w:fill="auto"/>
                <w:lang w:val="en-US" w:eastAsia="zh-CN"/>
              </w:rPr>
              <w:t>评标基准价指的是满足招标文件要求且最低投标报价。</w:t>
            </w:r>
          </w:p>
          <w:p w14:paraId="18BE2659">
            <w:pPr>
              <w:tabs>
                <w:tab w:val="left" w:pos="0"/>
              </w:tabs>
              <w:spacing w:line="360" w:lineRule="auto"/>
              <w:rPr>
                <w:rFonts w:hint="eastAsia" w:ascii="宋体" w:hAnsi="宋体" w:cs="宋体"/>
                <w:bCs/>
                <w:color w:val="auto"/>
                <w:szCs w:val="21"/>
                <w:highlight w:val="none"/>
                <w:shd w:val="clear" w:color="auto" w:fill="auto"/>
                <w:lang w:val="en-US" w:eastAsia="zh-CN"/>
              </w:rPr>
            </w:pPr>
            <w:r>
              <w:rPr>
                <w:rFonts w:hint="eastAsia" w:ascii="宋体" w:hAnsi="宋体" w:cs="宋体"/>
                <w:bCs/>
                <w:color w:val="auto"/>
                <w:szCs w:val="21"/>
                <w:highlight w:val="none"/>
                <w:shd w:val="clear" w:color="auto" w:fill="auto"/>
                <w:lang w:val="en-US" w:eastAsia="zh-CN"/>
              </w:rPr>
              <w:t>评标基准价得满分20分。</w:t>
            </w:r>
          </w:p>
          <w:p w14:paraId="6F1EBB44">
            <w:pPr>
              <w:tabs>
                <w:tab w:val="left" w:pos="0"/>
              </w:tabs>
              <w:spacing w:line="360" w:lineRule="auto"/>
              <w:rPr>
                <w:rFonts w:hint="eastAsia" w:ascii="宋体" w:hAnsi="宋体" w:cs="宋体"/>
                <w:bCs/>
                <w:color w:val="auto"/>
                <w:szCs w:val="21"/>
                <w:highlight w:val="none"/>
                <w:shd w:val="clear" w:color="auto" w:fill="auto"/>
                <w:lang w:val="en-US" w:eastAsia="zh-CN"/>
              </w:rPr>
            </w:pPr>
            <w:r>
              <w:rPr>
                <w:rFonts w:hint="eastAsia" w:ascii="宋体" w:hAnsi="宋体" w:cs="宋体"/>
                <w:bCs/>
                <w:color w:val="auto"/>
                <w:szCs w:val="21"/>
                <w:highlight w:val="none"/>
                <w:shd w:val="clear" w:color="auto" w:fill="auto"/>
                <w:lang w:val="en-US" w:eastAsia="zh-CN"/>
              </w:rPr>
              <w:t>其他投标人价格得分按照下列公式计算：</w:t>
            </w:r>
          </w:p>
          <w:p w14:paraId="3E5633CC">
            <w:pPr>
              <w:tabs>
                <w:tab w:val="left" w:pos="0"/>
              </w:tabs>
              <w:spacing w:line="360" w:lineRule="auto"/>
              <w:rPr>
                <w:rFonts w:hint="eastAsia" w:ascii="宋体" w:hAnsi="宋体" w:cs="宋体"/>
                <w:bCs/>
                <w:color w:val="auto"/>
                <w:szCs w:val="21"/>
                <w:highlight w:val="none"/>
                <w:shd w:val="clear" w:color="auto" w:fill="auto"/>
                <w:lang w:val="en-US" w:eastAsia="zh-CN"/>
              </w:rPr>
            </w:pPr>
            <w:r>
              <w:rPr>
                <w:rFonts w:hint="eastAsia" w:ascii="宋体" w:hAnsi="宋体" w:cs="宋体"/>
                <w:bCs/>
                <w:color w:val="auto"/>
                <w:szCs w:val="21"/>
                <w:highlight w:val="none"/>
                <w:shd w:val="clear" w:color="auto" w:fill="auto"/>
                <w:lang w:val="en-US" w:eastAsia="zh-CN"/>
              </w:rPr>
              <w:t>价格得分=（评标基准价/投标报价）×20％×100。</w:t>
            </w:r>
          </w:p>
          <w:p w14:paraId="2C076F72">
            <w:pPr>
              <w:tabs>
                <w:tab w:val="left" w:pos="0"/>
              </w:tabs>
              <w:spacing w:line="360" w:lineRule="auto"/>
              <w:rPr>
                <w:rFonts w:hint="eastAsia" w:ascii="宋体" w:hAnsi="宋体" w:cs="宋体"/>
                <w:bCs/>
                <w:color w:val="auto"/>
                <w:szCs w:val="21"/>
                <w:highlight w:val="none"/>
                <w:shd w:val="clear" w:color="auto" w:fill="auto"/>
                <w:lang w:val="en-US" w:eastAsia="zh-CN"/>
              </w:rPr>
            </w:pPr>
            <w:r>
              <w:rPr>
                <w:rFonts w:hint="eastAsia" w:ascii="宋体" w:hAnsi="宋体" w:cs="宋体"/>
                <w:bCs/>
                <w:color w:val="auto"/>
                <w:szCs w:val="21"/>
                <w:highlight w:val="none"/>
                <w:shd w:val="clear" w:color="auto" w:fill="auto"/>
                <w:lang w:val="en-US" w:eastAsia="zh-CN"/>
              </w:rPr>
              <w:t>注：1、投标报价超过采购预算金额的作无效标处理。</w:t>
            </w:r>
          </w:p>
          <w:p w14:paraId="3C339B59">
            <w:pPr>
              <w:tabs>
                <w:tab w:val="left" w:pos="0"/>
              </w:tabs>
              <w:spacing w:line="360" w:lineRule="auto"/>
              <w:rPr>
                <w:rFonts w:hint="eastAsia" w:ascii="宋体" w:hAnsi="宋体" w:eastAsia="宋体" w:cs="宋体"/>
                <w:bCs/>
                <w:color w:val="auto"/>
                <w:kern w:val="2"/>
                <w:sz w:val="21"/>
                <w:szCs w:val="21"/>
                <w:highlight w:val="none"/>
                <w:shd w:val="clear" w:color="auto" w:fill="auto"/>
                <w:lang w:val="en-US" w:eastAsia="zh-CN" w:bidi="ar-SA"/>
              </w:rPr>
            </w:pPr>
            <w:r>
              <w:rPr>
                <w:rFonts w:hint="eastAsia" w:ascii="宋体" w:hAnsi="宋体" w:cs="宋体"/>
                <w:bCs/>
                <w:color w:val="auto"/>
                <w:szCs w:val="21"/>
                <w:highlight w:val="none"/>
                <w:shd w:val="clear" w:color="auto" w:fill="auto"/>
                <w:lang w:val="en-US" w:eastAsia="zh-CN"/>
              </w:rPr>
              <w:t>2、价格得分小数点后保留2位小数，第3位小数四舍五入。</w:t>
            </w:r>
          </w:p>
        </w:tc>
        <w:tc>
          <w:tcPr>
            <w:tcW w:w="1120" w:type="dxa"/>
            <w:shd w:val="clear" w:color="auto" w:fill="auto"/>
            <w:noWrap w:val="0"/>
            <w:vAlign w:val="center"/>
          </w:tcPr>
          <w:p w14:paraId="23103E88">
            <w:pPr>
              <w:spacing w:line="360" w:lineRule="auto"/>
              <w:jc w:val="cente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lang w:val="en-US" w:eastAsia="zh-CN"/>
              </w:rPr>
              <w:t>客观分</w:t>
            </w:r>
          </w:p>
        </w:tc>
      </w:tr>
    </w:tbl>
    <w:p w14:paraId="6AB8013F">
      <w:pPr>
        <w:rPr>
          <w:rFonts w:hint="eastAsia"/>
          <w:color w:val="auto"/>
          <w:highlight w:val="none"/>
        </w:rPr>
      </w:pPr>
    </w:p>
    <w:p w14:paraId="57ABA8E8">
      <w:pPr>
        <w:snapToGrid w:val="0"/>
        <w:spacing w:line="240" w:lineRule="auto"/>
        <w:rPr>
          <w:rFonts w:hint="eastAsia" w:ascii="宋体" w:hAnsi="宋体" w:cs="宋体"/>
          <w:color w:val="auto"/>
          <w:sz w:val="21"/>
          <w:szCs w:val="21"/>
          <w:highlight w:val="none"/>
        </w:rPr>
      </w:pPr>
      <w:r>
        <w:rPr>
          <w:rFonts w:hint="eastAsia" w:ascii="宋体" w:hAnsi="宋体" w:cs="宋体"/>
          <w:b/>
          <w:bCs w:val="0"/>
          <w:color w:val="auto"/>
          <w:sz w:val="21"/>
          <w:szCs w:val="21"/>
          <w:highlight w:val="none"/>
        </w:rPr>
        <w:t>备注：</w:t>
      </w: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1）</w:t>
      </w:r>
      <w:r>
        <w:rPr>
          <w:rFonts w:hint="eastAsia" w:ascii="宋体" w:hAnsi="宋体" w:cs="宋体"/>
          <w:b/>
          <w:bCs w:val="0"/>
          <w:color w:val="auto"/>
          <w:sz w:val="21"/>
          <w:szCs w:val="21"/>
          <w:highlight w:val="none"/>
        </w:rPr>
        <w:t>投标人编制投标文件（商务技术文件部分）时，建议按此目录（序号和</w:t>
      </w:r>
      <w:r>
        <w:rPr>
          <w:rFonts w:hint="eastAsia" w:ascii="宋体" w:hAnsi="宋体" w:eastAsia="宋体" w:cs="宋体"/>
          <w:b/>
          <w:bCs w:val="0"/>
          <w:color w:val="auto"/>
          <w:sz w:val="21"/>
          <w:szCs w:val="21"/>
          <w:highlight w:val="none"/>
        </w:rPr>
        <w:t>内容）提供评标标准相应的商务技术资料。</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 xml:space="preserve">评委在上表设定的分值范围内打分(四舍五入保留两位小数)，平均分值计算四舍五入保留两位小数点。 </w:t>
      </w:r>
      <w:r>
        <w:rPr>
          <w:rFonts w:hint="eastAsia" w:ascii="宋体" w:hAnsi="宋体" w:cs="宋体"/>
          <w:color w:val="auto"/>
          <w:sz w:val="21"/>
          <w:szCs w:val="21"/>
          <w:highlight w:val="none"/>
        </w:rPr>
        <w:t> </w:t>
      </w:r>
    </w:p>
    <w:p w14:paraId="0D7D07EE">
      <w:pPr>
        <w:rPr>
          <w:rFonts w:hint="eastAsia" w:ascii="宋体" w:hAnsi="宋体" w:eastAsia="宋体" w:cs="宋体"/>
          <w:b/>
          <w:color w:val="auto"/>
          <w:sz w:val="24"/>
          <w:szCs w:val="24"/>
          <w:highlight w:val="none"/>
          <w:lang w:val="en-US" w:eastAsia="zh-CN"/>
        </w:rPr>
      </w:pPr>
      <w:bookmarkStart w:id="415" w:name="_Toc22860"/>
      <w:r>
        <w:rPr>
          <w:rFonts w:hint="eastAsia" w:ascii="宋体" w:hAnsi="宋体" w:eastAsia="宋体" w:cs="宋体"/>
          <w:b/>
          <w:color w:val="auto"/>
          <w:sz w:val="24"/>
          <w:szCs w:val="24"/>
          <w:highlight w:val="none"/>
          <w:lang w:val="en-US" w:eastAsia="zh-CN"/>
        </w:rPr>
        <w:br w:type="page"/>
      </w:r>
    </w:p>
    <w:p w14:paraId="60A384BB">
      <w:pPr>
        <w:spacing w:line="360" w:lineRule="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一、评标方法</w:t>
      </w:r>
      <w:bookmarkEnd w:id="415"/>
    </w:p>
    <w:p w14:paraId="2C51060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7A390B">
      <w:pPr>
        <w:spacing w:line="360" w:lineRule="auto"/>
        <w:outlineLvl w:val="1"/>
        <w:rPr>
          <w:rFonts w:hint="eastAsia" w:ascii="宋体" w:hAnsi="宋体" w:eastAsia="宋体" w:cs="宋体"/>
          <w:b/>
          <w:color w:val="auto"/>
          <w:sz w:val="24"/>
          <w:szCs w:val="24"/>
          <w:highlight w:val="none"/>
          <w:lang w:val="en-US" w:eastAsia="zh-CN"/>
        </w:rPr>
      </w:pPr>
      <w:bookmarkStart w:id="416" w:name="_Toc29389"/>
      <w:r>
        <w:rPr>
          <w:rFonts w:hint="eastAsia" w:ascii="宋体" w:hAnsi="宋体" w:eastAsia="宋体" w:cs="宋体"/>
          <w:b/>
          <w:color w:val="auto"/>
          <w:sz w:val="24"/>
          <w:szCs w:val="24"/>
          <w:highlight w:val="none"/>
          <w:lang w:val="en-US" w:eastAsia="zh-CN"/>
        </w:rPr>
        <w:t>二、评标标准</w:t>
      </w:r>
      <w:bookmarkEnd w:id="416"/>
    </w:p>
    <w:p w14:paraId="083EFF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EFA0824">
      <w:pPr>
        <w:spacing w:line="360" w:lineRule="auto"/>
        <w:outlineLvl w:val="1"/>
        <w:rPr>
          <w:rFonts w:hint="eastAsia" w:ascii="宋体" w:hAnsi="宋体" w:eastAsia="宋体" w:cs="宋体"/>
          <w:b/>
          <w:color w:val="auto"/>
          <w:sz w:val="24"/>
          <w:szCs w:val="24"/>
          <w:highlight w:val="none"/>
          <w:lang w:val="en-US" w:eastAsia="zh-CN"/>
        </w:rPr>
      </w:pPr>
      <w:bookmarkStart w:id="417" w:name="_Toc1306"/>
      <w:r>
        <w:rPr>
          <w:rFonts w:hint="eastAsia" w:ascii="宋体" w:hAnsi="宋体" w:eastAsia="宋体" w:cs="宋体"/>
          <w:b/>
          <w:color w:val="auto"/>
          <w:sz w:val="24"/>
          <w:szCs w:val="24"/>
          <w:highlight w:val="none"/>
          <w:lang w:val="en-US" w:eastAsia="zh-CN"/>
        </w:rPr>
        <w:t>三、评标程序</w:t>
      </w:r>
      <w:bookmarkEnd w:id="417"/>
    </w:p>
    <w:p w14:paraId="4A7275F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800D50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739C40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3DB5C5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35BBD1">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8EC39E8">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0D8E7A56">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BCBC6D7">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E129FB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F4255D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4384A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8206E3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23A7AF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w:t>
      </w:r>
      <w:r>
        <w:rPr>
          <w:rFonts w:hint="eastAsia" w:ascii="宋体" w:hAnsi="宋体" w:cs="宋体"/>
          <w:color w:val="auto"/>
          <w:kern w:val="0"/>
          <w:szCs w:val="24"/>
          <w:highlight w:val="none"/>
          <w:lang w:val="en-US"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2D3BD1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548D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87880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D2FD49">
      <w:pPr>
        <w:spacing w:line="360" w:lineRule="auto"/>
        <w:outlineLvl w:val="1"/>
        <w:rPr>
          <w:rFonts w:hint="eastAsia" w:ascii="宋体" w:hAnsi="宋体" w:eastAsia="宋体" w:cs="宋体"/>
          <w:b/>
          <w:color w:val="auto"/>
          <w:sz w:val="24"/>
          <w:szCs w:val="24"/>
          <w:highlight w:val="none"/>
        </w:rPr>
      </w:pPr>
      <w:bookmarkStart w:id="418" w:name="_Toc29108"/>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评标中的其他事项</w:t>
      </w:r>
      <w:bookmarkEnd w:id="418"/>
    </w:p>
    <w:p w14:paraId="22161A2F">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auto"/>
          <w:kern w:val="0"/>
          <w:szCs w:val="24"/>
          <w:highlight w:val="none"/>
          <w:lang w:val="en-US" w:eastAsia="zh-CN"/>
        </w:rPr>
        <w:t>章</w:t>
      </w:r>
      <w:r>
        <w:rPr>
          <w:rFonts w:hint="eastAsia" w:ascii="宋体" w:hAnsi="宋体" w:cs="宋体"/>
          <w:color w:val="auto"/>
          <w:kern w:val="0"/>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4FB04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D2AA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677E91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9985A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731F59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40BE1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D9F8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70D5D5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FDD4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03AF1D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2153FD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1D7BA6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24EA53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01F60CF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16F8BF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625B6A5">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C23DEA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B0D0A6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21C501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DDBAD60">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5C04066">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BEC837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213255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13C853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121662">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7B13AF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B3E1277">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494DE9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47"/>
    <w:p w14:paraId="4A942B92">
      <w:pPr>
        <w:rPr>
          <w:color w:val="auto"/>
          <w:highlight w:val="none"/>
        </w:rPr>
      </w:pPr>
      <w:bookmarkStart w:id="419" w:name="第五部分"/>
      <w:bookmarkStart w:id="420" w:name="_Toc86217003"/>
      <w:r>
        <w:rPr>
          <w:color w:val="auto"/>
          <w:highlight w:val="none"/>
        </w:rPr>
        <w:br w:type="page"/>
      </w:r>
    </w:p>
    <w:p w14:paraId="2989D7FA">
      <w:pPr>
        <w:rPr>
          <w:color w:val="auto"/>
          <w:highlight w:val="none"/>
        </w:rPr>
      </w:pPr>
    </w:p>
    <w:p w14:paraId="2F56E177">
      <w:pPr>
        <w:numPr>
          <w:ilvl w:val="0"/>
          <w:numId w:val="5"/>
        </w:numPr>
        <w:spacing w:line="360" w:lineRule="auto"/>
        <w:jc w:val="center"/>
        <w:outlineLvl w:val="0"/>
        <w:rPr>
          <w:rFonts w:hint="eastAsia" w:ascii="宋体" w:hAnsi="宋体" w:cs="宋体"/>
          <w:b/>
          <w:color w:val="auto"/>
          <w:sz w:val="36"/>
          <w:szCs w:val="36"/>
          <w:highlight w:val="none"/>
        </w:rPr>
      </w:pPr>
      <w:bookmarkStart w:id="421" w:name="_Toc20593"/>
      <w:bookmarkStart w:id="422" w:name="_Toc9175"/>
      <w:r>
        <w:rPr>
          <w:rFonts w:hint="eastAsia" w:ascii="宋体" w:hAnsi="宋体" w:cs="宋体"/>
          <w:b/>
          <w:color w:val="auto"/>
          <w:sz w:val="36"/>
          <w:szCs w:val="36"/>
          <w:highlight w:val="none"/>
        </w:rPr>
        <w:t>拟签订的合同文本</w:t>
      </w:r>
      <w:bookmarkEnd w:id="421"/>
      <w:bookmarkEnd w:id="422"/>
    </w:p>
    <w:p w14:paraId="5D528922">
      <w:pPr>
        <w:adjustRightInd/>
        <w:spacing w:line="360" w:lineRule="auto"/>
        <w:jc w:val="center"/>
        <w:rPr>
          <w:rFonts w:hint="eastAsia" w:ascii="Calibri" w:hAnsi="Calibri" w:eastAsia="宋体" w:cs="Times New Roman"/>
          <w:b/>
          <w:color w:val="auto"/>
          <w:sz w:val="30"/>
          <w:szCs w:val="30"/>
          <w:highlight w:val="none"/>
        </w:rPr>
      </w:pPr>
    </w:p>
    <w:p w14:paraId="1611E546">
      <w:pPr>
        <w:widowControl w:val="0"/>
        <w:snapToGrid w:val="0"/>
        <w:spacing w:before="156" w:beforeLines="0" w:after="156" w:afterLines="0" w:line="420" w:lineRule="exact"/>
        <w:jc w:val="center"/>
        <w:rPr>
          <w:rFonts w:hint="eastAsia" w:ascii="宋体" w:hAnsi="Courier New" w:eastAsia="宋体" w:cs="Times New Roman"/>
          <w:b/>
          <w:color w:val="auto"/>
          <w:kern w:val="2"/>
          <w:sz w:val="28"/>
          <w:szCs w:val="28"/>
          <w:highlight w:val="none"/>
          <w:lang w:val="en-US" w:eastAsia="zh-CN" w:bidi="ar-SA"/>
        </w:rPr>
      </w:pPr>
      <w:bookmarkStart w:id="423" w:name="_Toc14949"/>
    </w:p>
    <w:p w14:paraId="5DAD3C19">
      <w:pPr>
        <w:widowControl w:val="0"/>
        <w:snapToGrid w:val="0"/>
        <w:spacing w:before="156" w:beforeLines="0" w:after="156" w:afterLines="0" w:line="720" w:lineRule="exact"/>
        <w:jc w:val="center"/>
        <w:rPr>
          <w:rFonts w:hint="eastAsia" w:ascii="宋体" w:hAnsi="Courier New" w:eastAsia="宋体" w:cs="Times New Roman"/>
          <w:b/>
          <w:color w:val="auto"/>
          <w:kern w:val="2"/>
          <w:sz w:val="44"/>
          <w:szCs w:val="44"/>
          <w:highlight w:val="none"/>
          <w:lang w:val="en-US" w:eastAsia="zh-CN" w:bidi="ar-SA"/>
        </w:rPr>
      </w:pPr>
    </w:p>
    <w:p w14:paraId="246494EF">
      <w:pPr>
        <w:widowControl w:val="0"/>
        <w:snapToGrid w:val="0"/>
        <w:spacing w:before="156" w:beforeLines="0" w:after="156" w:afterLines="0" w:line="720" w:lineRule="exact"/>
        <w:jc w:val="center"/>
        <w:rPr>
          <w:rFonts w:hint="eastAsia" w:ascii="宋体" w:hAnsi="Courier New" w:eastAsia="宋体" w:cs="Times New Roman"/>
          <w:b/>
          <w:color w:val="auto"/>
          <w:kern w:val="2"/>
          <w:sz w:val="44"/>
          <w:szCs w:val="44"/>
          <w:highlight w:val="none"/>
          <w:lang w:val="en-US" w:eastAsia="zh-CN" w:bidi="ar-SA"/>
        </w:rPr>
      </w:pPr>
    </w:p>
    <w:p w14:paraId="3A51DBC9">
      <w:pPr>
        <w:widowControl w:val="0"/>
        <w:snapToGrid w:val="0"/>
        <w:spacing w:before="156" w:beforeLines="0" w:after="156" w:afterLines="0" w:line="720" w:lineRule="exact"/>
        <w:jc w:val="center"/>
        <w:rPr>
          <w:rFonts w:hint="eastAsia" w:ascii="宋体" w:hAnsi="Courier New" w:eastAsia="宋体" w:cs="Times New Roman"/>
          <w:b/>
          <w:color w:val="auto"/>
          <w:kern w:val="2"/>
          <w:sz w:val="44"/>
          <w:szCs w:val="44"/>
          <w:highlight w:val="none"/>
          <w:lang w:val="en-US" w:eastAsia="zh-CN" w:bidi="ar-SA"/>
        </w:rPr>
      </w:pPr>
      <w:bookmarkStart w:id="424" w:name="_Hlk68812201"/>
      <w:r>
        <w:rPr>
          <w:rFonts w:hint="eastAsia" w:ascii="宋体" w:hAnsi="Courier New" w:eastAsia="宋体" w:cs="Times New Roman"/>
          <w:b/>
          <w:color w:val="auto"/>
          <w:kern w:val="2"/>
          <w:sz w:val="44"/>
          <w:szCs w:val="44"/>
          <w:highlight w:val="none"/>
          <w:lang w:val="en-US" w:eastAsia="zh-CN" w:bidi="ar-SA"/>
        </w:rPr>
        <w:t>通信运维服务项目</w:t>
      </w:r>
    </w:p>
    <w:p w14:paraId="5D8239FF">
      <w:pPr>
        <w:widowControl w:val="0"/>
        <w:snapToGrid w:val="0"/>
        <w:spacing w:before="156" w:beforeLines="0" w:after="156" w:afterLines="0" w:line="720" w:lineRule="exact"/>
        <w:jc w:val="center"/>
        <w:rPr>
          <w:rFonts w:ascii="宋体" w:hAnsi="Courier New" w:eastAsia="宋体" w:cs="Times New Roman"/>
          <w:b/>
          <w:color w:val="auto"/>
          <w:kern w:val="2"/>
          <w:sz w:val="44"/>
          <w:szCs w:val="44"/>
          <w:highlight w:val="none"/>
          <w:lang w:val="en-US" w:eastAsia="zh-CN" w:bidi="ar-SA"/>
        </w:rPr>
      </w:pPr>
      <w:r>
        <w:rPr>
          <w:rFonts w:hint="eastAsia" w:ascii="宋体" w:hAnsi="Courier New" w:eastAsia="宋体" w:cs="Times New Roman"/>
          <w:b/>
          <w:color w:val="auto"/>
          <w:kern w:val="2"/>
          <w:sz w:val="44"/>
          <w:szCs w:val="44"/>
          <w:highlight w:val="none"/>
          <w:lang w:val="en-US" w:eastAsia="zh-CN" w:bidi="ar-SA"/>
        </w:rPr>
        <w:t>承包合同</w:t>
      </w:r>
    </w:p>
    <w:bookmarkEnd w:id="424"/>
    <w:p w14:paraId="6191615D">
      <w:pPr>
        <w:widowControl w:val="0"/>
        <w:snapToGrid w:val="0"/>
        <w:spacing w:before="156" w:beforeLines="0" w:after="156" w:afterLines="0" w:line="360" w:lineRule="auto"/>
        <w:jc w:val="center"/>
        <w:rPr>
          <w:rFonts w:ascii="宋体" w:hAnsi="Courier New" w:eastAsia="宋体" w:cs="Times New Roman"/>
          <w:b/>
          <w:color w:val="auto"/>
          <w:kern w:val="2"/>
          <w:sz w:val="44"/>
          <w:szCs w:val="44"/>
          <w:highlight w:val="none"/>
          <w:lang w:val="en-US" w:eastAsia="zh-CN" w:bidi="ar-SA"/>
        </w:rPr>
      </w:pPr>
    </w:p>
    <w:p w14:paraId="2B1E082F">
      <w:pPr>
        <w:widowControl w:val="0"/>
        <w:snapToGrid w:val="0"/>
        <w:spacing w:before="156" w:beforeLines="0" w:after="156" w:afterLines="0" w:line="360" w:lineRule="auto"/>
        <w:jc w:val="center"/>
        <w:rPr>
          <w:rFonts w:hint="eastAsia" w:ascii="宋体" w:hAnsi="Courier New" w:eastAsia="宋体" w:cs="Times New Roman"/>
          <w:b/>
          <w:color w:val="auto"/>
          <w:kern w:val="2"/>
          <w:sz w:val="44"/>
          <w:szCs w:val="44"/>
          <w:highlight w:val="none"/>
          <w:lang w:val="en-US" w:eastAsia="zh-CN" w:bidi="ar-SA"/>
        </w:rPr>
      </w:pPr>
    </w:p>
    <w:p w14:paraId="7E7D5AAD">
      <w:pPr>
        <w:widowControl w:val="0"/>
        <w:snapToGrid w:val="0"/>
        <w:spacing w:before="156" w:beforeLines="0" w:after="156" w:afterLines="0" w:line="360" w:lineRule="auto"/>
        <w:jc w:val="center"/>
        <w:rPr>
          <w:rFonts w:ascii="宋体" w:hAnsi="Courier New" w:eastAsia="宋体" w:cs="Times New Roman"/>
          <w:b/>
          <w:color w:val="auto"/>
          <w:kern w:val="2"/>
          <w:sz w:val="44"/>
          <w:szCs w:val="44"/>
          <w:highlight w:val="none"/>
          <w:lang w:val="en-US" w:eastAsia="zh-CN" w:bidi="ar-SA"/>
        </w:rPr>
      </w:pPr>
    </w:p>
    <w:p w14:paraId="48023407">
      <w:pPr>
        <w:adjustRightInd/>
        <w:spacing w:line="360" w:lineRule="auto"/>
        <w:ind w:firstLine="700" w:firstLineChars="250"/>
        <w:rPr>
          <w:rFonts w:hint="eastAsia"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甲方：宁波市公安局北仑分局</w:t>
      </w:r>
    </w:p>
    <w:p w14:paraId="5B7D441B">
      <w:pPr>
        <w:adjustRightInd/>
        <w:spacing w:line="360" w:lineRule="auto"/>
        <w:ind w:firstLine="700" w:firstLineChars="250"/>
        <w:rPr>
          <w:rFonts w:hint="eastAsia" w:ascii="宋体" w:hAnsi="Times New Roman" w:eastAsia="宋体" w:cs="Times New Roman"/>
          <w:color w:val="auto"/>
          <w:sz w:val="28"/>
          <w:szCs w:val="28"/>
          <w:highlight w:val="none"/>
        </w:rPr>
      </w:pPr>
    </w:p>
    <w:p w14:paraId="0AE4CF49">
      <w:pPr>
        <w:adjustRightInd/>
        <w:spacing w:line="360" w:lineRule="auto"/>
        <w:ind w:firstLine="700" w:firstLineChars="250"/>
        <w:rPr>
          <w:rFonts w:hint="eastAsia"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 xml:space="preserve">乙方： </w:t>
      </w:r>
    </w:p>
    <w:p w14:paraId="6C25D865">
      <w:pPr>
        <w:adjustRightInd/>
        <w:spacing w:line="360" w:lineRule="auto"/>
        <w:rPr>
          <w:rFonts w:hint="eastAsia" w:ascii="宋体" w:hAnsi="Times New Roman" w:eastAsia="宋体" w:cs="Times New Roman"/>
          <w:color w:val="auto"/>
          <w:sz w:val="28"/>
          <w:szCs w:val="28"/>
          <w:highlight w:val="none"/>
        </w:rPr>
      </w:pPr>
    </w:p>
    <w:p w14:paraId="072A3C28">
      <w:pPr>
        <w:adjustRightInd/>
        <w:spacing w:line="360" w:lineRule="auto"/>
        <w:rPr>
          <w:rFonts w:hint="eastAsia" w:ascii="宋体" w:hAnsi="Times New Roman" w:eastAsia="宋体" w:cs="Times New Roman"/>
          <w:color w:val="auto"/>
          <w:sz w:val="28"/>
          <w:szCs w:val="28"/>
          <w:highlight w:val="none"/>
        </w:rPr>
      </w:pPr>
    </w:p>
    <w:p w14:paraId="1C52AED8">
      <w:pPr>
        <w:adjustRightInd/>
        <w:spacing w:line="360" w:lineRule="auto"/>
        <w:ind w:firstLine="700" w:firstLineChars="250"/>
        <w:rPr>
          <w:rFonts w:hint="eastAsia"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签署日期：202</w:t>
      </w:r>
      <w:r>
        <w:rPr>
          <w:rFonts w:hint="eastAsia" w:ascii="宋体" w:hAnsi="Times New Roman" w:eastAsia="宋体" w:cs="Times New Roman"/>
          <w:color w:val="auto"/>
          <w:sz w:val="28"/>
          <w:szCs w:val="28"/>
          <w:highlight w:val="none"/>
          <w:lang w:val="en-US" w:eastAsia="zh-CN"/>
        </w:rPr>
        <w:t xml:space="preserve"> </w:t>
      </w:r>
      <w:r>
        <w:rPr>
          <w:rFonts w:hint="eastAsia" w:ascii="宋体" w:hAnsi="Times New Roman" w:eastAsia="宋体" w:cs="Times New Roman"/>
          <w:color w:val="auto"/>
          <w:sz w:val="28"/>
          <w:szCs w:val="28"/>
          <w:highlight w:val="none"/>
        </w:rPr>
        <w:t xml:space="preserve">年     月     日 </w:t>
      </w:r>
    </w:p>
    <w:p w14:paraId="4DDA305F">
      <w:pPr>
        <w:adjustRightInd/>
        <w:spacing w:line="360" w:lineRule="auto"/>
        <w:ind w:firstLine="700" w:firstLineChars="250"/>
        <w:rPr>
          <w:rFonts w:hint="eastAsia" w:ascii="宋体" w:hAnsi="Times New Roman" w:eastAsia="宋体" w:cs="Times New Roman"/>
          <w:color w:val="auto"/>
          <w:sz w:val="28"/>
          <w:szCs w:val="28"/>
          <w:highlight w:val="none"/>
        </w:rPr>
      </w:pPr>
    </w:p>
    <w:p w14:paraId="4AD4405B">
      <w:pPr>
        <w:adjustRightInd/>
        <w:spacing w:line="360" w:lineRule="auto"/>
        <w:ind w:firstLine="700" w:firstLineChars="250"/>
        <w:rPr>
          <w:rFonts w:hint="eastAsia" w:ascii="宋体" w:hAnsi="Times New Roman" w:eastAsia="宋体" w:cs="Times New Roman"/>
          <w:color w:val="auto"/>
          <w:sz w:val="28"/>
          <w:szCs w:val="28"/>
          <w:highlight w:val="none"/>
        </w:rPr>
      </w:pPr>
      <w:r>
        <w:rPr>
          <w:rFonts w:hint="eastAsia" w:ascii="宋体" w:hAnsi="Times New Roman" w:eastAsia="宋体" w:cs="Times New Roman"/>
          <w:color w:val="auto"/>
          <w:sz w:val="28"/>
          <w:szCs w:val="28"/>
          <w:highlight w:val="none"/>
        </w:rPr>
        <w:t>签署地点：浙江宁波</w:t>
      </w:r>
    </w:p>
    <w:p w14:paraId="028A6FB7">
      <w:pPr>
        <w:widowControl w:val="0"/>
        <w:snapToGrid w:val="0"/>
        <w:spacing w:before="156" w:beforeLines="0" w:after="156" w:afterLines="0" w:line="420" w:lineRule="exact"/>
        <w:jc w:val="center"/>
        <w:rPr>
          <w:rFonts w:hint="eastAsia" w:ascii="宋体" w:hAnsi="Courier New" w:eastAsia="宋体" w:cs="Times New Roman"/>
          <w:b/>
          <w:color w:val="auto"/>
          <w:kern w:val="2"/>
          <w:sz w:val="28"/>
          <w:szCs w:val="28"/>
          <w:highlight w:val="none"/>
          <w:lang w:val="en-US" w:eastAsia="zh-CN" w:bidi="ar-SA"/>
        </w:rPr>
      </w:pPr>
      <w:r>
        <w:rPr>
          <w:rFonts w:ascii="宋体" w:hAnsi="Courier New" w:eastAsia="宋体" w:cs="Times New Roman"/>
          <w:b/>
          <w:color w:val="auto"/>
          <w:kern w:val="2"/>
          <w:sz w:val="28"/>
          <w:szCs w:val="28"/>
          <w:highlight w:val="none"/>
          <w:lang w:val="en-US" w:eastAsia="zh-CN" w:bidi="ar-SA"/>
        </w:rPr>
        <w:br w:type="page"/>
      </w:r>
      <w:r>
        <w:rPr>
          <w:rFonts w:hint="eastAsia" w:ascii="宋体" w:hAnsi="Courier New" w:eastAsia="宋体" w:cs="Times New Roman"/>
          <w:b/>
          <w:color w:val="auto"/>
          <w:kern w:val="2"/>
          <w:sz w:val="28"/>
          <w:szCs w:val="28"/>
          <w:highlight w:val="none"/>
          <w:lang w:val="en-US" w:eastAsia="zh-CN" w:bidi="ar-SA"/>
        </w:rPr>
        <w:t>通信运维服务项目承包合同（仅供参考）</w:t>
      </w:r>
    </w:p>
    <w:p w14:paraId="4FF51197">
      <w:pPr>
        <w:adjustRightInd/>
        <w:spacing w:line="360" w:lineRule="auto"/>
        <w:rPr>
          <w:rFonts w:hint="eastAsia" w:ascii="Times New Roman" w:hAnsi="Times New Roman" w:eastAsia="宋体" w:cs="Times New Roman"/>
          <w:b/>
          <w:color w:val="auto"/>
          <w:sz w:val="24"/>
          <w:highlight w:val="none"/>
        </w:rPr>
      </w:pPr>
    </w:p>
    <w:p w14:paraId="4DEB2212">
      <w:pPr>
        <w:adjustRightInd/>
        <w:spacing w:line="360" w:lineRule="auto"/>
        <w:rPr>
          <w:rFonts w:ascii="Times New Roman" w:hAnsi="Times New Roman" w:eastAsia="宋体" w:cs="Times New Roman"/>
          <w:b/>
          <w:color w:val="auto"/>
          <w:sz w:val="24"/>
          <w:highlight w:val="none"/>
          <w:u w:val="single"/>
        </w:rPr>
      </w:pPr>
      <w:r>
        <w:rPr>
          <w:rFonts w:hint="eastAsia" w:ascii="Times New Roman" w:hAnsi="Times New Roman" w:eastAsia="宋体" w:cs="Times New Roman"/>
          <w:b/>
          <w:color w:val="auto"/>
          <w:sz w:val="24"/>
          <w:highlight w:val="none"/>
        </w:rPr>
        <w:t>甲方（发包人）：</w:t>
      </w:r>
      <w:r>
        <w:rPr>
          <w:rFonts w:hint="eastAsia" w:ascii="Times New Roman" w:hAnsi="Times New Roman" w:eastAsia="宋体" w:cs="Times New Roman"/>
          <w:b/>
          <w:color w:val="auto"/>
          <w:sz w:val="24"/>
          <w:highlight w:val="none"/>
          <w:u w:val="single"/>
        </w:rPr>
        <w:t xml:space="preserve">宁波市公安局北仑分局                  </w:t>
      </w:r>
      <w:r>
        <w:rPr>
          <w:rFonts w:hint="eastAsia" w:ascii="宋体" w:hAnsi="宋体" w:eastAsia="宋体" w:cs="宋体"/>
          <w:bCs/>
          <w:color w:val="auto"/>
          <w:szCs w:val="21"/>
          <w:highlight w:val="none"/>
        </w:rPr>
        <w:t>（以下简称甲方）</w:t>
      </w:r>
    </w:p>
    <w:p w14:paraId="752096C9">
      <w:pPr>
        <w:adjustRightInd/>
        <w:spacing w:line="360" w:lineRule="auto"/>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乙方（承包人）：</w:t>
      </w:r>
      <w:r>
        <w:rPr>
          <w:rFonts w:hint="eastAsia" w:ascii="Times New Roman" w:hAnsi="Times New Roman" w:eastAsia="宋体" w:cs="Times New Roman"/>
          <w:b/>
          <w:color w:val="auto"/>
          <w:sz w:val="24"/>
          <w:highlight w:val="none"/>
          <w:u w:val="single"/>
        </w:rPr>
        <w:t xml:space="preserve">                                        </w:t>
      </w:r>
      <w:r>
        <w:rPr>
          <w:rFonts w:hint="eastAsia" w:ascii="宋体" w:hAnsi="宋体" w:eastAsia="宋体" w:cs="宋体"/>
          <w:bCs/>
          <w:color w:val="auto"/>
          <w:szCs w:val="21"/>
          <w:highlight w:val="none"/>
        </w:rPr>
        <w:t>（以下简称乙方）</w:t>
      </w:r>
    </w:p>
    <w:p w14:paraId="7DC6B0DA">
      <w:pPr>
        <w:adjustRightInd/>
        <w:spacing w:line="360" w:lineRule="auto"/>
        <w:ind w:firstLine="420" w:firstLineChars="200"/>
        <w:rPr>
          <w:rFonts w:hint="eastAsia" w:ascii="Times New Roman" w:hAnsi="Times New Roman" w:eastAsia="宋体" w:cs="Times New Roman"/>
          <w:color w:val="auto"/>
          <w:highlight w:val="none"/>
        </w:rPr>
      </w:pPr>
    </w:p>
    <w:p w14:paraId="1D5FEB66">
      <w:pPr>
        <w:adjustRightInd/>
        <w:spacing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依照《中华人民共和国政府采购法》，通信运维服务项目（招标编号：</w:t>
      </w:r>
      <w:r>
        <w:rPr>
          <w:rFonts w:hint="eastAsia" w:ascii="Times New Roman" w:hAnsi="Times New Roman" w:eastAsia="宋体" w:cs="Times New Roman"/>
          <w:color w:val="auto"/>
          <w:highlight w:val="none"/>
          <w:lang w:eastAsia="zh-CN"/>
        </w:rPr>
        <w:t>CBNB-20245573G</w:t>
      </w:r>
      <w:r>
        <w:rPr>
          <w:rFonts w:hint="eastAsia" w:ascii="Times New Roman" w:hAnsi="Times New Roman" w:eastAsia="宋体" w:cs="Times New Roman"/>
          <w:color w:val="auto"/>
          <w:highlight w:val="none"/>
        </w:rPr>
        <w:t>）于202</w:t>
      </w: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rPr>
        <w:t>年  月  日，在宁波市北仑区</w:t>
      </w:r>
      <w:r>
        <w:rPr>
          <w:rFonts w:hint="eastAsia" w:ascii="Times New Roman" w:hAnsi="Times New Roman" w:eastAsia="宋体" w:cs="Times New Roman"/>
          <w:color w:val="auto"/>
          <w:highlight w:val="none"/>
          <w:lang w:val="en-US" w:eastAsia="zh-CN"/>
        </w:rPr>
        <w:t>政务服务</w:t>
      </w:r>
      <w:r>
        <w:rPr>
          <w:rFonts w:hint="eastAsia" w:ascii="Times New Roman" w:hAnsi="Times New Roman" w:eastAsia="宋体" w:cs="Times New Roman"/>
          <w:color w:val="auto"/>
          <w:highlight w:val="none"/>
        </w:rPr>
        <w:t>中心进行政府采购招标活动，确定由乙方中标。</w:t>
      </w:r>
    </w:p>
    <w:p w14:paraId="75BF742C">
      <w:pPr>
        <w:adjustRightInd/>
        <w:spacing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根据《中华人民共和国民法典》和政府采购结果，经甲、乙双方友好协商，本着平等、自愿的原则，就乙方承包通信运维服务项目一事，达成以下协议：</w:t>
      </w:r>
    </w:p>
    <w:p w14:paraId="1043C296">
      <w:pPr>
        <w:adjustRightInd/>
        <w:spacing w:before="156" w:beforeLines="50" w:after="156" w:afterLines="50" w:line="360" w:lineRule="auto"/>
        <w:ind w:firstLine="422" w:firstLineChars="20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一、合同内容及要求</w:t>
      </w:r>
    </w:p>
    <w:p w14:paraId="6FAA7C47">
      <w:pPr>
        <w:adjustRightInd/>
        <w:spacing w:line="360" w:lineRule="auto"/>
        <w:ind w:firstLine="422" w:firstLineChars="20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1、合同内容</w:t>
      </w:r>
    </w:p>
    <w:p w14:paraId="74BC347F">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是对分局大楼内的公安网、政务专网、互联网、其它网络和电话系统的设备维护、线缆跳接和安全管理；保持主机房和楼层配线房的设备和跳线整洁有序，并对网络设备进行规范标识；对分局大楼内的视频会议系统、视频指挥系统、视频点名系统等进行定期检查和维护；对于要求显示设备和网络的特殊会议会场进行相应的搭建、测试和拆除工作；对可以由运维人员保障的会议进行通信保障；对分局大楼内的公安网电脑按照上级要求安装相应的安全软件；对分局大楼内所有的电脑、打印机、扫描仪、传真机等设备的各种故障进行分析和维修；对分局大楼内的所有电脑上的常用业务系统故障进行分析和维修。要求在分局大楼内有故障实时响应，30分钟内到达现场处理。需更换硬件的，收取成本费。</w:t>
      </w:r>
    </w:p>
    <w:p w14:paraId="65AF0D48">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是对新碶派出所、大碶派出所、小港派出所、霞浦派出所、柴桥派出所、白峰派出所、春晓派出所、甬保派出所、郭巨派出所、梅山派出所、榭南派出所、看守所(拘留所)、执法办案中心、行政审批中心、巡特警大队、刑侦大队技术中队等16个分局大楼外单位的公安网、视频专网、互联网、其它网络和电话系统的设备维护、线缆跳接和安全管理；保持主机房和楼层配线房的设备和跳线整洁有序，并对网络设备进行规范标识；对视频会议系统、视频点名系统等进行定期检查和维修维护；对上述单位的公安网电脑按照上级要求安装相应的安全软件；对上述单位所有的电脑、打印机、扫描仪、传真机等设备的各种故障进行分析和维修；对这些单位的所有电脑上的常用业务系统故障进行分析和维修。要求对每个单位每周巡检和维修次数不少于1次。需更换硬件的，收取成本费。</w:t>
      </w:r>
    </w:p>
    <w:p w14:paraId="30A53312">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三是承担分布在全区的40多个警务室进行驻外公安VPN网络和电脑的维修服务，确保发生故障的警务室VPN网络电脑在一周内修复。需更换硬件的，收取成本费。</w:t>
      </w:r>
    </w:p>
    <w:p w14:paraId="5EED53D2">
      <w:pPr>
        <w:adjustRightInd/>
        <w:spacing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2、运维服务人员要求</w:t>
      </w:r>
    </w:p>
    <w:p w14:paraId="4377DC99">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乙方负责招聘通信运维服务技术人员，并承担合同期内技术人员的工资、福利、办公支出等各项人力成本。技术人员具体要求：</w:t>
      </w:r>
    </w:p>
    <w:p w14:paraId="62E5818D">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（1）配置至少包括3名技术人员。</w:t>
      </w:r>
    </w:p>
    <w:p w14:paraId="0720D33D">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（2）运维服务人员要具备与所在岗位相适应的资质，具体资质要求详见下表：</w:t>
      </w:r>
    </w:p>
    <w:tbl>
      <w:tblPr>
        <w:tblStyle w:val="6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260"/>
        <w:gridCol w:w="3293"/>
      </w:tblGrid>
      <w:tr w14:paraId="17EC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noWrap w:val="0"/>
            <w:vAlign w:val="center"/>
          </w:tcPr>
          <w:p w14:paraId="5A1990BB">
            <w:pPr>
              <w:adjustRightInd/>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岗位</w:t>
            </w:r>
          </w:p>
        </w:tc>
        <w:tc>
          <w:tcPr>
            <w:tcW w:w="1418" w:type="dxa"/>
            <w:noWrap w:val="0"/>
            <w:vAlign w:val="center"/>
          </w:tcPr>
          <w:p w14:paraId="3A0ED572">
            <w:pPr>
              <w:adjustRightInd/>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人数</w:t>
            </w:r>
          </w:p>
        </w:tc>
        <w:tc>
          <w:tcPr>
            <w:tcW w:w="3260" w:type="dxa"/>
            <w:noWrap w:val="0"/>
            <w:vAlign w:val="center"/>
          </w:tcPr>
          <w:p w14:paraId="73F96798">
            <w:pPr>
              <w:adjustRightInd/>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工作时间</w:t>
            </w:r>
          </w:p>
        </w:tc>
        <w:tc>
          <w:tcPr>
            <w:tcW w:w="3293" w:type="dxa"/>
            <w:noWrap w:val="0"/>
            <w:vAlign w:val="center"/>
          </w:tcPr>
          <w:p w14:paraId="69C59B6E">
            <w:pPr>
              <w:adjustRightInd/>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人员要求</w:t>
            </w:r>
          </w:p>
        </w:tc>
      </w:tr>
      <w:tr w14:paraId="1172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242" w:type="dxa"/>
            <w:noWrap w:val="0"/>
            <w:vAlign w:val="center"/>
          </w:tcPr>
          <w:p w14:paraId="541E87DC">
            <w:pPr>
              <w:adjustRightInd/>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技术人员</w:t>
            </w:r>
          </w:p>
        </w:tc>
        <w:tc>
          <w:tcPr>
            <w:tcW w:w="1418" w:type="dxa"/>
            <w:noWrap w:val="0"/>
            <w:vAlign w:val="center"/>
          </w:tcPr>
          <w:p w14:paraId="015537DD">
            <w:pPr>
              <w:adjustRightInd/>
              <w:spacing w:line="360" w:lineRule="auto"/>
              <w:jc w:val="center"/>
              <w:rPr>
                <w:rFonts w:ascii="宋体" w:hAnsi="宋体" w:eastAsia="宋体" w:cs="Times New Roman"/>
                <w:color w:val="auto"/>
                <w:kern w:val="0"/>
                <w:szCs w:val="21"/>
                <w:highlight w:val="none"/>
              </w:rPr>
            </w:pPr>
            <w:r>
              <w:rPr>
                <w:rFonts w:hint="eastAsia" w:ascii="宋体" w:hAnsi="宋体" w:cs="Times New Roman"/>
                <w:color w:val="auto"/>
                <w:kern w:val="0"/>
                <w:szCs w:val="21"/>
                <w:highlight w:val="none"/>
                <w:lang w:val="en-US" w:eastAsia="zh-CN"/>
              </w:rPr>
              <w:t>至少</w:t>
            </w:r>
            <w:r>
              <w:rPr>
                <w:rFonts w:hint="eastAsia" w:ascii="宋体" w:hAnsi="宋体" w:eastAsia="宋体" w:cs="Times New Roman"/>
                <w:color w:val="auto"/>
                <w:kern w:val="0"/>
                <w:szCs w:val="21"/>
                <w:highlight w:val="none"/>
              </w:rPr>
              <w:t>3人</w:t>
            </w:r>
          </w:p>
        </w:tc>
        <w:tc>
          <w:tcPr>
            <w:tcW w:w="3260" w:type="dxa"/>
            <w:noWrap w:val="0"/>
            <w:vAlign w:val="center"/>
          </w:tcPr>
          <w:p w14:paraId="244FF9F8">
            <w:pPr>
              <w:adjustRightInd/>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在采购人工作日的工作时间，</w:t>
            </w:r>
            <w:r>
              <w:rPr>
                <w:rFonts w:hint="eastAsia" w:ascii="宋体" w:hAnsi="宋体" w:cs="Times New Roman"/>
                <w:color w:val="auto"/>
                <w:kern w:val="0"/>
                <w:szCs w:val="21"/>
                <w:highlight w:val="none"/>
                <w:lang w:val="en-US" w:eastAsia="zh-CN"/>
              </w:rPr>
              <w:t>至少</w:t>
            </w:r>
            <w:r>
              <w:rPr>
                <w:rFonts w:hint="eastAsia" w:ascii="宋体" w:hAnsi="宋体" w:eastAsia="宋体" w:cs="Times New Roman"/>
                <w:color w:val="auto"/>
                <w:kern w:val="0"/>
                <w:szCs w:val="21"/>
                <w:highlight w:val="none"/>
              </w:rPr>
              <w:t>3人同时上班；</w:t>
            </w:r>
          </w:p>
          <w:p w14:paraId="204F7B78">
            <w:pPr>
              <w:adjustRightInd/>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工作日非工作时间和非工作日要求至少1人值班。</w:t>
            </w:r>
          </w:p>
        </w:tc>
        <w:tc>
          <w:tcPr>
            <w:tcW w:w="3293" w:type="dxa"/>
            <w:noWrap w:val="0"/>
            <w:vAlign w:val="center"/>
          </w:tcPr>
          <w:p w14:paraId="50617268">
            <w:pPr>
              <w:adjustRightInd/>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无违法犯罪记录；</w:t>
            </w:r>
          </w:p>
          <w:p w14:paraId="3174860B">
            <w:pPr>
              <w:adjustRightInd/>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熟练掌握计算机基本操作；</w:t>
            </w:r>
          </w:p>
          <w:p w14:paraId="06B7B13A">
            <w:pPr>
              <w:adjustRightInd/>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具有较好的语言表达能力和沟通能力；</w:t>
            </w:r>
          </w:p>
        </w:tc>
      </w:tr>
    </w:tbl>
    <w:p w14:paraId="7FA4A682">
      <w:pPr>
        <w:adjustRightInd/>
        <w:spacing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3、服务要求</w:t>
      </w:r>
    </w:p>
    <w:p w14:paraId="513340BD">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（1）运维服务期内乙方需提供7×24小时的运营维护服务，乙方应承诺在突发事件发生时提供24小时不间断运维服务，并承诺加班不收取额外费用。</w:t>
      </w:r>
    </w:p>
    <w:p w14:paraId="24C83857">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（2）乙方及其技术人员必须签署保密协议，承诺对涉及甲方业务系统的程序、数据及相关信息等进行保密，不得擅自拷贝、传播、向他人透露。</w:t>
      </w:r>
    </w:p>
    <w:p w14:paraId="30ACB2E1">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（3）乙方应制定详细、合理、科学的运维方案及实施措施，提供有效的运营维护服务。</w:t>
      </w:r>
    </w:p>
    <w:p w14:paraId="181AC08B">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（4）乙方应为甲方建立完整的运维档案，包括但不限于巡查和维修情况记录。</w:t>
      </w:r>
    </w:p>
    <w:p w14:paraId="7C7BF5AD">
      <w:pPr>
        <w:adjustRightInd/>
        <w:spacing w:before="156" w:beforeLines="50" w:after="156" w:afterLines="50" w:line="360" w:lineRule="auto"/>
        <w:ind w:firstLine="422" w:firstLineChars="20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二、合同履行期限</w:t>
      </w:r>
    </w:p>
    <w:p w14:paraId="0756689B">
      <w:pPr>
        <w:adjustRightInd/>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3年，合同一年一签，具体签订时间如下：</w:t>
      </w:r>
    </w:p>
    <w:p w14:paraId="3489E05A">
      <w:pPr>
        <w:adjustRightInd/>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第一年运维服务合同签订时间：202</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日至202</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年</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hint="eastAsia"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日止。</w:t>
      </w:r>
    </w:p>
    <w:p w14:paraId="2880472A">
      <w:pPr>
        <w:adjustRightInd/>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第二年运维服务合同签订时间根据第一年运维履行情况和考核情况另行签订。</w:t>
      </w:r>
    </w:p>
    <w:p w14:paraId="3DEDD185">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highlight w:val="none"/>
        </w:rPr>
        <w:t>第三年运维服务合同签订时间根据第二年运维履行情况和考核情况另行签订。</w:t>
      </w:r>
    </w:p>
    <w:p w14:paraId="5E41D46E">
      <w:pPr>
        <w:adjustRightInd/>
        <w:spacing w:before="156" w:beforeLines="50" w:after="156" w:afterLines="50" w:line="360" w:lineRule="auto"/>
        <w:ind w:firstLine="422" w:firstLineChars="20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三、合同总价及付款方式</w:t>
      </w:r>
    </w:p>
    <w:p w14:paraId="4BD87315">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1、合同金额为（大写）：_____________________元（￥__________）人民币。</w:t>
      </w:r>
    </w:p>
    <w:p w14:paraId="217C4C4E">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2、付款方式：合同签订后具备支付条件，7个工作日内甲方支付给乙方合同价的30%，每年6月份支付至合同价的80%，合同到期后7个工作日内甲方向乙方支付合同余款，付款时扣除按考核应扣款项。</w:t>
      </w:r>
    </w:p>
    <w:p w14:paraId="578F8F7B">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3、乙方在进行相关结算时，须提供增值税发票。</w:t>
      </w:r>
    </w:p>
    <w:p w14:paraId="703BDF86">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4、本项目服务</w:t>
      </w:r>
      <w:r>
        <w:rPr>
          <w:rFonts w:ascii="宋体" w:hAnsi="宋体" w:eastAsia="宋体" w:cs="Times New Roman"/>
          <w:color w:val="auto"/>
          <w:kern w:val="0"/>
          <w:szCs w:val="21"/>
          <w:highlight w:val="none"/>
        </w:rPr>
        <w:t>期间，</w:t>
      </w:r>
      <w:r>
        <w:rPr>
          <w:rFonts w:hint="eastAsia" w:ascii="宋体" w:hAnsi="宋体" w:eastAsia="宋体" w:cs="Times New Roman"/>
          <w:color w:val="auto"/>
          <w:kern w:val="0"/>
          <w:szCs w:val="21"/>
          <w:highlight w:val="none"/>
        </w:rPr>
        <w:t>乙方</w:t>
      </w:r>
      <w:r>
        <w:rPr>
          <w:rFonts w:ascii="宋体" w:hAnsi="宋体" w:eastAsia="宋体" w:cs="Times New Roman"/>
          <w:color w:val="auto"/>
          <w:kern w:val="0"/>
          <w:szCs w:val="21"/>
          <w:highlight w:val="none"/>
        </w:rPr>
        <w:t>承诺的</w:t>
      </w:r>
      <w:r>
        <w:rPr>
          <w:rFonts w:hint="eastAsia" w:ascii="宋体" w:hAnsi="宋体" w:eastAsia="宋体" w:cs="Times New Roman"/>
          <w:color w:val="auto"/>
          <w:kern w:val="0"/>
          <w:szCs w:val="21"/>
          <w:highlight w:val="none"/>
        </w:rPr>
        <w:t>价格</w:t>
      </w:r>
      <w:r>
        <w:rPr>
          <w:rFonts w:ascii="宋体" w:hAnsi="宋体" w:eastAsia="宋体" w:cs="Times New Roman"/>
          <w:color w:val="auto"/>
          <w:kern w:val="0"/>
          <w:szCs w:val="21"/>
          <w:highlight w:val="none"/>
        </w:rPr>
        <w:t>不因市场因素和政策因素</w:t>
      </w:r>
      <w:r>
        <w:rPr>
          <w:rFonts w:hint="eastAsia" w:ascii="宋体" w:hAnsi="宋体" w:eastAsia="宋体" w:cs="Times New Roman"/>
          <w:color w:val="auto"/>
          <w:kern w:val="0"/>
          <w:szCs w:val="21"/>
          <w:highlight w:val="none"/>
        </w:rPr>
        <w:t>（包括宁波市最低劳动工资的调整）</w:t>
      </w:r>
      <w:r>
        <w:rPr>
          <w:rFonts w:ascii="宋体" w:hAnsi="宋体" w:eastAsia="宋体" w:cs="Times New Roman"/>
          <w:color w:val="auto"/>
          <w:kern w:val="0"/>
          <w:szCs w:val="21"/>
          <w:highlight w:val="none"/>
        </w:rPr>
        <w:t>的变动而调整</w:t>
      </w:r>
      <w:r>
        <w:rPr>
          <w:rFonts w:hint="eastAsia" w:ascii="宋体" w:hAnsi="宋体" w:eastAsia="宋体" w:cs="Times New Roman"/>
          <w:color w:val="auto"/>
          <w:kern w:val="0"/>
          <w:szCs w:val="21"/>
          <w:highlight w:val="none"/>
        </w:rPr>
        <w:t>。</w:t>
      </w:r>
    </w:p>
    <w:p w14:paraId="75741A3B">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四、</w:t>
      </w:r>
      <w:r>
        <w:rPr>
          <w:rFonts w:ascii="宋体" w:hAnsi="宋体" w:eastAsia="宋体" w:cs="Times New Roman"/>
          <w:b/>
          <w:color w:val="auto"/>
          <w:kern w:val="0"/>
          <w:szCs w:val="21"/>
          <w:highlight w:val="none"/>
        </w:rPr>
        <w:t>税</w:t>
      </w:r>
    </w:p>
    <w:p w14:paraId="20E60EBC">
      <w:pPr>
        <w:adjustRightInd/>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本合同执行中相关的一切税费均由</w:t>
      </w:r>
      <w:r>
        <w:rPr>
          <w:rFonts w:hint="eastAsia" w:ascii="Times New Roman" w:hAnsi="Times New Roman" w:eastAsia="宋体" w:cs="Times New Roman"/>
          <w:color w:val="auto"/>
          <w:highlight w:val="none"/>
        </w:rPr>
        <w:t>乙方</w:t>
      </w:r>
      <w:r>
        <w:rPr>
          <w:rFonts w:ascii="Times New Roman" w:hAnsi="Times New Roman" w:eastAsia="宋体" w:cs="Times New Roman"/>
          <w:color w:val="auto"/>
          <w:highlight w:val="none"/>
        </w:rPr>
        <w:t>负担。</w:t>
      </w:r>
    </w:p>
    <w:p w14:paraId="2CF153B7">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五</w:t>
      </w:r>
      <w:r>
        <w:rPr>
          <w:rFonts w:ascii="宋体" w:hAnsi="宋体" w:eastAsia="宋体" w:cs="Times New Roman"/>
          <w:b/>
          <w:color w:val="auto"/>
          <w:kern w:val="0"/>
          <w:szCs w:val="21"/>
          <w:highlight w:val="none"/>
        </w:rPr>
        <w:t>、履约保证金</w:t>
      </w:r>
      <w:r>
        <w:rPr>
          <w:rFonts w:hint="eastAsia" w:ascii="宋体" w:hAnsi="宋体" w:eastAsia="宋体" w:cs="Times New Roman"/>
          <w:b/>
          <w:color w:val="auto"/>
          <w:kern w:val="0"/>
          <w:szCs w:val="21"/>
          <w:highlight w:val="none"/>
        </w:rPr>
        <w:t>要求</w:t>
      </w:r>
    </w:p>
    <w:p w14:paraId="1C665182">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无</w:t>
      </w:r>
    </w:p>
    <w:p w14:paraId="41403AF5">
      <w:pPr>
        <w:adjustRightInd/>
        <w:spacing w:before="156" w:beforeLines="50" w:after="156" w:afterLines="50" w:line="360" w:lineRule="auto"/>
        <w:ind w:firstLine="422" w:firstLineChars="200"/>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六、验收及考核办法</w:t>
      </w:r>
    </w:p>
    <w:p w14:paraId="01BEA37E">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1、验收：甲方负责对乙方的履约行为进行验收，验收标准为本项目的招标文件、乙方的投标文件，要求验收必须符合相关政策法规和地方标准。</w:t>
      </w:r>
    </w:p>
    <w:p w14:paraId="46515020">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2、考核办法：详见附件1。</w:t>
      </w:r>
    </w:p>
    <w:p w14:paraId="278FF1D8">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七</w:t>
      </w:r>
      <w:r>
        <w:rPr>
          <w:rFonts w:ascii="宋体" w:hAnsi="宋体" w:eastAsia="宋体" w:cs="Times New Roman"/>
          <w:b/>
          <w:color w:val="auto"/>
          <w:kern w:val="0"/>
          <w:szCs w:val="21"/>
          <w:highlight w:val="none"/>
        </w:rPr>
        <w:t>、转包或分包</w:t>
      </w:r>
    </w:p>
    <w:p w14:paraId="1F3EAAED">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1、本合同范围的服务，应由乙方直接提供，不得转让他人。</w:t>
      </w:r>
    </w:p>
    <w:p w14:paraId="06EDE34D">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2、除非得到甲方的同意，否则乙方不得分包给他人。</w:t>
      </w:r>
    </w:p>
    <w:p w14:paraId="0E8E9D8E">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3、如有转让和未经甲方同意的分包行为，甲方有权终止合同，并要求乙方赔偿因此而造成的损失</w:t>
      </w:r>
      <w:r>
        <w:rPr>
          <w:rFonts w:ascii="宋体" w:hAnsi="宋体" w:eastAsia="宋体" w:cs="Times New Roman"/>
          <w:color w:val="auto"/>
          <w:kern w:val="0"/>
          <w:szCs w:val="21"/>
          <w:highlight w:val="none"/>
        </w:rPr>
        <w:t>。</w:t>
      </w:r>
    </w:p>
    <w:p w14:paraId="476C7F07">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八</w:t>
      </w:r>
      <w:r>
        <w:rPr>
          <w:rFonts w:ascii="宋体" w:hAnsi="宋体" w:eastAsia="宋体" w:cs="Times New Roman"/>
          <w:b/>
          <w:color w:val="auto"/>
          <w:kern w:val="0"/>
          <w:szCs w:val="21"/>
          <w:highlight w:val="none"/>
        </w:rPr>
        <w:t>、双方的责任和义务</w:t>
      </w:r>
    </w:p>
    <w:p w14:paraId="101DF561">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1、甲方权利和义务</w:t>
      </w:r>
    </w:p>
    <w:p w14:paraId="0EAEA9E5">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）在本合同的履行期间，甲方有权对乙方的工作提出要求、建议或修改；</w:t>
      </w:r>
    </w:p>
    <w:p w14:paraId="0A6CBB68">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）甲方有权指派专人与乙方进行接洽；</w:t>
      </w:r>
    </w:p>
    <w:p w14:paraId="61F94266">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）确定合同的基本性质及目的，提出具体要求，对乙方工作进行监督、调整、验收，并最终确认。甲方对乙方提供的方案和服务予以验收或确认，不免除乙方根据有关法律、法规及本合同约定应承担的各项责任；</w:t>
      </w:r>
    </w:p>
    <w:p w14:paraId="021C93DB">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）甲方同应按本合同约定向乙方支付服务费；</w:t>
      </w:r>
    </w:p>
    <w:p w14:paraId="23DE279D">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2、乙方权利和义务</w:t>
      </w:r>
    </w:p>
    <w:p w14:paraId="7DDDE148">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）乙方应保证具备履行本合同的能力。合同期内如因乙方资质或未完成本活动所需报批造成的处罚或相关损失，全部由乙方承担；如造成甲方损失的，乙方应全额赔偿；</w:t>
      </w:r>
    </w:p>
    <w:p w14:paraId="02E15D83">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）乙方应在合作期间与甲方保持密切的沟通，对甲方所提建议进行及时的调整与反馈。乙方有义务根据甲方的要求对方案进行修改，直至达成甲方满意；</w:t>
      </w:r>
    </w:p>
    <w:p w14:paraId="638EC3CF">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）与本项目相关的所有材料，都须经甲方确认后乙方才可执行后续工作；</w:t>
      </w:r>
    </w:p>
    <w:p w14:paraId="6303C6B9">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在乙方为甲方提供服务过程中，乙方能够接触或从甲方处获得资料、文档和相关业务数据等保密信息，可以访问相关软、硬件平台环境。乙方在任何情况下都必须严格遵守职业操守，不向任何第三方泄露、使用或允许他人使用其所获知的用户技术资料、任何可能危及用户网络安全的资料、信息以及用户的任何非公开信息，也不能以任何方式造成用户系统的损害。</w:t>
      </w:r>
    </w:p>
    <w:p w14:paraId="747BBFF6">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（5）为确保对甲方的业务应用系统、信息系统设备及软、硬件平台环境进行有效保护，保障各类信息安全，经双方协商签订保密协议。</w:t>
      </w:r>
    </w:p>
    <w:p w14:paraId="7BE39709">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九</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rPr>
        <w:t>服务质量保证</w:t>
      </w:r>
    </w:p>
    <w:p w14:paraId="4BD6AE28">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1、乙方应按采购文件规定的技术要求、服务质量标准向甲方提供服务。甲方提供的服务必须</w:t>
      </w:r>
      <w:r>
        <w:rPr>
          <w:rFonts w:hint="eastAsia" w:ascii="宋体" w:hAnsi="Times New Roman" w:eastAsia="宋体" w:cs="Times New Roman"/>
          <w:color w:val="auto"/>
          <w:highlight w:val="none"/>
        </w:rPr>
        <w:t>符合我国国家有关技术规范和技术标准。</w:t>
      </w:r>
    </w:p>
    <w:p w14:paraId="46FCDB12">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2、服务期内因乙方提供的服务本身的质量问题而导致甲方无法正常使用成果的，须由乙方承担相关费用，并负责处理赔偿和补救措施。</w:t>
      </w:r>
    </w:p>
    <w:p w14:paraId="303B3B7B">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ascii="宋体" w:hAnsi="宋体" w:eastAsia="宋体" w:cs="Times New Roman"/>
          <w:b/>
          <w:color w:val="auto"/>
          <w:kern w:val="0"/>
          <w:szCs w:val="21"/>
          <w:highlight w:val="none"/>
        </w:rPr>
        <w:t>、违约责任</w:t>
      </w:r>
    </w:p>
    <w:p w14:paraId="7C4EFC4B">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1、甲方无正当理由拒收服务成果的，甲方向乙方偿付拒收货款总值的百分之五违约金。</w:t>
      </w:r>
    </w:p>
    <w:p w14:paraId="3EE90607">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2、甲方无故逾期验收和办理支付手续的，甲方应按逾期付款总额每日万分之五向乙方支付违约金。</w:t>
      </w:r>
    </w:p>
    <w:p w14:paraId="5FE7B0D9">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乙方所交的服务成果技术要求、质量不符合合同规定及采购文件规定标准及要求的，甲方有权拒收该服务成果，乙方愿意改进或完善成果但逾期交付的，按乙方逾期交付处理。乙方拒绝改进或完善成果的，甲方无条件方面解除合同，且乙方承担由此产生的一切经济及法律责任。</w:t>
      </w:r>
    </w:p>
    <w:p w14:paraId="008F8D1F">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w:t>
      </w:r>
      <w:r>
        <w:rPr>
          <w:rFonts w:ascii="宋体" w:hAnsi="宋体" w:eastAsia="宋体" w:cs="Times New Roman"/>
          <w:b/>
          <w:color w:val="auto"/>
          <w:kern w:val="0"/>
          <w:szCs w:val="21"/>
          <w:highlight w:val="none"/>
        </w:rPr>
        <w:t>、组成合同的文件</w:t>
      </w:r>
    </w:p>
    <w:p w14:paraId="641EB512">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本合同协议书；</w:t>
      </w:r>
    </w:p>
    <w:p w14:paraId="2269790B">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中标通知书；</w:t>
      </w:r>
    </w:p>
    <w:p w14:paraId="0C3DFCAA">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投标书及其附件；</w:t>
      </w:r>
    </w:p>
    <w:p w14:paraId="56ED517B">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招标文件；</w:t>
      </w:r>
    </w:p>
    <w:p w14:paraId="12AB2151">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r>
        <w:rPr>
          <w:rFonts w:ascii="宋体" w:hAnsi="宋体" w:eastAsia="宋体" w:cs="Times New Roman"/>
          <w:color w:val="auto"/>
          <w:kern w:val="0"/>
          <w:szCs w:val="21"/>
          <w:highlight w:val="none"/>
        </w:rPr>
        <w:t>标准、规范及有关技术文件；</w:t>
      </w:r>
    </w:p>
    <w:p w14:paraId="5DBEB466">
      <w:pPr>
        <w:adjustRightInd/>
        <w:spacing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6、附件1：考核标准。</w:t>
      </w:r>
    </w:p>
    <w:p w14:paraId="63B5CD9E">
      <w:pPr>
        <w:adjustRightInd/>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有关甲乙双方洽商、变更等书面协议或文件均视为本合同组成部分。</w:t>
      </w:r>
    </w:p>
    <w:p w14:paraId="63FB2F41">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w:t>
      </w:r>
      <w:r>
        <w:rPr>
          <w:rFonts w:ascii="宋体" w:hAnsi="宋体" w:eastAsia="宋体" w:cs="Times New Roman"/>
          <w:b/>
          <w:color w:val="auto"/>
          <w:kern w:val="0"/>
          <w:szCs w:val="21"/>
          <w:highlight w:val="none"/>
        </w:rPr>
        <w:t>、合同纠纷解决方式</w:t>
      </w:r>
    </w:p>
    <w:p w14:paraId="03D1BB5F">
      <w:pPr>
        <w:adjustRightInd/>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本合同在履行中如发生争议，双方应友好协商解决，若经协商不能达成协议时，则由合同签订所在地仲裁机构仲裁或向合同签订所在地人民法院提起诉讼（仲裁或诉讼任选一种）。</w:t>
      </w:r>
    </w:p>
    <w:p w14:paraId="04D8FCA3">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rPr>
        <w:t>三</w:t>
      </w:r>
      <w:r>
        <w:rPr>
          <w:rFonts w:ascii="宋体" w:hAnsi="宋体" w:eastAsia="宋体" w:cs="Times New Roman"/>
          <w:b/>
          <w:color w:val="auto"/>
          <w:kern w:val="0"/>
          <w:szCs w:val="21"/>
          <w:highlight w:val="none"/>
        </w:rPr>
        <w:t>、不可抗力事件处理</w:t>
      </w:r>
    </w:p>
    <w:p w14:paraId="1883F5D9">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在合同有效期内，任何一方因不可抗力事件导致不能履行合同，则合同履行期可延长，其延长期与不可抗力影响期相同。</w:t>
      </w:r>
    </w:p>
    <w:p w14:paraId="303C834C">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不可抗力事件发生后，应立即通知对方，并寄送有关权威机构出具的证明。</w:t>
      </w:r>
    </w:p>
    <w:p w14:paraId="71F011D9">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不可抗力事件延续120天以上，双方应通过友好协商，确定是否继续履行合同。</w:t>
      </w:r>
    </w:p>
    <w:p w14:paraId="513A5A49">
      <w:pPr>
        <w:adjustRightInd/>
        <w:spacing w:before="156" w:beforeLines="50" w:after="156" w:afterLines="50" w:line="360" w:lineRule="auto"/>
        <w:ind w:firstLine="422" w:firstLineChars="200"/>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十四</w:t>
      </w:r>
      <w:r>
        <w:rPr>
          <w:rFonts w:ascii="宋体" w:hAnsi="宋体" w:eastAsia="宋体" w:cs="Times New Roman"/>
          <w:b/>
          <w:color w:val="auto"/>
          <w:kern w:val="0"/>
          <w:szCs w:val="21"/>
          <w:highlight w:val="none"/>
        </w:rPr>
        <w:t>、合同生效及终止</w:t>
      </w:r>
    </w:p>
    <w:p w14:paraId="66473923">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、本合同一式肆份，具有同等法律效力，甲、乙双方各执2份。合同经双方法定代表人或授权委托代理人签字并加盖单位公章后即时生效。</w:t>
      </w:r>
    </w:p>
    <w:p w14:paraId="1090E91E">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、如果一方严重违反合同，并在收到对方违约通知书后在15天内仍未能改正违约的，另一方可立即终止本合同。</w:t>
      </w:r>
    </w:p>
    <w:p w14:paraId="4142CB96">
      <w:pPr>
        <w:adjustRightInd/>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、本合同末尽事宜，由双方协商确定处理意见。并形成书面协议作为本合同附件执行。</w:t>
      </w:r>
    </w:p>
    <w:p w14:paraId="7652F7E6">
      <w:pPr>
        <w:adjustRightInd/>
        <w:spacing w:line="360" w:lineRule="auto"/>
        <w:ind w:firstLine="420" w:firstLineChars="200"/>
        <w:rPr>
          <w:rFonts w:hint="eastAsia" w:ascii="宋体" w:hAnsi="宋体" w:eastAsia="宋体" w:cs="Times New Roman"/>
          <w:color w:val="auto"/>
          <w:kern w:val="0"/>
          <w:szCs w:val="21"/>
          <w:highlight w:val="none"/>
        </w:rPr>
      </w:pPr>
    </w:p>
    <w:p w14:paraId="45477E7F">
      <w:pPr>
        <w:adjustRightInd/>
        <w:spacing w:line="360" w:lineRule="auto"/>
        <w:ind w:firstLine="210" w:firstLineChars="100"/>
        <w:rPr>
          <w:rFonts w:hint="eastAsia" w:ascii="Times New Roman" w:hAnsi="Times New Roman" w:eastAsia="宋体" w:cs="Times New Roman"/>
          <w:color w:val="auto"/>
          <w:highlight w:val="none"/>
        </w:rPr>
      </w:pPr>
    </w:p>
    <w:p w14:paraId="4515A691">
      <w:pPr>
        <w:adjustRightInd/>
        <w:spacing w:line="360" w:lineRule="auto"/>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甲方：</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 xml:space="preserve">                                 乙方： </w:t>
      </w:r>
    </w:p>
    <w:p w14:paraId="7DEEC6CD">
      <w:pPr>
        <w:adjustRightInd/>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法定</w:t>
      </w:r>
      <w:r>
        <w:rPr>
          <w:rFonts w:hint="eastAsia" w:ascii="Times New Roman" w:hAnsi="Times New Roman" w:eastAsia="宋体" w:cs="Times New Roman"/>
          <w:color w:val="auto"/>
          <w:highlight w:val="none"/>
        </w:rPr>
        <w:t>（授权）</w:t>
      </w:r>
      <w:r>
        <w:rPr>
          <w:rFonts w:ascii="Times New Roman" w:hAnsi="Times New Roman" w:eastAsia="宋体" w:cs="Times New Roman"/>
          <w:color w:val="auto"/>
          <w:highlight w:val="none"/>
        </w:rPr>
        <w:t>代表人：                     法定</w:t>
      </w:r>
      <w:r>
        <w:rPr>
          <w:rFonts w:hint="eastAsia" w:ascii="Times New Roman" w:hAnsi="Times New Roman" w:eastAsia="宋体" w:cs="Times New Roman"/>
          <w:color w:val="auto"/>
          <w:highlight w:val="none"/>
        </w:rPr>
        <w:t>（授权）</w:t>
      </w:r>
      <w:r>
        <w:rPr>
          <w:rFonts w:ascii="Times New Roman" w:hAnsi="Times New Roman" w:eastAsia="宋体" w:cs="Times New Roman"/>
          <w:color w:val="auto"/>
          <w:highlight w:val="none"/>
        </w:rPr>
        <w:t>代表人：</w:t>
      </w:r>
    </w:p>
    <w:p w14:paraId="35044C6B">
      <w:pPr>
        <w:adjustRightInd/>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签</w:t>
      </w:r>
      <w:r>
        <w:rPr>
          <w:rFonts w:hint="eastAsia" w:ascii="Times New Roman" w:hAnsi="Times New Roman" w:eastAsia="宋体" w:cs="Times New Roman"/>
          <w:color w:val="auto"/>
          <w:highlight w:val="none"/>
        </w:rPr>
        <w:t>字日期</w:t>
      </w:r>
      <w:r>
        <w:rPr>
          <w:rFonts w:ascii="Times New Roman" w:hAnsi="Times New Roman" w:eastAsia="宋体" w:cs="Times New Roman"/>
          <w:color w:val="auto"/>
          <w:highlight w:val="none"/>
        </w:rPr>
        <w:t xml:space="preserve">：      年  月  日  </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签</w:t>
      </w:r>
      <w:r>
        <w:rPr>
          <w:rFonts w:hint="eastAsia" w:ascii="Times New Roman" w:hAnsi="Times New Roman" w:eastAsia="宋体" w:cs="Times New Roman"/>
          <w:color w:val="auto"/>
          <w:highlight w:val="none"/>
        </w:rPr>
        <w:t>字</w:t>
      </w:r>
      <w:r>
        <w:rPr>
          <w:rFonts w:ascii="Times New Roman" w:hAnsi="Times New Roman" w:eastAsia="宋体" w:cs="Times New Roman"/>
          <w:color w:val="auto"/>
          <w:highlight w:val="none"/>
        </w:rPr>
        <w:t>日期：      年  月  日</w:t>
      </w:r>
    </w:p>
    <w:p w14:paraId="05FD53B2">
      <w:pPr>
        <w:tabs>
          <w:tab w:val="left" w:pos="2310"/>
        </w:tabs>
        <w:adjustRightInd/>
        <w:spacing w:line="360" w:lineRule="auto"/>
        <w:rPr>
          <w:rFonts w:hint="eastAsia" w:ascii="Times New Roman" w:hAnsi="Times New Roman" w:eastAsia="宋体" w:cs="Times New Roman"/>
          <w:b/>
          <w:bCs/>
          <w:color w:val="auto"/>
          <w:highlight w:val="none"/>
        </w:rPr>
      </w:pPr>
    </w:p>
    <w:p w14:paraId="1F82DB03">
      <w:pPr>
        <w:tabs>
          <w:tab w:val="left" w:pos="2310"/>
        </w:tabs>
        <w:adjustRightInd/>
        <w:spacing w:line="360" w:lineRule="auto"/>
        <w:rPr>
          <w:rFonts w:hint="eastAsia" w:ascii="Times New Roman" w:hAnsi="Times New Roman" w:eastAsia="宋体" w:cs="Times New Roman"/>
          <w:b/>
          <w:bCs/>
          <w:color w:val="auto"/>
          <w:highlight w:val="none"/>
        </w:rPr>
      </w:pPr>
      <w:r>
        <w:rPr>
          <w:rFonts w:ascii="Times New Roman" w:hAnsi="Times New Roman" w:eastAsia="宋体" w:cs="Times New Roman"/>
          <w:b/>
          <w:bCs/>
          <w:color w:val="auto"/>
          <w:highlight w:val="none"/>
        </w:rPr>
        <w:br w:type="page"/>
      </w:r>
      <w:r>
        <w:rPr>
          <w:rFonts w:hint="eastAsia" w:ascii="Times New Roman" w:hAnsi="Times New Roman" w:eastAsia="宋体" w:cs="Times New Roman"/>
          <w:b/>
          <w:bCs/>
          <w:color w:val="auto"/>
          <w:highlight w:val="none"/>
        </w:rPr>
        <w:t>附件一：考核标准</w:t>
      </w:r>
    </w:p>
    <w:p w14:paraId="6A8911CE">
      <w:pPr>
        <w:tabs>
          <w:tab w:val="left" w:pos="2310"/>
        </w:tabs>
        <w:adjustRightInd/>
        <w:spacing w:line="360" w:lineRule="auto"/>
        <w:jc w:val="center"/>
        <w:rPr>
          <w:rFonts w:hint="eastAsia" w:ascii="Times New Roman" w:hAnsi="Times New Roman" w:eastAsia="宋体" w:cs="Times New Roman"/>
          <w:b/>
          <w:bCs/>
          <w:color w:val="auto"/>
          <w:sz w:val="28"/>
          <w:szCs w:val="28"/>
          <w:highlight w:val="none"/>
        </w:rPr>
      </w:pPr>
    </w:p>
    <w:p w14:paraId="573E96DF">
      <w:pPr>
        <w:tabs>
          <w:tab w:val="left" w:pos="2310"/>
        </w:tabs>
        <w:adjustRightInd/>
        <w:spacing w:line="360" w:lineRule="auto"/>
        <w:jc w:val="cente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北仑公安分局通信运维人员考核制度</w:t>
      </w:r>
    </w:p>
    <w:p w14:paraId="4946C26E">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1、通信运维人员应严格遵守北仑分局的各项安全管理制度及安全操作规程。</w:t>
      </w:r>
    </w:p>
    <w:p w14:paraId="57584307">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2、在工作时间，通信运维公司安排</w:t>
      </w:r>
      <w:r>
        <w:rPr>
          <w:rFonts w:hint="eastAsia" w:ascii="宋体" w:cs="Times New Roman"/>
          <w:color w:val="auto"/>
          <w:highlight w:val="none"/>
          <w:lang w:val="en-US" w:eastAsia="zh-CN"/>
        </w:rPr>
        <w:t>至少</w:t>
      </w:r>
      <w:r>
        <w:rPr>
          <w:rFonts w:hint="eastAsia" w:ascii="宋体" w:hAnsi="Times New Roman" w:eastAsia="宋体" w:cs="Times New Roman"/>
          <w:color w:val="auto"/>
          <w:highlight w:val="none"/>
        </w:rPr>
        <w:t>2名运维人员负责保障分局大楼内的通信运维工作；安排</w:t>
      </w:r>
      <w:r>
        <w:rPr>
          <w:rFonts w:hint="eastAsia" w:ascii="宋体" w:cs="Times New Roman"/>
          <w:color w:val="auto"/>
          <w:highlight w:val="none"/>
          <w:lang w:val="en-US" w:eastAsia="zh-CN"/>
        </w:rPr>
        <w:t>至少</w:t>
      </w:r>
      <w:r>
        <w:rPr>
          <w:rFonts w:hint="eastAsia" w:ascii="宋体" w:hAnsi="Times New Roman" w:eastAsia="宋体" w:cs="Times New Roman"/>
          <w:color w:val="auto"/>
          <w:highlight w:val="none"/>
        </w:rPr>
        <w:t>1名通信运维人员负责保障分局大楼外的通信运维工作。特殊情况下，服从分局科技</w:t>
      </w:r>
      <w:r>
        <w:rPr>
          <w:rFonts w:hint="eastAsia" w:ascii="宋体" w:cs="Times New Roman"/>
          <w:color w:val="auto"/>
          <w:highlight w:val="none"/>
          <w:lang w:val="en-US" w:eastAsia="zh-CN"/>
        </w:rPr>
        <w:t>信息化大队</w:t>
      </w:r>
      <w:r>
        <w:rPr>
          <w:rFonts w:hint="eastAsia" w:ascii="宋体" w:hAnsi="Times New Roman" w:eastAsia="宋体" w:cs="Times New Roman"/>
          <w:color w:val="auto"/>
          <w:highlight w:val="none"/>
        </w:rPr>
        <w:t>安排。</w:t>
      </w:r>
    </w:p>
    <w:p w14:paraId="46FFAFC5">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3、在非工作时间，通信运维公司安排至少1名运维人员进行值班，处理各类故障和分局安排的应急任务。由运维公司确定每月值班安排，并报分局科技</w:t>
      </w:r>
      <w:r>
        <w:rPr>
          <w:rFonts w:hint="eastAsia" w:ascii="宋体" w:cs="Times New Roman"/>
          <w:color w:val="auto"/>
          <w:highlight w:val="none"/>
          <w:lang w:val="en-US" w:eastAsia="zh-CN"/>
        </w:rPr>
        <w:t>信息化大队</w:t>
      </w:r>
      <w:r>
        <w:rPr>
          <w:rFonts w:hint="eastAsia" w:ascii="宋体" w:hAnsi="Times New Roman" w:eastAsia="宋体" w:cs="Times New Roman"/>
          <w:color w:val="auto"/>
          <w:highlight w:val="none"/>
        </w:rPr>
        <w:t>备案。</w:t>
      </w:r>
    </w:p>
    <w:p w14:paraId="36149D78">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4、通信运维公司及其运维人员需签订保密协议，承诺不得将所接触到的技术或业务资料、数据用作其他用途或以任何形式泄露。一经发现，将自行承担相应的法律责任和经济赔偿损失。</w:t>
      </w:r>
    </w:p>
    <w:p w14:paraId="1D69759D">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5、未经许可，运维人员不得私自使用分局公安网、视频专网、</w:t>
      </w:r>
      <w:r>
        <w:rPr>
          <w:rFonts w:hint="eastAsia" w:ascii="宋体" w:cs="Times New Roman"/>
          <w:color w:val="auto"/>
          <w:highlight w:val="none"/>
          <w:lang w:val="en-US" w:eastAsia="zh-CN"/>
        </w:rPr>
        <w:t>警务</w:t>
      </w:r>
      <w:r>
        <w:rPr>
          <w:rFonts w:hint="eastAsia" w:ascii="宋体" w:hAnsi="Times New Roman" w:eastAsia="宋体" w:cs="Times New Roman"/>
          <w:color w:val="auto"/>
          <w:highlight w:val="none"/>
        </w:rPr>
        <w:t>室网等分局专网电脑。因维修需要使用的，应在分局工作人员的监督下进行，并做好登记。</w:t>
      </w:r>
    </w:p>
    <w:p w14:paraId="5F3B06C0">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6、因运维人员造成的“违规外联”等安全事件的，每次扣款5000元。</w:t>
      </w:r>
    </w:p>
    <w:p w14:paraId="65665CC3">
      <w:pPr>
        <w:adjustRightInd/>
        <w:spacing w:line="500" w:lineRule="exact"/>
        <w:ind w:firstLine="420" w:firstLineChars="200"/>
        <w:rPr>
          <w:rFonts w:ascii="宋体" w:hAnsi="Times New Roman" w:eastAsia="宋体" w:cs="Times New Roman"/>
          <w:color w:val="auto"/>
          <w:highlight w:val="none"/>
        </w:rPr>
      </w:pPr>
      <w:r>
        <w:rPr>
          <w:rFonts w:hint="eastAsia" w:ascii="宋体" w:hAnsi="Times New Roman" w:eastAsia="宋体" w:cs="Times New Roman"/>
          <w:color w:val="auto"/>
          <w:highlight w:val="none"/>
        </w:rPr>
        <w:t>7、对于分局的故障申告，未能在合同约定的时间内进行处理的，每次扣款1000元。</w:t>
      </w:r>
    </w:p>
    <w:p w14:paraId="15499860">
      <w:pPr>
        <w:adjustRightInd/>
        <w:spacing w:line="500" w:lineRule="exact"/>
        <w:ind w:firstLine="420" w:firstLineChars="200"/>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8、运维期限内，累计扣款次数达到20次的，甲方有权提前终止合同。</w:t>
      </w:r>
    </w:p>
    <w:p w14:paraId="2048F570">
      <w:pPr>
        <w:rPr>
          <w:rFonts w:hint="eastAsia" w:ascii="宋体" w:hAnsi="宋体" w:cs="宋体"/>
          <w:b/>
          <w:color w:val="auto"/>
          <w:sz w:val="36"/>
          <w:szCs w:val="20"/>
          <w:highlight w:val="none"/>
        </w:rPr>
      </w:pPr>
    </w:p>
    <w:p w14:paraId="33767427">
      <w:pPr>
        <w:spacing w:line="240" w:lineRule="auto"/>
        <w:jc w:val="left"/>
        <w:outlineLvl w:val="9"/>
        <w:rPr>
          <w:rFonts w:hint="eastAsia" w:ascii="宋体" w:hAnsi="宋体" w:cs="宋体"/>
          <w:b/>
          <w:color w:val="auto"/>
          <w:sz w:val="36"/>
          <w:szCs w:val="20"/>
          <w:highlight w:val="none"/>
        </w:rPr>
      </w:pPr>
      <w:bookmarkStart w:id="425" w:name="_Toc19598"/>
      <w:r>
        <w:rPr>
          <w:rFonts w:hint="eastAsia" w:ascii="宋体" w:hAnsi="宋体" w:cs="宋体"/>
          <w:b/>
          <w:color w:val="auto"/>
          <w:sz w:val="36"/>
          <w:szCs w:val="20"/>
          <w:highlight w:val="none"/>
        </w:rPr>
        <w:br w:type="page"/>
      </w:r>
    </w:p>
    <w:p w14:paraId="48BC6A57">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9"/>
      <w:r>
        <w:rPr>
          <w:rFonts w:hint="eastAsia" w:ascii="宋体" w:hAnsi="宋体" w:cs="宋体"/>
          <w:b/>
          <w:color w:val="auto"/>
          <w:sz w:val="36"/>
          <w:szCs w:val="20"/>
          <w:highlight w:val="none"/>
        </w:rPr>
        <w:t xml:space="preserve"> </w:t>
      </w:r>
      <w:bookmarkEnd w:id="420"/>
      <w:r>
        <w:rPr>
          <w:rFonts w:hint="eastAsia" w:ascii="宋体" w:hAnsi="宋体" w:cs="宋体"/>
          <w:b/>
          <w:color w:val="auto"/>
          <w:sz w:val="36"/>
          <w:szCs w:val="20"/>
          <w:highlight w:val="none"/>
        </w:rPr>
        <w:t>应提交的有关格式范例</w:t>
      </w:r>
      <w:bookmarkEnd w:id="423"/>
      <w:bookmarkEnd w:id="425"/>
    </w:p>
    <w:p w14:paraId="5599CFEC">
      <w:pPr>
        <w:spacing w:line="360" w:lineRule="auto"/>
        <w:jc w:val="center"/>
        <w:outlineLvl w:val="9"/>
        <w:rPr>
          <w:rFonts w:ascii="宋体" w:hAnsi="宋体" w:cs="宋体"/>
          <w:b/>
          <w:color w:val="auto"/>
          <w:kern w:val="0"/>
          <w:sz w:val="36"/>
          <w:szCs w:val="36"/>
          <w:highlight w:val="none"/>
        </w:rPr>
      </w:pPr>
    </w:p>
    <w:p w14:paraId="1B93F9E3">
      <w:pPr>
        <w:spacing w:line="360" w:lineRule="auto"/>
        <w:jc w:val="center"/>
        <w:outlineLvl w:val="1"/>
        <w:rPr>
          <w:rFonts w:ascii="宋体" w:hAnsi="宋体" w:cs="宋体"/>
          <w:b/>
          <w:color w:val="auto"/>
          <w:kern w:val="0"/>
          <w:sz w:val="36"/>
          <w:szCs w:val="36"/>
          <w:highlight w:val="none"/>
        </w:rPr>
      </w:pPr>
      <w:bookmarkStart w:id="426" w:name="_Toc29848"/>
      <w:r>
        <w:rPr>
          <w:rFonts w:hint="eastAsia" w:ascii="宋体" w:hAnsi="宋体" w:cs="宋体"/>
          <w:b/>
          <w:color w:val="auto"/>
          <w:kern w:val="0"/>
          <w:sz w:val="36"/>
          <w:szCs w:val="36"/>
          <w:highlight w:val="none"/>
        </w:rPr>
        <w:t>资格文件部分</w:t>
      </w:r>
      <w:bookmarkEnd w:id="426"/>
    </w:p>
    <w:p w14:paraId="4422E533">
      <w:pPr>
        <w:spacing w:line="360" w:lineRule="auto"/>
        <w:jc w:val="center"/>
        <w:outlineLvl w:val="9"/>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4782D35">
      <w:pPr>
        <w:spacing w:line="360" w:lineRule="auto"/>
        <w:jc w:val="center"/>
        <w:outlineLvl w:val="9"/>
        <w:rPr>
          <w:rFonts w:ascii="宋体" w:hAnsi="宋体" w:eastAsia="宋体" w:cs="宋体"/>
          <w:b/>
          <w:color w:val="auto"/>
          <w:kern w:val="0"/>
          <w:sz w:val="36"/>
          <w:szCs w:val="36"/>
          <w:highlight w:val="none"/>
        </w:rPr>
      </w:pPr>
    </w:p>
    <w:p w14:paraId="50C47116">
      <w:pPr>
        <w:snapToGrid w:val="0"/>
        <w:spacing w:line="360" w:lineRule="auto"/>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（1）符合参加政府采购活动应当具备的一般条件的承诺函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（页码）</w:t>
      </w:r>
    </w:p>
    <w:p w14:paraId="0309B995">
      <w:pPr>
        <w:snapToGrid w:val="0"/>
        <w:spacing w:line="360" w:lineRule="auto"/>
        <w:outlineLvl w:val="2"/>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28"/>
          <w:sz w:val="21"/>
          <w:szCs w:val="16"/>
          <w:highlight w:val="none"/>
          <w:lang w:eastAsia="zh-CN"/>
        </w:rPr>
        <w:t>（</w:t>
      </w:r>
      <w:r>
        <w:rPr>
          <w:rFonts w:hint="eastAsia" w:ascii="宋体" w:hAnsi="宋体" w:eastAsia="宋体" w:cs="宋体"/>
          <w:snapToGrid w:val="0"/>
          <w:color w:val="auto"/>
          <w:kern w:val="28"/>
          <w:sz w:val="21"/>
          <w:szCs w:val="16"/>
          <w:highlight w:val="none"/>
          <w:lang w:val="en-US" w:eastAsia="zh-CN"/>
        </w:rPr>
        <w:t>2</w:t>
      </w:r>
      <w:r>
        <w:rPr>
          <w:rFonts w:hint="eastAsia" w:ascii="宋体" w:hAnsi="宋体" w:eastAsia="宋体" w:cs="宋体"/>
          <w:snapToGrid w:val="0"/>
          <w:color w:val="auto"/>
          <w:kern w:val="28"/>
          <w:sz w:val="21"/>
          <w:szCs w:val="16"/>
          <w:highlight w:val="none"/>
          <w:lang w:eastAsia="zh-CN"/>
        </w:rPr>
        <w:t>）</w:t>
      </w:r>
      <w:r>
        <w:rPr>
          <w:rFonts w:hint="eastAsia" w:ascii="宋体" w:hAnsi="宋体" w:eastAsia="宋体" w:cs="宋体"/>
          <w:color w:val="auto"/>
          <w:szCs w:val="21"/>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页码</w:t>
      </w:r>
      <w:r>
        <w:rPr>
          <w:rFonts w:hint="eastAsia" w:ascii="宋体" w:hAnsi="宋体" w:eastAsia="宋体" w:cs="宋体"/>
          <w:color w:val="auto"/>
          <w:szCs w:val="21"/>
          <w:highlight w:val="none"/>
          <w:lang w:eastAsia="zh-CN"/>
        </w:rPr>
        <w:t>）</w:t>
      </w:r>
    </w:p>
    <w:p w14:paraId="7DC1C244">
      <w:pPr>
        <w:snapToGrid w:val="0"/>
        <w:spacing w:line="360" w:lineRule="auto"/>
        <w:outlineLvl w:val="2"/>
        <w:rPr>
          <w:rFonts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zh-CN"/>
        </w:rPr>
        <w:t>中小企业声明函、残疾人福利性单位声明函（如投标人为非残疾人福利性单位可不提供此声明函）（见格式）……………………………………………………（</w:t>
      </w:r>
      <w:r>
        <w:rPr>
          <w:rFonts w:hint="eastAsia" w:ascii="宋体" w:hAnsi="宋体" w:eastAsia="宋体" w:cs="宋体"/>
          <w:color w:val="auto"/>
          <w:szCs w:val="21"/>
          <w:highlight w:val="none"/>
          <w:lang w:val="en-US" w:eastAsia="zh-CN"/>
        </w:rPr>
        <w:t>页码</w:t>
      </w:r>
      <w:r>
        <w:rPr>
          <w:rFonts w:hint="eastAsia" w:ascii="宋体" w:hAnsi="宋体" w:eastAsia="宋体" w:cs="宋体"/>
          <w:color w:val="auto"/>
          <w:szCs w:val="21"/>
          <w:highlight w:val="none"/>
          <w:lang w:val="zh-CN"/>
        </w:rPr>
        <w:t>）</w:t>
      </w:r>
    </w:p>
    <w:p w14:paraId="4634E773">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lang w:val="en-US" w:eastAsia="zh-CN"/>
        </w:rPr>
        <w:t>页码</w:t>
      </w:r>
      <w:r>
        <w:rPr>
          <w:rFonts w:hint="eastAsia" w:ascii="宋体" w:hAnsi="宋体" w:eastAsia="宋体" w:cs="宋体"/>
          <w:color w:val="auto"/>
          <w:szCs w:val="21"/>
          <w:highlight w:val="none"/>
          <w:lang w:eastAsia="zh-CN"/>
        </w:rPr>
        <w:t>）</w:t>
      </w:r>
    </w:p>
    <w:p w14:paraId="1540402B">
      <w:pPr>
        <w:snapToGrid w:val="0"/>
        <w:spacing w:line="360" w:lineRule="auto"/>
        <w:outlineLvl w:val="2"/>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（5）其他投标认为应提交的资料</w:t>
      </w:r>
      <w:r>
        <w:rPr>
          <w:rFonts w:hint="eastAsia" w:ascii="宋体" w:hAnsi="宋体" w:eastAsia="宋体" w:cs="宋体"/>
          <w:color w:val="auto"/>
          <w:szCs w:val="21"/>
          <w:highlight w:val="none"/>
          <w:lang w:val="zh-CN"/>
        </w:rPr>
        <w:t>（如有）………………………………………………………………（</w:t>
      </w:r>
      <w:r>
        <w:rPr>
          <w:rFonts w:hint="eastAsia" w:ascii="宋体" w:hAnsi="宋体" w:eastAsia="宋体" w:cs="宋体"/>
          <w:color w:val="auto"/>
          <w:szCs w:val="21"/>
          <w:highlight w:val="none"/>
          <w:lang w:val="en-US" w:eastAsia="zh-CN"/>
        </w:rPr>
        <w:t>页码</w:t>
      </w:r>
      <w:r>
        <w:rPr>
          <w:rFonts w:hint="eastAsia" w:ascii="宋体" w:hAnsi="宋体" w:eastAsia="宋体" w:cs="宋体"/>
          <w:color w:val="auto"/>
          <w:szCs w:val="21"/>
          <w:highlight w:val="none"/>
          <w:lang w:val="zh-CN"/>
        </w:rPr>
        <w:t>）</w:t>
      </w:r>
    </w:p>
    <w:p w14:paraId="17D6657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02757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B7B0F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一、有效的企业法人营业执照（或事业法人登记证）、其他组织（个体工商户）的营业执照或者民办非企业单位登记证书</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rPr>
        <w:br w:type="page"/>
      </w:r>
    </w:p>
    <w:p w14:paraId="1BA5DC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0EB914C0">
      <w:pPr>
        <w:snapToGrid w:val="0"/>
        <w:spacing w:line="360" w:lineRule="auto"/>
        <w:rPr>
          <w:rFonts w:hint="eastAsia" w:ascii="宋体" w:hAnsi="宋体" w:cs="宋体"/>
          <w:color w:val="auto"/>
          <w:sz w:val="24"/>
          <w:highlight w:val="none"/>
          <w:lang w:val="en-US" w:eastAsia="zh-CN"/>
        </w:rPr>
      </w:pPr>
    </w:p>
    <w:p w14:paraId="77B5C9E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val="en-US" w:eastAsia="zh-CN"/>
        </w:rPr>
        <w:t>宁波市公安局北仑分局、宁波中基国际招标有限公司</w:t>
      </w:r>
      <w:r>
        <w:rPr>
          <w:rFonts w:hint="eastAsia" w:ascii="宋体" w:hAnsi="宋体" w:cs="宋体"/>
          <w:color w:val="auto"/>
          <w:sz w:val="24"/>
          <w:highlight w:val="none"/>
        </w:rPr>
        <w:t>：</w:t>
      </w:r>
    </w:p>
    <w:p w14:paraId="094663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sz w:val="24"/>
          <w:highlight w:val="none"/>
          <w:lang w:val="en-US" w:eastAsia="zh-CN"/>
        </w:rPr>
        <w:t xml:space="preserve">的 </w:t>
      </w:r>
      <w:r>
        <w:rPr>
          <w:rFonts w:hint="eastAsia" w:ascii="宋体" w:hAnsi="宋体" w:cs="宋体"/>
          <w:color w:val="auto"/>
          <w:sz w:val="24"/>
          <w:highlight w:val="none"/>
        </w:rPr>
        <w:t>政府采购活动，郑重承诺：</w:t>
      </w:r>
    </w:p>
    <w:p w14:paraId="0D82344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33390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A5EF1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6C8E8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94204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8B23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6530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F1FFC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val="en-US" w:eastAsia="zh-CN"/>
        </w:rPr>
        <w:t>重大税收违法失信主体</w:t>
      </w:r>
      <w:r>
        <w:rPr>
          <w:rFonts w:hint="eastAsia" w:ascii="宋体" w:hAnsi="宋体" w:cs="宋体"/>
          <w:color w:val="auto"/>
          <w:sz w:val="24"/>
          <w:highlight w:val="none"/>
        </w:rPr>
        <w:t>、政府采购严重违法失信行为记录名单。</w:t>
      </w:r>
    </w:p>
    <w:p w14:paraId="126694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2DD0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67ACD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54EC39C">
      <w:pPr>
        <w:snapToGrid w:val="0"/>
        <w:spacing w:line="360" w:lineRule="auto"/>
        <w:ind w:firstLine="5520" w:firstLineChars="2300"/>
        <w:rPr>
          <w:rFonts w:hint="eastAsia" w:ascii="宋体" w:hAnsi="宋体" w:cs="宋体"/>
          <w:color w:val="auto"/>
          <w:kern w:val="0"/>
          <w:sz w:val="24"/>
          <w:highlight w:val="none"/>
          <w:lang w:val="zh-CN"/>
        </w:rPr>
      </w:pPr>
    </w:p>
    <w:p w14:paraId="1C412986">
      <w:pPr>
        <w:snapToGrid w:val="0"/>
        <w:spacing w:line="360" w:lineRule="auto"/>
        <w:ind w:firstLine="5520" w:firstLineChars="2300"/>
        <w:rPr>
          <w:rFonts w:hint="eastAsia" w:ascii="宋体" w:hAnsi="宋体" w:cs="宋体"/>
          <w:color w:val="auto"/>
          <w:kern w:val="0"/>
          <w:sz w:val="24"/>
          <w:highlight w:val="none"/>
          <w:lang w:val="zh-CN"/>
        </w:rPr>
      </w:pPr>
    </w:p>
    <w:p w14:paraId="5031FD6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签章</w:t>
      </w:r>
      <w:r>
        <w:rPr>
          <w:rFonts w:hint="eastAsia" w:ascii="宋体" w:hAnsi="宋体" w:eastAsia="宋体" w:cs="宋体"/>
          <w:color w:val="auto"/>
          <w:kern w:val="0"/>
          <w:sz w:val="24"/>
          <w:highlight w:val="none"/>
          <w:lang w:val="zh-CN"/>
        </w:rPr>
        <w:t>)：</w:t>
      </w:r>
    </w:p>
    <w:p w14:paraId="7EB58B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47349">
      <w:pPr>
        <w:snapToGrid w:val="0"/>
        <w:spacing w:line="360" w:lineRule="auto"/>
        <w:ind w:right="480"/>
        <w:jc w:val="center"/>
        <w:rPr>
          <w:rFonts w:ascii="宋体" w:hAnsi="宋体" w:cs="宋体"/>
          <w:b/>
          <w:color w:val="auto"/>
          <w:kern w:val="0"/>
          <w:sz w:val="32"/>
          <w:szCs w:val="32"/>
          <w:highlight w:val="none"/>
        </w:rPr>
      </w:pPr>
    </w:p>
    <w:p w14:paraId="2467F185">
      <w:pPr>
        <w:snapToGrid w:val="0"/>
        <w:spacing w:line="360" w:lineRule="auto"/>
        <w:ind w:right="480"/>
        <w:jc w:val="center"/>
        <w:rPr>
          <w:rFonts w:ascii="宋体" w:hAnsi="宋体" w:cs="宋体"/>
          <w:b/>
          <w:color w:val="auto"/>
          <w:kern w:val="0"/>
          <w:sz w:val="32"/>
          <w:szCs w:val="32"/>
          <w:highlight w:val="none"/>
        </w:rPr>
      </w:pPr>
    </w:p>
    <w:p w14:paraId="39CE6EEB">
      <w:pPr>
        <w:snapToGrid w:val="0"/>
        <w:spacing w:line="360" w:lineRule="auto"/>
        <w:ind w:right="480"/>
        <w:jc w:val="center"/>
        <w:rPr>
          <w:rFonts w:ascii="宋体" w:hAnsi="宋体" w:cs="宋体"/>
          <w:b/>
          <w:color w:val="auto"/>
          <w:kern w:val="0"/>
          <w:sz w:val="32"/>
          <w:szCs w:val="32"/>
          <w:highlight w:val="none"/>
        </w:rPr>
      </w:pPr>
    </w:p>
    <w:p w14:paraId="28CA265A">
      <w:pPr>
        <w:rPr>
          <w:rFonts w:ascii="宋体" w:hAnsi="宋体" w:cs="宋体"/>
          <w:color w:val="auto"/>
          <w:highlight w:val="none"/>
        </w:rPr>
      </w:pPr>
    </w:p>
    <w:p w14:paraId="7E3FD520">
      <w:pPr>
        <w:snapToGrid w:val="0"/>
        <w:spacing w:line="360" w:lineRule="auto"/>
        <w:ind w:right="480"/>
        <w:jc w:val="center"/>
        <w:rPr>
          <w:rFonts w:ascii="宋体" w:hAnsi="宋体" w:cs="宋体"/>
          <w:b/>
          <w:color w:val="auto"/>
          <w:kern w:val="0"/>
          <w:sz w:val="32"/>
          <w:szCs w:val="32"/>
          <w:highlight w:val="none"/>
        </w:rPr>
      </w:pPr>
    </w:p>
    <w:p w14:paraId="31CE5F89">
      <w:pPr>
        <w:snapToGrid w:val="0"/>
        <w:spacing w:line="360" w:lineRule="auto"/>
        <w:ind w:right="480"/>
        <w:jc w:val="center"/>
        <w:rPr>
          <w:rFonts w:ascii="宋体" w:hAnsi="宋体" w:cs="宋体"/>
          <w:b/>
          <w:color w:val="auto"/>
          <w:kern w:val="0"/>
          <w:sz w:val="32"/>
          <w:szCs w:val="32"/>
          <w:highlight w:val="none"/>
        </w:rPr>
      </w:pPr>
    </w:p>
    <w:p w14:paraId="12D38ACD">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5A26A92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、联合协议（如有）</w:t>
      </w:r>
    </w:p>
    <w:p w14:paraId="555D8C2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）；本项目不接受联合体投标或者投标人不以联合体形式投标的，则不需要提供]</w:t>
      </w:r>
    </w:p>
    <w:p w14:paraId="347AD153">
      <w:pPr>
        <w:snapToGrid w:val="0"/>
        <w:spacing w:line="360" w:lineRule="auto"/>
        <w:ind w:right="480"/>
        <w:jc w:val="center"/>
        <w:rPr>
          <w:rFonts w:ascii="宋体" w:hAnsi="宋体" w:cs="宋体"/>
          <w:b/>
          <w:color w:val="auto"/>
          <w:kern w:val="0"/>
          <w:sz w:val="32"/>
          <w:szCs w:val="32"/>
          <w:highlight w:val="none"/>
        </w:rPr>
      </w:pPr>
    </w:p>
    <w:p w14:paraId="3572C6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2FB5A42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C4AD3C1">
      <w:pPr>
        <w:snapToGrid w:val="0"/>
        <w:spacing w:before="50" w:after="50" w:line="360" w:lineRule="auto"/>
        <w:ind w:firstLine="472" w:firstLineChars="196"/>
        <w:jc w:val="left"/>
        <w:rPr>
          <w:rFonts w:ascii="宋体" w:hAnsi="宋体" w:cs="宋体"/>
          <w:b/>
          <w:bCs w:val="0"/>
          <w:color w:val="auto"/>
          <w:sz w:val="24"/>
          <w:highlight w:val="none"/>
        </w:rPr>
      </w:pPr>
      <w:r>
        <w:rPr>
          <w:rFonts w:hint="eastAsia" w:ascii="宋体" w:hAnsi="宋体" w:cs="宋体"/>
          <w:b/>
          <w:bCs w:val="0"/>
          <w:color w:val="auto"/>
          <w:sz w:val="24"/>
          <w:highlight w:val="none"/>
        </w:rPr>
        <w:t>A.专门面向中小企业，货物全部由符合政策要求的中小企业（或小微企业）制造的，提供相应的中小企业声明函</w:t>
      </w:r>
      <w:r>
        <w:rPr>
          <w:rFonts w:hint="eastAsia" w:ascii="宋体" w:hAnsi="宋体" w:cs="宋体"/>
          <w:b/>
          <w:bCs w:val="0"/>
          <w:color w:val="auto"/>
          <w:sz w:val="24"/>
          <w:highlight w:val="none"/>
          <w:lang w:eastAsia="zh-CN"/>
        </w:rPr>
        <w:t>；</w:t>
      </w:r>
      <w:r>
        <w:rPr>
          <w:rFonts w:hint="eastAsia" w:ascii="宋体" w:hAnsi="宋体" w:eastAsia="宋体" w:cs="宋体"/>
          <w:b/>
          <w:bCs w:val="0"/>
          <w:snapToGrid w:val="0"/>
          <w:color w:val="auto"/>
          <w:kern w:val="28"/>
          <w:sz w:val="24"/>
          <w:szCs w:val="20"/>
          <w:highlight w:val="none"/>
        </w:rPr>
        <w:t>服务全部由符合政策要求的中小企业承接，提供中小企业声明函</w:t>
      </w:r>
      <w:r>
        <w:rPr>
          <w:rFonts w:hint="eastAsia" w:ascii="宋体" w:hAnsi="宋体" w:eastAsia="宋体" w:cs="宋体"/>
          <w:b/>
          <w:bCs w:val="0"/>
          <w:snapToGrid w:val="0"/>
          <w:color w:val="auto"/>
          <w:kern w:val="28"/>
          <w:sz w:val="24"/>
          <w:szCs w:val="20"/>
          <w:highlight w:val="none"/>
          <w:lang w:eastAsia="zh-CN"/>
        </w:rPr>
        <w:t>。</w:t>
      </w:r>
      <w:r>
        <w:rPr>
          <w:rFonts w:hint="eastAsia" w:ascii="宋体" w:hAnsi="宋体" w:cs="宋体"/>
          <w:b/>
          <w:bCs w:val="0"/>
          <w:color w:val="auto"/>
          <w:sz w:val="24"/>
          <w:highlight w:val="none"/>
        </w:rPr>
        <w:t>（附件</w:t>
      </w:r>
      <w:r>
        <w:rPr>
          <w:rFonts w:hint="eastAsia" w:ascii="宋体" w:hAnsi="宋体" w:cs="宋体"/>
          <w:b/>
          <w:bCs w:val="0"/>
          <w:color w:val="auto"/>
          <w:sz w:val="24"/>
          <w:highlight w:val="none"/>
          <w:lang w:val="en-US" w:eastAsia="zh-CN"/>
        </w:rPr>
        <w:t>5</w:t>
      </w:r>
      <w:r>
        <w:rPr>
          <w:rFonts w:hint="eastAsia" w:ascii="宋体" w:hAnsi="宋体" w:cs="宋体"/>
          <w:b/>
          <w:bCs w:val="0"/>
          <w:color w:val="auto"/>
          <w:sz w:val="24"/>
          <w:highlight w:val="none"/>
        </w:rPr>
        <w:t xml:space="preserve">）。 </w:t>
      </w:r>
    </w:p>
    <w:p w14:paraId="0118CC31">
      <w:pPr>
        <w:widowControl/>
        <w:spacing w:line="360" w:lineRule="auto"/>
        <w:ind w:firstLine="480"/>
        <w:jc w:val="left"/>
        <w:rPr>
          <w:rFonts w:ascii="宋体" w:hAnsi="宋体" w:cs="宋体"/>
          <w:color w:val="auto"/>
          <w:sz w:val="24"/>
          <w:highlight w:val="none"/>
        </w:rPr>
      </w:pPr>
    </w:p>
    <w:p w14:paraId="7AABBF3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EE54C6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33AC1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108048">
      <w:pPr>
        <w:widowControl/>
        <w:spacing w:line="360" w:lineRule="auto"/>
        <w:ind w:left="150"/>
        <w:jc w:val="center"/>
        <w:rPr>
          <w:rFonts w:ascii="宋体" w:hAnsi="宋体" w:cs="宋体"/>
          <w:b/>
          <w:color w:val="auto"/>
          <w:kern w:val="0"/>
          <w:sz w:val="32"/>
          <w:szCs w:val="32"/>
          <w:highlight w:val="none"/>
        </w:rPr>
      </w:pPr>
    </w:p>
    <w:p w14:paraId="5B1BC19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6FF49A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3877A87">
      <w:pPr>
        <w:rPr>
          <w:rFonts w:ascii="宋体" w:hAnsi="宋体" w:cs="宋体"/>
          <w:color w:val="auto"/>
          <w:highlight w:val="none"/>
        </w:rPr>
      </w:pPr>
    </w:p>
    <w:p w14:paraId="2B6DBCB8">
      <w:pPr>
        <w:widowControl/>
        <w:numPr>
          <w:ilvl w:val="0"/>
          <w:numId w:val="6"/>
        </w:numPr>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14:paraId="3244AFCD">
      <w:pPr>
        <w:pStyle w:val="64"/>
        <w:numPr>
          <w:ilvl w:val="0"/>
          <w:numId w:val="0"/>
        </w:numPr>
        <w:ind w:leftChars="400"/>
        <w:jc w:val="center"/>
        <w:rPr>
          <w:rFonts w:hint="eastAsia" w:eastAsia="宋体"/>
          <w:b w:val="0"/>
          <w:bCs/>
          <w:color w:val="auto"/>
          <w:highlight w:val="none"/>
          <w:lang w:val="en-US" w:eastAsia="zh-CN"/>
        </w:rPr>
      </w:pPr>
      <w:r>
        <w:rPr>
          <w:rFonts w:hint="eastAsia" w:ascii="宋体" w:hAnsi="宋体" w:cs="宋体"/>
          <w:b w:val="0"/>
          <w:bCs/>
          <w:color w:val="auto"/>
          <w:sz w:val="24"/>
          <w:highlight w:val="none"/>
          <w:lang w:val="en-US" w:eastAsia="zh-CN"/>
        </w:rPr>
        <w:t>[如适用，</w:t>
      </w:r>
      <w:r>
        <w:rPr>
          <w:rFonts w:hint="eastAsia" w:ascii="宋体" w:hAnsi="宋体" w:cs="宋体"/>
          <w:b w:val="0"/>
          <w:bCs/>
          <w:color w:val="auto"/>
          <w:sz w:val="24"/>
          <w:highlight w:val="none"/>
        </w:rPr>
        <w:t>提供业务专用章使用说明函（附件</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w:t>
      </w:r>
    </w:p>
    <w:p w14:paraId="6B51A4F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517CF3">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EA65952">
      <w:pPr>
        <w:spacing w:line="360" w:lineRule="auto"/>
        <w:jc w:val="center"/>
        <w:outlineLvl w:val="9"/>
        <w:rPr>
          <w:rFonts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6"/>
          <w:szCs w:val="36"/>
          <w:highlight w:val="none"/>
        </w:rPr>
        <w:t>目录</w:t>
      </w:r>
    </w:p>
    <w:p w14:paraId="6A1FEF7C">
      <w:pPr>
        <w:spacing w:line="360" w:lineRule="auto"/>
        <w:jc w:val="center"/>
        <w:outlineLvl w:val="9"/>
        <w:rPr>
          <w:rFonts w:ascii="宋体" w:hAnsi="宋体" w:eastAsia="宋体" w:cs="宋体"/>
          <w:b/>
          <w:color w:val="auto"/>
          <w:kern w:val="0"/>
          <w:sz w:val="36"/>
          <w:szCs w:val="36"/>
          <w:highlight w:val="none"/>
        </w:rPr>
      </w:pPr>
    </w:p>
    <w:p w14:paraId="5F2CAA89">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投标函…………………………………………………………………………………（页码）</w:t>
      </w:r>
    </w:p>
    <w:p w14:paraId="1BFB3163">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08F60D7A">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）符合性审查资料………………………………………………………………………（页码）</w:t>
      </w:r>
    </w:p>
    <w:p w14:paraId="017F6A70">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政府采购供应商廉洁自律承诺书……………………………………………………（页码）</w:t>
      </w:r>
    </w:p>
    <w:p w14:paraId="424CD493">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商务技术偏离表………………………………………………………………………（页码）</w:t>
      </w:r>
    </w:p>
    <w:p w14:paraId="4712FF49">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评标标准相应的商务技术资料………………………………………………………（页码）</w:t>
      </w:r>
    </w:p>
    <w:p w14:paraId="2D22EFAD">
      <w:pPr>
        <w:keepNext w:val="0"/>
        <w:keepLines w:val="0"/>
        <w:pageBreakBefore w:val="0"/>
        <w:widowControl w:val="0"/>
        <w:kinsoku/>
        <w:wordWrap/>
        <w:overflowPunct/>
        <w:topLinePunct w:val="0"/>
        <w:autoSpaceDE/>
        <w:autoSpaceDN/>
        <w:bidi w:val="0"/>
        <w:adjustRightInd w:val="0"/>
        <w:snapToGrid w:val="0"/>
        <w:spacing w:line="440" w:lineRule="exact"/>
        <w:ind w:left="479" w:leftChars="228"/>
        <w:textAlignment w:val="auto"/>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其他供应商认为应提交的资料（如有）</w:t>
      </w:r>
      <w:r>
        <w:rPr>
          <w:rFonts w:hint="eastAsia" w:ascii="宋体" w:hAnsi="宋体" w:eastAsia="宋体" w:cs="宋体"/>
          <w:color w:val="auto"/>
          <w:sz w:val="21"/>
          <w:szCs w:val="21"/>
          <w:highlight w:val="none"/>
          <w:lang w:val="zh-CN"/>
        </w:rPr>
        <w:t>……………………………………………（页码）</w:t>
      </w:r>
    </w:p>
    <w:p w14:paraId="0684E47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F023911">
      <w:pPr>
        <w:numPr>
          <w:ilvl w:val="0"/>
          <w:numId w:val="8"/>
        </w:numPr>
        <w:bidi w:val="0"/>
        <w:ind w:left="3360" w:leftChars="0" w:firstLineChars="0"/>
        <w:jc w:val="left"/>
        <w:rPr>
          <w:rFonts w:hint="eastAsia"/>
          <w:b/>
          <w:bCs/>
          <w:color w:val="auto"/>
          <w:sz w:val="32"/>
          <w:szCs w:val="32"/>
          <w:highlight w:val="none"/>
        </w:rPr>
      </w:pPr>
      <w:bookmarkStart w:id="427" w:name="_Toc2704"/>
      <w:r>
        <w:rPr>
          <w:rFonts w:hint="eastAsia"/>
          <w:b/>
          <w:bCs/>
          <w:color w:val="auto"/>
          <w:sz w:val="32"/>
          <w:szCs w:val="32"/>
          <w:highlight w:val="none"/>
        </w:rPr>
        <w:t>投标函</w:t>
      </w:r>
      <w:bookmarkEnd w:id="427"/>
    </w:p>
    <w:p w14:paraId="0AFC7FA8">
      <w:pPr>
        <w:pStyle w:val="64"/>
        <w:numPr>
          <w:ilvl w:val="0"/>
          <w:numId w:val="0"/>
        </w:numPr>
        <w:ind w:leftChars="400"/>
        <w:rPr>
          <w:color w:val="auto"/>
          <w:highlight w:val="none"/>
        </w:rPr>
      </w:pPr>
    </w:p>
    <w:p w14:paraId="46709C8B">
      <w:pPr>
        <w:pStyle w:val="25"/>
        <w:widowControl/>
        <w:spacing w:line="360" w:lineRule="auto"/>
        <w:ind w:left="0" w:leftChars="0" w:firstLine="0" w:firstLineChars="0"/>
        <w:jc w:val="left"/>
        <w:rPr>
          <w:rFonts w:hint="eastAsia" w:hAnsi="宋体" w:cs="宋体"/>
          <w:color w:val="auto"/>
          <w:sz w:val="24"/>
          <w:szCs w:val="24"/>
          <w:highlight w:val="none"/>
        </w:rPr>
      </w:pPr>
      <w:r>
        <w:rPr>
          <w:rFonts w:hint="eastAsia" w:cs="宋体"/>
          <w:color w:val="auto"/>
          <w:sz w:val="24"/>
          <w:highlight w:val="none"/>
          <w:u w:val="single"/>
          <w:lang w:val="en-US" w:eastAsia="zh-CN"/>
        </w:rPr>
        <w:t>宁波市公安局北仑分局</w:t>
      </w:r>
      <w:r>
        <w:rPr>
          <w:rFonts w:hint="eastAsia" w:cs="宋体"/>
          <w:color w:val="auto"/>
          <w:sz w:val="24"/>
          <w:szCs w:val="24"/>
          <w:highlight w:val="none"/>
          <w:u w:val="single"/>
          <w:lang w:val="en-US" w:eastAsia="zh-CN"/>
        </w:rPr>
        <w:t>、宁波中基国际招标有限公司</w:t>
      </w:r>
      <w:r>
        <w:rPr>
          <w:rFonts w:hint="eastAsia" w:hAnsi="宋体" w:cs="宋体"/>
          <w:color w:val="auto"/>
          <w:sz w:val="24"/>
          <w:szCs w:val="24"/>
          <w:highlight w:val="none"/>
        </w:rPr>
        <w:t>：</w:t>
      </w:r>
    </w:p>
    <w:p w14:paraId="22E82A66">
      <w:pPr>
        <w:pStyle w:val="25"/>
        <w:widowControl/>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（投标人全称）</w:t>
      </w:r>
      <w:r>
        <w:rPr>
          <w:rFonts w:hint="eastAsia" w:hAnsi="宋体" w:cs="宋体"/>
          <w:color w:val="auto"/>
          <w:sz w:val="24"/>
          <w:szCs w:val="24"/>
          <w:highlight w:val="none"/>
        </w:rPr>
        <w:t>授权</w:t>
      </w:r>
      <w:r>
        <w:rPr>
          <w:rFonts w:hint="eastAsia" w:hAnsi="宋体" w:cs="宋体"/>
          <w:color w:val="auto"/>
          <w:sz w:val="24"/>
          <w:szCs w:val="24"/>
          <w:highlight w:val="none"/>
          <w:u w:val="single"/>
        </w:rPr>
        <w:t>（授权代表姓名、职务）</w:t>
      </w:r>
      <w:r>
        <w:rPr>
          <w:rFonts w:hint="eastAsia" w:hAnsi="宋体" w:cs="宋体"/>
          <w:color w:val="auto"/>
          <w:sz w:val="24"/>
          <w:szCs w:val="24"/>
          <w:highlight w:val="none"/>
        </w:rPr>
        <w:t>为本公司（单位）合法代理人，参加贵方组织的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招投标活动，代表本公司（单位）处理招投标活动中的一切事宜，为对</w:t>
      </w:r>
      <w:r>
        <w:rPr>
          <w:rFonts w:hint="eastAsia" w:hAnsi="宋体" w:cs="宋体"/>
          <w:color w:val="auto"/>
          <w:sz w:val="24"/>
          <w:szCs w:val="24"/>
          <w:highlight w:val="none"/>
          <w:u w:val="single"/>
        </w:rPr>
        <w:t>（</w:t>
      </w:r>
      <w:r>
        <w:rPr>
          <w:rFonts w:hint="eastAsia" w:cs="宋体"/>
          <w:color w:val="auto"/>
          <w:sz w:val="24"/>
          <w:szCs w:val="24"/>
          <w:highlight w:val="none"/>
          <w:u w:val="single"/>
          <w:lang w:val="en-US" w:eastAsia="zh-CN"/>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进行投标，在此：</w:t>
      </w:r>
    </w:p>
    <w:p w14:paraId="2A961B31">
      <w:pPr>
        <w:pStyle w:val="25"/>
        <w:widowControl/>
        <w:spacing w:line="360" w:lineRule="auto"/>
        <w:ind w:firstLine="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cs="宋体"/>
          <w:color w:val="auto"/>
          <w:sz w:val="24"/>
          <w:szCs w:val="24"/>
          <w:highlight w:val="none"/>
          <w:lang w:val="en-US" w:eastAsia="zh-CN"/>
        </w:rPr>
        <w:t>.</w:t>
      </w:r>
      <w:r>
        <w:rPr>
          <w:rFonts w:hint="eastAsia" w:hAnsi="宋体" w:cs="宋体"/>
          <w:color w:val="auto"/>
          <w:sz w:val="24"/>
          <w:szCs w:val="24"/>
          <w:highlight w:val="none"/>
        </w:rPr>
        <w:t>提供招标文件中“投标须知”规定</w:t>
      </w:r>
      <w:r>
        <w:rPr>
          <w:rFonts w:hint="eastAsia" w:hAnsi="宋体" w:cs="宋体"/>
          <w:b w:val="0"/>
          <w:bCs w:val="0"/>
          <w:color w:val="auto"/>
          <w:sz w:val="24"/>
          <w:szCs w:val="24"/>
          <w:highlight w:val="none"/>
        </w:rPr>
        <w:t>的</w:t>
      </w:r>
      <w:r>
        <w:rPr>
          <w:rFonts w:hint="eastAsia" w:hAnsi="宋体" w:cs="宋体"/>
          <w:color w:val="auto"/>
          <w:sz w:val="24"/>
          <w:szCs w:val="24"/>
          <w:highlight w:val="none"/>
        </w:rPr>
        <w:t>全部投标文件</w:t>
      </w:r>
    </w:p>
    <w:p w14:paraId="48B4D2A3">
      <w:pPr>
        <w:pStyle w:val="25"/>
        <w:widowControl/>
        <w:numPr>
          <w:ilvl w:val="0"/>
          <w:numId w:val="0"/>
        </w:numPr>
        <w:spacing w:line="360" w:lineRule="auto"/>
        <w:ind w:firstLine="480" w:firstLineChars="200"/>
        <w:jc w:val="left"/>
        <w:rPr>
          <w:rFonts w:hint="eastAsia" w:hAnsi="宋体" w:cs="宋体"/>
          <w:color w:val="auto"/>
          <w:sz w:val="24"/>
          <w:szCs w:val="24"/>
          <w:highlight w:val="none"/>
        </w:rPr>
      </w:pPr>
      <w:r>
        <w:rPr>
          <w:rFonts w:hint="eastAsia" w:cs="宋体"/>
          <w:color w:val="auto"/>
          <w:sz w:val="24"/>
          <w:szCs w:val="24"/>
          <w:highlight w:val="none"/>
          <w:lang w:val="en-US" w:eastAsia="zh-CN"/>
        </w:rPr>
        <w:t>2.</w:t>
      </w:r>
      <w:r>
        <w:rPr>
          <w:rFonts w:hint="eastAsia" w:hAnsi="宋体" w:cs="宋体"/>
          <w:color w:val="auto"/>
          <w:sz w:val="24"/>
          <w:szCs w:val="24"/>
          <w:highlight w:val="none"/>
        </w:rPr>
        <w:t>据此函，签字代表宣布并承诺如下：</w:t>
      </w:r>
    </w:p>
    <w:p w14:paraId="769ABAB0">
      <w:pPr>
        <w:pStyle w:val="25"/>
        <w:widowControl/>
        <w:spacing w:line="360" w:lineRule="auto"/>
        <w:ind w:firstLine="0"/>
        <w:jc w:val="left"/>
        <w:rPr>
          <w:rFonts w:hint="eastAsia" w:hAnsi="宋体" w:cs="宋体"/>
          <w:color w:val="auto"/>
          <w:sz w:val="21"/>
          <w:highlight w:val="none"/>
        </w:rPr>
      </w:pPr>
      <w:r>
        <w:rPr>
          <w:rFonts w:hint="eastAsia" w:hAnsi="宋体" w:cs="宋体"/>
          <w:color w:val="auto"/>
          <w:sz w:val="24"/>
          <w:szCs w:val="24"/>
          <w:highlight w:val="none"/>
        </w:rPr>
        <w:t>（1</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我单位的</w:t>
      </w:r>
      <w:r>
        <w:rPr>
          <w:rFonts w:hint="eastAsia" w:ascii="宋体" w:hAnsi="宋体" w:eastAsia="宋体" w:cs="宋体"/>
          <w:color w:val="auto"/>
          <w:sz w:val="24"/>
          <w:szCs w:val="24"/>
          <w:highlight w:val="none"/>
        </w:rPr>
        <w:t>报价已经包含了所供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应纳的税金及招标文件规定的报价方式应包含</w:t>
      </w:r>
      <w:r>
        <w:rPr>
          <w:rFonts w:hint="eastAsia" w:cs="宋体"/>
          <w:color w:val="auto"/>
          <w:sz w:val="24"/>
          <w:szCs w:val="24"/>
          <w:highlight w:val="none"/>
          <w:lang w:eastAsia="zh-CN"/>
        </w:rPr>
        <w:t>的其他费用</w:t>
      </w:r>
      <w:r>
        <w:rPr>
          <w:rFonts w:hint="eastAsia" w:ascii="宋体" w:hAnsi="宋体" w:eastAsia="宋体" w:cs="宋体"/>
          <w:color w:val="auto"/>
          <w:sz w:val="24"/>
          <w:szCs w:val="24"/>
          <w:highlight w:val="none"/>
        </w:rPr>
        <w:t>。本报价在投标有效期内固定不变，并在合同有效期内不受利率波动的影响。</w:t>
      </w:r>
    </w:p>
    <w:p w14:paraId="4D499DA0">
      <w:pPr>
        <w:pStyle w:val="25"/>
        <w:widowControl/>
        <w:numPr>
          <w:ilvl w:val="0"/>
          <w:numId w:val="9"/>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本投标自开标之日起</w:t>
      </w:r>
      <w:r>
        <w:rPr>
          <w:rFonts w:hint="eastAsia" w:hAnsi="宋体" w:cs="宋体"/>
          <w:color w:val="auto"/>
          <w:sz w:val="24"/>
          <w:szCs w:val="24"/>
          <w:highlight w:val="none"/>
          <w:u w:val="single"/>
        </w:rPr>
        <w:t xml:space="preserve">  90  </w:t>
      </w:r>
      <w:r>
        <w:rPr>
          <w:rFonts w:hint="eastAsia" w:hAnsi="宋体" w:cs="宋体"/>
          <w:color w:val="auto"/>
          <w:sz w:val="24"/>
          <w:szCs w:val="24"/>
          <w:highlight w:val="none"/>
        </w:rPr>
        <w:t>天内有效。</w:t>
      </w:r>
    </w:p>
    <w:p w14:paraId="1855BB67">
      <w:pPr>
        <w:pStyle w:val="25"/>
        <w:widowControl/>
        <w:numPr>
          <w:ilvl w:val="0"/>
          <w:numId w:val="9"/>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我们已详细审查全部招标文件及有关的澄清/修改文件(若有的话)，我们完全理解并同意放弃对这方面提出任何异议的权利。保证遵守招标文件有关条款规定。</w:t>
      </w:r>
    </w:p>
    <w:p w14:paraId="1C2FFD7E">
      <w:pPr>
        <w:pStyle w:val="25"/>
        <w:widowControl/>
        <w:numPr>
          <w:ilvl w:val="0"/>
          <w:numId w:val="9"/>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保证在中标后忠实地执行与采购人所签署的合同，并承担合同规定的责任义务。保证在中标后按照招标文件的规定支付中标服务费。</w:t>
      </w:r>
    </w:p>
    <w:p w14:paraId="152B471D">
      <w:pPr>
        <w:pStyle w:val="25"/>
        <w:widowControl/>
        <w:numPr>
          <w:ilvl w:val="0"/>
          <w:numId w:val="9"/>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承诺应贵方要求提供任何与该项目投标有关的数据、情况和技术资料。</w:t>
      </w:r>
    </w:p>
    <w:p w14:paraId="6DCDB1C4">
      <w:pPr>
        <w:pStyle w:val="25"/>
        <w:widowControl/>
        <w:numPr>
          <w:ilvl w:val="0"/>
          <w:numId w:val="9"/>
        </w:num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投标人已详细审查并理解全部招标文件，已完全明确招标文件中的全部内容。如有违反，愿意接受监管机构相应的处理。</w:t>
      </w:r>
    </w:p>
    <w:p w14:paraId="3F7520E1">
      <w:pPr>
        <w:pStyle w:val="25"/>
        <w:widowControl/>
        <w:spacing w:line="360" w:lineRule="auto"/>
        <w:ind w:firstLine="0"/>
        <w:jc w:val="left"/>
        <w:rPr>
          <w:rFonts w:hint="eastAsia" w:hAnsi="宋体" w:cs="宋体"/>
          <w:color w:val="auto"/>
          <w:sz w:val="24"/>
          <w:szCs w:val="24"/>
          <w:highlight w:val="none"/>
        </w:rPr>
      </w:pPr>
      <w:r>
        <w:rPr>
          <w:rFonts w:hint="eastAsia" w:hAnsi="宋体" w:cs="宋体"/>
          <w:color w:val="auto"/>
          <w:sz w:val="24"/>
          <w:szCs w:val="24"/>
          <w:highlight w:val="none"/>
        </w:rPr>
        <w:t>3</w:t>
      </w:r>
      <w:r>
        <w:rPr>
          <w:rFonts w:hint="eastAsia" w:cs="宋体"/>
          <w:color w:val="auto"/>
          <w:sz w:val="24"/>
          <w:szCs w:val="24"/>
          <w:highlight w:val="none"/>
          <w:lang w:val="en-US" w:eastAsia="zh-CN"/>
        </w:rPr>
        <w:t>.</w:t>
      </w:r>
      <w:r>
        <w:rPr>
          <w:rFonts w:hint="eastAsia" w:hAnsi="宋体" w:cs="宋体"/>
          <w:color w:val="auto"/>
          <w:sz w:val="24"/>
          <w:szCs w:val="24"/>
          <w:highlight w:val="none"/>
        </w:rPr>
        <w:t>与本投标有关的</w:t>
      </w:r>
      <w:r>
        <w:rPr>
          <w:rFonts w:hint="eastAsia" w:cs="宋体"/>
          <w:color w:val="auto"/>
          <w:sz w:val="24"/>
          <w:szCs w:val="24"/>
          <w:highlight w:val="none"/>
          <w:lang w:eastAsia="zh-CN"/>
        </w:rPr>
        <w:t>一切往来通信请</w:t>
      </w:r>
      <w:r>
        <w:rPr>
          <w:rFonts w:hint="eastAsia" w:hAnsi="宋体" w:cs="宋体"/>
          <w:color w:val="auto"/>
          <w:sz w:val="24"/>
          <w:szCs w:val="24"/>
          <w:highlight w:val="none"/>
        </w:rPr>
        <w:t>寄：</w:t>
      </w:r>
    </w:p>
    <w:p w14:paraId="2EB1EE2B">
      <w:pPr>
        <w:pStyle w:val="25"/>
        <w:widowControl/>
        <w:spacing w:line="360" w:lineRule="auto"/>
        <w:jc w:val="left"/>
        <w:rPr>
          <w:rFonts w:hint="eastAsia"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p>
    <w:p w14:paraId="25AA84B0">
      <w:pPr>
        <w:pStyle w:val="25"/>
        <w:widowControl/>
        <w:spacing w:line="360" w:lineRule="auto"/>
        <w:jc w:val="left"/>
        <w:rPr>
          <w:rFonts w:hint="eastAsia" w:hAnsi="宋体" w:cs="宋体"/>
          <w:color w:val="auto"/>
          <w:sz w:val="24"/>
          <w:szCs w:val="24"/>
          <w:highlight w:val="none"/>
          <w:u w:val="single"/>
        </w:rPr>
      </w:pPr>
      <w:r>
        <w:rPr>
          <w:rFonts w:hint="eastAsia" w:hAnsi="宋体" w:cs="宋体"/>
          <w:color w:val="auto"/>
          <w:sz w:val="24"/>
          <w:szCs w:val="24"/>
          <w:highlight w:val="none"/>
        </w:rPr>
        <w:t>邮编：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传真：</w:t>
      </w:r>
      <w:r>
        <w:rPr>
          <w:rFonts w:hint="eastAsia" w:hAnsi="宋体" w:cs="宋体"/>
          <w:color w:val="auto"/>
          <w:sz w:val="24"/>
          <w:szCs w:val="24"/>
          <w:highlight w:val="none"/>
          <w:u w:val="single"/>
        </w:rPr>
        <w:t xml:space="preserve">             </w:t>
      </w:r>
    </w:p>
    <w:p w14:paraId="401A086B">
      <w:pPr>
        <w:pStyle w:val="25"/>
        <w:widowControl/>
        <w:spacing w:line="360" w:lineRule="auto"/>
        <w:jc w:val="left"/>
        <w:rPr>
          <w:rFonts w:hint="eastAsia" w:hAnsi="宋体" w:cs="宋体"/>
          <w:color w:val="auto"/>
          <w:sz w:val="24"/>
          <w:szCs w:val="24"/>
          <w:highlight w:val="none"/>
        </w:rPr>
      </w:pPr>
    </w:p>
    <w:p w14:paraId="0D4B158E">
      <w:pPr>
        <w:pStyle w:val="34"/>
        <w:tabs>
          <w:tab w:val="left" w:pos="2472"/>
        </w:tabs>
        <w:snapToGrid w:val="0"/>
        <w:spacing w:before="0" w:beforeLines="0" w:after="0" w:afterLines="0" w:line="360" w:lineRule="auto"/>
        <w:ind w:firstLine="4560" w:firstLineChars="1900"/>
        <w:jc w:val="left"/>
        <w:rPr>
          <w:rFonts w:hint="eastAsia" w:hAnsi="宋体" w:cs="宋体"/>
          <w:color w:val="auto"/>
          <w:sz w:val="24"/>
          <w:szCs w:val="24"/>
          <w:highlight w:val="none"/>
        </w:rPr>
      </w:pPr>
      <w:r>
        <w:rPr>
          <w:rFonts w:hint="eastAsia" w:hAnsi="宋体" w:cs="宋体"/>
          <w:color w:val="auto"/>
          <w:sz w:val="24"/>
          <w:szCs w:val="24"/>
          <w:highlight w:val="none"/>
        </w:rPr>
        <w:t>投标人名称(</w:t>
      </w:r>
      <w:r>
        <w:rPr>
          <w:rFonts w:hint="eastAsia" w:hAnsi="宋体" w:cs="宋体"/>
          <w:color w:val="auto"/>
          <w:sz w:val="24"/>
          <w:szCs w:val="24"/>
          <w:highlight w:val="none"/>
          <w:lang w:val="en-US" w:eastAsia="zh-CN"/>
        </w:rPr>
        <w:t>电子签</w:t>
      </w:r>
      <w:r>
        <w:rPr>
          <w:rFonts w:hint="eastAsia" w:hAnsi="宋体" w:cs="宋体"/>
          <w:color w:val="auto"/>
          <w:sz w:val="24"/>
          <w:szCs w:val="24"/>
          <w:highlight w:val="none"/>
        </w:rPr>
        <w:t xml:space="preserve">章):_________                   </w:t>
      </w:r>
    </w:p>
    <w:p w14:paraId="6ABD4F3A">
      <w:pPr>
        <w:snapToGrid w:val="0"/>
        <w:spacing w:line="360" w:lineRule="auto"/>
        <w:ind w:firstLine="4560" w:firstLineChars="1900"/>
        <w:rPr>
          <w:rFonts w:hint="eastAsia" w:ascii="宋体" w:hAnsi="宋体" w:cs="宋体"/>
          <w:color w:val="auto"/>
          <w:sz w:val="24"/>
          <w:szCs w:val="24"/>
          <w:highlight w:val="none"/>
        </w:rPr>
      </w:pPr>
      <w:r>
        <w:rPr>
          <w:rFonts w:hint="eastAsia" w:ascii="宋体" w:hAnsi="宋体" w:cs="宋体"/>
          <w:color w:val="auto"/>
          <w:sz w:val="24"/>
          <w:szCs w:val="24"/>
          <w:highlight w:val="none"/>
        </w:rPr>
        <w:t>日期:_____年___月___日</w:t>
      </w:r>
    </w:p>
    <w:p w14:paraId="42D872D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EFD3079">
      <w:pPr>
        <w:rPr>
          <w:rFonts w:hint="eastAsia" w:ascii="宋体" w:hAnsi="宋体" w:cs="宋体"/>
          <w:color w:val="auto"/>
          <w:sz w:val="24"/>
          <w:highlight w:val="none"/>
        </w:rPr>
      </w:pPr>
      <w:r>
        <w:rPr>
          <w:rFonts w:hint="eastAsia" w:ascii="宋体" w:hAnsi="宋体" w:cs="宋体"/>
          <w:color w:val="auto"/>
          <w:sz w:val="24"/>
          <w:highlight w:val="none"/>
        </w:rPr>
        <w:br w:type="page"/>
      </w:r>
    </w:p>
    <w:p w14:paraId="47405AA7">
      <w:pPr>
        <w:jc w:val="center"/>
        <w:rPr>
          <w:rFonts w:hint="eastAsia" w:ascii="宋体" w:hAnsi="宋体" w:cs="宋体"/>
          <w:b/>
          <w:color w:val="auto"/>
          <w:kern w:val="0"/>
          <w:sz w:val="32"/>
          <w:szCs w:val="32"/>
          <w:highlight w:val="none"/>
          <w:lang w:val="zh-CN"/>
        </w:rPr>
      </w:pPr>
    </w:p>
    <w:p w14:paraId="695E713A">
      <w:pPr>
        <w:jc w:val="center"/>
        <w:rPr>
          <w:rFonts w:hint="eastAsia" w:ascii="宋体" w:hAnsi="宋体" w:cs="宋体"/>
          <w:b/>
          <w:color w:val="auto"/>
          <w:kern w:val="0"/>
          <w:sz w:val="32"/>
          <w:szCs w:val="32"/>
          <w:highlight w:val="none"/>
          <w:lang w:val="zh-CN"/>
        </w:rPr>
      </w:pPr>
    </w:p>
    <w:p w14:paraId="709E32F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7AB7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60494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EF6BD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val="en-US" w:eastAsia="zh-CN"/>
        </w:rPr>
        <w:t>宁波市公安局北仑分局、宁波中基国际招标有限公司</w:t>
      </w:r>
      <w:r>
        <w:rPr>
          <w:rFonts w:hint="eastAsia" w:ascii="宋体" w:hAnsi="宋体" w:cs="宋体"/>
          <w:color w:val="auto"/>
          <w:kern w:val="0"/>
          <w:sz w:val="24"/>
          <w:highlight w:val="none"/>
          <w:lang w:val="zh-CN"/>
        </w:rPr>
        <w:t>：</w:t>
      </w:r>
    </w:p>
    <w:p w14:paraId="12211F5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kern w:val="0"/>
          <w:sz w:val="24"/>
          <w:highlight w:val="none"/>
          <w:lang w:val="zh-CN"/>
        </w:rPr>
        <w:t>政府采购投标的一切事项，其法律后果由我方承担。</w:t>
      </w:r>
    </w:p>
    <w:p w14:paraId="06E1F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7A85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580F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 xml:space="preserve">）：  </w:t>
      </w:r>
    </w:p>
    <w:p w14:paraId="72FFD5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08E95F4">
      <w:pPr>
        <w:snapToGrid w:val="0"/>
        <w:spacing w:line="360" w:lineRule="auto"/>
        <w:rPr>
          <w:rFonts w:ascii="宋体" w:hAnsi="宋体" w:cs="宋体"/>
          <w:color w:val="auto"/>
          <w:sz w:val="24"/>
          <w:highlight w:val="none"/>
        </w:rPr>
      </w:pPr>
    </w:p>
    <w:p w14:paraId="49528068">
      <w:pPr>
        <w:snapToGrid w:val="0"/>
        <w:spacing w:line="360" w:lineRule="auto"/>
        <w:rPr>
          <w:rFonts w:ascii="宋体" w:hAnsi="宋体" w:cs="宋体"/>
          <w:color w:val="auto"/>
          <w:sz w:val="24"/>
          <w:highlight w:val="none"/>
        </w:rPr>
      </w:pPr>
    </w:p>
    <w:p w14:paraId="30432E82">
      <w:pPr>
        <w:snapToGrid w:val="0"/>
        <w:spacing w:line="360" w:lineRule="auto"/>
        <w:rPr>
          <w:rFonts w:ascii="宋体" w:hAnsi="宋体" w:cs="宋体"/>
          <w:color w:val="auto"/>
          <w:sz w:val="24"/>
          <w:highlight w:val="none"/>
        </w:rPr>
      </w:pPr>
    </w:p>
    <w:p w14:paraId="51AF3D18">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D7F543">
      <w:pPr>
        <w:pStyle w:val="24"/>
        <w:rPr>
          <w:color w:val="auto"/>
          <w:highlight w:val="none"/>
        </w:rPr>
      </w:pPr>
    </w:p>
    <w:p w14:paraId="18EF32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val="en-US" w:eastAsia="zh-CN"/>
        </w:rPr>
        <w:t>宁波市公安局北仑分局、宁波中基国际招标有限公司</w:t>
      </w:r>
      <w:r>
        <w:rPr>
          <w:rFonts w:hint="eastAsia" w:ascii="宋体" w:hAnsi="宋体" w:cs="宋体"/>
          <w:color w:val="auto"/>
          <w:kern w:val="0"/>
          <w:sz w:val="24"/>
          <w:highlight w:val="none"/>
          <w:lang w:val="zh-CN"/>
        </w:rPr>
        <w:t>：</w:t>
      </w:r>
    </w:p>
    <w:p w14:paraId="396F72B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项目编号+项目名称）</w:t>
      </w:r>
      <w:r>
        <w:rPr>
          <w:rFonts w:hint="eastAsia" w:ascii="宋体" w:hAnsi="宋体" w:cs="宋体"/>
          <w:color w:val="auto"/>
          <w:kern w:val="0"/>
          <w:sz w:val="24"/>
          <w:highlight w:val="none"/>
          <w:lang w:val="zh-CN"/>
        </w:rPr>
        <w:t>政府采购投标的一切事项，其法律后果由我方承担。</w:t>
      </w:r>
    </w:p>
    <w:p w14:paraId="216A62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452BE0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5215E2">
      <w:pPr>
        <w:jc w:val="center"/>
        <w:rPr>
          <w:rFonts w:ascii="宋体" w:hAnsi="宋体" w:cs="宋体"/>
          <w:b/>
          <w:color w:val="auto"/>
          <w:kern w:val="0"/>
          <w:sz w:val="32"/>
          <w:szCs w:val="32"/>
          <w:highlight w:val="none"/>
        </w:rPr>
      </w:pPr>
    </w:p>
    <w:p w14:paraId="3712E800">
      <w:pPr>
        <w:jc w:val="center"/>
        <w:rPr>
          <w:rFonts w:ascii="宋体" w:hAnsi="宋体" w:cs="宋体"/>
          <w:b/>
          <w:color w:val="auto"/>
          <w:kern w:val="0"/>
          <w:sz w:val="32"/>
          <w:szCs w:val="32"/>
          <w:highlight w:val="none"/>
        </w:rPr>
      </w:pPr>
    </w:p>
    <w:p w14:paraId="13FD463A">
      <w:pPr>
        <w:jc w:val="center"/>
        <w:rPr>
          <w:rFonts w:ascii="宋体" w:hAnsi="宋体" w:cs="宋体"/>
          <w:b/>
          <w:color w:val="auto"/>
          <w:kern w:val="0"/>
          <w:sz w:val="32"/>
          <w:szCs w:val="32"/>
          <w:highlight w:val="none"/>
        </w:rPr>
      </w:pPr>
    </w:p>
    <w:p w14:paraId="4B8DE7D0">
      <w:pPr>
        <w:rPr>
          <w:rFonts w:ascii="宋体" w:hAnsi="宋体" w:cs="宋体"/>
          <w:color w:val="auto"/>
          <w:highlight w:val="none"/>
        </w:rPr>
      </w:pPr>
    </w:p>
    <w:p w14:paraId="7581E0F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w:t>
      </w:r>
    </w:p>
    <w:p w14:paraId="2B3140A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w:t>
      </w:r>
    </w:p>
    <w:p w14:paraId="0A31FAC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94AB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BB1F9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8646A23">
      <w:pPr>
        <w:autoSpaceDE w:val="0"/>
        <w:autoSpaceDN w:val="0"/>
        <w:spacing w:line="360" w:lineRule="auto"/>
        <w:jc w:val="center"/>
        <w:rPr>
          <w:rFonts w:hint="eastAsia" w:ascii="宋体" w:hAnsi="宋体" w:cs="宋体"/>
          <w:b/>
          <w:color w:val="auto"/>
          <w:kern w:val="0"/>
          <w:sz w:val="32"/>
          <w:szCs w:val="32"/>
          <w:highlight w:val="none"/>
          <w:lang w:val="zh-CN"/>
        </w:rPr>
      </w:pPr>
    </w:p>
    <w:p w14:paraId="035636F1">
      <w:pPr>
        <w:autoSpaceDE w:val="0"/>
        <w:autoSpaceDN w:val="0"/>
        <w:spacing w:line="360" w:lineRule="auto"/>
        <w:jc w:val="center"/>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w:t>
      </w:r>
    </w:p>
    <w:p w14:paraId="697463C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（适用于法定代表人、单位负责人或者自然人本人代表投标人参加投标）</w:t>
      </w:r>
    </w:p>
    <w:p w14:paraId="3CF5ECDA">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A8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5BDEE8">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DBD7F9E">
            <w:pPr>
              <w:pStyle w:val="151"/>
              <w:adjustRightInd w:val="0"/>
              <w:spacing w:line="360" w:lineRule="auto"/>
              <w:rPr>
                <w:rFonts w:hAnsi="宋体" w:cs="宋体"/>
                <w:bCs/>
                <w:color w:val="auto"/>
                <w:sz w:val="24"/>
                <w:highlight w:val="none"/>
              </w:rPr>
            </w:pPr>
          </w:p>
        </w:tc>
      </w:tr>
    </w:tbl>
    <w:p w14:paraId="0FB44C9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C4C38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 xml:space="preserve">)：                              </w:t>
      </w:r>
    </w:p>
    <w:p w14:paraId="030D7C5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3737D8C8">
      <w:pPr>
        <w:jc w:val="center"/>
        <w:rPr>
          <w:rFonts w:ascii="宋体" w:hAnsi="宋体" w:cs="宋体"/>
          <w:b/>
          <w:color w:val="auto"/>
          <w:kern w:val="0"/>
          <w:sz w:val="32"/>
          <w:szCs w:val="32"/>
          <w:highlight w:val="none"/>
        </w:rPr>
      </w:pPr>
    </w:p>
    <w:p w14:paraId="52A003DD">
      <w:pPr>
        <w:jc w:val="center"/>
        <w:rPr>
          <w:rFonts w:ascii="宋体" w:hAnsi="宋体" w:cs="宋体"/>
          <w:b/>
          <w:color w:val="auto"/>
          <w:kern w:val="0"/>
          <w:sz w:val="32"/>
          <w:szCs w:val="32"/>
          <w:highlight w:val="none"/>
        </w:rPr>
      </w:pPr>
    </w:p>
    <w:p w14:paraId="1EC54D3E">
      <w:pPr>
        <w:jc w:val="center"/>
        <w:rPr>
          <w:rFonts w:ascii="宋体" w:hAnsi="宋体" w:cs="宋体"/>
          <w:b/>
          <w:color w:val="auto"/>
          <w:kern w:val="0"/>
          <w:sz w:val="32"/>
          <w:szCs w:val="32"/>
          <w:highlight w:val="none"/>
        </w:rPr>
      </w:pPr>
    </w:p>
    <w:p w14:paraId="4A9F35FE">
      <w:pPr>
        <w:jc w:val="center"/>
        <w:rPr>
          <w:rFonts w:ascii="宋体" w:hAnsi="宋体" w:cs="宋体"/>
          <w:b/>
          <w:color w:val="auto"/>
          <w:kern w:val="0"/>
          <w:sz w:val="32"/>
          <w:szCs w:val="32"/>
          <w:highlight w:val="none"/>
        </w:rPr>
      </w:pPr>
    </w:p>
    <w:p w14:paraId="2EA6ED0D">
      <w:pPr>
        <w:jc w:val="center"/>
        <w:rPr>
          <w:rFonts w:ascii="宋体" w:hAnsi="宋体" w:cs="宋体"/>
          <w:b/>
          <w:color w:val="auto"/>
          <w:kern w:val="0"/>
          <w:sz w:val="32"/>
          <w:szCs w:val="32"/>
          <w:highlight w:val="none"/>
        </w:rPr>
      </w:pPr>
    </w:p>
    <w:p w14:paraId="2DBB4EE7">
      <w:pPr>
        <w:jc w:val="center"/>
        <w:rPr>
          <w:rFonts w:ascii="宋体" w:hAnsi="宋体" w:cs="宋体"/>
          <w:b/>
          <w:color w:val="auto"/>
          <w:kern w:val="0"/>
          <w:sz w:val="32"/>
          <w:szCs w:val="32"/>
          <w:highlight w:val="none"/>
        </w:rPr>
      </w:pPr>
    </w:p>
    <w:p w14:paraId="3FAC3756">
      <w:pPr>
        <w:jc w:val="center"/>
        <w:rPr>
          <w:rFonts w:ascii="宋体" w:hAnsi="宋体" w:cs="宋体"/>
          <w:b/>
          <w:color w:val="auto"/>
          <w:kern w:val="0"/>
          <w:sz w:val="32"/>
          <w:szCs w:val="32"/>
          <w:highlight w:val="none"/>
        </w:rPr>
      </w:pPr>
    </w:p>
    <w:p w14:paraId="6F11C782">
      <w:pPr>
        <w:jc w:val="center"/>
        <w:rPr>
          <w:rFonts w:ascii="宋体" w:hAnsi="宋体" w:cs="宋体"/>
          <w:b/>
          <w:color w:val="auto"/>
          <w:kern w:val="0"/>
          <w:sz w:val="32"/>
          <w:szCs w:val="32"/>
          <w:highlight w:val="none"/>
        </w:rPr>
      </w:pPr>
    </w:p>
    <w:p w14:paraId="5A42F6B4">
      <w:pPr>
        <w:jc w:val="center"/>
        <w:rPr>
          <w:rFonts w:ascii="宋体" w:hAnsi="宋体" w:cs="宋体"/>
          <w:b/>
          <w:color w:val="auto"/>
          <w:kern w:val="0"/>
          <w:sz w:val="32"/>
          <w:szCs w:val="32"/>
          <w:highlight w:val="none"/>
        </w:rPr>
      </w:pPr>
    </w:p>
    <w:p w14:paraId="31F61C3E">
      <w:pPr>
        <w:jc w:val="center"/>
        <w:rPr>
          <w:rFonts w:ascii="宋体" w:hAnsi="宋体" w:cs="宋体"/>
          <w:b/>
          <w:color w:val="auto"/>
          <w:kern w:val="0"/>
          <w:sz w:val="32"/>
          <w:szCs w:val="32"/>
          <w:highlight w:val="none"/>
        </w:rPr>
      </w:pPr>
    </w:p>
    <w:p w14:paraId="7E7D40AE">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6F848AF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如有</w:t>
      </w:r>
      <w:r>
        <w:rPr>
          <w:rFonts w:hint="eastAsia" w:ascii="宋体" w:hAnsi="宋体" w:cs="宋体"/>
          <w:b/>
          <w:color w:val="auto"/>
          <w:kern w:val="0"/>
          <w:sz w:val="32"/>
          <w:szCs w:val="32"/>
          <w:highlight w:val="none"/>
        </w:rPr>
        <w:t>）</w:t>
      </w:r>
    </w:p>
    <w:p w14:paraId="72D0C978">
      <w:pPr>
        <w:widowControl/>
        <w:spacing w:line="360" w:lineRule="auto"/>
        <w:ind w:firstLine="120" w:firstLineChars="50"/>
        <w:jc w:val="left"/>
        <w:rPr>
          <w:rFonts w:ascii="宋体" w:hAnsi="宋体" w:cs="宋体"/>
          <w:color w:val="auto"/>
          <w:sz w:val="24"/>
          <w:highlight w:val="none"/>
        </w:rPr>
      </w:pPr>
      <w:bookmarkStart w:id="42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28"/>
    <w:p w14:paraId="2F5BDEFC">
      <w:pPr>
        <w:snapToGrid w:val="0"/>
        <w:spacing w:line="360" w:lineRule="auto"/>
        <w:rPr>
          <w:rFonts w:ascii="宋体" w:hAnsi="宋体" w:cs="宋体"/>
          <w:color w:val="auto"/>
          <w:kern w:val="0"/>
          <w:sz w:val="24"/>
          <w:highlight w:val="none"/>
        </w:rPr>
      </w:pPr>
    </w:p>
    <w:p w14:paraId="247236C8">
      <w:pPr>
        <w:jc w:val="center"/>
        <w:rPr>
          <w:rFonts w:ascii="宋体" w:hAnsi="宋体" w:cs="宋体"/>
          <w:b/>
          <w:color w:val="auto"/>
          <w:kern w:val="0"/>
          <w:sz w:val="32"/>
          <w:szCs w:val="32"/>
          <w:highlight w:val="none"/>
        </w:rPr>
      </w:pPr>
    </w:p>
    <w:p w14:paraId="4678A2B6">
      <w:pPr>
        <w:pStyle w:val="4"/>
        <w:outlineLvl w:val="9"/>
        <w:rPr>
          <w:color w:val="auto"/>
          <w:highlight w:val="none"/>
          <w:lang w:val="en-US"/>
        </w:rPr>
      </w:pPr>
    </w:p>
    <w:p w14:paraId="06DDB413">
      <w:pPr>
        <w:rPr>
          <w:color w:val="auto"/>
          <w:highlight w:val="none"/>
        </w:rPr>
      </w:pPr>
    </w:p>
    <w:p w14:paraId="4C99CEF7">
      <w:pPr>
        <w:pStyle w:val="4"/>
        <w:outlineLvl w:val="9"/>
        <w:rPr>
          <w:color w:val="auto"/>
          <w:highlight w:val="none"/>
          <w:lang w:val="en-US"/>
        </w:rPr>
      </w:pPr>
    </w:p>
    <w:p w14:paraId="46AFF5CD">
      <w:pPr>
        <w:jc w:val="center"/>
        <w:rPr>
          <w:rFonts w:ascii="宋体" w:hAnsi="宋体" w:cs="宋体"/>
          <w:b/>
          <w:color w:val="auto"/>
          <w:kern w:val="0"/>
          <w:sz w:val="32"/>
          <w:szCs w:val="32"/>
          <w:highlight w:val="none"/>
        </w:rPr>
      </w:pPr>
    </w:p>
    <w:p w14:paraId="095113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71BF04D">
      <w:pPr>
        <w:jc w:val="center"/>
        <w:rPr>
          <w:rFonts w:ascii="宋体" w:hAnsi="宋体" w:cs="宋体"/>
          <w:b/>
          <w:color w:val="auto"/>
          <w:kern w:val="0"/>
          <w:sz w:val="32"/>
          <w:szCs w:val="32"/>
          <w:highlight w:val="none"/>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4C15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427157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193278B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43C272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0C1855D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2ED73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775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22246EF">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25ACDD95">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7D300979">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或者签字盖章的投标文件的组成部分</w:t>
            </w:r>
          </w:p>
        </w:tc>
        <w:tc>
          <w:tcPr>
            <w:tcW w:w="2250" w:type="dxa"/>
            <w:vAlign w:val="center"/>
          </w:tcPr>
          <w:p w14:paraId="0B66CA9B">
            <w:pPr>
              <w:jc w:val="center"/>
              <w:rPr>
                <w:rFonts w:ascii="宋体" w:hAnsi="宋体" w:cs="宋体"/>
                <w:color w:val="auto"/>
                <w:highlight w:val="none"/>
              </w:rPr>
            </w:pPr>
            <w:r>
              <w:rPr>
                <w:rFonts w:hint="eastAsia" w:hAnsi="宋体"/>
                <w:color w:val="auto"/>
                <w:sz w:val="24"/>
                <w:highlight w:val="none"/>
              </w:rPr>
              <w:t>见投标文件需要签字盖章的各页。</w:t>
            </w:r>
          </w:p>
        </w:tc>
      </w:tr>
      <w:tr w14:paraId="4CC1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1FB21E00">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0C321A5E">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531CB3FE">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5663D60A">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75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642E3E27">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0F6101FE">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14:paraId="313BA41B">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14:paraId="327434CD">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01E99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9ABFE6">
      <w:pPr>
        <w:jc w:val="center"/>
        <w:rPr>
          <w:rFonts w:ascii="宋体" w:hAnsi="宋体" w:cs="宋体"/>
          <w:b/>
          <w:color w:val="auto"/>
          <w:kern w:val="0"/>
          <w:sz w:val="32"/>
          <w:szCs w:val="32"/>
          <w:highlight w:val="none"/>
        </w:rPr>
      </w:pPr>
    </w:p>
    <w:p w14:paraId="141563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D96F7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9912F65">
      <w:pPr>
        <w:snapToGrid w:val="0"/>
        <w:spacing w:line="360" w:lineRule="auto"/>
        <w:rPr>
          <w:rFonts w:ascii="宋体" w:hAnsi="宋体" w:cs="宋体"/>
          <w:color w:val="auto"/>
          <w:sz w:val="24"/>
          <w:highlight w:val="none"/>
        </w:rPr>
      </w:pPr>
    </w:p>
    <w:p w14:paraId="614D310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lang w:val="en-US" w:eastAsia="zh-CN"/>
        </w:rPr>
        <w:t>宁波市公安局北仑分局、宁波中基国际招标有限公司</w:t>
      </w:r>
      <w:r>
        <w:rPr>
          <w:rFonts w:hint="eastAsia" w:ascii="宋体" w:hAnsi="宋体" w:cs="宋体"/>
          <w:color w:val="auto"/>
          <w:kern w:val="0"/>
          <w:sz w:val="24"/>
          <w:highlight w:val="none"/>
          <w:lang w:val="zh-CN"/>
        </w:rPr>
        <w:t>：</w:t>
      </w:r>
    </w:p>
    <w:p w14:paraId="498298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3D7D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9B215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8F7F1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A9A5F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F40113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365CA9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70B8C0A">
      <w:pPr>
        <w:autoSpaceDE w:val="0"/>
        <w:autoSpaceDN w:val="0"/>
        <w:spacing w:line="360" w:lineRule="auto"/>
        <w:ind w:left="481" w:leftChars="229"/>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lang w:val="en-US" w:eastAsia="zh-CN"/>
        </w:rPr>
        <w:t>法》、</w:t>
      </w:r>
    </w:p>
    <w:p w14:paraId="33F8A73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17D8E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1585FF9E">
      <w:pPr>
        <w:autoSpaceDE w:val="0"/>
        <w:autoSpaceDN w:val="0"/>
        <w:spacing w:line="360" w:lineRule="auto"/>
        <w:ind w:left="2"/>
        <w:jc w:val="left"/>
        <w:rPr>
          <w:rFonts w:ascii="宋体" w:hAnsi="宋体" w:cs="宋体"/>
          <w:color w:val="auto"/>
          <w:kern w:val="0"/>
          <w:sz w:val="24"/>
          <w:highlight w:val="none"/>
          <w:lang w:val="zh-CN"/>
        </w:rPr>
      </w:pPr>
    </w:p>
    <w:p w14:paraId="5B065390">
      <w:pPr>
        <w:autoSpaceDE w:val="0"/>
        <w:autoSpaceDN w:val="0"/>
        <w:spacing w:line="360" w:lineRule="auto"/>
        <w:ind w:left="2"/>
        <w:jc w:val="left"/>
        <w:rPr>
          <w:rFonts w:ascii="宋体" w:hAnsi="宋体" w:cs="宋体"/>
          <w:color w:val="auto"/>
          <w:kern w:val="0"/>
          <w:sz w:val="24"/>
          <w:highlight w:val="none"/>
          <w:lang w:val="zh-CN"/>
        </w:rPr>
      </w:pPr>
    </w:p>
    <w:p w14:paraId="28ED52A4">
      <w:pPr>
        <w:autoSpaceDE w:val="0"/>
        <w:autoSpaceDN w:val="0"/>
        <w:spacing w:line="360" w:lineRule="auto"/>
        <w:ind w:left="2"/>
        <w:jc w:val="left"/>
        <w:rPr>
          <w:rFonts w:ascii="宋体" w:hAnsi="宋体" w:cs="宋体"/>
          <w:color w:val="auto"/>
          <w:kern w:val="0"/>
          <w:sz w:val="24"/>
          <w:highlight w:val="none"/>
          <w:lang w:val="zh-CN"/>
        </w:rPr>
      </w:pPr>
    </w:p>
    <w:p w14:paraId="5404F11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kern w:val="0"/>
          <w:sz w:val="24"/>
          <w:highlight w:val="none"/>
          <w:lang w:val="zh-CN"/>
        </w:rPr>
        <w:t xml:space="preserve">)：                                                                                                                                                                                                               </w:t>
      </w:r>
    </w:p>
    <w:p w14:paraId="618FD8F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AFA0473">
      <w:pPr>
        <w:spacing w:line="360" w:lineRule="auto"/>
        <w:jc w:val="center"/>
        <w:rPr>
          <w:rFonts w:ascii="宋体" w:hAnsi="宋体" w:cs="宋体"/>
          <w:b/>
          <w:bCs/>
          <w:color w:val="auto"/>
          <w:sz w:val="24"/>
          <w:highlight w:val="none"/>
        </w:rPr>
      </w:pPr>
    </w:p>
    <w:p w14:paraId="1E448D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43D86C">
      <w:pPr>
        <w:rPr>
          <w:rFonts w:ascii="宋体" w:hAnsi="宋体" w:cs="宋体"/>
          <w:b/>
          <w:bCs/>
          <w:color w:val="auto"/>
          <w:sz w:val="24"/>
          <w:highlight w:val="none"/>
        </w:rPr>
      </w:pPr>
      <w:r>
        <w:rPr>
          <w:rFonts w:ascii="宋体" w:hAnsi="宋体" w:cs="宋体"/>
          <w:b/>
          <w:bCs/>
          <w:color w:val="auto"/>
          <w:sz w:val="24"/>
          <w:highlight w:val="none"/>
        </w:rPr>
        <w:br w:type="page"/>
      </w:r>
    </w:p>
    <w:p w14:paraId="32A002A6">
      <w:pPr>
        <w:jc w:val="center"/>
        <w:rPr>
          <w:rFonts w:hint="eastAsia" w:ascii="宋体" w:hAnsi="宋体" w:cs="宋体"/>
          <w:b/>
          <w:color w:val="auto"/>
          <w:kern w:val="0"/>
          <w:sz w:val="32"/>
          <w:szCs w:val="32"/>
          <w:highlight w:val="none"/>
        </w:rPr>
      </w:pPr>
    </w:p>
    <w:p w14:paraId="70D48FB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696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6E7BAF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5FB0D2D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5CEE96F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1E2EC5F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2EF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8237F1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37A6F393">
            <w:pPr>
              <w:jc w:val="center"/>
              <w:rPr>
                <w:rFonts w:ascii="宋体" w:hAnsi="宋体" w:cs="宋体"/>
                <w:b/>
                <w:color w:val="auto"/>
                <w:kern w:val="0"/>
                <w:sz w:val="32"/>
                <w:szCs w:val="32"/>
                <w:highlight w:val="none"/>
              </w:rPr>
            </w:pPr>
          </w:p>
        </w:tc>
        <w:tc>
          <w:tcPr>
            <w:tcW w:w="3287" w:type="dxa"/>
          </w:tcPr>
          <w:p w14:paraId="59952FE2">
            <w:pPr>
              <w:jc w:val="center"/>
              <w:rPr>
                <w:rFonts w:ascii="宋体" w:hAnsi="宋体" w:cs="宋体"/>
                <w:b/>
                <w:color w:val="auto"/>
                <w:kern w:val="0"/>
                <w:sz w:val="32"/>
                <w:szCs w:val="32"/>
                <w:highlight w:val="none"/>
              </w:rPr>
            </w:pPr>
          </w:p>
        </w:tc>
        <w:tc>
          <w:tcPr>
            <w:tcW w:w="1425" w:type="dxa"/>
          </w:tcPr>
          <w:p w14:paraId="2969288E">
            <w:pPr>
              <w:jc w:val="center"/>
              <w:rPr>
                <w:rFonts w:ascii="宋体" w:hAnsi="宋体" w:cs="宋体"/>
                <w:b/>
                <w:color w:val="auto"/>
                <w:kern w:val="0"/>
                <w:sz w:val="32"/>
                <w:szCs w:val="32"/>
                <w:highlight w:val="none"/>
              </w:rPr>
            </w:pPr>
          </w:p>
        </w:tc>
      </w:tr>
      <w:tr w14:paraId="3D1D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A22504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683A63C5">
            <w:pPr>
              <w:jc w:val="center"/>
              <w:rPr>
                <w:rFonts w:ascii="宋体" w:hAnsi="宋体" w:cs="宋体"/>
                <w:b/>
                <w:color w:val="auto"/>
                <w:kern w:val="0"/>
                <w:sz w:val="32"/>
                <w:szCs w:val="32"/>
                <w:highlight w:val="none"/>
              </w:rPr>
            </w:pPr>
          </w:p>
        </w:tc>
        <w:tc>
          <w:tcPr>
            <w:tcW w:w="3287" w:type="dxa"/>
          </w:tcPr>
          <w:p w14:paraId="704D37EF">
            <w:pPr>
              <w:jc w:val="center"/>
              <w:rPr>
                <w:rFonts w:ascii="宋体" w:hAnsi="宋体" w:cs="宋体"/>
                <w:b/>
                <w:color w:val="auto"/>
                <w:kern w:val="0"/>
                <w:sz w:val="32"/>
                <w:szCs w:val="32"/>
                <w:highlight w:val="none"/>
              </w:rPr>
            </w:pPr>
          </w:p>
        </w:tc>
        <w:tc>
          <w:tcPr>
            <w:tcW w:w="1425" w:type="dxa"/>
          </w:tcPr>
          <w:p w14:paraId="5B57E693">
            <w:pPr>
              <w:jc w:val="center"/>
              <w:rPr>
                <w:rFonts w:ascii="宋体" w:hAnsi="宋体" w:cs="宋体"/>
                <w:b/>
                <w:color w:val="auto"/>
                <w:kern w:val="0"/>
                <w:sz w:val="32"/>
                <w:szCs w:val="32"/>
                <w:highlight w:val="none"/>
              </w:rPr>
            </w:pPr>
          </w:p>
        </w:tc>
      </w:tr>
      <w:tr w14:paraId="508E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B3171C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1272D677">
            <w:pPr>
              <w:jc w:val="center"/>
              <w:rPr>
                <w:rFonts w:ascii="宋体" w:hAnsi="宋体" w:cs="宋体"/>
                <w:b/>
                <w:color w:val="auto"/>
                <w:kern w:val="0"/>
                <w:sz w:val="32"/>
                <w:szCs w:val="32"/>
                <w:highlight w:val="none"/>
              </w:rPr>
            </w:pPr>
          </w:p>
        </w:tc>
        <w:tc>
          <w:tcPr>
            <w:tcW w:w="3287" w:type="dxa"/>
          </w:tcPr>
          <w:p w14:paraId="7FE3E904">
            <w:pPr>
              <w:jc w:val="center"/>
              <w:rPr>
                <w:rFonts w:ascii="宋体" w:hAnsi="宋体" w:cs="宋体"/>
                <w:b/>
                <w:color w:val="auto"/>
                <w:kern w:val="0"/>
                <w:sz w:val="32"/>
                <w:szCs w:val="32"/>
                <w:highlight w:val="none"/>
              </w:rPr>
            </w:pPr>
          </w:p>
        </w:tc>
        <w:tc>
          <w:tcPr>
            <w:tcW w:w="1425" w:type="dxa"/>
          </w:tcPr>
          <w:p w14:paraId="49B608AF">
            <w:pPr>
              <w:jc w:val="center"/>
              <w:rPr>
                <w:rFonts w:ascii="宋体" w:hAnsi="宋体" w:cs="宋体"/>
                <w:b/>
                <w:color w:val="auto"/>
                <w:kern w:val="0"/>
                <w:sz w:val="32"/>
                <w:szCs w:val="32"/>
                <w:highlight w:val="none"/>
              </w:rPr>
            </w:pPr>
          </w:p>
        </w:tc>
      </w:tr>
    </w:tbl>
    <w:p w14:paraId="7EF007D6">
      <w:pPr>
        <w:jc w:val="center"/>
        <w:rPr>
          <w:rFonts w:ascii="宋体" w:hAnsi="宋体" w:cs="宋体"/>
          <w:b/>
          <w:color w:val="auto"/>
          <w:kern w:val="0"/>
          <w:sz w:val="32"/>
          <w:szCs w:val="32"/>
          <w:highlight w:val="none"/>
        </w:rPr>
      </w:pPr>
    </w:p>
    <w:p w14:paraId="733FDBC4">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『编制说明』：</w:t>
      </w:r>
    </w:p>
    <w:p w14:paraId="4FF3349E">
      <w:pPr>
        <w:numPr>
          <w:ilvl w:val="0"/>
          <w:numId w:val="10"/>
        </w:numPr>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投标人需按“第三部分  采购需求”中各项要求（包含技术需求及商务、其他要求）对应,在本表中如实填写具体响应(有技术参数的提供响应的技术参数)，未按要求填写的，有可能作负偏离处理。</w:t>
      </w:r>
    </w:p>
    <w:p w14:paraId="0E95C455">
      <w:pPr>
        <w:numPr>
          <w:ilvl w:val="0"/>
          <w:numId w:val="10"/>
        </w:num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偏离说明是指对</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文件要求存在不同之处的解释说明。偏离系指：正偏离（高于采购需求）、负偏离（低于采购需求）、无偏离（满足采购需求）</w:t>
      </w:r>
    </w:p>
    <w:p w14:paraId="3D8D6D60">
      <w:pPr>
        <w:widowControl/>
        <w:spacing w:line="360" w:lineRule="auto"/>
        <w:jc w:val="left"/>
        <w:outlineLvl w:val="9"/>
        <w:rPr>
          <w:rFonts w:hint="eastAsia" w:ascii="宋体" w:hAnsi="宋体" w:eastAsia="宋体" w:cs="宋体"/>
          <w:b/>
          <w:bCs/>
          <w:color w:val="auto"/>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技术指标若有要求供应商提供相应佐证材料的，供应商未提供相应佐证材料或者供应商的响应承诺与其佐证材料不一致的，评审小组</w:t>
      </w:r>
      <w:r>
        <w:rPr>
          <w:rFonts w:hint="eastAsia" w:ascii="宋体" w:hAnsi="宋体" w:cs="宋体"/>
          <w:b/>
          <w:bCs/>
          <w:color w:val="auto"/>
          <w:sz w:val="21"/>
          <w:szCs w:val="21"/>
          <w:highlight w:val="none"/>
          <w:lang w:eastAsia="zh-CN"/>
        </w:rPr>
        <w:t>将会</w:t>
      </w:r>
      <w:r>
        <w:rPr>
          <w:rFonts w:hint="eastAsia" w:ascii="宋体" w:hAnsi="宋体" w:eastAsia="宋体" w:cs="宋体"/>
          <w:b/>
          <w:bCs/>
          <w:color w:val="auto"/>
          <w:sz w:val="21"/>
          <w:szCs w:val="21"/>
          <w:highlight w:val="none"/>
        </w:rPr>
        <w:t>以不利于供应商的内容为准进行评审（负偏离）。</w:t>
      </w:r>
    </w:p>
    <w:p w14:paraId="74AA0D0F">
      <w:pPr>
        <w:pStyle w:val="64"/>
        <w:rPr>
          <w:color w:val="auto"/>
          <w:highlight w:val="none"/>
        </w:rPr>
      </w:pPr>
    </w:p>
    <w:p w14:paraId="2DF00E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CA0A7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B477AA">
      <w:pPr>
        <w:snapToGrid w:val="0"/>
        <w:spacing w:line="360" w:lineRule="auto"/>
        <w:ind w:firstLine="964" w:firstLineChars="400"/>
        <w:jc w:val="center"/>
        <w:rPr>
          <w:rFonts w:hint="eastAsia" w:ascii="宋体" w:hAnsi="宋体" w:eastAsia="宋体" w:cs="宋体"/>
          <w:b/>
          <w:bCs/>
          <w:color w:val="auto"/>
          <w:sz w:val="24"/>
          <w:highlight w:val="none"/>
        </w:rPr>
      </w:pPr>
    </w:p>
    <w:p w14:paraId="59FCAE8C">
      <w:pPr>
        <w:rPr>
          <w:rFonts w:hint="eastAsia" w:ascii="宋体" w:hAnsi="宋体" w:cs="宋体"/>
          <w:b/>
          <w:color w:val="auto"/>
          <w:kern w:val="0"/>
          <w:sz w:val="32"/>
          <w:szCs w:val="32"/>
          <w:highlight w:val="none"/>
          <w:lang w:val="en-US" w:eastAsia="zh-CN"/>
        </w:rPr>
      </w:pPr>
    </w:p>
    <w:p w14:paraId="593FFCAF">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、评标标准相应的商务技术资料</w:t>
      </w:r>
    </w:p>
    <w:p w14:paraId="1A4AE0C3">
      <w:pPr>
        <w:snapToGrid w:val="0"/>
        <w:spacing w:line="360" w:lineRule="auto"/>
        <w:ind w:left="958" w:leftChars="456" w:firstLine="0" w:firstLineChars="0"/>
        <w:rPr>
          <w:rFonts w:hint="eastAsia" w:ascii="宋体" w:hAnsi="宋体" w:eastAsia="宋体" w:cs="宋体"/>
          <w:snapToGrid/>
          <w:color w:val="auto"/>
          <w:kern w:val="2"/>
          <w:sz w:val="24"/>
          <w:szCs w:val="24"/>
          <w:highlight w:val="none"/>
          <w:lang w:val="en-US" w:eastAsia="zh-CN" w:bidi="ar-SA"/>
        </w:rPr>
      </w:pPr>
    </w:p>
    <w:p w14:paraId="1B5E745C">
      <w:pPr>
        <w:snapToGrid w:val="0"/>
        <w:spacing w:line="360" w:lineRule="auto"/>
        <w:ind w:left="958" w:leftChars="456" w:firstLine="0" w:firstLineChars="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）评分标准中要求提供的资料</w:t>
      </w:r>
    </w:p>
    <w:p w14:paraId="0F9DD0B7">
      <w:pPr>
        <w:snapToGrid w:val="0"/>
        <w:spacing w:line="360" w:lineRule="auto"/>
        <w:ind w:firstLine="960" w:firstLineChars="40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en-US" w:eastAsia="zh-CN" w:bidi="ar-SA"/>
        </w:rPr>
        <w:t>）投标人认为需要提供的其他资料</w:t>
      </w:r>
    </w:p>
    <w:p w14:paraId="5EFA0CC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64D7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3B210F2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4CAC8B9">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noWrap w:val="0"/>
            <w:vAlign w:val="center"/>
          </w:tcPr>
          <w:p w14:paraId="4D449FA4">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570D8B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4678A1C0">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C9B138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36FE08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0738C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5A9C33A8">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B69C72">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EF45E99">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50D5A06">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D7D3B9E">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07E2D74">
            <w:pPr>
              <w:spacing w:line="360" w:lineRule="exact"/>
              <w:jc w:val="left"/>
              <w:rPr>
                <w:rFonts w:hint="eastAsia" w:ascii="宋体" w:hAnsi="宋体" w:eastAsia="宋体" w:cs="宋体"/>
                <w:color w:val="auto"/>
                <w:kern w:val="0"/>
                <w:sz w:val="24"/>
                <w:highlight w:val="none"/>
              </w:rPr>
            </w:pPr>
          </w:p>
        </w:tc>
      </w:tr>
      <w:tr w14:paraId="33638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381D84C2">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3B1CF91">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5CA34FA">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37099DE">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23F9385">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E91D02B">
            <w:pPr>
              <w:spacing w:line="360" w:lineRule="exact"/>
              <w:jc w:val="left"/>
              <w:rPr>
                <w:rFonts w:hint="eastAsia" w:ascii="宋体" w:hAnsi="宋体" w:eastAsia="宋体" w:cs="宋体"/>
                <w:color w:val="auto"/>
                <w:kern w:val="0"/>
                <w:sz w:val="24"/>
                <w:highlight w:val="none"/>
              </w:rPr>
            </w:pPr>
          </w:p>
        </w:tc>
      </w:tr>
      <w:tr w14:paraId="4BE6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5AD0C45E">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4759E25">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5D48105">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A88C469">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DAEBF16">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4C05098">
            <w:pPr>
              <w:spacing w:line="360" w:lineRule="exact"/>
              <w:jc w:val="left"/>
              <w:rPr>
                <w:rFonts w:hint="eastAsia" w:ascii="宋体" w:hAnsi="宋体" w:eastAsia="宋体" w:cs="宋体"/>
                <w:color w:val="auto"/>
                <w:kern w:val="0"/>
                <w:sz w:val="24"/>
                <w:highlight w:val="none"/>
              </w:rPr>
            </w:pPr>
          </w:p>
        </w:tc>
      </w:tr>
      <w:tr w14:paraId="73272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5F3121B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A58913">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8C5CAC4">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9AFB4C5">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BF32825">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20A09B8">
            <w:pPr>
              <w:spacing w:line="360" w:lineRule="exact"/>
              <w:jc w:val="left"/>
              <w:rPr>
                <w:rFonts w:hint="eastAsia" w:ascii="宋体" w:hAnsi="宋体" w:eastAsia="宋体" w:cs="宋体"/>
                <w:color w:val="auto"/>
                <w:kern w:val="0"/>
                <w:sz w:val="24"/>
                <w:highlight w:val="none"/>
              </w:rPr>
            </w:pPr>
          </w:p>
        </w:tc>
      </w:tr>
      <w:tr w14:paraId="6EC40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0B4B0A02">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11A5107">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EB2BCFE">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A496E43">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F9BBED">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2A9594C">
            <w:pPr>
              <w:spacing w:line="360" w:lineRule="exact"/>
              <w:jc w:val="left"/>
              <w:rPr>
                <w:rFonts w:hint="eastAsia" w:ascii="宋体" w:hAnsi="宋体" w:eastAsia="宋体" w:cs="宋体"/>
                <w:color w:val="auto"/>
                <w:kern w:val="0"/>
                <w:sz w:val="24"/>
                <w:highlight w:val="none"/>
              </w:rPr>
            </w:pPr>
          </w:p>
        </w:tc>
      </w:tr>
    </w:tbl>
    <w:p w14:paraId="6424B768">
      <w:pPr>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附合同复印件加盖公章</w:t>
      </w:r>
    </w:p>
    <w:p w14:paraId="3C8C84C6">
      <w:pPr>
        <w:spacing w:line="360" w:lineRule="auto"/>
        <w:ind w:firstLine="480" w:firstLineChars="200"/>
        <w:jc w:val="left"/>
        <w:rPr>
          <w:rFonts w:hint="eastAsia" w:ascii="宋体" w:hAnsi="宋体" w:eastAsia="宋体" w:cs="宋体"/>
          <w:color w:val="auto"/>
          <w:kern w:val="0"/>
          <w:sz w:val="24"/>
          <w:highlight w:val="none"/>
          <w:lang w:val="zh-CN"/>
        </w:rPr>
      </w:pPr>
    </w:p>
    <w:p w14:paraId="015BEA9D">
      <w:pPr>
        <w:spacing w:line="360" w:lineRule="auto"/>
        <w:ind w:firstLine="480" w:firstLineChars="200"/>
        <w:jc w:val="left"/>
        <w:rPr>
          <w:rFonts w:hint="eastAsia" w:ascii="宋体" w:hAnsi="宋体" w:eastAsia="宋体" w:cs="宋体"/>
          <w:color w:val="auto"/>
          <w:kern w:val="0"/>
          <w:sz w:val="24"/>
          <w:highlight w:val="none"/>
          <w:lang w:val="zh-CN"/>
        </w:rPr>
      </w:pPr>
    </w:p>
    <w:p w14:paraId="25ABC165">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         </w:t>
      </w:r>
    </w:p>
    <w:p w14:paraId="6D29270B">
      <w:pPr>
        <w:pStyle w:val="25"/>
        <w:rPr>
          <w:rFonts w:hint="eastAsia"/>
          <w:color w:val="auto"/>
          <w:highlight w:val="none"/>
        </w:rPr>
      </w:pPr>
      <w:r>
        <w:rPr>
          <w:rFonts w:hint="eastAsia" w:ascii="宋体" w:hAnsi="宋体" w:eastAsia="宋体" w:cs="宋体"/>
          <w:color w:val="auto"/>
          <w:kern w:val="0"/>
          <w:sz w:val="24"/>
          <w:highlight w:val="none"/>
        </w:rPr>
        <w:t>日  期：</w:t>
      </w:r>
    </w:p>
    <w:p w14:paraId="3701C8D6">
      <w:pPr>
        <w:rPr>
          <w:rFonts w:hint="eastAsia"/>
          <w:color w:val="auto"/>
          <w:highlight w:val="none"/>
          <w:lang w:eastAsia="zh-CN"/>
        </w:rPr>
      </w:pPr>
      <w:r>
        <w:rPr>
          <w:rFonts w:hint="eastAsia"/>
          <w:color w:val="auto"/>
          <w:highlight w:val="none"/>
          <w:lang w:eastAsia="zh-CN"/>
        </w:rPr>
        <w:br w:type="page"/>
      </w:r>
    </w:p>
    <w:p w14:paraId="532935C4">
      <w:pPr>
        <w:rPr>
          <w:rFonts w:hint="eastAsia"/>
          <w:color w:val="auto"/>
          <w:highlight w:val="none"/>
          <w:lang w:eastAsia="zh-CN"/>
        </w:rPr>
      </w:pPr>
    </w:p>
    <w:p w14:paraId="79DD8DF4">
      <w:pPr>
        <w:bidi w:val="0"/>
        <w:jc w:val="center"/>
        <w:rPr>
          <w:rFonts w:hint="eastAsia"/>
          <w:b/>
          <w:bCs/>
          <w:color w:val="auto"/>
          <w:sz w:val="36"/>
          <w:szCs w:val="36"/>
          <w:highlight w:val="none"/>
        </w:rPr>
      </w:pPr>
      <w:bookmarkStart w:id="429" w:name="_Toc16712"/>
      <w:r>
        <w:rPr>
          <w:rFonts w:hint="eastAsia"/>
          <w:b/>
          <w:bCs/>
          <w:color w:val="auto"/>
          <w:sz w:val="36"/>
          <w:szCs w:val="36"/>
          <w:highlight w:val="none"/>
        </w:rPr>
        <w:t>报价文件部分</w:t>
      </w:r>
      <w:bookmarkEnd w:id="429"/>
    </w:p>
    <w:p w14:paraId="3AF5572F">
      <w:pPr>
        <w:rPr>
          <w:rFonts w:hint="eastAsia"/>
          <w:b/>
          <w:bCs/>
          <w:color w:val="auto"/>
          <w:sz w:val="36"/>
          <w:szCs w:val="36"/>
          <w:highlight w:val="none"/>
        </w:rPr>
      </w:pPr>
    </w:p>
    <w:p w14:paraId="4F35A6AF">
      <w:pPr>
        <w:keepNext w:val="0"/>
        <w:keepLines w:val="0"/>
        <w:pageBreakBefore w:val="0"/>
        <w:widowControl w:val="0"/>
        <w:kinsoku/>
        <w:wordWrap/>
        <w:overflowPunct/>
        <w:topLinePunct w:val="0"/>
        <w:autoSpaceDE/>
        <w:autoSpaceDN/>
        <w:bidi w:val="0"/>
        <w:adjustRightInd w:val="0"/>
        <w:snapToGrid w:val="0"/>
        <w:spacing w:line="440" w:lineRule="exact"/>
        <w:ind w:left="840" w:leftChars="0" w:firstLine="420" w:firstLineChars="0"/>
        <w:textAlignment w:val="auto"/>
        <w:outlineLvl w:val="2"/>
        <w:rPr>
          <w:rFonts w:ascii="宋体" w:hAnsi="宋体" w:eastAsia="宋体" w:cs="宋体"/>
          <w:color w:val="auto"/>
          <w:szCs w:val="21"/>
          <w:highlight w:val="none"/>
        </w:rPr>
      </w:pPr>
      <w:r>
        <w:rPr>
          <w:rFonts w:hint="eastAsia" w:ascii="宋体" w:hAnsi="宋体" w:eastAsia="宋体" w:cs="宋体"/>
          <w:color w:val="auto"/>
          <w:szCs w:val="21"/>
          <w:highlight w:val="none"/>
        </w:rPr>
        <w:t>（1）开标一览表（报价表）………………………………………………………（页码）</w:t>
      </w:r>
    </w:p>
    <w:p w14:paraId="6C6B4EE4">
      <w:pPr>
        <w:rPr>
          <w:rFonts w:hint="eastAsia"/>
          <w:b/>
          <w:bCs/>
          <w:color w:val="auto"/>
          <w:sz w:val="36"/>
          <w:szCs w:val="36"/>
          <w:highlight w:val="none"/>
        </w:rPr>
      </w:pPr>
      <w:r>
        <w:rPr>
          <w:rFonts w:hint="eastAsia"/>
          <w:b/>
          <w:bCs/>
          <w:color w:val="auto"/>
          <w:sz w:val="36"/>
          <w:szCs w:val="36"/>
          <w:highlight w:val="none"/>
        </w:rPr>
        <w:br w:type="page"/>
      </w:r>
    </w:p>
    <w:p w14:paraId="527F17E1">
      <w:pPr>
        <w:pStyle w:val="2"/>
        <w:rPr>
          <w:color w:val="auto"/>
          <w:highlight w:val="none"/>
        </w:rPr>
      </w:pPr>
    </w:p>
    <w:p w14:paraId="560DD62C">
      <w:pPr>
        <w:spacing w:line="360" w:lineRule="auto"/>
        <w:jc w:val="center"/>
        <w:outlineLvl w:val="0"/>
        <w:rPr>
          <w:rFonts w:hint="eastAsia" w:ascii="宋体" w:hAnsi="宋体" w:cs="宋体"/>
          <w:b/>
          <w:color w:val="auto"/>
          <w:kern w:val="0"/>
          <w:sz w:val="36"/>
          <w:szCs w:val="36"/>
          <w:highlight w:val="none"/>
        </w:rPr>
      </w:pPr>
      <w:bookmarkStart w:id="430" w:name="_Toc31513"/>
    </w:p>
    <w:bookmarkEnd w:id="430"/>
    <w:p w14:paraId="7BACBB32">
      <w:pPr>
        <w:bidi w:val="0"/>
        <w:jc w:val="center"/>
        <w:rPr>
          <w:rFonts w:hint="eastAsia" w:eastAsia="宋体"/>
          <w:b/>
          <w:bCs/>
          <w:color w:val="auto"/>
          <w:sz w:val="30"/>
          <w:szCs w:val="30"/>
          <w:highlight w:val="none"/>
          <w:lang w:eastAsia="zh-CN"/>
        </w:rPr>
      </w:pPr>
      <w:bookmarkStart w:id="431" w:name="_Toc21159"/>
      <w:r>
        <w:rPr>
          <w:rFonts w:hint="eastAsia"/>
          <w:b/>
          <w:bCs/>
          <w:color w:val="auto"/>
          <w:sz w:val="30"/>
          <w:szCs w:val="30"/>
          <w:highlight w:val="none"/>
          <w:lang w:val="en-US" w:eastAsia="zh-CN"/>
        </w:rPr>
        <w:t>一、</w:t>
      </w:r>
      <w:r>
        <w:rPr>
          <w:rFonts w:hint="eastAsia"/>
          <w:b/>
          <w:bCs/>
          <w:color w:val="auto"/>
          <w:sz w:val="30"/>
          <w:szCs w:val="30"/>
          <w:highlight w:val="none"/>
        </w:rPr>
        <w:t>开标一览表</w:t>
      </w:r>
      <w:bookmarkEnd w:id="431"/>
    </w:p>
    <w:p w14:paraId="3A8BE418">
      <w:pPr>
        <w:snapToGrid w:val="0"/>
        <w:spacing w:before="50" w:after="50" w:line="360" w:lineRule="auto"/>
        <w:ind w:firstLine="630" w:firstLineChars="300"/>
        <w:rPr>
          <w:rFonts w:hint="eastAsia" w:ascii="宋体" w:hAnsi="宋体" w:cs="宋体"/>
          <w:color w:val="auto"/>
          <w:szCs w:val="21"/>
          <w:highlight w:val="none"/>
        </w:rPr>
      </w:pPr>
    </w:p>
    <w:tbl>
      <w:tblPr>
        <w:tblStyle w:val="65"/>
        <w:tblW w:w="8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2108"/>
        <w:gridCol w:w="2965"/>
        <w:gridCol w:w="2352"/>
      </w:tblGrid>
      <w:tr w14:paraId="2403D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1" w:hRule="atLeast"/>
          <w:jc w:val="center"/>
        </w:trPr>
        <w:tc>
          <w:tcPr>
            <w:tcW w:w="1074" w:type="dxa"/>
            <w:noWrap w:val="0"/>
            <w:vAlign w:val="center"/>
          </w:tcPr>
          <w:p w14:paraId="425E1AC5">
            <w:pPr>
              <w:spacing w:line="400" w:lineRule="exact"/>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标项号</w:t>
            </w:r>
          </w:p>
        </w:tc>
        <w:tc>
          <w:tcPr>
            <w:tcW w:w="2108" w:type="dxa"/>
            <w:noWrap w:val="0"/>
            <w:vAlign w:val="center"/>
          </w:tcPr>
          <w:p w14:paraId="47444A39">
            <w:pPr>
              <w:spacing w:line="400" w:lineRule="exact"/>
              <w:jc w:val="center"/>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采购内容</w:t>
            </w:r>
          </w:p>
        </w:tc>
        <w:tc>
          <w:tcPr>
            <w:tcW w:w="2965" w:type="dxa"/>
            <w:noWrap w:val="0"/>
            <w:vAlign w:val="center"/>
          </w:tcPr>
          <w:p w14:paraId="4596925B">
            <w:pPr>
              <w:spacing w:line="400" w:lineRule="exact"/>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服务期限</w:t>
            </w:r>
          </w:p>
        </w:tc>
        <w:tc>
          <w:tcPr>
            <w:tcW w:w="2352" w:type="dxa"/>
            <w:noWrap w:val="0"/>
            <w:vAlign w:val="center"/>
          </w:tcPr>
          <w:p w14:paraId="4A022096">
            <w:pPr>
              <w:spacing w:line="400" w:lineRule="exact"/>
              <w:jc w:val="center"/>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投标</w:t>
            </w:r>
            <w:r>
              <w:rPr>
                <w:rFonts w:hint="eastAsia" w:ascii="宋体" w:hAnsi="宋体" w:cs="宋体"/>
                <w:b/>
                <w:color w:val="auto"/>
                <w:sz w:val="24"/>
                <w:szCs w:val="24"/>
                <w:highlight w:val="none"/>
                <w:shd w:val="clear" w:color="auto" w:fill="auto"/>
                <w:lang w:val="en-US" w:eastAsia="zh-CN"/>
              </w:rPr>
              <w:t>总价</w:t>
            </w:r>
            <w:r>
              <w:rPr>
                <w:rFonts w:hint="eastAsia" w:ascii="宋体" w:hAnsi="宋体" w:cs="宋体"/>
                <w:b/>
                <w:color w:val="auto"/>
                <w:sz w:val="24"/>
                <w:szCs w:val="24"/>
                <w:highlight w:val="none"/>
                <w:shd w:val="clear" w:color="auto" w:fill="auto"/>
              </w:rPr>
              <w:t>（元</w:t>
            </w:r>
            <w:r>
              <w:rPr>
                <w:rFonts w:hint="eastAsia" w:ascii="宋体" w:hAnsi="宋体" w:cs="宋体"/>
                <w:b/>
                <w:color w:val="auto"/>
                <w:sz w:val="24"/>
                <w:szCs w:val="24"/>
                <w:highlight w:val="none"/>
                <w:shd w:val="clear" w:color="auto" w:fill="auto"/>
                <w:lang w:val="en-US" w:eastAsia="zh-CN"/>
              </w:rPr>
              <w:t>/年</w:t>
            </w:r>
            <w:r>
              <w:rPr>
                <w:rFonts w:hint="eastAsia" w:ascii="宋体" w:hAnsi="宋体" w:cs="宋体"/>
                <w:b/>
                <w:color w:val="auto"/>
                <w:sz w:val="24"/>
                <w:szCs w:val="24"/>
                <w:highlight w:val="none"/>
                <w:shd w:val="clear" w:color="auto" w:fill="auto"/>
              </w:rPr>
              <w:t>）</w:t>
            </w:r>
          </w:p>
        </w:tc>
      </w:tr>
      <w:tr w14:paraId="52113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074" w:type="dxa"/>
            <w:noWrap w:val="0"/>
            <w:vAlign w:val="center"/>
          </w:tcPr>
          <w:p w14:paraId="3786960F">
            <w:pPr>
              <w:spacing w:line="40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一</w:t>
            </w:r>
          </w:p>
        </w:tc>
        <w:tc>
          <w:tcPr>
            <w:tcW w:w="2108" w:type="dxa"/>
            <w:noWrap w:val="0"/>
            <w:vAlign w:val="center"/>
          </w:tcPr>
          <w:p w14:paraId="4FBED125">
            <w:pPr>
              <w:spacing w:line="40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北仑公安分局通信运维服务</w:t>
            </w:r>
          </w:p>
        </w:tc>
        <w:tc>
          <w:tcPr>
            <w:tcW w:w="2965" w:type="dxa"/>
            <w:noWrap w:val="0"/>
            <w:vAlign w:val="center"/>
          </w:tcPr>
          <w:p w14:paraId="0182B267">
            <w:pPr>
              <w:spacing w:line="400" w:lineRule="exact"/>
              <w:jc w:val="center"/>
              <w:rPr>
                <w:rFonts w:hint="default"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sz w:val="24"/>
                <w:szCs w:val="24"/>
                <w:highlight w:val="none"/>
                <w:shd w:val="clear" w:color="auto" w:fill="auto"/>
                <w:lang w:val="en-US" w:eastAsia="zh-CN"/>
              </w:rPr>
              <w:t>本项目一招</w:t>
            </w:r>
            <w:r>
              <w:rPr>
                <w:rFonts w:hint="eastAsia" w:ascii="宋体" w:hAnsi="宋体" w:cs="宋体"/>
                <w:color w:val="auto"/>
                <w:sz w:val="24"/>
                <w:szCs w:val="24"/>
                <w:highlight w:val="none"/>
                <w:shd w:val="clear" w:color="auto" w:fill="auto"/>
                <w:lang w:val="en-US" w:eastAsia="zh-CN"/>
              </w:rPr>
              <w:t>三</w:t>
            </w:r>
            <w:r>
              <w:rPr>
                <w:rFonts w:hint="default" w:ascii="宋体" w:hAnsi="宋体" w:eastAsia="宋体" w:cs="宋体"/>
                <w:color w:val="auto"/>
                <w:sz w:val="24"/>
                <w:szCs w:val="24"/>
                <w:highlight w:val="none"/>
                <w:shd w:val="clear" w:color="auto" w:fill="auto"/>
                <w:lang w:val="en-US" w:eastAsia="zh-CN"/>
              </w:rPr>
              <w:t>年，合同一年一签，采购人有权根据上年合同履约考核情况决定是否续签。</w:t>
            </w:r>
          </w:p>
        </w:tc>
        <w:tc>
          <w:tcPr>
            <w:tcW w:w="2352" w:type="dxa"/>
            <w:noWrap w:val="0"/>
            <w:vAlign w:val="center"/>
          </w:tcPr>
          <w:p w14:paraId="2FF6402C">
            <w:pPr>
              <w:spacing w:line="400" w:lineRule="exact"/>
              <w:jc w:val="center"/>
              <w:rPr>
                <w:rFonts w:hint="eastAsia" w:ascii="宋体" w:hAnsi="宋体" w:cs="宋体"/>
                <w:color w:val="auto"/>
                <w:sz w:val="24"/>
                <w:szCs w:val="24"/>
                <w:highlight w:val="none"/>
                <w:shd w:val="clear" w:color="auto" w:fill="auto"/>
              </w:rPr>
            </w:pPr>
          </w:p>
        </w:tc>
      </w:tr>
    </w:tbl>
    <w:p w14:paraId="2A0027E2">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0B41F1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 报价一经涂改，应在涂改处加盖单位公章或者由法定代表人或授权委托人签字或盖章，否则其投标作无效标处理。</w:t>
      </w:r>
    </w:p>
    <w:p w14:paraId="379C4F38">
      <w:pPr>
        <w:snapToGrid w:val="0"/>
        <w:spacing w:line="360" w:lineRule="auto"/>
        <w:ind w:left="-21" w:leftChars="-72" w:right="-817" w:rightChars="-389" w:hanging="130" w:hangingChars="62"/>
        <w:rPr>
          <w:rFonts w:hint="eastAsia" w:ascii="宋体" w:hAnsi="宋体" w:cs="宋体"/>
          <w:color w:val="auto"/>
          <w:szCs w:val="21"/>
          <w:highlight w:val="none"/>
        </w:rPr>
      </w:pPr>
    </w:p>
    <w:p w14:paraId="65EC6155">
      <w:pPr>
        <w:snapToGrid w:val="0"/>
        <w:spacing w:line="360" w:lineRule="auto"/>
        <w:ind w:left="-21" w:leftChars="-72" w:right="-817" w:rightChars="-389" w:hanging="130" w:hangingChars="62"/>
        <w:rPr>
          <w:rFonts w:hint="eastAsia" w:ascii="宋体" w:hAnsi="宋体" w:cs="宋体"/>
          <w:color w:val="auto"/>
          <w:szCs w:val="21"/>
          <w:highlight w:val="none"/>
        </w:rPr>
      </w:pPr>
    </w:p>
    <w:p w14:paraId="5CD16857">
      <w:pPr>
        <w:pStyle w:val="34"/>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lang w:val="en-US" w:eastAsia="zh-CN"/>
        </w:rPr>
        <w:t>电子</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章</w:t>
      </w:r>
      <w:r>
        <w:rPr>
          <w:rFonts w:hint="eastAsia" w:hAnsi="宋体" w:cs="宋体"/>
          <w:color w:val="auto"/>
          <w:sz w:val="21"/>
          <w:szCs w:val="21"/>
          <w:highlight w:val="none"/>
        </w:rPr>
        <w:t>):___________________</w:t>
      </w:r>
    </w:p>
    <w:p w14:paraId="393BC323">
      <w:pPr>
        <w:pStyle w:val="34"/>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 xml:space="preserve">                </w:t>
      </w:r>
    </w:p>
    <w:p w14:paraId="51E110E3">
      <w:pPr>
        <w:pStyle w:val="34"/>
        <w:snapToGrid w:val="0"/>
        <w:spacing w:before="295" w:beforeLines="0" w:after="295" w:afterLines="0" w:line="240" w:lineRule="auto"/>
        <w:rPr>
          <w:rFonts w:hint="eastAsia" w:hAnsi="宋体" w:cs="宋体"/>
          <w:color w:val="auto"/>
          <w:sz w:val="21"/>
          <w:szCs w:val="21"/>
          <w:highlight w:val="none"/>
        </w:rPr>
      </w:pPr>
      <w:r>
        <w:rPr>
          <w:rFonts w:hint="eastAsia" w:hAnsi="宋体" w:cs="宋体"/>
          <w:color w:val="auto"/>
          <w:sz w:val="21"/>
          <w:szCs w:val="21"/>
          <w:highlight w:val="none"/>
        </w:rPr>
        <w:t>日期:_____年___月___日</w:t>
      </w:r>
    </w:p>
    <w:p w14:paraId="1A9A335C">
      <w:pPr>
        <w:rPr>
          <w:rFonts w:hint="eastAsia"/>
          <w:color w:val="auto"/>
          <w:highlight w:val="none"/>
        </w:rPr>
      </w:pPr>
    </w:p>
    <w:p w14:paraId="4DFB747E">
      <w:pPr>
        <w:rPr>
          <w:rFonts w:hint="eastAsia" w:hAnsi="宋体" w:cs="宋体"/>
          <w:b/>
          <w:color w:val="auto"/>
          <w:sz w:val="21"/>
          <w:szCs w:val="21"/>
          <w:highlight w:val="none"/>
        </w:rPr>
      </w:pPr>
      <w:r>
        <w:rPr>
          <w:rFonts w:hint="eastAsia" w:hAnsi="宋体" w:cs="宋体"/>
          <w:b/>
          <w:color w:val="auto"/>
          <w:sz w:val="21"/>
          <w:szCs w:val="21"/>
          <w:highlight w:val="none"/>
        </w:rPr>
        <w:br w:type="page"/>
      </w:r>
    </w:p>
    <w:p w14:paraId="4ED17B9F">
      <w:pPr>
        <w:pStyle w:val="34"/>
        <w:snapToGrid w:val="0"/>
        <w:spacing w:before="295" w:beforeLines="0" w:after="295" w:afterLines="0" w:line="240" w:lineRule="auto"/>
        <w:jc w:val="center"/>
        <w:rPr>
          <w:rFonts w:hint="eastAsia" w:hAnsi="宋体" w:cs="宋体"/>
          <w:b/>
          <w:bCs/>
          <w:color w:val="auto"/>
          <w:sz w:val="24"/>
          <w:szCs w:val="24"/>
          <w:highlight w:val="none"/>
          <w:shd w:val="clear" w:color="auto" w:fill="auto"/>
        </w:rPr>
      </w:pPr>
    </w:p>
    <w:p w14:paraId="14697352">
      <w:pPr>
        <w:pStyle w:val="34"/>
        <w:snapToGrid w:val="0"/>
        <w:spacing w:before="295" w:beforeLines="0" w:after="295" w:afterLines="0" w:line="240" w:lineRule="auto"/>
        <w:jc w:val="center"/>
        <w:rPr>
          <w:rFonts w:hint="eastAsia" w:hAnsi="宋体" w:cs="宋体"/>
          <w:b/>
          <w:bCs/>
          <w:color w:val="auto"/>
          <w:sz w:val="24"/>
          <w:szCs w:val="24"/>
          <w:highlight w:val="none"/>
          <w:shd w:val="clear" w:color="auto" w:fill="auto"/>
        </w:rPr>
      </w:pPr>
    </w:p>
    <w:p w14:paraId="31BA5BA2">
      <w:pPr>
        <w:pStyle w:val="34"/>
        <w:snapToGrid w:val="0"/>
        <w:spacing w:before="295" w:beforeLines="0" w:after="295" w:afterLines="0" w:line="240" w:lineRule="auto"/>
        <w:jc w:val="center"/>
        <w:rPr>
          <w:rFonts w:hint="eastAsia" w:hAnsi="宋体" w:cs="宋体"/>
          <w:color w:val="auto"/>
          <w:sz w:val="24"/>
          <w:szCs w:val="24"/>
          <w:highlight w:val="none"/>
          <w:u w:val="single"/>
          <w:shd w:val="clear" w:color="auto" w:fill="auto"/>
        </w:rPr>
      </w:pPr>
      <w:r>
        <w:rPr>
          <w:rFonts w:hint="eastAsia" w:hAnsi="宋体" w:cs="宋体"/>
          <w:b/>
          <w:bCs/>
          <w:color w:val="auto"/>
          <w:sz w:val="24"/>
          <w:szCs w:val="24"/>
          <w:highlight w:val="none"/>
          <w:shd w:val="clear" w:color="auto" w:fill="auto"/>
        </w:rPr>
        <w:t>投标报价明细表</w:t>
      </w:r>
    </w:p>
    <w:tbl>
      <w:tblPr>
        <w:tblStyle w:val="65"/>
        <w:tblW w:w="84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
        <w:gridCol w:w="1618"/>
        <w:gridCol w:w="810"/>
        <w:gridCol w:w="2108"/>
        <w:gridCol w:w="2130"/>
        <w:gridCol w:w="849"/>
      </w:tblGrid>
      <w:tr w14:paraId="04589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905" w:type="dxa"/>
            <w:noWrap w:val="0"/>
            <w:vAlign w:val="center"/>
          </w:tcPr>
          <w:p w14:paraId="603A85DC">
            <w:pPr>
              <w:pStyle w:val="34"/>
              <w:spacing w:before="0" w:beforeLines="0" w:after="0" w:afterLines="0"/>
              <w:jc w:val="center"/>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序号</w:t>
            </w:r>
          </w:p>
        </w:tc>
        <w:tc>
          <w:tcPr>
            <w:tcW w:w="1618" w:type="dxa"/>
            <w:tcBorders>
              <w:right w:val="single" w:color="auto" w:sz="4" w:space="0"/>
            </w:tcBorders>
            <w:noWrap w:val="0"/>
            <w:vAlign w:val="center"/>
          </w:tcPr>
          <w:p w14:paraId="1AC6907B">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内容</w:t>
            </w:r>
          </w:p>
        </w:tc>
        <w:tc>
          <w:tcPr>
            <w:tcW w:w="810" w:type="dxa"/>
            <w:tcBorders>
              <w:left w:val="single" w:color="auto" w:sz="4" w:space="0"/>
            </w:tcBorders>
            <w:noWrap w:val="0"/>
            <w:vAlign w:val="center"/>
          </w:tcPr>
          <w:p w14:paraId="7B3C4249">
            <w:pPr>
              <w:spacing w:line="40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数量</w:t>
            </w:r>
          </w:p>
        </w:tc>
        <w:tc>
          <w:tcPr>
            <w:tcW w:w="2108" w:type="dxa"/>
            <w:noWrap w:val="0"/>
            <w:vAlign w:val="center"/>
          </w:tcPr>
          <w:p w14:paraId="7469D914">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单价</w:t>
            </w:r>
          </w:p>
          <w:p w14:paraId="5A0DB21D">
            <w:pPr>
              <w:spacing w:line="400" w:lineRule="exact"/>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（人民币：元）</w:t>
            </w:r>
          </w:p>
        </w:tc>
        <w:tc>
          <w:tcPr>
            <w:tcW w:w="2130" w:type="dxa"/>
            <w:noWrap w:val="0"/>
            <w:vAlign w:val="center"/>
          </w:tcPr>
          <w:p w14:paraId="5477C405">
            <w:pPr>
              <w:spacing w:line="40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总价</w:t>
            </w:r>
          </w:p>
          <w:p w14:paraId="3D505DE4">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（人民币：元）</w:t>
            </w:r>
          </w:p>
        </w:tc>
        <w:tc>
          <w:tcPr>
            <w:tcW w:w="849" w:type="dxa"/>
            <w:noWrap w:val="0"/>
            <w:vAlign w:val="center"/>
          </w:tcPr>
          <w:p w14:paraId="6473FC67">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备注</w:t>
            </w:r>
          </w:p>
        </w:tc>
      </w:tr>
      <w:tr w14:paraId="160D3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05" w:type="dxa"/>
            <w:noWrap w:val="0"/>
            <w:vAlign w:val="center"/>
          </w:tcPr>
          <w:p w14:paraId="49BE888C">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618" w:type="dxa"/>
            <w:tcBorders>
              <w:right w:val="single" w:color="auto" w:sz="4" w:space="0"/>
            </w:tcBorders>
            <w:noWrap w:val="0"/>
            <w:vAlign w:val="center"/>
          </w:tcPr>
          <w:p w14:paraId="24D26CE9">
            <w:pPr>
              <w:spacing w:line="400" w:lineRule="exact"/>
              <w:jc w:val="center"/>
              <w:rPr>
                <w:rFonts w:hint="eastAsia" w:ascii="宋体" w:hAnsi="宋体" w:cs="宋体"/>
                <w:color w:val="auto"/>
                <w:sz w:val="24"/>
                <w:szCs w:val="24"/>
                <w:highlight w:val="none"/>
                <w:shd w:val="clear" w:color="auto" w:fill="auto"/>
              </w:rPr>
            </w:pPr>
          </w:p>
        </w:tc>
        <w:tc>
          <w:tcPr>
            <w:tcW w:w="810" w:type="dxa"/>
            <w:tcBorders>
              <w:left w:val="single" w:color="auto" w:sz="4" w:space="0"/>
            </w:tcBorders>
            <w:noWrap w:val="0"/>
            <w:vAlign w:val="center"/>
          </w:tcPr>
          <w:p w14:paraId="06AB9C15">
            <w:pPr>
              <w:spacing w:line="400" w:lineRule="exact"/>
              <w:jc w:val="center"/>
              <w:rPr>
                <w:rFonts w:hint="eastAsia" w:ascii="宋体" w:hAnsi="宋体" w:cs="宋体"/>
                <w:color w:val="auto"/>
                <w:sz w:val="24"/>
                <w:szCs w:val="24"/>
                <w:highlight w:val="none"/>
                <w:shd w:val="clear" w:color="auto" w:fill="auto"/>
              </w:rPr>
            </w:pPr>
          </w:p>
        </w:tc>
        <w:tc>
          <w:tcPr>
            <w:tcW w:w="2108" w:type="dxa"/>
            <w:noWrap w:val="0"/>
            <w:vAlign w:val="center"/>
          </w:tcPr>
          <w:p w14:paraId="4B8BFAA0">
            <w:pPr>
              <w:spacing w:line="400" w:lineRule="exact"/>
              <w:jc w:val="center"/>
              <w:rPr>
                <w:rFonts w:hint="eastAsia" w:ascii="宋体" w:hAnsi="宋体" w:cs="宋体"/>
                <w:color w:val="auto"/>
                <w:sz w:val="24"/>
                <w:szCs w:val="24"/>
                <w:highlight w:val="none"/>
                <w:shd w:val="clear" w:color="auto" w:fill="auto"/>
              </w:rPr>
            </w:pPr>
          </w:p>
        </w:tc>
        <w:tc>
          <w:tcPr>
            <w:tcW w:w="2130" w:type="dxa"/>
            <w:noWrap w:val="0"/>
            <w:vAlign w:val="center"/>
          </w:tcPr>
          <w:p w14:paraId="59D14432">
            <w:pPr>
              <w:spacing w:line="400" w:lineRule="exact"/>
              <w:jc w:val="center"/>
              <w:rPr>
                <w:rFonts w:hint="eastAsia" w:ascii="宋体" w:hAnsi="宋体" w:cs="宋体"/>
                <w:color w:val="auto"/>
                <w:sz w:val="24"/>
                <w:szCs w:val="24"/>
                <w:highlight w:val="none"/>
                <w:shd w:val="clear" w:color="auto" w:fill="auto"/>
              </w:rPr>
            </w:pPr>
          </w:p>
        </w:tc>
        <w:tc>
          <w:tcPr>
            <w:tcW w:w="849" w:type="dxa"/>
            <w:noWrap w:val="0"/>
            <w:vAlign w:val="center"/>
          </w:tcPr>
          <w:p w14:paraId="49D7CA47">
            <w:pPr>
              <w:spacing w:line="400" w:lineRule="exact"/>
              <w:jc w:val="center"/>
              <w:rPr>
                <w:rFonts w:hint="eastAsia" w:ascii="宋体" w:hAnsi="宋体" w:cs="宋体"/>
                <w:color w:val="auto"/>
                <w:sz w:val="24"/>
                <w:szCs w:val="24"/>
                <w:highlight w:val="none"/>
                <w:shd w:val="clear" w:color="auto" w:fill="auto"/>
              </w:rPr>
            </w:pPr>
          </w:p>
        </w:tc>
      </w:tr>
      <w:tr w14:paraId="191B7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05" w:type="dxa"/>
            <w:noWrap w:val="0"/>
            <w:vAlign w:val="center"/>
          </w:tcPr>
          <w:p w14:paraId="5310EB5B">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618" w:type="dxa"/>
            <w:tcBorders>
              <w:right w:val="single" w:color="auto" w:sz="4" w:space="0"/>
            </w:tcBorders>
            <w:noWrap w:val="0"/>
            <w:vAlign w:val="center"/>
          </w:tcPr>
          <w:p w14:paraId="5652E397">
            <w:pPr>
              <w:spacing w:line="400" w:lineRule="exact"/>
              <w:jc w:val="center"/>
              <w:rPr>
                <w:rFonts w:hint="eastAsia" w:ascii="宋体" w:hAnsi="宋体" w:cs="宋体"/>
                <w:color w:val="auto"/>
                <w:kern w:val="0"/>
                <w:sz w:val="24"/>
                <w:szCs w:val="24"/>
                <w:highlight w:val="none"/>
                <w:shd w:val="clear" w:color="auto" w:fill="auto"/>
              </w:rPr>
            </w:pPr>
          </w:p>
        </w:tc>
        <w:tc>
          <w:tcPr>
            <w:tcW w:w="810" w:type="dxa"/>
            <w:tcBorders>
              <w:left w:val="single" w:color="auto" w:sz="4" w:space="0"/>
            </w:tcBorders>
            <w:noWrap w:val="0"/>
            <w:vAlign w:val="center"/>
          </w:tcPr>
          <w:p w14:paraId="7DBF41D7">
            <w:pPr>
              <w:spacing w:line="400" w:lineRule="exact"/>
              <w:jc w:val="center"/>
              <w:rPr>
                <w:rFonts w:hint="eastAsia" w:ascii="宋体" w:hAnsi="宋体" w:cs="宋体"/>
                <w:color w:val="auto"/>
                <w:kern w:val="0"/>
                <w:sz w:val="24"/>
                <w:szCs w:val="24"/>
                <w:highlight w:val="none"/>
                <w:shd w:val="clear" w:color="auto" w:fill="auto"/>
              </w:rPr>
            </w:pPr>
          </w:p>
        </w:tc>
        <w:tc>
          <w:tcPr>
            <w:tcW w:w="2108" w:type="dxa"/>
            <w:noWrap w:val="0"/>
            <w:vAlign w:val="center"/>
          </w:tcPr>
          <w:p w14:paraId="13952C95">
            <w:pPr>
              <w:spacing w:line="400" w:lineRule="exact"/>
              <w:jc w:val="center"/>
              <w:rPr>
                <w:rFonts w:hint="eastAsia" w:ascii="宋体" w:hAnsi="宋体" w:cs="宋体"/>
                <w:color w:val="auto"/>
                <w:kern w:val="0"/>
                <w:sz w:val="24"/>
                <w:szCs w:val="24"/>
                <w:highlight w:val="none"/>
                <w:shd w:val="clear" w:color="auto" w:fill="auto"/>
              </w:rPr>
            </w:pPr>
          </w:p>
        </w:tc>
        <w:tc>
          <w:tcPr>
            <w:tcW w:w="2130" w:type="dxa"/>
            <w:noWrap w:val="0"/>
            <w:vAlign w:val="center"/>
          </w:tcPr>
          <w:p w14:paraId="1C25134C">
            <w:pPr>
              <w:spacing w:line="400" w:lineRule="exact"/>
              <w:jc w:val="center"/>
              <w:rPr>
                <w:rFonts w:hint="eastAsia" w:ascii="宋体" w:hAnsi="宋体" w:cs="宋体"/>
                <w:color w:val="auto"/>
                <w:sz w:val="24"/>
                <w:szCs w:val="24"/>
                <w:highlight w:val="none"/>
                <w:shd w:val="clear" w:color="auto" w:fill="auto"/>
              </w:rPr>
            </w:pPr>
          </w:p>
        </w:tc>
        <w:tc>
          <w:tcPr>
            <w:tcW w:w="849" w:type="dxa"/>
            <w:noWrap w:val="0"/>
            <w:vAlign w:val="center"/>
          </w:tcPr>
          <w:p w14:paraId="549308C9">
            <w:pPr>
              <w:spacing w:line="400" w:lineRule="exact"/>
              <w:jc w:val="center"/>
              <w:rPr>
                <w:rFonts w:hint="eastAsia" w:ascii="宋体" w:hAnsi="宋体" w:cs="宋体"/>
                <w:color w:val="auto"/>
                <w:sz w:val="24"/>
                <w:szCs w:val="24"/>
                <w:highlight w:val="none"/>
                <w:shd w:val="clear" w:color="auto" w:fill="auto"/>
              </w:rPr>
            </w:pPr>
          </w:p>
        </w:tc>
      </w:tr>
      <w:tr w14:paraId="1F5CE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0"/>
            <w:vAlign w:val="center"/>
          </w:tcPr>
          <w:p w14:paraId="605EDE92">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618" w:type="dxa"/>
            <w:tcBorders>
              <w:right w:val="single" w:color="auto" w:sz="4" w:space="0"/>
            </w:tcBorders>
            <w:noWrap w:val="0"/>
            <w:vAlign w:val="center"/>
          </w:tcPr>
          <w:p w14:paraId="3FDA09C5">
            <w:pPr>
              <w:spacing w:line="400" w:lineRule="exact"/>
              <w:jc w:val="center"/>
              <w:rPr>
                <w:rFonts w:hint="eastAsia" w:ascii="宋体" w:hAnsi="宋体" w:cs="宋体"/>
                <w:color w:val="auto"/>
                <w:sz w:val="24"/>
                <w:szCs w:val="24"/>
                <w:highlight w:val="none"/>
                <w:shd w:val="clear" w:color="auto" w:fill="auto"/>
              </w:rPr>
            </w:pPr>
          </w:p>
        </w:tc>
        <w:tc>
          <w:tcPr>
            <w:tcW w:w="810" w:type="dxa"/>
            <w:tcBorders>
              <w:left w:val="single" w:color="auto" w:sz="4" w:space="0"/>
            </w:tcBorders>
            <w:noWrap w:val="0"/>
            <w:vAlign w:val="center"/>
          </w:tcPr>
          <w:p w14:paraId="30F2404E">
            <w:pPr>
              <w:spacing w:line="400" w:lineRule="exact"/>
              <w:jc w:val="center"/>
              <w:rPr>
                <w:rFonts w:hint="eastAsia" w:ascii="宋体" w:hAnsi="宋体" w:cs="宋体"/>
                <w:color w:val="auto"/>
                <w:sz w:val="24"/>
                <w:szCs w:val="24"/>
                <w:highlight w:val="none"/>
                <w:shd w:val="clear" w:color="auto" w:fill="auto"/>
              </w:rPr>
            </w:pPr>
          </w:p>
        </w:tc>
        <w:tc>
          <w:tcPr>
            <w:tcW w:w="2108" w:type="dxa"/>
            <w:noWrap w:val="0"/>
            <w:vAlign w:val="center"/>
          </w:tcPr>
          <w:p w14:paraId="1B212E08">
            <w:pPr>
              <w:spacing w:line="400" w:lineRule="exact"/>
              <w:jc w:val="center"/>
              <w:rPr>
                <w:rFonts w:hint="eastAsia" w:ascii="宋体" w:hAnsi="宋体" w:cs="宋体"/>
                <w:color w:val="auto"/>
                <w:sz w:val="24"/>
                <w:szCs w:val="24"/>
                <w:highlight w:val="none"/>
                <w:shd w:val="clear" w:color="auto" w:fill="auto"/>
              </w:rPr>
            </w:pPr>
          </w:p>
        </w:tc>
        <w:tc>
          <w:tcPr>
            <w:tcW w:w="2130" w:type="dxa"/>
            <w:noWrap w:val="0"/>
            <w:vAlign w:val="center"/>
          </w:tcPr>
          <w:p w14:paraId="6A52FFED">
            <w:pPr>
              <w:spacing w:line="400" w:lineRule="exact"/>
              <w:jc w:val="center"/>
              <w:rPr>
                <w:rFonts w:hint="eastAsia" w:ascii="宋体" w:hAnsi="宋体" w:cs="宋体"/>
                <w:color w:val="auto"/>
                <w:sz w:val="24"/>
                <w:szCs w:val="24"/>
                <w:highlight w:val="none"/>
                <w:shd w:val="clear" w:color="auto" w:fill="auto"/>
              </w:rPr>
            </w:pPr>
          </w:p>
        </w:tc>
        <w:tc>
          <w:tcPr>
            <w:tcW w:w="849" w:type="dxa"/>
            <w:noWrap w:val="0"/>
            <w:vAlign w:val="center"/>
          </w:tcPr>
          <w:p w14:paraId="770952D9">
            <w:pPr>
              <w:spacing w:line="400" w:lineRule="exact"/>
              <w:jc w:val="center"/>
              <w:rPr>
                <w:rFonts w:hint="eastAsia" w:ascii="宋体" w:hAnsi="宋体" w:cs="宋体"/>
                <w:color w:val="auto"/>
                <w:sz w:val="24"/>
                <w:szCs w:val="24"/>
                <w:highlight w:val="none"/>
                <w:shd w:val="clear" w:color="auto" w:fill="auto"/>
              </w:rPr>
            </w:pPr>
          </w:p>
        </w:tc>
      </w:tr>
      <w:tr w14:paraId="336D2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0"/>
            <w:vAlign w:val="center"/>
          </w:tcPr>
          <w:p w14:paraId="3449FDDA">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618" w:type="dxa"/>
            <w:tcBorders>
              <w:right w:val="single" w:color="auto" w:sz="4" w:space="0"/>
            </w:tcBorders>
            <w:noWrap w:val="0"/>
            <w:vAlign w:val="center"/>
          </w:tcPr>
          <w:p w14:paraId="4A2071F3">
            <w:pPr>
              <w:spacing w:line="400" w:lineRule="exact"/>
              <w:jc w:val="center"/>
              <w:rPr>
                <w:rFonts w:hint="eastAsia" w:ascii="宋体" w:hAnsi="宋体" w:cs="宋体"/>
                <w:color w:val="auto"/>
                <w:sz w:val="24"/>
                <w:szCs w:val="24"/>
                <w:highlight w:val="none"/>
                <w:shd w:val="clear" w:color="auto" w:fill="auto"/>
              </w:rPr>
            </w:pPr>
          </w:p>
        </w:tc>
        <w:tc>
          <w:tcPr>
            <w:tcW w:w="810" w:type="dxa"/>
            <w:tcBorders>
              <w:left w:val="single" w:color="auto" w:sz="4" w:space="0"/>
            </w:tcBorders>
            <w:noWrap w:val="0"/>
            <w:vAlign w:val="center"/>
          </w:tcPr>
          <w:p w14:paraId="758FAD34">
            <w:pPr>
              <w:spacing w:line="400" w:lineRule="exact"/>
              <w:jc w:val="center"/>
              <w:rPr>
                <w:rFonts w:hint="eastAsia" w:ascii="宋体" w:hAnsi="宋体" w:cs="宋体"/>
                <w:color w:val="auto"/>
                <w:sz w:val="24"/>
                <w:szCs w:val="24"/>
                <w:highlight w:val="none"/>
                <w:shd w:val="clear" w:color="auto" w:fill="auto"/>
              </w:rPr>
            </w:pPr>
          </w:p>
        </w:tc>
        <w:tc>
          <w:tcPr>
            <w:tcW w:w="2108" w:type="dxa"/>
            <w:noWrap w:val="0"/>
            <w:vAlign w:val="center"/>
          </w:tcPr>
          <w:p w14:paraId="3B68B99C">
            <w:pPr>
              <w:spacing w:line="400" w:lineRule="exact"/>
              <w:jc w:val="center"/>
              <w:rPr>
                <w:rFonts w:hint="eastAsia" w:ascii="宋体" w:hAnsi="宋体" w:cs="宋体"/>
                <w:color w:val="auto"/>
                <w:sz w:val="24"/>
                <w:szCs w:val="24"/>
                <w:highlight w:val="none"/>
                <w:shd w:val="clear" w:color="auto" w:fill="auto"/>
              </w:rPr>
            </w:pPr>
          </w:p>
        </w:tc>
        <w:tc>
          <w:tcPr>
            <w:tcW w:w="2130" w:type="dxa"/>
            <w:noWrap w:val="0"/>
            <w:vAlign w:val="center"/>
          </w:tcPr>
          <w:p w14:paraId="5B8D422D">
            <w:pPr>
              <w:spacing w:line="400" w:lineRule="exact"/>
              <w:jc w:val="center"/>
              <w:rPr>
                <w:rFonts w:hint="eastAsia" w:ascii="宋体" w:hAnsi="宋体" w:cs="宋体"/>
                <w:color w:val="auto"/>
                <w:sz w:val="24"/>
                <w:szCs w:val="24"/>
                <w:highlight w:val="none"/>
                <w:shd w:val="clear" w:color="auto" w:fill="auto"/>
              </w:rPr>
            </w:pPr>
          </w:p>
        </w:tc>
        <w:tc>
          <w:tcPr>
            <w:tcW w:w="849" w:type="dxa"/>
            <w:noWrap w:val="0"/>
            <w:vAlign w:val="center"/>
          </w:tcPr>
          <w:p w14:paraId="74032243">
            <w:pPr>
              <w:spacing w:line="400" w:lineRule="exact"/>
              <w:jc w:val="center"/>
              <w:rPr>
                <w:rFonts w:hint="eastAsia" w:ascii="宋体" w:hAnsi="宋体" w:cs="宋体"/>
                <w:color w:val="auto"/>
                <w:sz w:val="24"/>
                <w:szCs w:val="24"/>
                <w:highlight w:val="none"/>
                <w:shd w:val="clear" w:color="auto" w:fill="auto"/>
              </w:rPr>
            </w:pPr>
          </w:p>
        </w:tc>
      </w:tr>
      <w:tr w14:paraId="43D57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0"/>
            <w:vAlign w:val="center"/>
          </w:tcPr>
          <w:p w14:paraId="0AC3FB58">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kern w:val="0"/>
                <w:sz w:val="24"/>
                <w:szCs w:val="24"/>
                <w:highlight w:val="none"/>
                <w:shd w:val="clear" w:color="auto" w:fill="auto"/>
              </w:rPr>
              <w:t>…</w:t>
            </w:r>
          </w:p>
        </w:tc>
        <w:tc>
          <w:tcPr>
            <w:tcW w:w="1618" w:type="dxa"/>
            <w:tcBorders>
              <w:right w:val="single" w:color="auto" w:sz="4" w:space="0"/>
            </w:tcBorders>
            <w:noWrap w:val="0"/>
            <w:vAlign w:val="center"/>
          </w:tcPr>
          <w:p w14:paraId="58F3D8A4">
            <w:pPr>
              <w:spacing w:line="400" w:lineRule="exact"/>
              <w:jc w:val="center"/>
              <w:rPr>
                <w:rFonts w:hint="eastAsia" w:ascii="宋体" w:hAnsi="宋体" w:cs="宋体"/>
                <w:color w:val="auto"/>
                <w:sz w:val="24"/>
                <w:szCs w:val="24"/>
                <w:highlight w:val="none"/>
                <w:shd w:val="clear" w:color="auto" w:fill="auto"/>
              </w:rPr>
            </w:pPr>
          </w:p>
        </w:tc>
        <w:tc>
          <w:tcPr>
            <w:tcW w:w="810" w:type="dxa"/>
            <w:tcBorders>
              <w:left w:val="single" w:color="auto" w:sz="4" w:space="0"/>
            </w:tcBorders>
            <w:noWrap w:val="0"/>
            <w:vAlign w:val="center"/>
          </w:tcPr>
          <w:p w14:paraId="173BD462">
            <w:pPr>
              <w:spacing w:line="400" w:lineRule="exact"/>
              <w:jc w:val="center"/>
              <w:rPr>
                <w:rFonts w:hint="eastAsia" w:ascii="宋体" w:hAnsi="宋体" w:cs="宋体"/>
                <w:color w:val="auto"/>
                <w:sz w:val="24"/>
                <w:szCs w:val="24"/>
                <w:highlight w:val="none"/>
                <w:shd w:val="clear" w:color="auto" w:fill="auto"/>
              </w:rPr>
            </w:pPr>
          </w:p>
        </w:tc>
        <w:tc>
          <w:tcPr>
            <w:tcW w:w="2108" w:type="dxa"/>
            <w:noWrap w:val="0"/>
            <w:vAlign w:val="center"/>
          </w:tcPr>
          <w:p w14:paraId="015323A1">
            <w:pPr>
              <w:spacing w:line="400" w:lineRule="exact"/>
              <w:jc w:val="center"/>
              <w:rPr>
                <w:rFonts w:hint="eastAsia" w:ascii="宋体" w:hAnsi="宋体" w:cs="宋体"/>
                <w:color w:val="auto"/>
                <w:sz w:val="24"/>
                <w:szCs w:val="24"/>
                <w:highlight w:val="none"/>
                <w:shd w:val="clear" w:color="auto" w:fill="auto"/>
              </w:rPr>
            </w:pPr>
          </w:p>
        </w:tc>
        <w:tc>
          <w:tcPr>
            <w:tcW w:w="2130" w:type="dxa"/>
            <w:noWrap w:val="0"/>
            <w:vAlign w:val="center"/>
          </w:tcPr>
          <w:p w14:paraId="092FCF2E">
            <w:pPr>
              <w:spacing w:line="400" w:lineRule="exact"/>
              <w:jc w:val="center"/>
              <w:rPr>
                <w:rFonts w:hint="eastAsia" w:ascii="宋体" w:hAnsi="宋体" w:cs="宋体"/>
                <w:color w:val="auto"/>
                <w:sz w:val="24"/>
                <w:szCs w:val="24"/>
                <w:highlight w:val="none"/>
                <w:shd w:val="clear" w:color="auto" w:fill="auto"/>
              </w:rPr>
            </w:pPr>
          </w:p>
        </w:tc>
        <w:tc>
          <w:tcPr>
            <w:tcW w:w="849" w:type="dxa"/>
            <w:noWrap w:val="0"/>
            <w:vAlign w:val="center"/>
          </w:tcPr>
          <w:p w14:paraId="54B64C4B">
            <w:pPr>
              <w:spacing w:line="400" w:lineRule="exact"/>
              <w:jc w:val="center"/>
              <w:rPr>
                <w:rFonts w:hint="eastAsia" w:ascii="宋体" w:hAnsi="宋体" w:cs="宋体"/>
                <w:color w:val="auto"/>
                <w:sz w:val="24"/>
                <w:szCs w:val="24"/>
                <w:highlight w:val="none"/>
                <w:shd w:val="clear" w:color="auto" w:fill="auto"/>
              </w:rPr>
            </w:pPr>
          </w:p>
        </w:tc>
      </w:tr>
      <w:tr w14:paraId="110F4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571" w:type="dxa"/>
            <w:gridSpan w:val="5"/>
            <w:noWrap w:val="0"/>
            <w:vAlign w:val="center"/>
          </w:tcPr>
          <w:p w14:paraId="32AF8671">
            <w:pPr>
              <w:spacing w:line="400" w:lineRule="exac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投标总价（元</w:t>
            </w:r>
            <w:r>
              <w:rPr>
                <w:rFonts w:hint="eastAsia" w:ascii="宋体" w:hAnsi="宋体" w:cs="宋体"/>
                <w:color w:val="auto"/>
                <w:sz w:val="24"/>
                <w:szCs w:val="24"/>
                <w:highlight w:val="none"/>
                <w:shd w:val="clear" w:color="auto" w:fill="auto"/>
                <w:lang w:val="en-US" w:eastAsia="zh-CN"/>
              </w:rPr>
              <w:t>/年</w:t>
            </w:r>
            <w:r>
              <w:rPr>
                <w:rFonts w:hint="eastAsia" w:ascii="宋体" w:hAnsi="宋体" w:cs="宋体"/>
                <w:color w:val="auto"/>
                <w:sz w:val="24"/>
                <w:szCs w:val="24"/>
                <w:highlight w:val="none"/>
                <w:shd w:val="clear" w:color="auto" w:fill="auto"/>
              </w:rPr>
              <w:t>）</w:t>
            </w:r>
          </w:p>
        </w:tc>
        <w:tc>
          <w:tcPr>
            <w:tcW w:w="849" w:type="dxa"/>
            <w:noWrap w:val="0"/>
            <w:vAlign w:val="center"/>
          </w:tcPr>
          <w:p w14:paraId="168F8611">
            <w:pPr>
              <w:spacing w:line="400" w:lineRule="exact"/>
              <w:jc w:val="center"/>
              <w:rPr>
                <w:rFonts w:hint="eastAsia" w:ascii="宋体" w:hAnsi="宋体" w:cs="宋体"/>
                <w:color w:val="auto"/>
                <w:sz w:val="24"/>
                <w:szCs w:val="24"/>
                <w:highlight w:val="none"/>
                <w:shd w:val="clear" w:color="auto" w:fill="auto"/>
              </w:rPr>
            </w:pPr>
          </w:p>
        </w:tc>
      </w:tr>
    </w:tbl>
    <w:p w14:paraId="34330EB0">
      <w:pPr>
        <w:snapToGrid w:val="0"/>
        <w:spacing w:line="360" w:lineRule="auto"/>
        <w:ind w:firstLine="480" w:firstLineChars="200"/>
        <w:jc w:val="left"/>
        <w:rPr>
          <w:rFonts w:hint="eastAsia" w:ascii="宋体" w:hAnsi="宋体" w:cs="宋体"/>
          <w:color w:val="auto"/>
          <w:sz w:val="24"/>
          <w:szCs w:val="24"/>
          <w:highlight w:val="none"/>
          <w:shd w:val="clear" w:color="auto" w:fill="auto"/>
        </w:rPr>
      </w:pPr>
    </w:p>
    <w:p w14:paraId="445C33B9">
      <w:pPr>
        <w:snapToGrid w:val="0"/>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 1、报价一经涂改，应在涂改处加盖单位公章或者由法定代表人或被授权委托人签字或盖章，否则其投标作无效标处理。</w:t>
      </w:r>
    </w:p>
    <w:p w14:paraId="2A660239">
      <w:pPr>
        <w:snapToGrid w:val="0"/>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2、以上报价应与“开标一览表”中的“投标总价”相一致。</w:t>
      </w:r>
    </w:p>
    <w:p w14:paraId="5ED3AB5E">
      <w:pPr>
        <w:tabs>
          <w:tab w:val="left" w:pos="1418"/>
        </w:tabs>
        <w:snapToGrid w:val="0"/>
        <w:spacing w:before="50" w:after="50"/>
        <w:ind w:left="1418" w:hanging="567"/>
        <w:jc w:val="center"/>
        <w:rPr>
          <w:rFonts w:hint="eastAsia" w:ascii="宋体" w:hAnsi="宋体" w:cs="宋体"/>
          <w:color w:val="auto"/>
          <w:spacing w:val="20"/>
          <w:szCs w:val="21"/>
          <w:highlight w:val="none"/>
          <w:u w:val="single"/>
          <w:shd w:val="clear" w:color="auto" w:fill="auto"/>
        </w:rPr>
      </w:pPr>
    </w:p>
    <w:p w14:paraId="0FC582C5">
      <w:pPr>
        <w:pStyle w:val="83"/>
        <w:rPr>
          <w:rFonts w:hint="eastAsia"/>
          <w:color w:val="auto"/>
          <w:highlight w:val="none"/>
        </w:rPr>
      </w:pPr>
    </w:p>
    <w:p w14:paraId="38F26242">
      <w:pPr>
        <w:rPr>
          <w:rFonts w:hint="eastAsia" w:ascii="宋体" w:hAnsi="宋体" w:cs="宋体"/>
          <w:color w:val="auto"/>
          <w:highlight w:val="none"/>
          <w:shd w:val="clear" w:color="auto" w:fill="auto"/>
        </w:rPr>
      </w:pPr>
    </w:p>
    <w:p w14:paraId="432E5A9F">
      <w:pPr>
        <w:pStyle w:val="34"/>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lang w:val="en-US" w:eastAsia="zh-CN"/>
        </w:rPr>
        <w:t>电子</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章</w:t>
      </w:r>
      <w:r>
        <w:rPr>
          <w:rFonts w:hint="eastAsia" w:hAnsi="宋体" w:cs="宋体"/>
          <w:color w:val="auto"/>
          <w:sz w:val="21"/>
          <w:szCs w:val="21"/>
          <w:highlight w:val="none"/>
        </w:rPr>
        <w:t>):___________________</w:t>
      </w:r>
    </w:p>
    <w:p w14:paraId="75829D02">
      <w:pPr>
        <w:pStyle w:val="34"/>
        <w:tabs>
          <w:tab w:val="left" w:pos="2472"/>
        </w:tabs>
        <w:snapToGrid w:val="0"/>
        <w:spacing w:before="0" w:beforeLines="0" w:after="0" w:afterLines="0" w:line="360" w:lineRule="auto"/>
        <w:jc w:val="left"/>
        <w:rPr>
          <w:rFonts w:hint="eastAsia" w:hAnsi="宋体" w:cs="宋体"/>
          <w:color w:val="auto"/>
          <w:sz w:val="21"/>
          <w:szCs w:val="21"/>
          <w:highlight w:val="none"/>
        </w:rPr>
      </w:pPr>
      <w:r>
        <w:rPr>
          <w:rFonts w:hint="eastAsia" w:hAnsi="宋体" w:cs="宋体"/>
          <w:color w:val="auto"/>
          <w:sz w:val="21"/>
          <w:szCs w:val="21"/>
          <w:highlight w:val="none"/>
        </w:rPr>
        <w:t xml:space="preserve">                </w:t>
      </w:r>
    </w:p>
    <w:p w14:paraId="13CBBF6D">
      <w:pPr>
        <w:pStyle w:val="34"/>
        <w:snapToGrid w:val="0"/>
        <w:spacing w:before="295" w:beforeLines="0" w:after="295" w:afterLines="0" w:line="240" w:lineRule="auto"/>
        <w:rPr>
          <w:rFonts w:hint="eastAsia" w:hAnsi="宋体" w:cs="宋体"/>
          <w:color w:val="auto"/>
          <w:sz w:val="21"/>
          <w:szCs w:val="21"/>
          <w:highlight w:val="none"/>
        </w:rPr>
      </w:pPr>
      <w:r>
        <w:rPr>
          <w:rFonts w:hint="eastAsia" w:hAnsi="宋体" w:cs="宋体"/>
          <w:color w:val="auto"/>
          <w:sz w:val="21"/>
          <w:szCs w:val="21"/>
          <w:highlight w:val="none"/>
        </w:rPr>
        <w:t>日期:_____年___月___日</w:t>
      </w:r>
    </w:p>
    <w:p w14:paraId="4AE0E48B">
      <w:pPr>
        <w:pStyle w:val="34"/>
        <w:snapToGrid w:val="0"/>
        <w:spacing w:before="295" w:beforeLines="0" w:after="295" w:afterLines="0" w:line="240" w:lineRule="auto"/>
        <w:rPr>
          <w:rFonts w:hint="eastAsia" w:hAnsi="宋体" w:cs="宋体"/>
          <w:color w:val="auto"/>
          <w:sz w:val="21"/>
          <w:szCs w:val="21"/>
          <w:highlight w:val="none"/>
          <w:shd w:val="clear" w:color="auto" w:fill="auto"/>
        </w:rPr>
      </w:pPr>
    </w:p>
    <w:p w14:paraId="386A383D">
      <w:pPr>
        <w:rPr>
          <w:rFonts w:hint="eastAsia"/>
          <w:color w:val="auto"/>
          <w:highlight w:val="none"/>
        </w:rPr>
      </w:pPr>
    </w:p>
    <w:p w14:paraId="668A37EE">
      <w:pPr>
        <w:rPr>
          <w:rFonts w:hint="eastAsia" w:hAnsi="宋体" w:cs="宋体"/>
          <w:b/>
          <w:color w:val="auto"/>
          <w:sz w:val="21"/>
          <w:szCs w:val="21"/>
          <w:highlight w:val="none"/>
        </w:rPr>
      </w:pPr>
      <w:r>
        <w:rPr>
          <w:rFonts w:hint="eastAsia" w:hAnsi="宋体" w:cs="宋体"/>
          <w:b/>
          <w:color w:val="auto"/>
          <w:sz w:val="21"/>
          <w:szCs w:val="21"/>
          <w:highlight w:val="none"/>
        </w:rPr>
        <w:br w:type="page"/>
      </w:r>
    </w:p>
    <w:p w14:paraId="772C209F">
      <w:pPr>
        <w:pStyle w:val="34"/>
        <w:snapToGrid w:val="0"/>
        <w:spacing w:before="295" w:beforeLines="0" w:after="295" w:afterLines="0" w:line="240" w:lineRule="auto"/>
        <w:rPr>
          <w:b/>
          <w:bCs/>
          <w:color w:val="auto"/>
          <w:sz w:val="44"/>
          <w:szCs w:val="44"/>
          <w:highlight w:val="none"/>
        </w:rPr>
      </w:pPr>
      <w:r>
        <w:rPr>
          <w:rFonts w:hint="eastAsia" w:hAnsi="宋体" w:cs="宋体"/>
          <w:b/>
          <w:color w:val="auto"/>
          <w:sz w:val="21"/>
          <w:szCs w:val="21"/>
          <w:highlight w:val="none"/>
        </w:rPr>
        <w:t xml:space="preserve"> </w:t>
      </w:r>
      <w:bookmarkStart w:id="432" w:name="_Toc20847"/>
      <w:bookmarkStart w:id="433" w:name="_Toc465665161"/>
      <w:r>
        <w:rPr>
          <w:rFonts w:hint="eastAsia"/>
          <w:b/>
          <w:bCs/>
          <w:color w:val="auto"/>
          <w:sz w:val="44"/>
          <w:szCs w:val="44"/>
          <w:highlight w:val="none"/>
        </w:rPr>
        <w:t>附件</w:t>
      </w:r>
      <w:bookmarkEnd w:id="432"/>
      <w:bookmarkEnd w:id="433"/>
    </w:p>
    <w:p w14:paraId="74131179">
      <w:pPr>
        <w:spacing w:line="360" w:lineRule="auto"/>
        <w:rPr>
          <w:rFonts w:hint="eastAsia" w:ascii="宋体" w:hAnsi="宋体" w:cs="宋体"/>
          <w:b/>
          <w:color w:val="auto"/>
          <w:spacing w:val="6"/>
          <w:sz w:val="32"/>
          <w:szCs w:val="32"/>
          <w:highlight w:val="none"/>
        </w:rPr>
      </w:pPr>
    </w:p>
    <w:p w14:paraId="14D63FDE">
      <w:pPr>
        <w:spacing w:line="360" w:lineRule="auto"/>
        <w:jc w:val="center"/>
        <w:rPr>
          <w:rFonts w:ascii="宋体" w:hAnsi="宋体" w:cs="宋体"/>
          <w:b/>
          <w:color w:val="auto"/>
          <w:spacing w:val="6"/>
          <w:sz w:val="32"/>
          <w:szCs w:val="32"/>
          <w:highlight w:val="none"/>
        </w:rPr>
      </w:pPr>
      <w:bookmarkStart w:id="434" w:name="OLE_LINK14"/>
      <w:bookmarkStart w:id="435" w:name="OLE_LINK13"/>
      <w:r>
        <w:rPr>
          <w:rFonts w:hint="eastAsia" w:ascii="宋体" w:hAnsi="宋体" w:cs="宋体"/>
          <w:b/>
          <w:color w:val="auto"/>
          <w:spacing w:val="6"/>
          <w:sz w:val="32"/>
          <w:szCs w:val="32"/>
          <w:highlight w:val="none"/>
        </w:rPr>
        <w:t>附件1：残疾人福利性单位声明函</w:t>
      </w:r>
    </w:p>
    <w:bookmarkEnd w:id="434"/>
    <w:bookmarkEnd w:id="435"/>
    <w:p w14:paraId="5EA567A5">
      <w:pPr>
        <w:spacing w:line="360" w:lineRule="auto"/>
        <w:rPr>
          <w:rFonts w:ascii="宋体" w:hAnsi="宋体" w:cs="宋体"/>
          <w:b/>
          <w:color w:val="auto"/>
          <w:spacing w:val="6"/>
          <w:sz w:val="30"/>
          <w:szCs w:val="30"/>
          <w:highlight w:val="none"/>
        </w:rPr>
      </w:pPr>
    </w:p>
    <w:p w14:paraId="2053C1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848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9F1914">
      <w:pPr>
        <w:spacing w:line="360" w:lineRule="auto"/>
        <w:ind w:firstLine="480" w:firstLineChars="200"/>
        <w:rPr>
          <w:rFonts w:ascii="宋体" w:hAnsi="宋体" w:cs="宋体"/>
          <w:color w:val="auto"/>
          <w:sz w:val="24"/>
          <w:highlight w:val="none"/>
        </w:rPr>
      </w:pPr>
    </w:p>
    <w:p w14:paraId="458282B3">
      <w:pPr>
        <w:spacing w:line="360" w:lineRule="auto"/>
        <w:ind w:firstLine="480" w:firstLineChars="200"/>
        <w:rPr>
          <w:rFonts w:ascii="宋体" w:hAnsi="宋体" w:cs="宋体"/>
          <w:color w:val="auto"/>
          <w:sz w:val="24"/>
          <w:highlight w:val="none"/>
        </w:rPr>
      </w:pPr>
    </w:p>
    <w:p w14:paraId="55C99F8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电子盖章</w:t>
      </w:r>
      <w:r>
        <w:rPr>
          <w:rFonts w:hint="eastAsia" w:ascii="宋体" w:hAnsi="宋体" w:cs="宋体"/>
          <w:color w:val="auto"/>
          <w:kern w:val="0"/>
          <w:sz w:val="24"/>
          <w:highlight w:val="none"/>
          <w:lang w:val="zh-CN"/>
        </w:rPr>
        <w:t>）：</w:t>
      </w:r>
    </w:p>
    <w:p w14:paraId="6C23A88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6F0BB6A">
      <w:pPr>
        <w:spacing w:line="360" w:lineRule="auto"/>
        <w:ind w:firstLine="480" w:firstLineChars="200"/>
        <w:rPr>
          <w:rFonts w:ascii="宋体" w:hAnsi="宋体" w:cs="宋体"/>
          <w:color w:val="auto"/>
          <w:sz w:val="24"/>
          <w:highlight w:val="none"/>
        </w:rPr>
      </w:pPr>
    </w:p>
    <w:p w14:paraId="7EF1AF58">
      <w:pPr>
        <w:spacing w:line="360" w:lineRule="auto"/>
        <w:ind w:firstLine="420" w:firstLineChars="200"/>
        <w:rPr>
          <w:rFonts w:ascii="宋体" w:hAnsi="宋体" w:cs="宋体"/>
          <w:color w:val="auto"/>
          <w:highlight w:val="none"/>
        </w:rPr>
      </w:pPr>
    </w:p>
    <w:p w14:paraId="149CB322">
      <w:pPr>
        <w:spacing w:line="360" w:lineRule="auto"/>
        <w:ind w:firstLine="420" w:firstLineChars="200"/>
        <w:rPr>
          <w:rFonts w:ascii="宋体" w:hAnsi="宋体" w:cs="宋体"/>
          <w:color w:val="auto"/>
          <w:highlight w:val="none"/>
        </w:rPr>
      </w:pPr>
    </w:p>
    <w:p w14:paraId="0A475E23">
      <w:pPr>
        <w:spacing w:line="360" w:lineRule="auto"/>
        <w:ind w:firstLine="420" w:firstLineChars="200"/>
        <w:rPr>
          <w:rFonts w:ascii="宋体" w:hAnsi="宋体" w:cs="宋体"/>
          <w:color w:val="auto"/>
          <w:highlight w:val="none"/>
        </w:rPr>
      </w:pPr>
    </w:p>
    <w:p w14:paraId="12123A2E">
      <w:pPr>
        <w:spacing w:line="360" w:lineRule="auto"/>
        <w:ind w:firstLine="420" w:firstLineChars="200"/>
        <w:rPr>
          <w:rFonts w:ascii="宋体" w:hAnsi="宋体" w:cs="宋体"/>
          <w:color w:val="auto"/>
          <w:highlight w:val="none"/>
        </w:rPr>
      </w:pPr>
    </w:p>
    <w:p w14:paraId="492026AA">
      <w:pPr>
        <w:spacing w:line="360" w:lineRule="auto"/>
        <w:rPr>
          <w:rFonts w:ascii="宋体" w:hAnsi="宋体" w:cs="宋体"/>
          <w:b/>
          <w:color w:val="auto"/>
          <w:sz w:val="24"/>
          <w:highlight w:val="none"/>
        </w:rPr>
      </w:pPr>
    </w:p>
    <w:p w14:paraId="4DBA6785">
      <w:pPr>
        <w:spacing w:line="360" w:lineRule="auto"/>
        <w:rPr>
          <w:rFonts w:ascii="宋体" w:hAnsi="宋体" w:cs="宋体"/>
          <w:b/>
          <w:color w:val="auto"/>
          <w:sz w:val="24"/>
          <w:highlight w:val="none"/>
        </w:rPr>
      </w:pPr>
    </w:p>
    <w:p w14:paraId="53211CED">
      <w:pPr>
        <w:spacing w:line="360" w:lineRule="auto"/>
        <w:rPr>
          <w:rFonts w:ascii="宋体" w:hAnsi="宋体" w:cs="宋体"/>
          <w:b/>
          <w:color w:val="auto"/>
          <w:sz w:val="24"/>
          <w:highlight w:val="none"/>
        </w:rPr>
      </w:pPr>
    </w:p>
    <w:p w14:paraId="106F8C15">
      <w:pPr>
        <w:spacing w:line="360" w:lineRule="auto"/>
        <w:rPr>
          <w:rFonts w:ascii="宋体" w:hAnsi="宋体" w:cs="宋体"/>
          <w:b/>
          <w:color w:val="auto"/>
          <w:sz w:val="24"/>
          <w:highlight w:val="none"/>
        </w:rPr>
      </w:pPr>
    </w:p>
    <w:p w14:paraId="2CCD1CCF">
      <w:pPr>
        <w:spacing w:line="360" w:lineRule="auto"/>
        <w:rPr>
          <w:rFonts w:ascii="宋体" w:hAnsi="宋体" w:cs="宋体"/>
          <w:b/>
          <w:color w:val="auto"/>
          <w:sz w:val="24"/>
          <w:highlight w:val="none"/>
        </w:rPr>
      </w:pPr>
    </w:p>
    <w:p w14:paraId="70AB9214">
      <w:pPr>
        <w:spacing w:line="360" w:lineRule="auto"/>
        <w:rPr>
          <w:rFonts w:ascii="宋体" w:hAnsi="宋体" w:cs="宋体"/>
          <w:b/>
          <w:color w:val="auto"/>
          <w:sz w:val="24"/>
          <w:highlight w:val="none"/>
        </w:rPr>
      </w:pPr>
    </w:p>
    <w:p w14:paraId="2DBE9235">
      <w:pPr>
        <w:spacing w:line="360" w:lineRule="auto"/>
        <w:rPr>
          <w:rFonts w:ascii="宋体" w:hAnsi="宋体" w:cs="宋体"/>
          <w:b/>
          <w:color w:val="auto"/>
          <w:sz w:val="24"/>
          <w:highlight w:val="none"/>
        </w:rPr>
      </w:pPr>
    </w:p>
    <w:p w14:paraId="1A6745A3">
      <w:pPr>
        <w:spacing w:line="360" w:lineRule="auto"/>
        <w:rPr>
          <w:rFonts w:ascii="宋体" w:hAnsi="宋体" w:cs="宋体"/>
          <w:b/>
          <w:color w:val="auto"/>
          <w:sz w:val="24"/>
          <w:highlight w:val="none"/>
        </w:rPr>
      </w:pPr>
    </w:p>
    <w:p w14:paraId="013FE6BF">
      <w:pPr>
        <w:spacing w:line="360" w:lineRule="auto"/>
        <w:rPr>
          <w:rFonts w:ascii="宋体" w:hAnsi="宋体" w:cs="宋体"/>
          <w:b/>
          <w:color w:val="auto"/>
          <w:sz w:val="24"/>
          <w:highlight w:val="none"/>
        </w:rPr>
      </w:pPr>
    </w:p>
    <w:p w14:paraId="7FE839B5">
      <w:pPr>
        <w:autoSpaceDE w:val="0"/>
        <w:autoSpaceDN w:val="0"/>
        <w:jc w:val="center"/>
        <w:rPr>
          <w:rFonts w:ascii="宋体" w:hAnsi="宋体" w:cs="宋体"/>
          <w:b/>
          <w:color w:val="auto"/>
          <w:spacing w:val="6"/>
          <w:sz w:val="32"/>
          <w:szCs w:val="32"/>
          <w:highlight w:val="none"/>
        </w:rPr>
      </w:pPr>
    </w:p>
    <w:p w14:paraId="74AA41B5">
      <w:pPr>
        <w:autoSpaceDE w:val="0"/>
        <w:autoSpaceDN w:val="0"/>
        <w:jc w:val="center"/>
        <w:rPr>
          <w:rFonts w:ascii="宋体" w:hAnsi="宋体" w:cs="宋体"/>
          <w:b/>
          <w:color w:val="auto"/>
          <w:spacing w:val="6"/>
          <w:sz w:val="32"/>
          <w:szCs w:val="32"/>
          <w:highlight w:val="none"/>
        </w:rPr>
      </w:pPr>
    </w:p>
    <w:p w14:paraId="4433A4B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3F1E8EAA">
      <w:pPr>
        <w:spacing w:line="360" w:lineRule="auto"/>
        <w:rPr>
          <w:rFonts w:ascii="宋体" w:hAnsi="宋体" w:cs="宋体"/>
          <w:color w:val="auto"/>
          <w:sz w:val="24"/>
          <w:highlight w:val="none"/>
          <w:u w:val="single"/>
        </w:rPr>
      </w:pPr>
    </w:p>
    <w:p w14:paraId="533DC99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B73860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ADF62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F3BABA5">
      <w:pPr>
        <w:spacing w:line="360" w:lineRule="auto"/>
        <w:ind w:firstLine="494"/>
        <w:rPr>
          <w:rFonts w:ascii="宋体" w:hAnsi="宋体" w:cs="宋体"/>
          <w:color w:val="auto"/>
          <w:sz w:val="24"/>
          <w:highlight w:val="none"/>
        </w:rPr>
      </w:pPr>
    </w:p>
    <w:p w14:paraId="1306FBDE">
      <w:pPr>
        <w:spacing w:line="360" w:lineRule="auto"/>
        <w:ind w:firstLine="494"/>
        <w:rPr>
          <w:rFonts w:ascii="宋体" w:hAnsi="宋体" w:cs="宋体"/>
          <w:color w:val="auto"/>
          <w:sz w:val="24"/>
          <w:highlight w:val="none"/>
        </w:rPr>
      </w:pPr>
    </w:p>
    <w:p w14:paraId="25E0BDEF">
      <w:pPr>
        <w:spacing w:line="360" w:lineRule="auto"/>
        <w:ind w:firstLine="494"/>
        <w:rPr>
          <w:rFonts w:ascii="宋体" w:hAnsi="宋体" w:cs="宋体"/>
          <w:color w:val="auto"/>
          <w:sz w:val="24"/>
          <w:highlight w:val="none"/>
        </w:rPr>
      </w:pPr>
    </w:p>
    <w:p w14:paraId="35528A35">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电子盖章</w:t>
      </w:r>
      <w:r>
        <w:rPr>
          <w:rFonts w:hint="eastAsia" w:ascii="宋体" w:hAnsi="宋体" w:cs="宋体"/>
          <w:color w:val="auto"/>
          <w:sz w:val="24"/>
          <w:highlight w:val="none"/>
        </w:rPr>
        <w:t>）：</w:t>
      </w:r>
    </w:p>
    <w:p w14:paraId="6EAE088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D6B8AB">
      <w:pPr>
        <w:rPr>
          <w:rFonts w:ascii="宋体" w:hAnsi="宋体" w:cs="宋体"/>
          <w:color w:val="auto"/>
          <w:sz w:val="24"/>
          <w:highlight w:val="none"/>
        </w:rPr>
      </w:pPr>
      <w:r>
        <w:rPr>
          <w:rFonts w:hint="eastAsia" w:ascii="宋体" w:hAnsi="宋体" w:cs="宋体"/>
          <w:b/>
          <w:bCs/>
          <w:color w:val="auto"/>
          <w:sz w:val="24"/>
          <w:highlight w:val="none"/>
        </w:rPr>
        <w:t>附：</w:t>
      </w:r>
    </w:p>
    <w:p w14:paraId="57D2DE0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20A3A6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20A3A63">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203E53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203E53E">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5A3CE76">
      <w:pPr>
        <w:autoSpaceDE w:val="0"/>
        <w:autoSpaceDN w:val="0"/>
        <w:jc w:val="center"/>
        <w:rPr>
          <w:rFonts w:ascii="宋体" w:hAnsi="宋体" w:cs="宋体"/>
          <w:b/>
          <w:color w:val="auto"/>
          <w:spacing w:val="6"/>
          <w:sz w:val="32"/>
          <w:szCs w:val="32"/>
          <w:highlight w:val="none"/>
        </w:rPr>
      </w:pPr>
    </w:p>
    <w:p w14:paraId="2E14446E">
      <w:pPr>
        <w:autoSpaceDE w:val="0"/>
        <w:autoSpaceDN w:val="0"/>
        <w:jc w:val="center"/>
        <w:rPr>
          <w:rFonts w:ascii="宋体" w:hAnsi="宋体" w:cs="宋体"/>
          <w:b/>
          <w:color w:val="auto"/>
          <w:spacing w:val="6"/>
          <w:sz w:val="32"/>
          <w:szCs w:val="32"/>
          <w:highlight w:val="none"/>
        </w:rPr>
      </w:pPr>
    </w:p>
    <w:p w14:paraId="6A419591">
      <w:pPr>
        <w:autoSpaceDE w:val="0"/>
        <w:autoSpaceDN w:val="0"/>
        <w:jc w:val="center"/>
        <w:rPr>
          <w:rFonts w:ascii="宋体" w:hAnsi="宋体" w:cs="宋体"/>
          <w:b/>
          <w:color w:val="auto"/>
          <w:spacing w:val="6"/>
          <w:sz w:val="32"/>
          <w:szCs w:val="32"/>
          <w:highlight w:val="none"/>
        </w:rPr>
      </w:pPr>
    </w:p>
    <w:p w14:paraId="3092C09A">
      <w:pPr>
        <w:autoSpaceDE w:val="0"/>
        <w:autoSpaceDN w:val="0"/>
        <w:jc w:val="center"/>
        <w:rPr>
          <w:rFonts w:ascii="宋体" w:hAnsi="宋体" w:cs="宋体"/>
          <w:b/>
          <w:color w:val="auto"/>
          <w:spacing w:val="6"/>
          <w:sz w:val="32"/>
          <w:szCs w:val="32"/>
          <w:highlight w:val="none"/>
        </w:rPr>
      </w:pPr>
    </w:p>
    <w:p w14:paraId="4088B510">
      <w:pPr>
        <w:autoSpaceDE w:val="0"/>
        <w:autoSpaceDN w:val="0"/>
        <w:jc w:val="center"/>
        <w:rPr>
          <w:rFonts w:ascii="宋体" w:hAnsi="宋体" w:cs="宋体"/>
          <w:b/>
          <w:color w:val="auto"/>
          <w:spacing w:val="6"/>
          <w:sz w:val="32"/>
          <w:szCs w:val="32"/>
          <w:highlight w:val="none"/>
        </w:rPr>
      </w:pPr>
    </w:p>
    <w:p w14:paraId="6315735E">
      <w:pPr>
        <w:autoSpaceDE w:val="0"/>
        <w:autoSpaceDN w:val="0"/>
        <w:jc w:val="center"/>
        <w:rPr>
          <w:rFonts w:ascii="宋体" w:hAnsi="宋体" w:cs="宋体"/>
          <w:b/>
          <w:color w:val="auto"/>
          <w:spacing w:val="6"/>
          <w:sz w:val="32"/>
          <w:szCs w:val="32"/>
          <w:highlight w:val="none"/>
        </w:rPr>
      </w:pPr>
    </w:p>
    <w:p w14:paraId="07F38D12">
      <w:pPr>
        <w:autoSpaceDE w:val="0"/>
        <w:autoSpaceDN w:val="0"/>
        <w:jc w:val="center"/>
        <w:rPr>
          <w:rFonts w:ascii="宋体" w:hAnsi="宋体" w:cs="宋体"/>
          <w:b/>
          <w:color w:val="auto"/>
          <w:spacing w:val="6"/>
          <w:sz w:val="32"/>
          <w:szCs w:val="32"/>
          <w:highlight w:val="none"/>
        </w:rPr>
      </w:pPr>
    </w:p>
    <w:p w14:paraId="1946ADC3">
      <w:pPr>
        <w:autoSpaceDE w:val="0"/>
        <w:autoSpaceDN w:val="0"/>
        <w:jc w:val="center"/>
        <w:rPr>
          <w:rFonts w:ascii="宋体" w:hAnsi="宋体" w:cs="宋体"/>
          <w:b/>
          <w:color w:val="auto"/>
          <w:spacing w:val="6"/>
          <w:sz w:val="32"/>
          <w:szCs w:val="32"/>
          <w:highlight w:val="none"/>
        </w:rPr>
      </w:pPr>
    </w:p>
    <w:p w14:paraId="646641F6">
      <w:pPr>
        <w:autoSpaceDE w:val="0"/>
        <w:autoSpaceDN w:val="0"/>
        <w:jc w:val="center"/>
        <w:rPr>
          <w:rFonts w:ascii="宋体" w:hAnsi="宋体" w:cs="宋体"/>
          <w:b/>
          <w:color w:val="auto"/>
          <w:spacing w:val="6"/>
          <w:sz w:val="32"/>
          <w:szCs w:val="32"/>
          <w:highlight w:val="none"/>
        </w:rPr>
      </w:pPr>
    </w:p>
    <w:p w14:paraId="05845CD3">
      <w:pPr>
        <w:autoSpaceDE w:val="0"/>
        <w:autoSpaceDN w:val="0"/>
        <w:jc w:val="center"/>
        <w:rPr>
          <w:rFonts w:ascii="宋体" w:hAnsi="宋体" w:cs="宋体"/>
          <w:b/>
          <w:color w:val="auto"/>
          <w:spacing w:val="6"/>
          <w:sz w:val="32"/>
          <w:szCs w:val="32"/>
          <w:highlight w:val="none"/>
        </w:rPr>
      </w:pPr>
    </w:p>
    <w:p w14:paraId="171D4797">
      <w:pPr>
        <w:autoSpaceDE w:val="0"/>
        <w:autoSpaceDN w:val="0"/>
        <w:jc w:val="center"/>
        <w:rPr>
          <w:rFonts w:ascii="宋体" w:hAnsi="宋体" w:cs="宋体"/>
          <w:b/>
          <w:color w:val="auto"/>
          <w:spacing w:val="6"/>
          <w:sz w:val="32"/>
          <w:szCs w:val="32"/>
          <w:highlight w:val="none"/>
        </w:rPr>
      </w:pPr>
    </w:p>
    <w:p w14:paraId="75B3A3A5">
      <w:pPr>
        <w:autoSpaceDE w:val="0"/>
        <w:autoSpaceDN w:val="0"/>
        <w:jc w:val="center"/>
        <w:rPr>
          <w:rFonts w:ascii="宋体" w:hAnsi="宋体" w:cs="宋体"/>
          <w:b/>
          <w:color w:val="auto"/>
          <w:spacing w:val="6"/>
          <w:sz w:val="32"/>
          <w:szCs w:val="32"/>
          <w:highlight w:val="none"/>
        </w:rPr>
      </w:pPr>
    </w:p>
    <w:p w14:paraId="42989CBD">
      <w:pPr>
        <w:autoSpaceDE w:val="0"/>
        <w:autoSpaceDN w:val="0"/>
        <w:jc w:val="center"/>
        <w:rPr>
          <w:rFonts w:ascii="宋体" w:hAnsi="宋体" w:cs="宋体"/>
          <w:b/>
          <w:color w:val="auto"/>
          <w:spacing w:val="6"/>
          <w:sz w:val="32"/>
          <w:szCs w:val="32"/>
          <w:highlight w:val="none"/>
        </w:rPr>
      </w:pPr>
    </w:p>
    <w:p w14:paraId="26E07E40">
      <w:pPr>
        <w:autoSpaceDE w:val="0"/>
        <w:autoSpaceDN w:val="0"/>
        <w:jc w:val="center"/>
        <w:rPr>
          <w:rFonts w:ascii="宋体" w:hAnsi="宋体" w:cs="宋体"/>
          <w:b/>
          <w:color w:val="auto"/>
          <w:spacing w:val="6"/>
          <w:sz w:val="32"/>
          <w:szCs w:val="32"/>
          <w:highlight w:val="none"/>
        </w:rPr>
      </w:pPr>
    </w:p>
    <w:p w14:paraId="1AFF659C">
      <w:pPr>
        <w:autoSpaceDE w:val="0"/>
        <w:autoSpaceDN w:val="0"/>
        <w:jc w:val="center"/>
        <w:rPr>
          <w:rFonts w:ascii="宋体" w:hAnsi="宋体" w:cs="宋体"/>
          <w:b/>
          <w:color w:val="auto"/>
          <w:spacing w:val="6"/>
          <w:sz w:val="32"/>
          <w:szCs w:val="32"/>
          <w:highlight w:val="none"/>
        </w:rPr>
      </w:pPr>
    </w:p>
    <w:p w14:paraId="0F67BAFA">
      <w:pPr>
        <w:autoSpaceDE w:val="0"/>
        <w:autoSpaceDN w:val="0"/>
        <w:jc w:val="center"/>
        <w:rPr>
          <w:rFonts w:ascii="宋体" w:hAnsi="宋体" w:cs="宋体"/>
          <w:b/>
          <w:color w:val="auto"/>
          <w:spacing w:val="6"/>
          <w:sz w:val="32"/>
          <w:szCs w:val="32"/>
          <w:highlight w:val="none"/>
        </w:rPr>
      </w:pPr>
    </w:p>
    <w:p w14:paraId="451F5EE3">
      <w:pPr>
        <w:autoSpaceDE w:val="0"/>
        <w:autoSpaceDN w:val="0"/>
        <w:jc w:val="center"/>
        <w:rPr>
          <w:rFonts w:ascii="宋体" w:hAnsi="宋体" w:cs="宋体"/>
          <w:b/>
          <w:color w:val="auto"/>
          <w:spacing w:val="6"/>
          <w:sz w:val="32"/>
          <w:szCs w:val="32"/>
          <w:highlight w:val="none"/>
        </w:rPr>
      </w:pPr>
    </w:p>
    <w:p w14:paraId="29A7CC52">
      <w:pPr>
        <w:rPr>
          <w:rFonts w:hint="eastAsia"/>
          <w:b/>
          <w:bCs/>
          <w:color w:val="auto"/>
          <w:sz w:val="32"/>
          <w:szCs w:val="32"/>
          <w:highlight w:val="none"/>
        </w:rPr>
      </w:pPr>
      <w:bookmarkStart w:id="436" w:name="_Toc27865"/>
      <w:r>
        <w:rPr>
          <w:rFonts w:hint="eastAsia"/>
          <w:b/>
          <w:bCs/>
          <w:color w:val="auto"/>
          <w:sz w:val="32"/>
          <w:szCs w:val="32"/>
          <w:highlight w:val="none"/>
        </w:rPr>
        <w:br w:type="page"/>
      </w:r>
    </w:p>
    <w:p w14:paraId="410818C6">
      <w:pPr>
        <w:bidi w:val="0"/>
        <w:jc w:val="center"/>
        <w:rPr>
          <w:rFonts w:hint="eastAsia" w:eastAsia="宋体"/>
          <w:b/>
          <w:bCs/>
          <w:color w:val="auto"/>
          <w:sz w:val="32"/>
          <w:szCs w:val="32"/>
          <w:highlight w:val="none"/>
          <w:lang w:eastAsia="zh-CN"/>
        </w:rPr>
      </w:pPr>
      <w:r>
        <w:rPr>
          <w:rFonts w:hint="eastAsia"/>
          <w:b/>
          <w:bCs/>
          <w:color w:val="auto"/>
          <w:sz w:val="32"/>
          <w:szCs w:val="32"/>
          <w:highlight w:val="none"/>
        </w:rPr>
        <w:t>附件</w:t>
      </w:r>
      <w:r>
        <w:rPr>
          <w:rFonts w:hint="eastAsia"/>
          <w:b/>
          <w:bCs/>
          <w:color w:val="auto"/>
          <w:sz w:val="32"/>
          <w:szCs w:val="32"/>
          <w:highlight w:val="none"/>
          <w:lang w:val="en-US" w:eastAsia="zh-CN"/>
        </w:rPr>
        <w:t>3</w:t>
      </w:r>
      <w:r>
        <w:rPr>
          <w:rFonts w:hint="eastAsia"/>
          <w:b/>
          <w:bCs/>
          <w:color w:val="auto"/>
          <w:sz w:val="32"/>
          <w:szCs w:val="32"/>
          <w:highlight w:val="none"/>
        </w:rPr>
        <w:t>：联合协议</w:t>
      </w:r>
      <w:bookmarkEnd w:id="436"/>
      <w:r>
        <w:rPr>
          <w:rFonts w:hint="eastAsia"/>
          <w:b/>
          <w:bCs/>
          <w:color w:val="auto"/>
          <w:sz w:val="32"/>
          <w:szCs w:val="32"/>
          <w:highlight w:val="none"/>
          <w:lang w:eastAsia="zh-CN"/>
        </w:rPr>
        <w:t>（</w:t>
      </w:r>
      <w:r>
        <w:rPr>
          <w:rFonts w:hint="eastAsia"/>
          <w:b/>
          <w:bCs/>
          <w:color w:val="auto"/>
          <w:sz w:val="32"/>
          <w:szCs w:val="32"/>
          <w:highlight w:val="none"/>
          <w:lang w:val="en-US" w:eastAsia="zh-CN"/>
        </w:rPr>
        <w:t>如有</w:t>
      </w:r>
      <w:r>
        <w:rPr>
          <w:rFonts w:hint="eastAsia"/>
          <w:b/>
          <w:bCs/>
          <w:color w:val="auto"/>
          <w:sz w:val="32"/>
          <w:szCs w:val="32"/>
          <w:highlight w:val="none"/>
          <w:lang w:eastAsia="zh-CN"/>
        </w:rPr>
        <w:t>）</w:t>
      </w:r>
    </w:p>
    <w:p w14:paraId="6DE4C1C3">
      <w:pPr>
        <w:pStyle w:val="64"/>
        <w:rPr>
          <w:color w:val="auto"/>
          <w:highlight w:val="none"/>
        </w:rPr>
      </w:pPr>
    </w:p>
    <w:p w14:paraId="00EA974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F6B3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9FCFC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A8B3F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04E44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D953D0C">
      <w:pPr>
        <w:snapToGrid w:val="0"/>
        <w:spacing w:line="360" w:lineRule="auto"/>
        <w:ind w:firstLine="576"/>
        <w:rPr>
          <w:rFonts w:ascii="宋体" w:hAnsi="宋体" w:cs="宋体"/>
          <w:color w:val="auto"/>
          <w:kern w:val="0"/>
          <w:sz w:val="24"/>
          <w:highlight w:val="none"/>
          <w:lang w:val="zh-CN"/>
        </w:rPr>
      </w:pPr>
      <w:bookmarkStart w:id="43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7BD2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4304A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7"/>
    <w:p w14:paraId="0BB5D8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CC48FD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114A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E6DF6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3DEC6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45BA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61035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8F1D0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A4D49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510D6D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171E351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8F9C0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8F57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BD3D94">
      <w:pPr>
        <w:autoSpaceDE w:val="0"/>
        <w:autoSpaceDN w:val="0"/>
        <w:jc w:val="center"/>
        <w:rPr>
          <w:rFonts w:ascii="宋体" w:hAnsi="宋体" w:cs="宋体"/>
          <w:b/>
          <w:color w:val="auto"/>
          <w:spacing w:val="6"/>
          <w:sz w:val="32"/>
          <w:szCs w:val="32"/>
          <w:highlight w:val="none"/>
        </w:rPr>
      </w:pPr>
    </w:p>
    <w:p w14:paraId="0C378E7F">
      <w:pPr>
        <w:autoSpaceDE w:val="0"/>
        <w:autoSpaceDN w:val="0"/>
        <w:jc w:val="center"/>
        <w:rPr>
          <w:rFonts w:ascii="宋体" w:hAnsi="宋体" w:cs="宋体"/>
          <w:b/>
          <w:color w:val="auto"/>
          <w:spacing w:val="6"/>
          <w:sz w:val="32"/>
          <w:szCs w:val="32"/>
          <w:highlight w:val="none"/>
        </w:rPr>
      </w:pPr>
    </w:p>
    <w:p w14:paraId="5B1C14C9">
      <w:pPr>
        <w:autoSpaceDE w:val="0"/>
        <w:autoSpaceDN w:val="0"/>
        <w:jc w:val="center"/>
        <w:rPr>
          <w:rFonts w:ascii="宋体" w:hAnsi="宋体" w:cs="宋体"/>
          <w:b/>
          <w:color w:val="auto"/>
          <w:spacing w:val="6"/>
          <w:sz w:val="32"/>
          <w:szCs w:val="32"/>
          <w:highlight w:val="none"/>
        </w:rPr>
      </w:pPr>
    </w:p>
    <w:p w14:paraId="4D785BA1">
      <w:pPr>
        <w:autoSpaceDE w:val="0"/>
        <w:autoSpaceDN w:val="0"/>
        <w:jc w:val="center"/>
        <w:rPr>
          <w:rFonts w:ascii="宋体" w:hAnsi="宋体" w:cs="宋体"/>
          <w:b/>
          <w:color w:val="auto"/>
          <w:spacing w:val="6"/>
          <w:sz w:val="32"/>
          <w:szCs w:val="32"/>
          <w:highlight w:val="none"/>
        </w:rPr>
      </w:pPr>
    </w:p>
    <w:p w14:paraId="4BBA5452">
      <w:pPr>
        <w:autoSpaceDE w:val="0"/>
        <w:autoSpaceDN w:val="0"/>
        <w:jc w:val="center"/>
        <w:rPr>
          <w:rFonts w:ascii="宋体" w:hAnsi="宋体" w:cs="宋体"/>
          <w:b/>
          <w:color w:val="auto"/>
          <w:spacing w:val="6"/>
          <w:sz w:val="32"/>
          <w:szCs w:val="32"/>
          <w:highlight w:val="none"/>
        </w:rPr>
      </w:pPr>
    </w:p>
    <w:p w14:paraId="6CB1244B">
      <w:pPr>
        <w:autoSpaceDE w:val="0"/>
        <w:autoSpaceDN w:val="0"/>
        <w:jc w:val="center"/>
        <w:rPr>
          <w:rFonts w:ascii="宋体" w:hAnsi="宋体" w:cs="宋体"/>
          <w:b/>
          <w:color w:val="auto"/>
          <w:spacing w:val="6"/>
          <w:sz w:val="32"/>
          <w:szCs w:val="32"/>
          <w:highlight w:val="none"/>
        </w:rPr>
      </w:pPr>
    </w:p>
    <w:p w14:paraId="44132F32">
      <w:pPr>
        <w:autoSpaceDE w:val="0"/>
        <w:autoSpaceDN w:val="0"/>
        <w:jc w:val="center"/>
        <w:rPr>
          <w:rFonts w:ascii="宋体" w:hAnsi="宋体" w:cs="宋体"/>
          <w:b/>
          <w:color w:val="auto"/>
          <w:spacing w:val="6"/>
          <w:sz w:val="32"/>
          <w:szCs w:val="32"/>
          <w:highlight w:val="none"/>
        </w:rPr>
      </w:pPr>
    </w:p>
    <w:p w14:paraId="5651522B">
      <w:pPr>
        <w:autoSpaceDE w:val="0"/>
        <w:autoSpaceDN w:val="0"/>
        <w:jc w:val="center"/>
        <w:rPr>
          <w:rFonts w:ascii="宋体" w:hAnsi="宋体" w:cs="宋体"/>
          <w:b/>
          <w:color w:val="auto"/>
          <w:spacing w:val="6"/>
          <w:sz w:val="32"/>
          <w:szCs w:val="32"/>
          <w:highlight w:val="none"/>
        </w:rPr>
      </w:pPr>
    </w:p>
    <w:p w14:paraId="1FFAC9B7">
      <w:pPr>
        <w:autoSpaceDE w:val="0"/>
        <w:autoSpaceDN w:val="0"/>
        <w:jc w:val="center"/>
        <w:rPr>
          <w:rFonts w:ascii="宋体" w:hAnsi="宋体" w:cs="宋体"/>
          <w:b/>
          <w:color w:val="auto"/>
          <w:spacing w:val="6"/>
          <w:sz w:val="32"/>
          <w:szCs w:val="32"/>
          <w:highlight w:val="none"/>
        </w:rPr>
      </w:pPr>
    </w:p>
    <w:p w14:paraId="0B289FFD">
      <w:pPr>
        <w:autoSpaceDE w:val="0"/>
        <w:autoSpaceDN w:val="0"/>
        <w:jc w:val="center"/>
        <w:rPr>
          <w:rFonts w:ascii="宋体" w:hAnsi="宋体" w:cs="宋体"/>
          <w:b/>
          <w:color w:val="auto"/>
          <w:spacing w:val="6"/>
          <w:sz w:val="32"/>
          <w:szCs w:val="32"/>
          <w:highlight w:val="none"/>
        </w:rPr>
      </w:pPr>
    </w:p>
    <w:p w14:paraId="1773D25B">
      <w:pPr>
        <w:autoSpaceDE w:val="0"/>
        <w:autoSpaceDN w:val="0"/>
        <w:jc w:val="center"/>
        <w:rPr>
          <w:rFonts w:ascii="宋体" w:hAnsi="宋体" w:cs="宋体"/>
          <w:b/>
          <w:color w:val="auto"/>
          <w:spacing w:val="6"/>
          <w:sz w:val="32"/>
          <w:szCs w:val="32"/>
          <w:highlight w:val="none"/>
        </w:rPr>
      </w:pPr>
    </w:p>
    <w:p w14:paraId="18B3AE37">
      <w:pPr>
        <w:autoSpaceDE w:val="0"/>
        <w:autoSpaceDN w:val="0"/>
        <w:jc w:val="center"/>
        <w:rPr>
          <w:rFonts w:ascii="宋体" w:hAnsi="宋体" w:cs="宋体"/>
          <w:b/>
          <w:color w:val="auto"/>
          <w:spacing w:val="6"/>
          <w:sz w:val="32"/>
          <w:szCs w:val="32"/>
          <w:highlight w:val="none"/>
        </w:rPr>
      </w:pPr>
    </w:p>
    <w:p w14:paraId="60751184">
      <w:pPr>
        <w:autoSpaceDE w:val="0"/>
        <w:autoSpaceDN w:val="0"/>
        <w:jc w:val="center"/>
        <w:rPr>
          <w:rFonts w:ascii="宋体" w:hAnsi="宋体" w:cs="宋体"/>
          <w:b/>
          <w:color w:val="auto"/>
          <w:spacing w:val="6"/>
          <w:sz w:val="32"/>
          <w:szCs w:val="32"/>
          <w:highlight w:val="none"/>
        </w:rPr>
      </w:pPr>
    </w:p>
    <w:p w14:paraId="4704757E">
      <w:pPr>
        <w:autoSpaceDE w:val="0"/>
        <w:autoSpaceDN w:val="0"/>
        <w:jc w:val="center"/>
        <w:rPr>
          <w:rFonts w:ascii="宋体" w:hAnsi="宋体" w:cs="宋体"/>
          <w:b/>
          <w:color w:val="auto"/>
          <w:spacing w:val="6"/>
          <w:sz w:val="32"/>
          <w:szCs w:val="32"/>
          <w:highlight w:val="none"/>
        </w:rPr>
      </w:pPr>
    </w:p>
    <w:p w14:paraId="17859026">
      <w:pPr>
        <w:autoSpaceDE w:val="0"/>
        <w:autoSpaceDN w:val="0"/>
        <w:jc w:val="center"/>
        <w:rPr>
          <w:rFonts w:ascii="宋体" w:hAnsi="宋体" w:cs="宋体"/>
          <w:b/>
          <w:color w:val="auto"/>
          <w:spacing w:val="6"/>
          <w:sz w:val="32"/>
          <w:szCs w:val="32"/>
          <w:highlight w:val="none"/>
        </w:rPr>
      </w:pPr>
    </w:p>
    <w:p w14:paraId="00499368">
      <w:pPr>
        <w:autoSpaceDE w:val="0"/>
        <w:autoSpaceDN w:val="0"/>
        <w:jc w:val="center"/>
        <w:rPr>
          <w:rFonts w:ascii="宋体" w:hAnsi="宋体" w:cs="宋体"/>
          <w:b/>
          <w:color w:val="auto"/>
          <w:spacing w:val="6"/>
          <w:sz w:val="32"/>
          <w:szCs w:val="32"/>
          <w:highlight w:val="none"/>
        </w:rPr>
      </w:pPr>
    </w:p>
    <w:p w14:paraId="6416841B">
      <w:pPr>
        <w:autoSpaceDE w:val="0"/>
        <w:autoSpaceDN w:val="0"/>
        <w:jc w:val="center"/>
        <w:rPr>
          <w:rFonts w:ascii="宋体" w:hAnsi="宋体" w:cs="宋体"/>
          <w:b/>
          <w:color w:val="auto"/>
          <w:spacing w:val="6"/>
          <w:sz w:val="32"/>
          <w:szCs w:val="32"/>
          <w:highlight w:val="none"/>
        </w:rPr>
      </w:pPr>
    </w:p>
    <w:p w14:paraId="02BA1D45">
      <w:pPr>
        <w:autoSpaceDE w:val="0"/>
        <w:autoSpaceDN w:val="0"/>
        <w:jc w:val="center"/>
        <w:rPr>
          <w:rFonts w:ascii="宋体" w:hAnsi="宋体" w:cs="宋体"/>
          <w:b/>
          <w:color w:val="auto"/>
          <w:spacing w:val="6"/>
          <w:sz w:val="32"/>
          <w:szCs w:val="32"/>
          <w:highlight w:val="none"/>
        </w:rPr>
      </w:pPr>
    </w:p>
    <w:p w14:paraId="7A072B6A">
      <w:pPr>
        <w:autoSpaceDE w:val="0"/>
        <w:autoSpaceDN w:val="0"/>
        <w:jc w:val="center"/>
        <w:rPr>
          <w:rFonts w:ascii="宋体" w:hAnsi="宋体" w:cs="宋体"/>
          <w:b/>
          <w:color w:val="auto"/>
          <w:spacing w:val="6"/>
          <w:sz w:val="32"/>
          <w:szCs w:val="32"/>
          <w:highlight w:val="none"/>
        </w:rPr>
      </w:pPr>
    </w:p>
    <w:p w14:paraId="06AB13D8">
      <w:pPr>
        <w:autoSpaceDE w:val="0"/>
        <w:autoSpaceDN w:val="0"/>
        <w:jc w:val="center"/>
        <w:rPr>
          <w:rFonts w:ascii="宋体" w:hAnsi="宋体" w:cs="宋体"/>
          <w:b/>
          <w:color w:val="auto"/>
          <w:spacing w:val="6"/>
          <w:sz w:val="32"/>
          <w:szCs w:val="32"/>
          <w:highlight w:val="none"/>
        </w:rPr>
      </w:pPr>
    </w:p>
    <w:p w14:paraId="0D3D9E12">
      <w:pPr>
        <w:autoSpaceDE w:val="0"/>
        <w:autoSpaceDN w:val="0"/>
        <w:jc w:val="center"/>
        <w:rPr>
          <w:rFonts w:ascii="宋体" w:hAnsi="宋体" w:cs="宋体"/>
          <w:b/>
          <w:color w:val="auto"/>
          <w:spacing w:val="6"/>
          <w:sz w:val="32"/>
          <w:szCs w:val="32"/>
          <w:highlight w:val="none"/>
        </w:rPr>
      </w:pPr>
    </w:p>
    <w:p w14:paraId="76D3ECE1">
      <w:pPr>
        <w:autoSpaceDE w:val="0"/>
        <w:autoSpaceDN w:val="0"/>
        <w:jc w:val="center"/>
        <w:rPr>
          <w:rFonts w:ascii="宋体" w:hAnsi="宋体" w:cs="宋体"/>
          <w:b/>
          <w:color w:val="auto"/>
          <w:spacing w:val="6"/>
          <w:sz w:val="32"/>
          <w:szCs w:val="32"/>
          <w:highlight w:val="none"/>
        </w:rPr>
      </w:pPr>
    </w:p>
    <w:p w14:paraId="1CD7F288">
      <w:pPr>
        <w:autoSpaceDE w:val="0"/>
        <w:autoSpaceDN w:val="0"/>
        <w:jc w:val="center"/>
        <w:rPr>
          <w:rFonts w:ascii="宋体" w:hAnsi="宋体" w:cs="宋体"/>
          <w:b/>
          <w:color w:val="auto"/>
          <w:spacing w:val="6"/>
          <w:sz w:val="32"/>
          <w:szCs w:val="32"/>
          <w:highlight w:val="none"/>
        </w:rPr>
      </w:pPr>
    </w:p>
    <w:p w14:paraId="7047983D">
      <w:pPr>
        <w:autoSpaceDE w:val="0"/>
        <w:autoSpaceDN w:val="0"/>
        <w:jc w:val="center"/>
        <w:rPr>
          <w:rFonts w:ascii="宋体" w:hAnsi="宋体" w:cs="宋体"/>
          <w:b/>
          <w:color w:val="auto"/>
          <w:spacing w:val="6"/>
          <w:sz w:val="32"/>
          <w:szCs w:val="32"/>
          <w:highlight w:val="none"/>
        </w:rPr>
      </w:pPr>
    </w:p>
    <w:p w14:paraId="434F65C9">
      <w:pPr>
        <w:autoSpaceDE w:val="0"/>
        <w:autoSpaceDN w:val="0"/>
        <w:jc w:val="center"/>
        <w:rPr>
          <w:rFonts w:ascii="宋体" w:hAnsi="宋体" w:cs="宋体"/>
          <w:b/>
          <w:color w:val="auto"/>
          <w:spacing w:val="6"/>
          <w:sz w:val="32"/>
          <w:szCs w:val="32"/>
          <w:highlight w:val="none"/>
        </w:rPr>
      </w:pPr>
    </w:p>
    <w:p w14:paraId="2F74CF93">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6F33115">
      <w:pPr>
        <w:bidi w:val="0"/>
        <w:jc w:val="center"/>
        <w:rPr>
          <w:rFonts w:hint="eastAsia" w:eastAsia="宋体"/>
          <w:b/>
          <w:bCs/>
          <w:color w:val="auto"/>
          <w:sz w:val="32"/>
          <w:szCs w:val="32"/>
          <w:highlight w:val="none"/>
          <w:lang w:eastAsia="zh-CN"/>
        </w:rPr>
      </w:pPr>
      <w:bookmarkStart w:id="438" w:name="_Toc22286"/>
      <w:r>
        <w:rPr>
          <w:rFonts w:hint="eastAsia"/>
          <w:b/>
          <w:bCs/>
          <w:color w:val="auto"/>
          <w:sz w:val="32"/>
          <w:szCs w:val="32"/>
          <w:highlight w:val="none"/>
        </w:rPr>
        <w:t>附件</w:t>
      </w:r>
      <w:r>
        <w:rPr>
          <w:rFonts w:hint="eastAsia"/>
          <w:b/>
          <w:bCs/>
          <w:color w:val="auto"/>
          <w:sz w:val="32"/>
          <w:szCs w:val="32"/>
          <w:highlight w:val="none"/>
          <w:lang w:val="en-US" w:eastAsia="zh-CN"/>
        </w:rPr>
        <w:t>4</w:t>
      </w:r>
      <w:r>
        <w:rPr>
          <w:rFonts w:hint="eastAsia"/>
          <w:b/>
          <w:bCs/>
          <w:color w:val="auto"/>
          <w:sz w:val="32"/>
          <w:szCs w:val="32"/>
          <w:highlight w:val="none"/>
        </w:rPr>
        <w:t>：分包意向协议</w:t>
      </w:r>
      <w:bookmarkEnd w:id="438"/>
      <w:r>
        <w:rPr>
          <w:rFonts w:hint="eastAsia"/>
          <w:b/>
          <w:bCs/>
          <w:color w:val="auto"/>
          <w:sz w:val="32"/>
          <w:szCs w:val="32"/>
          <w:highlight w:val="none"/>
          <w:lang w:eastAsia="zh-CN"/>
        </w:rPr>
        <w:t>（</w:t>
      </w:r>
      <w:r>
        <w:rPr>
          <w:rFonts w:hint="eastAsia"/>
          <w:b/>
          <w:bCs/>
          <w:color w:val="auto"/>
          <w:sz w:val="32"/>
          <w:szCs w:val="32"/>
          <w:highlight w:val="none"/>
          <w:lang w:val="en-US" w:eastAsia="zh-CN"/>
        </w:rPr>
        <w:t>不适用</w:t>
      </w:r>
      <w:r>
        <w:rPr>
          <w:rFonts w:hint="eastAsia"/>
          <w:b/>
          <w:bCs/>
          <w:color w:val="auto"/>
          <w:sz w:val="32"/>
          <w:szCs w:val="32"/>
          <w:highlight w:val="none"/>
          <w:lang w:eastAsia="zh-CN"/>
        </w:rPr>
        <w:t>）</w:t>
      </w:r>
    </w:p>
    <w:p w14:paraId="329F5E8F">
      <w:pPr>
        <w:pStyle w:val="64"/>
        <w:rPr>
          <w:color w:val="auto"/>
          <w:highlight w:val="none"/>
        </w:rPr>
      </w:pPr>
    </w:p>
    <w:p w14:paraId="66E8944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8D799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10880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2772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654B23E">
      <w:pPr>
        <w:pStyle w:val="4"/>
        <w:ind w:left="664" w:leftChars="316" w:firstLine="229" w:firstLineChars="95"/>
        <w:rPr>
          <w:rFonts w:ascii="宋体" w:hAnsi="宋体" w:eastAsia="宋体" w:cs="宋体"/>
          <w:color w:val="auto"/>
          <w:kern w:val="0"/>
          <w:sz w:val="24"/>
          <w:szCs w:val="24"/>
          <w:highlight w:val="none"/>
        </w:rPr>
      </w:pPr>
      <w:bookmarkStart w:id="439" w:name="_Toc17735"/>
      <w:r>
        <w:rPr>
          <w:rFonts w:hint="eastAsia" w:ascii="宋体" w:hAnsi="宋体" w:eastAsia="宋体" w:cs="宋体"/>
          <w:color w:val="auto"/>
          <w:kern w:val="0"/>
          <w:sz w:val="24"/>
          <w:szCs w:val="24"/>
          <w:highlight w:val="none"/>
        </w:rPr>
        <w:t>……</w:t>
      </w:r>
      <w:bookmarkEnd w:id="439"/>
    </w:p>
    <w:p w14:paraId="456F2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3C42A6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512EF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0"/>
    </w:p>
    <w:p w14:paraId="2AA9FF8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B4B8BB">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B54F3E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DBF7F93">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31BE1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12CED3">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406BCA">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13AFD8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885D7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274B67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6FAA3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078F7BC9">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66F76B9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683C9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D3EC0E">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5E905A9E">
      <w:pPr>
        <w:bidi w:val="0"/>
        <w:jc w:val="center"/>
        <w:rPr>
          <w:rFonts w:hint="eastAsia" w:ascii="Times New Roman" w:hAnsi="Times New Roman" w:eastAsia="宋体" w:cs="Times New Roman"/>
          <w:b/>
          <w:bCs/>
          <w:color w:val="auto"/>
          <w:sz w:val="32"/>
          <w:szCs w:val="32"/>
          <w:highlight w:val="none"/>
        </w:rPr>
      </w:pPr>
      <w:bookmarkStart w:id="441" w:name="_Toc3460"/>
      <w:r>
        <w:rPr>
          <w:rFonts w:hint="eastAsia" w:ascii="Times New Roman" w:hAnsi="Times New Roman" w:eastAsia="宋体" w:cs="Times New Roman"/>
          <w:b/>
          <w:bCs/>
          <w:color w:val="auto"/>
          <w:sz w:val="32"/>
          <w:szCs w:val="32"/>
          <w:highlight w:val="none"/>
        </w:rPr>
        <w:t>附件</w:t>
      </w:r>
      <w:r>
        <w:rPr>
          <w:rFonts w:hint="eastAsia" w:ascii="Times New Roman" w:hAnsi="Times New Roman" w:eastAsia="宋体" w:cs="Times New Roman"/>
          <w:b/>
          <w:bCs/>
          <w:color w:val="auto"/>
          <w:sz w:val="32"/>
          <w:szCs w:val="32"/>
          <w:highlight w:val="none"/>
          <w:lang w:val="en-US" w:eastAsia="zh-CN"/>
        </w:rPr>
        <w:t>5</w:t>
      </w:r>
      <w:r>
        <w:rPr>
          <w:rFonts w:hint="eastAsia" w:ascii="Times New Roman" w:hAnsi="Times New Roman" w:eastAsia="宋体" w:cs="Times New Roman"/>
          <w:b/>
          <w:bCs/>
          <w:color w:val="auto"/>
          <w:sz w:val="32"/>
          <w:szCs w:val="32"/>
          <w:highlight w:val="none"/>
        </w:rPr>
        <w:t>：中小企业声明函</w:t>
      </w:r>
      <w:bookmarkEnd w:id="441"/>
    </w:p>
    <w:p w14:paraId="0FACD265">
      <w:pPr>
        <w:spacing w:line="360" w:lineRule="auto"/>
        <w:jc w:val="center"/>
        <w:rPr>
          <w:rFonts w:ascii="宋体" w:hAnsi="宋体" w:cs="宋体"/>
          <w:color w:val="auto"/>
          <w:sz w:val="24"/>
          <w:highlight w:val="none"/>
          <w:u w:val="single"/>
        </w:rPr>
      </w:pPr>
    </w:p>
    <w:p w14:paraId="45ECC9CF">
      <w:pPr>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rPr>
        <w:t>中小企业声明函（服务）</w:t>
      </w:r>
    </w:p>
    <w:p w14:paraId="350D5E6D">
      <w:pPr>
        <w:jc w:val="center"/>
        <w:rPr>
          <w:rFonts w:hint="eastAsia" w:ascii="宋体" w:cs="宋体"/>
          <w:b/>
          <w:color w:val="auto"/>
          <w:kern w:val="0"/>
          <w:sz w:val="28"/>
          <w:szCs w:val="28"/>
          <w:highlight w:val="none"/>
        </w:rPr>
      </w:pPr>
    </w:p>
    <w:p w14:paraId="0AF49339">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2EE83AB7">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
          <w:bCs w:val="0"/>
          <w:color w:val="auto"/>
          <w:szCs w:val="21"/>
          <w:highlight w:val="none"/>
          <w:u w:val="single"/>
        </w:rPr>
        <w:t xml:space="preserve"> </w:t>
      </w:r>
      <w:r>
        <w:rPr>
          <w:rFonts w:hint="eastAsia" w:ascii="宋体" w:hAnsi="宋体" w:cs="宋体"/>
          <w:b/>
          <w:bCs w:val="0"/>
          <w:color w:val="auto"/>
          <w:szCs w:val="21"/>
          <w:highlight w:val="none"/>
          <w:u w:val="single"/>
          <w:lang w:val="en-US" w:eastAsia="zh-CN"/>
        </w:rPr>
        <w:t>北仑公安分局通信运维服务</w:t>
      </w:r>
      <w:r>
        <w:rPr>
          <w:rFonts w:hint="eastAsia" w:ascii="宋体" w:hAnsi="宋体" w:cs="宋体"/>
          <w:b/>
          <w:bCs w:val="0"/>
          <w:color w:val="auto"/>
          <w:sz w:val="21"/>
          <w:szCs w:val="21"/>
          <w:highlight w:val="none"/>
          <w:u w:val="single"/>
        </w:rPr>
        <w:t xml:space="preserve"> </w:t>
      </w:r>
      <w:r>
        <w:rPr>
          <w:rFonts w:hint="eastAsia" w:ascii="宋体" w:hAnsi="宋体" w:cs="宋体"/>
          <w:b/>
          <w:bCs w:val="0"/>
          <w:color w:val="auto"/>
          <w:sz w:val="21"/>
          <w:szCs w:val="21"/>
          <w:highlight w:val="none"/>
        </w:rPr>
        <w:t>，</w:t>
      </w:r>
      <w:r>
        <w:rPr>
          <w:rFonts w:hint="eastAsia" w:ascii="宋体" w:hAnsi="宋体" w:cs="宋体"/>
          <w:b/>
          <w:bCs w:val="0"/>
          <w:color w:val="auto"/>
          <w:sz w:val="21"/>
          <w:szCs w:val="21"/>
          <w:highlight w:val="none"/>
          <w:u w:val="single"/>
        </w:rPr>
        <w:t>属</w:t>
      </w:r>
      <w:r>
        <w:rPr>
          <w:rFonts w:hint="eastAsia" w:ascii="宋体" w:hAnsi="宋体" w:eastAsia="宋体" w:cs="宋体"/>
          <w:b/>
          <w:bCs w:val="0"/>
          <w:color w:val="auto"/>
          <w:sz w:val="21"/>
          <w:szCs w:val="21"/>
          <w:highlight w:val="none"/>
          <w:u w:val="single"/>
        </w:rPr>
        <w:t>于</w:t>
      </w:r>
      <w:r>
        <w:rPr>
          <w:rFonts w:hint="eastAsia" w:ascii="宋体" w:hAnsi="宋体" w:cs="宋体"/>
          <w:b/>
          <w:bCs w:val="0"/>
          <w:color w:val="auto"/>
          <w:sz w:val="21"/>
          <w:szCs w:val="21"/>
          <w:highlight w:val="none"/>
          <w:u w:val="single"/>
          <w:lang w:val="en-US" w:eastAsia="zh-CN"/>
        </w:rPr>
        <w:t>软件和信息技术服务业</w:t>
      </w:r>
      <w:r>
        <w:rPr>
          <w:rFonts w:hint="eastAsia" w:ascii="宋体" w:hAnsi="宋体" w:cs="宋体"/>
          <w:b/>
          <w:bCs w:val="0"/>
          <w:color w:val="auto"/>
          <w:sz w:val="21"/>
          <w:szCs w:val="21"/>
          <w:highlight w:val="none"/>
        </w:rPr>
        <w:t>；</w:t>
      </w:r>
      <w:r>
        <w:rPr>
          <w:rFonts w:hint="eastAsia" w:ascii="宋体" w:hAnsi="宋体" w:cs="宋体"/>
          <w:bCs/>
          <w:color w:val="auto"/>
          <w:szCs w:val="21"/>
          <w:highlight w:val="none"/>
        </w:rPr>
        <w:t>承接企业为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（中型企业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小型企业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微型企业</w:t>
      </w:r>
      <w:r>
        <w:rPr>
          <w:rFonts w:hint="eastAsia" w:ascii="宋体" w:hAnsi="宋体" w:cs="宋体"/>
          <w:bCs/>
          <w:color w:val="auto"/>
          <w:szCs w:val="21"/>
          <w:highlight w:val="none"/>
        </w:rPr>
        <w:t>）；</w:t>
      </w:r>
    </w:p>
    <w:p w14:paraId="052B4CCB">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u w:val="single"/>
        </w:rPr>
        <w:t xml:space="preserve"> （标的名称）</w:t>
      </w: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rPr>
        <w:t>属于</w:t>
      </w:r>
      <w:r>
        <w:rPr>
          <w:rFonts w:hint="eastAsia" w:ascii="宋体" w:hAnsi="宋体" w:cs="宋体"/>
          <w:bCs/>
          <w:color w:val="auto"/>
          <w:szCs w:val="21"/>
          <w:highlight w:val="none"/>
          <w:u w:val="single"/>
          <w:lang w:val="en-US" w:eastAsia="zh-CN"/>
        </w:rPr>
        <w:t>（采购文件中明确的所属行业）</w:t>
      </w:r>
      <w:r>
        <w:rPr>
          <w:rFonts w:hint="eastAsia" w:ascii="宋体" w:hAnsi="宋体" w:cs="宋体"/>
          <w:bCs/>
          <w:color w:val="auto"/>
          <w:szCs w:val="21"/>
          <w:highlight w:val="none"/>
          <w:u w:val="single"/>
        </w:rPr>
        <w:t>行业</w:t>
      </w:r>
      <w:r>
        <w:rPr>
          <w:rFonts w:hint="eastAsia" w:ascii="宋体" w:hAnsi="宋体" w:cs="宋体"/>
          <w:bCs/>
          <w:color w:val="auto"/>
          <w:szCs w:val="21"/>
          <w:highlight w:val="none"/>
        </w:rPr>
        <w:t>；承接企业为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中型企业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小型企业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微型企业</w:t>
      </w:r>
      <w:r>
        <w:rPr>
          <w:rFonts w:hint="eastAsia" w:ascii="宋体" w:hAnsi="宋体" w:cs="宋体"/>
          <w:bCs/>
          <w:color w:val="auto"/>
          <w:szCs w:val="21"/>
          <w:highlight w:val="none"/>
        </w:rPr>
        <w:t>）；</w:t>
      </w:r>
    </w:p>
    <w:p w14:paraId="15CB8797">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rPr>
        <w:tab/>
      </w:r>
    </w:p>
    <w:p w14:paraId="730FC1D9">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以上企业，不属于大企业的分支机构，不存在控股股东为大企业的情形，也不存在与大企业的负责人为同一人的情形。</w:t>
      </w:r>
    </w:p>
    <w:p w14:paraId="012AADCE">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本企业对上述声明内容的真实性负责。如有虚假，将依法承担相应责任。</w:t>
      </w:r>
    </w:p>
    <w:p w14:paraId="45702D00">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 xml:space="preserve">                        企业名称（盖章）：</w:t>
      </w:r>
    </w:p>
    <w:p w14:paraId="3A5BD18F">
      <w:pPr>
        <w:snapToGrid w:val="0"/>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 xml:space="preserve">                        日期：</w:t>
      </w:r>
    </w:p>
    <w:p w14:paraId="6CFDA2B2">
      <w:pPr>
        <w:spacing w:line="500" w:lineRule="exact"/>
        <w:rPr>
          <w:rFonts w:hint="eastAsia" w:ascii="仿宋" w:hAnsi="仿宋" w:eastAsia="仿宋"/>
          <w:color w:val="auto"/>
          <w:sz w:val="32"/>
          <w:szCs w:val="32"/>
          <w:highlight w:val="none"/>
          <w:u w:val="single"/>
        </w:rPr>
      </w:pPr>
    </w:p>
    <w:p w14:paraId="0D39DC1D">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 xml:space="preserve">                                                 </w:t>
      </w:r>
    </w:p>
    <w:p w14:paraId="7ADEA66B">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1.从业人员、营业收入、资产总额填报上一年度数据，无上一年度数据的新成立企业可不填报。</w:t>
      </w:r>
    </w:p>
    <w:p w14:paraId="36A3222B">
      <w:pPr>
        <w:snapToGrid w:val="0"/>
        <w:spacing w:line="360" w:lineRule="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val="en-US"/>
        </w:rPr>
        <w:t>软件和信息技术服务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D4D1FF">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风险提示：</w:t>
      </w:r>
    </w:p>
    <w:p w14:paraId="016F4D3B">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1.对于非面向联合体的项目，在货物采购项目中，供应商提供的货物既有中型企业制造，也有小微企业制造的，不享受办法规定的小微企业扶持政策。</w:t>
      </w:r>
    </w:p>
    <w:p w14:paraId="60DD6BBB">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4F898F5F">
      <w:pPr>
        <w:snapToGrid w:val="0"/>
        <w:spacing w:line="360" w:lineRule="auto"/>
        <w:ind w:firstLine="630" w:firstLineChars="300"/>
        <w:rPr>
          <w:rFonts w:hint="eastAsia" w:ascii="宋体" w:hAnsi="宋体" w:cs="宋体"/>
          <w:bCs/>
          <w:color w:val="auto"/>
          <w:szCs w:val="21"/>
          <w:highlight w:val="none"/>
        </w:rPr>
      </w:pPr>
    </w:p>
    <w:p w14:paraId="5087BBF5">
      <w:pPr>
        <w:spacing w:line="360" w:lineRule="auto"/>
        <w:jc w:val="center"/>
        <w:rPr>
          <w:rFonts w:ascii="宋体" w:hAnsi="宋体" w:cs="宋体"/>
          <w:b/>
          <w:color w:val="auto"/>
          <w:sz w:val="32"/>
          <w:szCs w:val="32"/>
          <w:highlight w:val="none"/>
        </w:rPr>
      </w:pPr>
    </w:p>
    <w:sectPr>
      <w:headerReference r:id="rId8" w:type="first"/>
      <w:footerReference r:id="rId11" w:type="first"/>
      <w:headerReference r:id="rId7" w:type="default"/>
      <w:footerReference r:id="rId9" w:type="default"/>
      <w:footerReference r:id="rId10" w:type="even"/>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AC81">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0FBB1">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30FBB1">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786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EBBE8">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4EBBE8">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D1D9">
    <w:pPr>
      <w:pStyle w:val="41"/>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29D20">
                          <w:pPr>
                            <w:pStyle w:val="4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729D20">
                    <w:pPr>
                      <w:pStyle w:val="4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020">
    <w:pPr>
      <w:pStyle w:val="41"/>
      <w:framePr w:wrap="around" w:vAnchor="text" w:hAnchor="margin" w:xAlign="right" w:y="1"/>
      <w:rPr>
        <w:rStyle w:val="75"/>
      </w:rPr>
    </w:pPr>
    <w:r>
      <w:fldChar w:fldCharType="begin"/>
    </w:r>
    <w:r>
      <w:rPr>
        <w:rStyle w:val="75"/>
      </w:rPr>
      <w:instrText xml:space="preserve">PAGE  </w:instrText>
    </w:r>
    <w:r>
      <w:fldChar w:fldCharType="end"/>
    </w:r>
  </w:p>
  <w:p w14:paraId="123DA76F">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1F6E">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0028B">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80028B">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22A9">
    <w:pPr>
      <w:pStyle w:val="43"/>
      <w:pBdr>
        <w:bottom w:val="none" w:color="auto" w:sz="0" w:space="1"/>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E8FC">
    <w:pPr>
      <w:pStyle w:val="43"/>
      <w:pBdr>
        <w:bottom w:val="none" w:color="auto" w:sz="0" w:space="1"/>
      </w:pBdr>
    </w:pPr>
    <w:r>
      <w:t></w:t>
    </w:r>
    <w:r>
      <w:rPr>
        <w:rFonts w:hint="eastAsia"/>
      </w:rPr>
      <w:t xml:space="preserve">         </w:t>
    </w:r>
  </w:p>
  <w:p w14:paraId="06EABBD4">
    <w:pPr>
      <w:pStyle w:val="43"/>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2B20">
    <w:pPr>
      <w:pStyle w:val="43"/>
      <w:pBdr>
        <w:bottom w:val="none" w:color="auto" w:sz="0" w:space="1"/>
      </w:pBdr>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1EF9">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C0FAEEEF"/>
    <w:multiLevelType w:val="singleLevel"/>
    <w:tmpl w:val="C0FAEEEF"/>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0000003"/>
    <w:multiLevelType w:val="singleLevel"/>
    <w:tmpl w:val="00000003"/>
    <w:lvl w:ilvl="0" w:tentative="0">
      <w:start w:val="2"/>
      <w:numFmt w:val="decimal"/>
      <w:suff w:val="nothing"/>
      <w:lvlText w:val="（%1）"/>
      <w:lvlJc w:val="left"/>
    </w:lvl>
  </w:abstractNum>
  <w:abstractNum w:abstractNumId="5">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6">
    <w:nsid w:val="174E446C"/>
    <w:multiLevelType w:val="multilevel"/>
    <w:tmpl w:val="174E446C"/>
    <w:lvl w:ilvl="0" w:tentative="0">
      <w:start w:val="3"/>
      <w:numFmt w:val="japaneseCounting"/>
      <w:lvlText w:val="%1、"/>
      <w:lvlJc w:val="left"/>
      <w:pPr>
        <w:tabs>
          <w:tab w:val="left" w:pos="420"/>
        </w:tabs>
        <w:ind w:left="420" w:hanging="42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3E27B8"/>
    <w:multiLevelType w:val="multilevel"/>
    <w:tmpl w:val="363E27B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B500D3E"/>
    <w:multiLevelType w:val="singleLevel"/>
    <w:tmpl w:val="3B500D3E"/>
    <w:lvl w:ilvl="0" w:tentative="0">
      <w:start w:val="1"/>
      <w:numFmt w:val="decimal"/>
      <w:suff w:val="nothing"/>
      <w:lvlText w:val="%1、"/>
      <w:lvlJc w:val="left"/>
    </w:lvl>
  </w:abstractNum>
  <w:abstractNum w:abstractNumId="9">
    <w:nsid w:val="4729030F"/>
    <w:multiLevelType w:val="singleLevel"/>
    <w:tmpl w:val="4729030F"/>
    <w:lvl w:ilvl="0" w:tentative="0">
      <w:start w:val="1"/>
      <w:numFmt w:val="decimal"/>
      <w:suff w:val="nothing"/>
      <w:lvlText w:val="%1、"/>
      <w:lvlJc w:val="left"/>
    </w:lvl>
  </w:abstractNum>
  <w:num w:numId="1">
    <w:abstractNumId w:val="3"/>
  </w:num>
  <w:num w:numId="2">
    <w:abstractNumId w:val="9"/>
  </w:num>
  <w:num w:numId="3">
    <w:abstractNumId w:val="6"/>
  </w:num>
  <w:num w:numId="4">
    <w:abstractNumId w:val="7"/>
  </w:num>
  <w:num w:numId="5">
    <w:abstractNumId w:val="0"/>
  </w:num>
  <w:num w:numId="6">
    <w:abstractNumId w:val="2"/>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C26CF"/>
    <w:rsid w:val="019F7441"/>
    <w:rsid w:val="01B37585"/>
    <w:rsid w:val="01D55165"/>
    <w:rsid w:val="01DF6BF8"/>
    <w:rsid w:val="01EC2C57"/>
    <w:rsid w:val="02086D91"/>
    <w:rsid w:val="021C53FE"/>
    <w:rsid w:val="023266FE"/>
    <w:rsid w:val="025F0711"/>
    <w:rsid w:val="026B2E25"/>
    <w:rsid w:val="02824D4D"/>
    <w:rsid w:val="02B17AA1"/>
    <w:rsid w:val="02DC4B10"/>
    <w:rsid w:val="02DD76CE"/>
    <w:rsid w:val="02F36323"/>
    <w:rsid w:val="02F5619C"/>
    <w:rsid w:val="02FE29D1"/>
    <w:rsid w:val="0326446A"/>
    <w:rsid w:val="032D5555"/>
    <w:rsid w:val="036634D2"/>
    <w:rsid w:val="03772E0C"/>
    <w:rsid w:val="039838E8"/>
    <w:rsid w:val="03DD35E4"/>
    <w:rsid w:val="04076900"/>
    <w:rsid w:val="041A5A3B"/>
    <w:rsid w:val="042311BA"/>
    <w:rsid w:val="042B157A"/>
    <w:rsid w:val="045E39DC"/>
    <w:rsid w:val="048F763B"/>
    <w:rsid w:val="049F330E"/>
    <w:rsid w:val="04AA775C"/>
    <w:rsid w:val="04AF1889"/>
    <w:rsid w:val="04D357BF"/>
    <w:rsid w:val="04F66F48"/>
    <w:rsid w:val="05251E14"/>
    <w:rsid w:val="055076FC"/>
    <w:rsid w:val="05684DD5"/>
    <w:rsid w:val="05842FE2"/>
    <w:rsid w:val="05A16594"/>
    <w:rsid w:val="05A66D95"/>
    <w:rsid w:val="05A7762D"/>
    <w:rsid w:val="060E2E9D"/>
    <w:rsid w:val="060E5941"/>
    <w:rsid w:val="06110FAF"/>
    <w:rsid w:val="061D17DF"/>
    <w:rsid w:val="06493CA7"/>
    <w:rsid w:val="065A6178"/>
    <w:rsid w:val="066F1CF3"/>
    <w:rsid w:val="06930BB8"/>
    <w:rsid w:val="06BD60A6"/>
    <w:rsid w:val="06C831BB"/>
    <w:rsid w:val="06E01764"/>
    <w:rsid w:val="07074EC8"/>
    <w:rsid w:val="07245D42"/>
    <w:rsid w:val="07264C62"/>
    <w:rsid w:val="0779354C"/>
    <w:rsid w:val="07E37F3A"/>
    <w:rsid w:val="07FF47F4"/>
    <w:rsid w:val="08061376"/>
    <w:rsid w:val="08452D77"/>
    <w:rsid w:val="08465B2D"/>
    <w:rsid w:val="086401F8"/>
    <w:rsid w:val="08751CAA"/>
    <w:rsid w:val="087E4C40"/>
    <w:rsid w:val="08830C2D"/>
    <w:rsid w:val="08A871D0"/>
    <w:rsid w:val="08C77EDE"/>
    <w:rsid w:val="08D66AD6"/>
    <w:rsid w:val="08DA33A3"/>
    <w:rsid w:val="08E80F13"/>
    <w:rsid w:val="09107EDE"/>
    <w:rsid w:val="09335624"/>
    <w:rsid w:val="093F4F09"/>
    <w:rsid w:val="0944690F"/>
    <w:rsid w:val="09535675"/>
    <w:rsid w:val="095F057D"/>
    <w:rsid w:val="09642282"/>
    <w:rsid w:val="09733572"/>
    <w:rsid w:val="09772C16"/>
    <w:rsid w:val="098353B5"/>
    <w:rsid w:val="09A92330"/>
    <w:rsid w:val="09B06B87"/>
    <w:rsid w:val="09C13146"/>
    <w:rsid w:val="09E04166"/>
    <w:rsid w:val="09EE2692"/>
    <w:rsid w:val="0A1C0718"/>
    <w:rsid w:val="0A3E7710"/>
    <w:rsid w:val="0A5B7E63"/>
    <w:rsid w:val="0A631A57"/>
    <w:rsid w:val="0A9114B0"/>
    <w:rsid w:val="0AA374A5"/>
    <w:rsid w:val="0AAB7649"/>
    <w:rsid w:val="0ABC5606"/>
    <w:rsid w:val="0B1E1CDD"/>
    <w:rsid w:val="0B30404E"/>
    <w:rsid w:val="0B4C6C14"/>
    <w:rsid w:val="0B547599"/>
    <w:rsid w:val="0B631A88"/>
    <w:rsid w:val="0B683D45"/>
    <w:rsid w:val="0B7F3F11"/>
    <w:rsid w:val="0B884417"/>
    <w:rsid w:val="0BEE69CD"/>
    <w:rsid w:val="0BF6188C"/>
    <w:rsid w:val="0BF73C91"/>
    <w:rsid w:val="0C170175"/>
    <w:rsid w:val="0C1E1FC0"/>
    <w:rsid w:val="0C41398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355351"/>
    <w:rsid w:val="0D3C4B31"/>
    <w:rsid w:val="0D4A7419"/>
    <w:rsid w:val="0D50643D"/>
    <w:rsid w:val="0D827401"/>
    <w:rsid w:val="0D84094E"/>
    <w:rsid w:val="0D8A00E9"/>
    <w:rsid w:val="0D8D589E"/>
    <w:rsid w:val="0DA01C73"/>
    <w:rsid w:val="0DD63300"/>
    <w:rsid w:val="0DF50604"/>
    <w:rsid w:val="0DF702FE"/>
    <w:rsid w:val="0E060E51"/>
    <w:rsid w:val="0E4C16E7"/>
    <w:rsid w:val="0E5604B2"/>
    <w:rsid w:val="0E6D5D79"/>
    <w:rsid w:val="0E7A778A"/>
    <w:rsid w:val="0E9D0089"/>
    <w:rsid w:val="0EB803EE"/>
    <w:rsid w:val="0EF94D4B"/>
    <w:rsid w:val="0F4958DC"/>
    <w:rsid w:val="0F515DF7"/>
    <w:rsid w:val="0F541AE2"/>
    <w:rsid w:val="0F596BA8"/>
    <w:rsid w:val="0F6248D2"/>
    <w:rsid w:val="0F693536"/>
    <w:rsid w:val="0F7B0511"/>
    <w:rsid w:val="0F7B76D9"/>
    <w:rsid w:val="0F816ACD"/>
    <w:rsid w:val="0F9832DB"/>
    <w:rsid w:val="0FA163C2"/>
    <w:rsid w:val="0FBF3FD2"/>
    <w:rsid w:val="0FBF7FF3"/>
    <w:rsid w:val="0FCE5613"/>
    <w:rsid w:val="101E2C79"/>
    <w:rsid w:val="10333963"/>
    <w:rsid w:val="105F1059"/>
    <w:rsid w:val="10601B53"/>
    <w:rsid w:val="10646583"/>
    <w:rsid w:val="107D4B15"/>
    <w:rsid w:val="108A3C80"/>
    <w:rsid w:val="10C26171"/>
    <w:rsid w:val="10F33360"/>
    <w:rsid w:val="10FC16EA"/>
    <w:rsid w:val="110F1D40"/>
    <w:rsid w:val="11266F33"/>
    <w:rsid w:val="11507751"/>
    <w:rsid w:val="118963A1"/>
    <w:rsid w:val="11BC24C2"/>
    <w:rsid w:val="11C6522A"/>
    <w:rsid w:val="11D23CCC"/>
    <w:rsid w:val="11E104CC"/>
    <w:rsid w:val="11E20309"/>
    <w:rsid w:val="12255233"/>
    <w:rsid w:val="12530213"/>
    <w:rsid w:val="1265440D"/>
    <w:rsid w:val="127723A9"/>
    <w:rsid w:val="12862074"/>
    <w:rsid w:val="12883966"/>
    <w:rsid w:val="129E45B4"/>
    <w:rsid w:val="12D81596"/>
    <w:rsid w:val="13072A44"/>
    <w:rsid w:val="1332653D"/>
    <w:rsid w:val="133E70C5"/>
    <w:rsid w:val="135F4BE2"/>
    <w:rsid w:val="137B2A7B"/>
    <w:rsid w:val="139B1A0A"/>
    <w:rsid w:val="139D25C7"/>
    <w:rsid w:val="13BF3CE4"/>
    <w:rsid w:val="141008D8"/>
    <w:rsid w:val="14125FE6"/>
    <w:rsid w:val="142E6473"/>
    <w:rsid w:val="146D271E"/>
    <w:rsid w:val="14982588"/>
    <w:rsid w:val="149A5AD9"/>
    <w:rsid w:val="14A7619D"/>
    <w:rsid w:val="14E13025"/>
    <w:rsid w:val="150536C3"/>
    <w:rsid w:val="150C1963"/>
    <w:rsid w:val="151447A0"/>
    <w:rsid w:val="154A6454"/>
    <w:rsid w:val="15762120"/>
    <w:rsid w:val="15806971"/>
    <w:rsid w:val="16052C80"/>
    <w:rsid w:val="164B1446"/>
    <w:rsid w:val="16A8729C"/>
    <w:rsid w:val="16B05824"/>
    <w:rsid w:val="16B33777"/>
    <w:rsid w:val="16BC70A7"/>
    <w:rsid w:val="16C6339E"/>
    <w:rsid w:val="16EB09AA"/>
    <w:rsid w:val="172F2D79"/>
    <w:rsid w:val="17557BEF"/>
    <w:rsid w:val="17927E96"/>
    <w:rsid w:val="17D1049D"/>
    <w:rsid w:val="17D349C1"/>
    <w:rsid w:val="17D35ABA"/>
    <w:rsid w:val="17D44A24"/>
    <w:rsid w:val="17E55FB8"/>
    <w:rsid w:val="180A4B76"/>
    <w:rsid w:val="18244F26"/>
    <w:rsid w:val="1830729E"/>
    <w:rsid w:val="183D0DEE"/>
    <w:rsid w:val="18660689"/>
    <w:rsid w:val="1870062C"/>
    <w:rsid w:val="18817102"/>
    <w:rsid w:val="18830A15"/>
    <w:rsid w:val="18852B28"/>
    <w:rsid w:val="188B5321"/>
    <w:rsid w:val="18AE2F08"/>
    <w:rsid w:val="19932372"/>
    <w:rsid w:val="19A20DD5"/>
    <w:rsid w:val="19AE03F1"/>
    <w:rsid w:val="19C30FEE"/>
    <w:rsid w:val="1A071A03"/>
    <w:rsid w:val="1A1F16AE"/>
    <w:rsid w:val="1A3B5C77"/>
    <w:rsid w:val="1A8E4521"/>
    <w:rsid w:val="1A984BAD"/>
    <w:rsid w:val="1AA10CD0"/>
    <w:rsid w:val="1AB8220E"/>
    <w:rsid w:val="1AE4166C"/>
    <w:rsid w:val="1AF06CFB"/>
    <w:rsid w:val="1AF11B8D"/>
    <w:rsid w:val="1B11359C"/>
    <w:rsid w:val="1B2A271F"/>
    <w:rsid w:val="1B4B13D0"/>
    <w:rsid w:val="1B530544"/>
    <w:rsid w:val="1B6E1C73"/>
    <w:rsid w:val="1B713184"/>
    <w:rsid w:val="1B86304B"/>
    <w:rsid w:val="1B8A73D3"/>
    <w:rsid w:val="1BA209CF"/>
    <w:rsid w:val="1BB4777D"/>
    <w:rsid w:val="1BD75AB8"/>
    <w:rsid w:val="1C0459C2"/>
    <w:rsid w:val="1C1B3B4A"/>
    <w:rsid w:val="1C243679"/>
    <w:rsid w:val="1C88086E"/>
    <w:rsid w:val="1CCF3C0D"/>
    <w:rsid w:val="1CE7157E"/>
    <w:rsid w:val="1D266CE1"/>
    <w:rsid w:val="1D3872E5"/>
    <w:rsid w:val="1D3963AF"/>
    <w:rsid w:val="1D3D55C7"/>
    <w:rsid w:val="1D4A31E4"/>
    <w:rsid w:val="1D4A664D"/>
    <w:rsid w:val="1D6A673C"/>
    <w:rsid w:val="1D772CCF"/>
    <w:rsid w:val="1D807E56"/>
    <w:rsid w:val="1D856E81"/>
    <w:rsid w:val="1D9247AE"/>
    <w:rsid w:val="1DB567EC"/>
    <w:rsid w:val="1DF51A98"/>
    <w:rsid w:val="1E051CD9"/>
    <w:rsid w:val="1E3D060F"/>
    <w:rsid w:val="1E3F7D2E"/>
    <w:rsid w:val="1E4134E4"/>
    <w:rsid w:val="1E5062B3"/>
    <w:rsid w:val="1E523514"/>
    <w:rsid w:val="1E714A66"/>
    <w:rsid w:val="1E802593"/>
    <w:rsid w:val="1E8B6156"/>
    <w:rsid w:val="1EA703CC"/>
    <w:rsid w:val="1EAD11F7"/>
    <w:rsid w:val="1EB7330C"/>
    <w:rsid w:val="1F0A0FF3"/>
    <w:rsid w:val="1F112586"/>
    <w:rsid w:val="1F5771FF"/>
    <w:rsid w:val="1F744118"/>
    <w:rsid w:val="1FB87851"/>
    <w:rsid w:val="1FD52574"/>
    <w:rsid w:val="1FE868A9"/>
    <w:rsid w:val="20034907"/>
    <w:rsid w:val="20173E4B"/>
    <w:rsid w:val="204E48BC"/>
    <w:rsid w:val="206732C4"/>
    <w:rsid w:val="207422CE"/>
    <w:rsid w:val="208921B3"/>
    <w:rsid w:val="20936298"/>
    <w:rsid w:val="20973DEB"/>
    <w:rsid w:val="20B26522"/>
    <w:rsid w:val="20B44310"/>
    <w:rsid w:val="20D83414"/>
    <w:rsid w:val="211116EB"/>
    <w:rsid w:val="21316635"/>
    <w:rsid w:val="216133FC"/>
    <w:rsid w:val="21D56769"/>
    <w:rsid w:val="21E52EF3"/>
    <w:rsid w:val="21F247A1"/>
    <w:rsid w:val="21FB5D7B"/>
    <w:rsid w:val="22015E94"/>
    <w:rsid w:val="220B1C3D"/>
    <w:rsid w:val="221D1D20"/>
    <w:rsid w:val="22334A87"/>
    <w:rsid w:val="225B2CCF"/>
    <w:rsid w:val="22BE6801"/>
    <w:rsid w:val="233500BF"/>
    <w:rsid w:val="23377FF7"/>
    <w:rsid w:val="236B425F"/>
    <w:rsid w:val="23836192"/>
    <w:rsid w:val="23901F29"/>
    <w:rsid w:val="239C0061"/>
    <w:rsid w:val="23B908A4"/>
    <w:rsid w:val="23E95BEF"/>
    <w:rsid w:val="23E96F21"/>
    <w:rsid w:val="23FD0064"/>
    <w:rsid w:val="24157BAC"/>
    <w:rsid w:val="245375B0"/>
    <w:rsid w:val="24642C0A"/>
    <w:rsid w:val="24970DA1"/>
    <w:rsid w:val="24B22173"/>
    <w:rsid w:val="24B95AD9"/>
    <w:rsid w:val="24BE24DA"/>
    <w:rsid w:val="24CF5825"/>
    <w:rsid w:val="24D663E6"/>
    <w:rsid w:val="24D77F2B"/>
    <w:rsid w:val="24DD386E"/>
    <w:rsid w:val="2585779A"/>
    <w:rsid w:val="258B00E2"/>
    <w:rsid w:val="25A416A2"/>
    <w:rsid w:val="25A917A6"/>
    <w:rsid w:val="25BE27CC"/>
    <w:rsid w:val="25F74A5C"/>
    <w:rsid w:val="260A6C79"/>
    <w:rsid w:val="26133FCE"/>
    <w:rsid w:val="2628662C"/>
    <w:rsid w:val="262D45DE"/>
    <w:rsid w:val="26871DC8"/>
    <w:rsid w:val="26966E4D"/>
    <w:rsid w:val="26A53EF9"/>
    <w:rsid w:val="26A94201"/>
    <w:rsid w:val="26AC274F"/>
    <w:rsid w:val="26AE6CBB"/>
    <w:rsid w:val="26DB434F"/>
    <w:rsid w:val="26E7798A"/>
    <w:rsid w:val="27044A29"/>
    <w:rsid w:val="271C7216"/>
    <w:rsid w:val="271D34C8"/>
    <w:rsid w:val="273477E1"/>
    <w:rsid w:val="273F7692"/>
    <w:rsid w:val="276142BF"/>
    <w:rsid w:val="27783712"/>
    <w:rsid w:val="27907362"/>
    <w:rsid w:val="27C543F8"/>
    <w:rsid w:val="28333E1D"/>
    <w:rsid w:val="28454BD6"/>
    <w:rsid w:val="28455253"/>
    <w:rsid w:val="28551971"/>
    <w:rsid w:val="285B1C53"/>
    <w:rsid w:val="289F7086"/>
    <w:rsid w:val="28C32028"/>
    <w:rsid w:val="28CC490F"/>
    <w:rsid w:val="28DE40AA"/>
    <w:rsid w:val="292439B7"/>
    <w:rsid w:val="29345E77"/>
    <w:rsid w:val="29417383"/>
    <w:rsid w:val="294C65AD"/>
    <w:rsid w:val="29806583"/>
    <w:rsid w:val="298B3C4C"/>
    <w:rsid w:val="29F26D24"/>
    <w:rsid w:val="2A15033F"/>
    <w:rsid w:val="2A1662C1"/>
    <w:rsid w:val="2A1C7367"/>
    <w:rsid w:val="2A2815FA"/>
    <w:rsid w:val="2A6D6092"/>
    <w:rsid w:val="2A7D76B4"/>
    <w:rsid w:val="2A922793"/>
    <w:rsid w:val="2AF15261"/>
    <w:rsid w:val="2B09293F"/>
    <w:rsid w:val="2B437463"/>
    <w:rsid w:val="2B4465FE"/>
    <w:rsid w:val="2B7807EE"/>
    <w:rsid w:val="2B8C1342"/>
    <w:rsid w:val="2B9354B8"/>
    <w:rsid w:val="2BA50BF7"/>
    <w:rsid w:val="2BBF00EC"/>
    <w:rsid w:val="2BC37CFD"/>
    <w:rsid w:val="2BD5237F"/>
    <w:rsid w:val="2BE536CE"/>
    <w:rsid w:val="2BE758D9"/>
    <w:rsid w:val="2BEE7F83"/>
    <w:rsid w:val="2BF346BB"/>
    <w:rsid w:val="2C09049E"/>
    <w:rsid w:val="2C0A653C"/>
    <w:rsid w:val="2C191F85"/>
    <w:rsid w:val="2C1D1F59"/>
    <w:rsid w:val="2CD529D3"/>
    <w:rsid w:val="2CE82D6F"/>
    <w:rsid w:val="2D052664"/>
    <w:rsid w:val="2D343236"/>
    <w:rsid w:val="2D575011"/>
    <w:rsid w:val="2DBD4B32"/>
    <w:rsid w:val="2DD15014"/>
    <w:rsid w:val="2DDB2731"/>
    <w:rsid w:val="2DF72DE4"/>
    <w:rsid w:val="2E0220AF"/>
    <w:rsid w:val="2E3330F9"/>
    <w:rsid w:val="2E4B082A"/>
    <w:rsid w:val="2E5D4E86"/>
    <w:rsid w:val="2E5D790B"/>
    <w:rsid w:val="2E884A21"/>
    <w:rsid w:val="2E8E1144"/>
    <w:rsid w:val="2E9A3C18"/>
    <w:rsid w:val="2EBB0FEE"/>
    <w:rsid w:val="2EC63002"/>
    <w:rsid w:val="2F0A6B38"/>
    <w:rsid w:val="2F633E2C"/>
    <w:rsid w:val="2F946CCB"/>
    <w:rsid w:val="2F991602"/>
    <w:rsid w:val="2F9E23BE"/>
    <w:rsid w:val="2FD25781"/>
    <w:rsid w:val="2FDC745C"/>
    <w:rsid w:val="2FEA30C6"/>
    <w:rsid w:val="2FFD7934"/>
    <w:rsid w:val="305B3D8C"/>
    <w:rsid w:val="30733ACD"/>
    <w:rsid w:val="308C3862"/>
    <w:rsid w:val="309379D8"/>
    <w:rsid w:val="30953FEB"/>
    <w:rsid w:val="30A270F7"/>
    <w:rsid w:val="30DF1478"/>
    <w:rsid w:val="30EC586F"/>
    <w:rsid w:val="30FE30F1"/>
    <w:rsid w:val="319C6071"/>
    <w:rsid w:val="31A23945"/>
    <w:rsid w:val="31AC537E"/>
    <w:rsid w:val="31DF06E9"/>
    <w:rsid w:val="31E3679B"/>
    <w:rsid w:val="31E732FD"/>
    <w:rsid w:val="31E879A5"/>
    <w:rsid w:val="32517576"/>
    <w:rsid w:val="32793299"/>
    <w:rsid w:val="32B23C2D"/>
    <w:rsid w:val="32BE5C2C"/>
    <w:rsid w:val="32C9683C"/>
    <w:rsid w:val="32CD7542"/>
    <w:rsid w:val="32FB6478"/>
    <w:rsid w:val="33132C46"/>
    <w:rsid w:val="33263B3F"/>
    <w:rsid w:val="336963EB"/>
    <w:rsid w:val="337E29D9"/>
    <w:rsid w:val="33810A0F"/>
    <w:rsid w:val="33816EEB"/>
    <w:rsid w:val="33CC6306"/>
    <w:rsid w:val="33EB55CD"/>
    <w:rsid w:val="33EC4C02"/>
    <w:rsid w:val="340D2360"/>
    <w:rsid w:val="3410665D"/>
    <w:rsid w:val="34211214"/>
    <w:rsid w:val="342E63AB"/>
    <w:rsid w:val="34787EAB"/>
    <w:rsid w:val="347C28F2"/>
    <w:rsid w:val="34950E68"/>
    <w:rsid w:val="34986E94"/>
    <w:rsid w:val="34AF62C9"/>
    <w:rsid w:val="34CB4388"/>
    <w:rsid w:val="34D74719"/>
    <w:rsid w:val="34FA6E12"/>
    <w:rsid w:val="354D7158"/>
    <w:rsid w:val="358D5588"/>
    <w:rsid w:val="36085571"/>
    <w:rsid w:val="363A3B40"/>
    <w:rsid w:val="365302AE"/>
    <w:rsid w:val="3655745F"/>
    <w:rsid w:val="36607A0A"/>
    <w:rsid w:val="366E227C"/>
    <w:rsid w:val="366F2E0D"/>
    <w:rsid w:val="367B6A5C"/>
    <w:rsid w:val="36A74ADA"/>
    <w:rsid w:val="36AD60D5"/>
    <w:rsid w:val="36B224F9"/>
    <w:rsid w:val="36C11399"/>
    <w:rsid w:val="36EA608B"/>
    <w:rsid w:val="36EC0CC9"/>
    <w:rsid w:val="373F410B"/>
    <w:rsid w:val="37AF5C6D"/>
    <w:rsid w:val="37EE7094"/>
    <w:rsid w:val="37EF629C"/>
    <w:rsid w:val="37F10FFB"/>
    <w:rsid w:val="38296C89"/>
    <w:rsid w:val="383002EB"/>
    <w:rsid w:val="383E5ED5"/>
    <w:rsid w:val="38586797"/>
    <w:rsid w:val="385D15DF"/>
    <w:rsid w:val="38BC0149"/>
    <w:rsid w:val="38D87D1C"/>
    <w:rsid w:val="38E221FB"/>
    <w:rsid w:val="39636459"/>
    <w:rsid w:val="396B7F6C"/>
    <w:rsid w:val="39B417A9"/>
    <w:rsid w:val="39E915D7"/>
    <w:rsid w:val="39FC5695"/>
    <w:rsid w:val="3A006D8E"/>
    <w:rsid w:val="3A085499"/>
    <w:rsid w:val="3A3651E5"/>
    <w:rsid w:val="3A744481"/>
    <w:rsid w:val="3A8C7BEF"/>
    <w:rsid w:val="3A906246"/>
    <w:rsid w:val="3ABF6D4C"/>
    <w:rsid w:val="3AC930A0"/>
    <w:rsid w:val="3B103F10"/>
    <w:rsid w:val="3B1918E3"/>
    <w:rsid w:val="3B2349B7"/>
    <w:rsid w:val="3B317746"/>
    <w:rsid w:val="3B616CFF"/>
    <w:rsid w:val="3B6259F6"/>
    <w:rsid w:val="3B976654"/>
    <w:rsid w:val="3BC01EFC"/>
    <w:rsid w:val="3BCA786A"/>
    <w:rsid w:val="3BD31E2F"/>
    <w:rsid w:val="3BE42827"/>
    <w:rsid w:val="3BF15831"/>
    <w:rsid w:val="3C105946"/>
    <w:rsid w:val="3C471448"/>
    <w:rsid w:val="3C5F759A"/>
    <w:rsid w:val="3C6C525A"/>
    <w:rsid w:val="3C99739B"/>
    <w:rsid w:val="3CAB7795"/>
    <w:rsid w:val="3CCE23CB"/>
    <w:rsid w:val="3CD17D17"/>
    <w:rsid w:val="3D3C7F39"/>
    <w:rsid w:val="3D440F09"/>
    <w:rsid w:val="3D4504A0"/>
    <w:rsid w:val="3D4879E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F0E2E"/>
    <w:rsid w:val="3F060E16"/>
    <w:rsid w:val="3F1D1096"/>
    <w:rsid w:val="3F1F119E"/>
    <w:rsid w:val="3F2F0234"/>
    <w:rsid w:val="3F370EF7"/>
    <w:rsid w:val="3F6363FE"/>
    <w:rsid w:val="3F736254"/>
    <w:rsid w:val="3F756B8F"/>
    <w:rsid w:val="3F866AD9"/>
    <w:rsid w:val="3F95482B"/>
    <w:rsid w:val="3FCB05C2"/>
    <w:rsid w:val="40045C0D"/>
    <w:rsid w:val="4019356B"/>
    <w:rsid w:val="40592157"/>
    <w:rsid w:val="406E1CAE"/>
    <w:rsid w:val="408449BE"/>
    <w:rsid w:val="40A0133A"/>
    <w:rsid w:val="40C31A53"/>
    <w:rsid w:val="40FF545D"/>
    <w:rsid w:val="410067C8"/>
    <w:rsid w:val="416E7D4C"/>
    <w:rsid w:val="418F0D2A"/>
    <w:rsid w:val="41C25D13"/>
    <w:rsid w:val="41D01505"/>
    <w:rsid w:val="42064A40"/>
    <w:rsid w:val="42474939"/>
    <w:rsid w:val="424C3C57"/>
    <w:rsid w:val="42613FF3"/>
    <w:rsid w:val="42660D96"/>
    <w:rsid w:val="428667D2"/>
    <w:rsid w:val="42AB1BB1"/>
    <w:rsid w:val="42CD1CE0"/>
    <w:rsid w:val="42E1381E"/>
    <w:rsid w:val="42ED6459"/>
    <w:rsid w:val="42FE58DD"/>
    <w:rsid w:val="43174B3D"/>
    <w:rsid w:val="434B790E"/>
    <w:rsid w:val="43572C6E"/>
    <w:rsid w:val="435A321B"/>
    <w:rsid w:val="4360274F"/>
    <w:rsid w:val="438947EE"/>
    <w:rsid w:val="43977AB6"/>
    <w:rsid w:val="43A3342B"/>
    <w:rsid w:val="43C77C27"/>
    <w:rsid w:val="43DE09EE"/>
    <w:rsid w:val="44002FAD"/>
    <w:rsid w:val="44041328"/>
    <w:rsid w:val="442B349E"/>
    <w:rsid w:val="449101DD"/>
    <w:rsid w:val="44DE1391"/>
    <w:rsid w:val="451B225C"/>
    <w:rsid w:val="452410C9"/>
    <w:rsid w:val="45317DFB"/>
    <w:rsid w:val="454E51D1"/>
    <w:rsid w:val="45672828"/>
    <w:rsid w:val="456D3CE4"/>
    <w:rsid w:val="4579042C"/>
    <w:rsid w:val="457F0571"/>
    <w:rsid w:val="45851176"/>
    <w:rsid w:val="45C63B94"/>
    <w:rsid w:val="45F4428E"/>
    <w:rsid w:val="460E7DA5"/>
    <w:rsid w:val="46422483"/>
    <w:rsid w:val="465054AF"/>
    <w:rsid w:val="4659254A"/>
    <w:rsid w:val="465B0637"/>
    <w:rsid w:val="465E3F0D"/>
    <w:rsid w:val="466A16E6"/>
    <w:rsid w:val="46893F2B"/>
    <w:rsid w:val="46C4686E"/>
    <w:rsid w:val="46CD209E"/>
    <w:rsid w:val="46F838C8"/>
    <w:rsid w:val="477B778F"/>
    <w:rsid w:val="478203EC"/>
    <w:rsid w:val="47B025FA"/>
    <w:rsid w:val="47DB74B4"/>
    <w:rsid w:val="4809698F"/>
    <w:rsid w:val="4811697D"/>
    <w:rsid w:val="48383CC7"/>
    <w:rsid w:val="48472A7B"/>
    <w:rsid w:val="484D6551"/>
    <w:rsid w:val="487A3E25"/>
    <w:rsid w:val="488B5503"/>
    <w:rsid w:val="48937E21"/>
    <w:rsid w:val="489A0361"/>
    <w:rsid w:val="48B94FF3"/>
    <w:rsid w:val="48CA1196"/>
    <w:rsid w:val="48D21567"/>
    <w:rsid w:val="48E37AAB"/>
    <w:rsid w:val="48FD4B4C"/>
    <w:rsid w:val="48FF4E0C"/>
    <w:rsid w:val="490A68E0"/>
    <w:rsid w:val="491055FE"/>
    <w:rsid w:val="495F5B3E"/>
    <w:rsid w:val="496F77D7"/>
    <w:rsid w:val="497654FD"/>
    <w:rsid w:val="49791052"/>
    <w:rsid w:val="49B00A5E"/>
    <w:rsid w:val="49B64211"/>
    <w:rsid w:val="49D04E1F"/>
    <w:rsid w:val="49F6167F"/>
    <w:rsid w:val="4A064FA0"/>
    <w:rsid w:val="4A16615C"/>
    <w:rsid w:val="4A19102C"/>
    <w:rsid w:val="4A4424D7"/>
    <w:rsid w:val="4A6D6E2B"/>
    <w:rsid w:val="4A8810AE"/>
    <w:rsid w:val="4AB82D0F"/>
    <w:rsid w:val="4AEB7664"/>
    <w:rsid w:val="4AFD7C19"/>
    <w:rsid w:val="4B0567D1"/>
    <w:rsid w:val="4B232878"/>
    <w:rsid w:val="4B236AAE"/>
    <w:rsid w:val="4B707271"/>
    <w:rsid w:val="4B845C3F"/>
    <w:rsid w:val="4B9739F7"/>
    <w:rsid w:val="4BE85FBF"/>
    <w:rsid w:val="4BEE2503"/>
    <w:rsid w:val="4C245A30"/>
    <w:rsid w:val="4CB6685F"/>
    <w:rsid w:val="4CC367FE"/>
    <w:rsid w:val="4CE75EFE"/>
    <w:rsid w:val="4D077F3C"/>
    <w:rsid w:val="4D123355"/>
    <w:rsid w:val="4D2A3B31"/>
    <w:rsid w:val="4D312C52"/>
    <w:rsid w:val="4D905305"/>
    <w:rsid w:val="4D964A72"/>
    <w:rsid w:val="4D9C1254"/>
    <w:rsid w:val="4DEE43D6"/>
    <w:rsid w:val="4E000346"/>
    <w:rsid w:val="4E793892"/>
    <w:rsid w:val="4E800872"/>
    <w:rsid w:val="4EC569ED"/>
    <w:rsid w:val="4ED50EA1"/>
    <w:rsid w:val="4EEC050C"/>
    <w:rsid w:val="4F104EC3"/>
    <w:rsid w:val="4F2F7C7D"/>
    <w:rsid w:val="4F47354A"/>
    <w:rsid w:val="4F731D09"/>
    <w:rsid w:val="4F886166"/>
    <w:rsid w:val="4F911C54"/>
    <w:rsid w:val="4FD94F44"/>
    <w:rsid w:val="4FE625E0"/>
    <w:rsid w:val="4FED6EB1"/>
    <w:rsid w:val="4FF91384"/>
    <w:rsid w:val="5021480F"/>
    <w:rsid w:val="50325419"/>
    <w:rsid w:val="50830378"/>
    <w:rsid w:val="50962ECB"/>
    <w:rsid w:val="509C7D99"/>
    <w:rsid w:val="50A42E38"/>
    <w:rsid w:val="50A4577F"/>
    <w:rsid w:val="50AC5280"/>
    <w:rsid w:val="50B73D1F"/>
    <w:rsid w:val="50BD5BC9"/>
    <w:rsid w:val="50C11EEE"/>
    <w:rsid w:val="50E97CFC"/>
    <w:rsid w:val="50FA4028"/>
    <w:rsid w:val="510D65B7"/>
    <w:rsid w:val="511157AB"/>
    <w:rsid w:val="5142540C"/>
    <w:rsid w:val="518832C8"/>
    <w:rsid w:val="519D3C50"/>
    <w:rsid w:val="51A0432A"/>
    <w:rsid w:val="51A86090"/>
    <w:rsid w:val="51B7396D"/>
    <w:rsid w:val="51FF1C91"/>
    <w:rsid w:val="522E4CC3"/>
    <w:rsid w:val="52373648"/>
    <w:rsid w:val="5244713B"/>
    <w:rsid w:val="525C6633"/>
    <w:rsid w:val="52612141"/>
    <w:rsid w:val="52615633"/>
    <w:rsid w:val="526F4DE4"/>
    <w:rsid w:val="52977FD4"/>
    <w:rsid w:val="52A25790"/>
    <w:rsid w:val="52A96B6F"/>
    <w:rsid w:val="52B45975"/>
    <w:rsid w:val="52D94AA4"/>
    <w:rsid w:val="52EA3A62"/>
    <w:rsid w:val="52F50BB8"/>
    <w:rsid w:val="53097272"/>
    <w:rsid w:val="531427E9"/>
    <w:rsid w:val="53544462"/>
    <w:rsid w:val="5397158E"/>
    <w:rsid w:val="54013861"/>
    <w:rsid w:val="54103BF9"/>
    <w:rsid w:val="54487265"/>
    <w:rsid w:val="544D6070"/>
    <w:rsid w:val="54605E1E"/>
    <w:rsid w:val="547B7086"/>
    <w:rsid w:val="549528C2"/>
    <w:rsid w:val="54B3506A"/>
    <w:rsid w:val="54CA0D16"/>
    <w:rsid w:val="54DD4057"/>
    <w:rsid w:val="54E7490F"/>
    <w:rsid w:val="550764A4"/>
    <w:rsid w:val="550B2BF6"/>
    <w:rsid w:val="55214EB5"/>
    <w:rsid w:val="552B5791"/>
    <w:rsid w:val="55364EFD"/>
    <w:rsid w:val="555D4828"/>
    <w:rsid w:val="557A4C8B"/>
    <w:rsid w:val="558931E1"/>
    <w:rsid w:val="55923347"/>
    <w:rsid w:val="55925180"/>
    <w:rsid w:val="55983B1B"/>
    <w:rsid w:val="55A8376B"/>
    <w:rsid w:val="55D62B60"/>
    <w:rsid w:val="55DC29B6"/>
    <w:rsid w:val="55DD4241"/>
    <w:rsid w:val="566B6D1E"/>
    <w:rsid w:val="567B4E54"/>
    <w:rsid w:val="56F70918"/>
    <w:rsid w:val="57032A2C"/>
    <w:rsid w:val="570F5219"/>
    <w:rsid w:val="571E62EA"/>
    <w:rsid w:val="575D12B5"/>
    <w:rsid w:val="57610A87"/>
    <w:rsid w:val="577B1140"/>
    <w:rsid w:val="577B7F21"/>
    <w:rsid w:val="577F181B"/>
    <w:rsid w:val="57825F9E"/>
    <w:rsid w:val="578942F7"/>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ED7047"/>
    <w:rsid w:val="59166304"/>
    <w:rsid w:val="595263FD"/>
    <w:rsid w:val="595E1678"/>
    <w:rsid w:val="596D5BD4"/>
    <w:rsid w:val="597E3DD8"/>
    <w:rsid w:val="59F80043"/>
    <w:rsid w:val="5A09252F"/>
    <w:rsid w:val="5A0B2778"/>
    <w:rsid w:val="5A0D1981"/>
    <w:rsid w:val="5A2A7C7B"/>
    <w:rsid w:val="5A3E2560"/>
    <w:rsid w:val="5A4411FB"/>
    <w:rsid w:val="5A5D3B6E"/>
    <w:rsid w:val="5A637A76"/>
    <w:rsid w:val="5A6D33BA"/>
    <w:rsid w:val="5A792B1F"/>
    <w:rsid w:val="5A874767"/>
    <w:rsid w:val="5AA85BE2"/>
    <w:rsid w:val="5AAD6F28"/>
    <w:rsid w:val="5AD63A24"/>
    <w:rsid w:val="5B2E1A1D"/>
    <w:rsid w:val="5B610B3C"/>
    <w:rsid w:val="5B843A1C"/>
    <w:rsid w:val="5B873E3F"/>
    <w:rsid w:val="5BDF44D5"/>
    <w:rsid w:val="5BE43222"/>
    <w:rsid w:val="5C02690E"/>
    <w:rsid w:val="5C03721F"/>
    <w:rsid w:val="5C196DA7"/>
    <w:rsid w:val="5C2A048C"/>
    <w:rsid w:val="5C435E21"/>
    <w:rsid w:val="5C80234E"/>
    <w:rsid w:val="5C817E53"/>
    <w:rsid w:val="5C8406DA"/>
    <w:rsid w:val="5C8A680C"/>
    <w:rsid w:val="5CF5334C"/>
    <w:rsid w:val="5D0C4701"/>
    <w:rsid w:val="5D0F0395"/>
    <w:rsid w:val="5D221076"/>
    <w:rsid w:val="5D361092"/>
    <w:rsid w:val="5D397964"/>
    <w:rsid w:val="5D597720"/>
    <w:rsid w:val="5D5A391C"/>
    <w:rsid w:val="5D5F10C0"/>
    <w:rsid w:val="5D891B7B"/>
    <w:rsid w:val="5D920C30"/>
    <w:rsid w:val="5DAD38EE"/>
    <w:rsid w:val="5DB85AE5"/>
    <w:rsid w:val="5E006862"/>
    <w:rsid w:val="5E0207B9"/>
    <w:rsid w:val="5E1834A1"/>
    <w:rsid w:val="5E261785"/>
    <w:rsid w:val="5E4A7017"/>
    <w:rsid w:val="5E552BBA"/>
    <w:rsid w:val="5E581A88"/>
    <w:rsid w:val="5E611C10"/>
    <w:rsid w:val="5E7A0F3F"/>
    <w:rsid w:val="5EC11E59"/>
    <w:rsid w:val="5EFC7377"/>
    <w:rsid w:val="5F051DCE"/>
    <w:rsid w:val="5F06174D"/>
    <w:rsid w:val="5F3A3602"/>
    <w:rsid w:val="5F3A658C"/>
    <w:rsid w:val="5F45733B"/>
    <w:rsid w:val="5F6277C6"/>
    <w:rsid w:val="5F6D0B1D"/>
    <w:rsid w:val="5F8D0B82"/>
    <w:rsid w:val="5FCC5339"/>
    <w:rsid w:val="5FE34A5B"/>
    <w:rsid w:val="5FFE1E36"/>
    <w:rsid w:val="60232584"/>
    <w:rsid w:val="607330CE"/>
    <w:rsid w:val="60825176"/>
    <w:rsid w:val="609F2AC4"/>
    <w:rsid w:val="60FA2EE8"/>
    <w:rsid w:val="60FA7569"/>
    <w:rsid w:val="61054A27"/>
    <w:rsid w:val="610A52BC"/>
    <w:rsid w:val="611D2366"/>
    <w:rsid w:val="61421856"/>
    <w:rsid w:val="615227C4"/>
    <w:rsid w:val="61545E45"/>
    <w:rsid w:val="61654E3F"/>
    <w:rsid w:val="6182292A"/>
    <w:rsid w:val="61864411"/>
    <w:rsid w:val="619F7F92"/>
    <w:rsid w:val="61E81EE3"/>
    <w:rsid w:val="61F94C26"/>
    <w:rsid w:val="61FB3293"/>
    <w:rsid w:val="62000E56"/>
    <w:rsid w:val="624F3E49"/>
    <w:rsid w:val="62632286"/>
    <w:rsid w:val="627E4805"/>
    <w:rsid w:val="62885958"/>
    <w:rsid w:val="62D42564"/>
    <w:rsid w:val="62D47A8F"/>
    <w:rsid w:val="62F40B65"/>
    <w:rsid w:val="62FC2CFE"/>
    <w:rsid w:val="63024505"/>
    <w:rsid w:val="631808D5"/>
    <w:rsid w:val="635600A5"/>
    <w:rsid w:val="635B1DB5"/>
    <w:rsid w:val="63711FED"/>
    <w:rsid w:val="63880DDC"/>
    <w:rsid w:val="638D750D"/>
    <w:rsid w:val="63AC6CC0"/>
    <w:rsid w:val="63B07D2A"/>
    <w:rsid w:val="64055776"/>
    <w:rsid w:val="641B4F98"/>
    <w:rsid w:val="64240056"/>
    <w:rsid w:val="643D592C"/>
    <w:rsid w:val="643E143A"/>
    <w:rsid w:val="64491666"/>
    <w:rsid w:val="648B6EEF"/>
    <w:rsid w:val="64C158BF"/>
    <w:rsid w:val="64CE2EAA"/>
    <w:rsid w:val="653C3090"/>
    <w:rsid w:val="65854376"/>
    <w:rsid w:val="658767BE"/>
    <w:rsid w:val="65892531"/>
    <w:rsid w:val="65BE3902"/>
    <w:rsid w:val="65C23955"/>
    <w:rsid w:val="66195831"/>
    <w:rsid w:val="662E75B1"/>
    <w:rsid w:val="66342C2E"/>
    <w:rsid w:val="663E784C"/>
    <w:rsid w:val="664452C4"/>
    <w:rsid w:val="66832A50"/>
    <w:rsid w:val="668B6A45"/>
    <w:rsid w:val="6697735C"/>
    <w:rsid w:val="671372D5"/>
    <w:rsid w:val="671E7260"/>
    <w:rsid w:val="672629DF"/>
    <w:rsid w:val="672A7606"/>
    <w:rsid w:val="672F3F24"/>
    <w:rsid w:val="67394439"/>
    <w:rsid w:val="673E055F"/>
    <w:rsid w:val="67551CE3"/>
    <w:rsid w:val="676B7EE2"/>
    <w:rsid w:val="67A22552"/>
    <w:rsid w:val="67B22DCC"/>
    <w:rsid w:val="67BE71AA"/>
    <w:rsid w:val="67D90273"/>
    <w:rsid w:val="67DE5875"/>
    <w:rsid w:val="67E55852"/>
    <w:rsid w:val="67EB1AB4"/>
    <w:rsid w:val="67FA1285"/>
    <w:rsid w:val="6816685E"/>
    <w:rsid w:val="68551F4F"/>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C4172D"/>
    <w:rsid w:val="6ACC2D7B"/>
    <w:rsid w:val="6ADE0BD1"/>
    <w:rsid w:val="6AE96859"/>
    <w:rsid w:val="6B147746"/>
    <w:rsid w:val="6B24787C"/>
    <w:rsid w:val="6B427AC6"/>
    <w:rsid w:val="6B573233"/>
    <w:rsid w:val="6B5B6274"/>
    <w:rsid w:val="6B71025C"/>
    <w:rsid w:val="6B935D53"/>
    <w:rsid w:val="6B970CB3"/>
    <w:rsid w:val="6BB45640"/>
    <w:rsid w:val="6C196F71"/>
    <w:rsid w:val="6C226FCB"/>
    <w:rsid w:val="6C23202A"/>
    <w:rsid w:val="6C31226F"/>
    <w:rsid w:val="6C552F0B"/>
    <w:rsid w:val="6C5F4A86"/>
    <w:rsid w:val="6C8C67B7"/>
    <w:rsid w:val="6C9D744C"/>
    <w:rsid w:val="6D167928"/>
    <w:rsid w:val="6D26299B"/>
    <w:rsid w:val="6D4772EC"/>
    <w:rsid w:val="6D9078AF"/>
    <w:rsid w:val="6DAA3FEF"/>
    <w:rsid w:val="6DC0172B"/>
    <w:rsid w:val="6DCB690C"/>
    <w:rsid w:val="6DD41A5B"/>
    <w:rsid w:val="6DF43C2E"/>
    <w:rsid w:val="6DF51CA3"/>
    <w:rsid w:val="6E0732C3"/>
    <w:rsid w:val="6E831125"/>
    <w:rsid w:val="6E8335BD"/>
    <w:rsid w:val="6E8E12EF"/>
    <w:rsid w:val="6E972936"/>
    <w:rsid w:val="6EC60816"/>
    <w:rsid w:val="6EC66EAA"/>
    <w:rsid w:val="6ED446C5"/>
    <w:rsid w:val="6F1E43C5"/>
    <w:rsid w:val="6F2A7D94"/>
    <w:rsid w:val="6F5E5E93"/>
    <w:rsid w:val="6F8331F1"/>
    <w:rsid w:val="6FAE1A09"/>
    <w:rsid w:val="6FB252F7"/>
    <w:rsid w:val="6FD75BF8"/>
    <w:rsid w:val="70207272"/>
    <w:rsid w:val="704438D1"/>
    <w:rsid w:val="70671D7D"/>
    <w:rsid w:val="707723D0"/>
    <w:rsid w:val="708F76B1"/>
    <w:rsid w:val="70CF296C"/>
    <w:rsid w:val="70DC2853"/>
    <w:rsid w:val="70F5661B"/>
    <w:rsid w:val="7113730F"/>
    <w:rsid w:val="712A31D4"/>
    <w:rsid w:val="71360107"/>
    <w:rsid w:val="713B688E"/>
    <w:rsid w:val="71C0067F"/>
    <w:rsid w:val="71D43752"/>
    <w:rsid w:val="71F1796A"/>
    <w:rsid w:val="72154626"/>
    <w:rsid w:val="72262B5D"/>
    <w:rsid w:val="72283FF7"/>
    <w:rsid w:val="722D1F28"/>
    <w:rsid w:val="722E7212"/>
    <w:rsid w:val="723A0474"/>
    <w:rsid w:val="725923E4"/>
    <w:rsid w:val="72864BF7"/>
    <w:rsid w:val="729023FC"/>
    <w:rsid w:val="72D23FA5"/>
    <w:rsid w:val="732358BD"/>
    <w:rsid w:val="739B5A85"/>
    <w:rsid w:val="73C0646E"/>
    <w:rsid w:val="74015934"/>
    <w:rsid w:val="742222F5"/>
    <w:rsid w:val="743856CB"/>
    <w:rsid w:val="74476126"/>
    <w:rsid w:val="745B050A"/>
    <w:rsid w:val="74706664"/>
    <w:rsid w:val="747F3682"/>
    <w:rsid w:val="74876886"/>
    <w:rsid w:val="749C4185"/>
    <w:rsid w:val="75067759"/>
    <w:rsid w:val="752E6DCD"/>
    <w:rsid w:val="7551380D"/>
    <w:rsid w:val="75600BE5"/>
    <w:rsid w:val="7564475C"/>
    <w:rsid w:val="7583797F"/>
    <w:rsid w:val="75D20F1D"/>
    <w:rsid w:val="75DA2C18"/>
    <w:rsid w:val="75F54412"/>
    <w:rsid w:val="76031592"/>
    <w:rsid w:val="761D08E0"/>
    <w:rsid w:val="765D347C"/>
    <w:rsid w:val="767A09C3"/>
    <w:rsid w:val="76826699"/>
    <w:rsid w:val="76873DFE"/>
    <w:rsid w:val="76912004"/>
    <w:rsid w:val="76C87133"/>
    <w:rsid w:val="76CD08D5"/>
    <w:rsid w:val="76DB4B92"/>
    <w:rsid w:val="77052AA4"/>
    <w:rsid w:val="77136511"/>
    <w:rsid w:val="77194109"/>
    <w:rsid w:val="77340A39"/>
    <w:rsid w:val="77351FD0"/>
    <w:rsid w:val="77472422"/>
    <w:rsid w:val="777F31F2"/>
    <w:rsid w:val="778201C6"/>
    <w:rsid w:val="77D1700D"/>
    <w:rsid w:val="77EC04CC"/>
    <w:rsid w:val="78472C50"/>
    <w:rsid w:val="784A7225"/>
    <w:rsid w:val="78775729"/>
    <w:rsid w:val="78A42DB0"/>
    <w:rsid w:val="78A656AB"/>
    <w:rsid w:val="78B2245C"/>
    <w:rsid w:val="78E172CC"/>
    <w:rsid w:val="78EA1D1F"/>
    <w:rsid w:val="78F30566"/>
    <w:rsid w:val="7904172F"/>
    <w:rsid w:val="790F7E27"/>
    <w:rsid w:val="79177DA0"/>
    <w:rsid w:val="792A231A"/>
    <w:rsid w:val="79316829"/>
    <w:rsid w:val="793C0F58"/>
    <w:rsid w:val="794A7134"/>
    <w:rsid w:val="79777522"/>
    <w:rsid w:val="797E66A9"/>
    <w:rsid w:val="798518A4"/>
    <w:rsid w:val="79A97383"/>
    <w:rsid w:val="79D7022F"/>
    <w:rsid w:val="79E27E8B"/>
    <w:rsid w:val="79F850CE"/>
    <w:rsid w:val="79FD443C"/>
    <w:rsid w:val="7A0E12CD"/>
    <w:rsid w:val="7A1D1975"/>
    <w:rsid w:val="7A234DC5"/>
    <w:rsid w:val="7A282137"/>
    <w:rsid w:val="7A2F6279"/>
    <w:rsid w:val="7A3E5150"/>
    <w:rsid w:val="7A4670D6"/>
    <w:rsid w:val="7A4F4A5A"/>
    <w:rsid w:val="7A534B63"/>
    <w:rsid w:val="7A615382"/>
    <w:rsid w:val="7A67303B"/>
    <w:rsid w:val="7AAB1D04"/>
    <w:rsid w:val="7ABA4368"/>
    <w:rsid w:val="7AD05746"/>
    <w:rsid w:val="7B032B03"/>
    <w:rsid w:val="7B257FFD"/>
    <w:rsid w:val="7B343476"/>
    <w:rsid w:val="7B5A2978"/>
    <w:rsid w:val="7B5A7E4C"/>
    <w:rsid w:val="7B600B5B"/>
    <w:rsid w:val="7B667AF9"/>
    <w:rsid w:val="7B7468F8"/>
    <w:rsid w:val="7BEE0103"/>
    <w:rsid w:val="7C0A0FE4"/>
    <w:rsid w:val="7C0C65A0"/>
    <w:rsid w:val="7C254906"/>
    <w:rsid w:val="7C2649C5"/>
    <w:rsid w:val="7C590818"/>
    <w:rsid w:val="7C651E12"/>
    <w:rsid w:val="7C7C10F6"/>
    <w:rsid w:val="7C853BEA"/>
    <w:rsid w:val="7C881368"/>
    <w:rsid w:val="7CD21154"/>
    <w:rsid w:val="7CE27788"/>
    <w:rsid w:val="7D0C32F1"/>
    <w:rsid w:val="7D0F408D"/>
    <w:rsid w:val="7D491C6C"/>
    <w:rsid w:val="7D5429C0"/>
    <w:rsid w:val="7D5C5B59"/>
    <w:rsid w:val="7D6E6D43"/>
    <w:rsid w:val="7D9365DF"/>
    <w:rsid w:val="7DA10D09"/>
    <w:rsid w:val="7DB57A34"/>
    <w:rsid w:val="7DC6485A"/>
    <w:rsid w:val="7DE60973"/>
    <w:rsid w:val="7DEF0916"/>
    <w:rsid w:val="7E1E5218"/>
    <w:rsid w:val="7E896697"/>
    <w:rsid w:val="7E9A4E1F"/>
    <w:rsid w:val="7EA7723A"/>
    <w:rsid w:val="7EB81432"/>
    <w:rsid w:val="7EBC5825"/>
    <w:rsid w:val="7EE53E9B"/>
    <w:rsid w:val="7EF56FBB"/>
    <w:rsid w:val="7F0768EB"/>
    <w:rsid w:val="7F0F634D"/>
    <w:rsid w:val="7F143BEC"/>
    <w:rsid w:val="7F152AD3"/>
    <w:rsid w:val="7F257D64"/>
    <w:rsid w:val="7F715AF2"/>
    <w:rsid w:val="7F805DBA"/>
    <w:rsid w:val="7F886E69"/>
    <w:rsid w:val="7FD53466"/>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unhideWhenUsed/>
    <w:qFormat/>
    <w:uiPriority w:val="99"/>
    <w:pPr>
      <w:ind w:left="600" w:leftChars="600"/>
    </w:pPr>
    <w:rPr>
      <w:sz w:val="32"/>
      <w:szCs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3"/>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8"/>
    <w:qFormat/>
    <w:uiPriority w:val="0"/>
    <w:rPr>
      <w:b/>
      <w:bCs/>
    </w:rPr>
  </w:style>
  <w:style w:type="paragraph" w:styleId="64">
    <w:name w:val="Body Text First Indent 2"/>
    <w:basedOn w:val="25"/>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2"/>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2"/>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4"/>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3"/>
    <w:next w:val="83"/>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3"/>
    <w:next w:val="83"/>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4"/>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 w:type="paragraph" w:customStyle="1" w:styleId="965">
    <w:name w:val="WPSOffice手动目录 2"/>
    <w:qFormat/>
    <w:uiPriority w:val="0"/>
    <w:pPr>
      <w:ind w:leftChars="200"/>
    </w:pPr>
    <w:rPr>
      <w:rFonts w:ascii="Times New Roman" w:hAnsi="Times New Roman" w:eastAsia="宋体" w:cs="Times New Roman"/>
      <w:sz w:val="20"/>
      <w:szCs w:val="20"/>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flname8"/>
    <w:qFormat/>
    <w:uiPriority w:val="99"/>
    <w:rPr>
      <w:rFonts w:hint="default" w:ascii="Times New Roman" w:hAnsi="Times New Roman" w:cs="Times New Roman"/>
    </w:rPr>
  </w:style>
  <w:style w:type="paragraph" w:customStyle="1" w:styleId="96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6702</Words>
  <Characters>7309</Characters>
  <Lines>279</Lines>
  <Paragraphs>78</Paragraphs>
  <TotalTime>29</TotalTime>
  <ScaleCrop>false</ScaleCrop>
  <LinksUpToDate>false</LinksUpToDate>
  <CharactersWithSpaces>7625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mystic</cp:lastModifiedBy>
  <cp:lastPrinted>2024-12-11T03:31:00Z</cp:lastPrinted>
  <dcterms:modified xsi:type="dcterms:W3CDTF">2024-12-17T01:50:49Z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B6FC13FDDA3244B0871303E38B1DC22B_13</vt:lpwstr>
  </property>
  <property fmtid="{D5CDD505-2E9C-101B-9397-08002B2CF9AE}" pid="5" name="KSOTemplateDocerSaveRecord">
    <vt:lpwstr>eyJoZGlkIjoiMDgyMDQxMDg1YmQwN2VlZWY0ZGUwYjE0ZWEyN2FkM2IiLCJ1c2VySWQiOiIyNTM3MDc3MjUifQ==</vt:lpwstr>
  </property>
</Properties>
</file>