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Theme="minorEastAsia" w:hAnsiTheme="minorEastAsia" w:eastAsiaTheme="minorEastAsia"/>
          <w:b/>
          <w:bCs/>
          <w:color w:val="auto"/>
          <w:sz w:val="48"/>
          <w:szCs w:val="48"/>
          <w:highlight w:val="none"/>
        </w:rPr>
      </w:pPr>
    </w:p>
    <w:p>
      <w:pPr>
        <w:spacing w:after="240"/>
        <w:jc w:val="center"/>
        <w:rPr>
          <w:rFonts w:cs="宋体" w:asciiTheme="minorEastAsia" w:hAnsiTheme="minorEastAsia" w:eastAsiaTheme="minorEastAsia"/>
          <w:b/>
          <w:bCs/>
          <w:color w:val="auto"/>
          <w:sz w:val="72"/>
          <w:szCs w:val="72"/>
          <w:highlight w:val="none"/>
        </w:rPr>
      </w:pPr>
      <w:r>
        <w:rPr>
          <w:rFonts w:hint="eastAsia" w:cs="宋体" w:asciiTheme="minorEastAsia" w:hAnsiTheme="minorEastAsia" w:eastAsiaTheme="minorEastAsia"/>
          <w:b/>
          <w:bCs/>
          <w:color w:val="auto"/>
          <w:sz w:val="72"/>
          <w:szCs w:val="72"/>
          <w:highlight w:val="none"/>
        </w:rPr>
        <w:t>竞争性磋商文件</w:t>
      </w:r>
    </w:p>
    <w:p>
      <w:pPr>
        <w:spacing w:after="240"/>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（电子交易项目</w:t>
      </w:r>
      <w:r>
        <w:rPr>
          <w:rFonts w:hint="eastAsia" w:ascii="宋体" w:hAnsi="宋体"/>
          <w:color w:val="auto"/>
          <w:sz w:val="32"/>
          <w:szCs w:val="32"/>
          <w:highlight w:val="none"/>
        </w:rPr>
        <w:t>•</w:t>
      </w:r>
      <w:r>
        <w:rPr>
          <w:rFonts w:hint="eastAsia" w:asciiTheme="minorEastAsia" w:hAnsiTheme="minorEastAsia" w:eastAsiaTheme="minorEastAsia"/>
          <w:color w:val="auto"/>
          <w:sz w:val="32"/>
          <w:szCs w:val="32"/>
          <w:highlight w:val="none"/>
        </w:rPr>
        <w:t>工程类）</w:t>
      </w:r>
    </w:p>
    <w:p>
      <w:pPr>
        <w:spacing w:after="120" w:afterLines="50" w:line="480" w:lineRule="exact"/>
        <w:jc w:val="center"/>
        <w:outlineLvl w:val="0"/>
        <w:rPr>
          <w:rFonts w:asciiTheme="minorEastAsia" w:hAnsiTheme="minorEastAsia" w:eastAsiaTheme="minorEastAsia"/>
          <w:b/>
          <w:bCs/>
          <w:color w:val="auto"/>
          <w:sz w:val="44"/>
          <w:szCs w:val="44"/>
          <w:highlight w:val="none"/>
        </w:rPr>
      </w:pPr>
    </w:p>
    <w:p>
      <w:pPr>
        <w:spacing w:after="120" w:afterLines="50" w:line="480" w:lineRule="exact"/>
        <w:jc w:val="center"/>
        <w:outlineLvl w:val="0"/>
        <w:rPr>
          <w:rFonts w:asciiTheme="minorEastAsia" w:hAnsiTheme="minorEastAsia" w:eastAsiaTheme="minorEastAsia"/>
          <w:b/>
          <w:bCs/>
          <w:color w:val="auto"/>
          <w:sz w:val="44"/>
          <w:szCs w:val="44"/>
          <w:highlight w:val="none"/>
        </w:rPr>
      </w:pPr>
      <w:bookmarkStart w:id="85" w:name="_GoBack"/>
      <w:bookmarkEnd w:id="85"/>
    </w:p>
    <w:p>
      <w:pPr>
        <w:spacing w:after="120" w:afterLines="50" w:line="480" w:lineRule="exact"/>
        <w:jc w:val="center"/>
        <w:outlineLvl w:val="0"/>
        <w:rPr>
          <w:rFonts w:asciiTheme="minorEastAsia" w:hAnsiTheme="minorEastAsia" w:eastAsiaTheme="minorEastAsia"/>
          <w:b/>
          <w:bCs/>
          <w:color w:val="auto"/>
          <w:sz w:val="44"/>
          <w:szCs w:val="44"/>
          <w:highlight w:val="none"/>
        </w:rPr>
      </w:pPr>
    </w:p>
    <w:p>
      <w:pPr>
        <w:spacing w:after="120" w:afterLines="50" w:line="480" w:lineRule="exact"/>
        <w:jc w:val="center"/>
        <w:outlineLvl w:val="0"/>
        <w:rPr>
          <w:rFonts w:asciiTheme="minorEastAsia" w:hAnsiTheme="minorEastAsia" w:eastAsiaTheme="minorEastAsia"/>
          <w:b/>
          <w:bCs/>
          <w:color w:val="auto"/>
          <w:sz w:val="44"/>
          <w:szCs w:val="44"/>
          <w:highlight w:val="none"/>
        </w:rPr>
      </w:pPr>
    </w:p>
    <w:p>
      <w:pPr>
        <w:spacing w:after="120" w:afterLines="50" w:line="480" w:lineRule="exact"/>
        <w:jc w:val="center"/>
        <w:outlineLvl w:val="0"/>
        <w:rPr>
          <w:rFonts w:asciiTheme="minorEastAsia" w:hAnsiTheme="minorEastAsia" w:eastAsiaTheme="minorEastAsia"/>
          <w:b/>
          <w:bCs/>
          <w:color w:val="auto"/>
          <w:sz w:val="44"/>
          <w:szCs w:val="44"/>
          <w:highlight w:val="none"/>
        </w:rPr>
      </w:pPr>
    </w:p>
    <w:p>
      <w:pPr>
        <w:spacing w:line="360" w:lineRule="auto"/>
        <w:outlineLvl w:val="0"/>
        <w:rPr>
          <w:rFonts w:asciiTheme="minorEastAsia" w:hAnsiTheme="minorEastAsia" w:eastAsiaTheme="minorEastAsia"/>
          <w:b/>
          <w:bCs/>
          <w:color w:val="auto"/>
          <w:sz w:val="44"/>
          <w:szCs w:val="44"/>
          <w:highlight w:val="none"/>
        </w:rPr>
      </w:pPr>
    </w:p>
    <w:p>
      <w:pPr>
        <w:pStyle w:val="5"/>
        <w:rPr>
          <w:rFonts w:asciiTheme="minorEastAsia" w:hAnsiTheme="minorEastAsia" w:eastAsiaTheme="minorEastAsia"/>
          <w:color w:val="auto"/>
          <w:highlight w:val="none"/>
        </w:rPr>
      </w:pPr>
    </w:p>
    <w:p>
      <w:pPr>
        <w:tabs>
          <w:tab w:val="left" w:pos="2410"/>
        </w:tabs>
        <w:autoSpaceDE w:val="0"/>
        <w:autoSpaceDN w:val="0"/>
        <w:adjustRightInd w:val="0"/>
        <w:snapToGrid w:val="0"/>
        <w:spacing w:line="480" w:lineRule="auto"/>
        <w:ind w:firstLine="723" w:firstLineChars="200"/>
        <w:rPr>
          <w:rFonts w:asciiTheme="minorEastAsia" w:hAnsiTheme="minorEastAsia" w:eastAsiaTheme="minorEastAsia"/>
          <w:b/>
          <w:color w:val="auto"/>
          <w:spacing w:val="20"/>
          <w:kern w:val="0"/>
          <w:sz w:val="32"/>
          <w:szCs w:val="32"/>
          <w:highlight w:val="none"/>
        </w:rPr>
      </w:pPr>
    </w:p>
    <w:p>
      <w:pPr>
        <w:tabs>
          <w:tab w:val="left" w:pos="2410"/>
        </w:tabs>
        <w:autoSpaceDE w:val="0"/>
        <w:autoSpaceDN w:val="0"/>
        <w:adjustRightInd w:val="0"/>
        <w:snapToGrid w:val="0"/>
        <w:spacing w:after="120" w:afterLines="50" w:line="480" w:lineRule="auto"/>
        <w:ind w:right="-840" w:rightChars="-400" w:firstLine="426" w:firstLineChars="118"/>
        <w:rPr>
          <w:rFonts w:asciiTheme="minorEastAsia" w:hAnsiTheme="minorEastAsia" w:eastAsiaTheme="minorEastAsia"/>
          <w:b/>
          <w:color w:val="auto"/>
          <w:spacing w:val="-10"/>
          <w:kern w:val="0"/>
          <w:sz w:val="32"/>
          <w:szCs w:val="32"/>
          <w:highlight w:val="none"/>
          <w:u w:val="single"/>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spacing w:val="20"/>
          <w:kern w:val="0"/>
          <w:sz w:val="32"/>
          <w:szCs w:val="32"/>
          <w:highlight w:val="none"/>
          <w:u w:val="single"/>
        </w:rPr>
        <w:t>浙江商业技师学院学生餐厅改造项目</w:t>
      </w:r>
    </w:p>
    <w:p>
      <w:pPr>
        <w:tabs>
          <w:tab w:val="left" w:pos="2410"/>
        </w:tabs>
        <w:autoSpaceDE w:val="0"/>
        <w:autoSpaceDN w:val="0"/>
        <w:adjustRightInd w:val="0"/>
        <w:snapToGrid w:val="0"/>
        <w:spacing w:after="120" w:afterLines="50" w:line="480" w:lineRule="auto"/>
        <w:ind w:firstLine="426" w:firstLineChars="118"/>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项目编号：</w:t>
      </w:r>
      <w:r>
        <w:rPr>
          <w:rFonts w:hint="eastAsia" w:asciiTheme="minorEastAsia" w:hAnsiTheme="minorEastAsia" w:eastAsiaTheme="minorEastAsia"/>
          <w:b/>
          <w:color w:val="auto"/>
          <w:spacing w:val="20"/>
          <w:kern w:val="0"/>
          <w:sz w:val="32"/>
          <w:szCs w:val="32"/>
          <w:highlight w:val="none"/>
          <w:u w:val="single"/>
        </w:rPr>
        <w:t>NBMC-20249046SJ磋</w:t>
      </w:r>
    </w:p>
    <w:p>
      <w:pPr>
        <w:tabs>
          <w:tab w:val="left" w:pos="2410"/>
        </w:tabs>
        <w:autoSpaceDE w:val="0"/>
        <w:autoSpaceDN w:val="0"/>
        <w:adjustRightInd w:val="0"/>
        <w:snapToGrid w:val="0"/>
        <w:spacing w:after="120" w:afterLines="50" w:line="480" w:lineRule="auto"/>
        <w:ind w:firstLine="426" w:firstLineChars="118"/>
        <w:rPr>
          <w:rFonts w:asciiTheme="minorEastAsia" w:hAnsiTheme="minorEastAsia" w:eastAsiaTheme="minorEastAsia"/>
          <w:b/>
          <w:color w:val="auto"/>
          <w:kern w:val="0"/>
          <w:sz w:val="32"/>
          <w:szCs w:val="32"/>
          <w:highlight w:val="none"/>
          <w:u w:val="single"/>
        </w:rPr>
      </w:pPr>
      <w:r>
        <w:rPr>
          <w:rFonts w:hint="eastAsia" w:asciiTheme="minorEastAsia" w:hAnsiTheme="minorEastAsia" w:eastAsiaTheme="minorEastAsia"/>
          <w:b/>
          <w:color w:val="auto"/>
          <w:spacing w:val="20"/>
          <w:kern w:val="0"/>
          <w:sz w:val="32"/>
          <w:szCs w:val="32"/>
          <w:highlight w:val="none"/>
        </w:rPr>
        <w:t>采 购 人：</w:t>
      </w:r>
      <w:r>
        <w:rPr>
          <w:rFonts w:hint="eastAsia" w:asciiTheme="minorEastAsia" w:hAnsiTheme="minorEastAsia" w:eastAsiaTheme="minorEastAsia"/>
          <w:b/>
          <w:color w:val="auto"/>
          <w:kern w:val="0"/>
          <w:sz w:val="32"/>
          <w:szCs w:val="32"/>
          <w:highlight w:val="none"/>
          <w:u w:val="single"/>
        </w:rPr>
        <w:t>浙江商业技师学院</w:t>
      </w:r>
    </w:p>
    <w:p>
      <w:pPr>
        <w:tabs>
          <w:tab w:val="left" w:pos="2410"/>
        </w:tabs>
        <w:autoSpaceDE w:val="0"/>
        <w:autoSpaceDN w:val="0"/>
        <w:adjustRightInd w:val="0"/>
        <w:snapToGrid w:val="0"/>
        <w:spacing w:after="120" w:afterLines="50" w:line="480" w:lineRule="auto"/>
        <w:ind w:firstLine="426" w:firstLineChars="118"/>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采购代理机构：</w:t>
      </w:r>
      <w:r>
        <w:rPr>
          <w:rFonts w:hint="eastAsia" w:asciiTheme="minorEastAsia" w:hAnsiTheme="minorEastAsia" w:eastAsiaTheme="minorEastAsia"/>
          <w:b/>
          <w:color w:val="auto"/>
          <w:spacing w:val="20"/>
          <w:kern w:val="0"/>
          <w:sz w:val="32"/>
          <w:szCs w:val="32"/>
          <w:highlight w:val="none"/>
          <w:u w:val="single"/>
        </w:rPr>
        <w:t>宁波名诚招标代理有限公司</w:t>
      </w:r>
    </w:p>
    <w:p>
      <w:pPr>
        <w:pStyle w:val="28"/>
        <w:spacing w:beforeLines="0" w:afterLines="0" w:line="360" w:lineRule="auto"/>
        <w:rPr>
          <w:rFonts w:asciiTheme="minorEastAsia" w:hAnsiTheme="minorEastAsia" w:eastAsiaTheme="minorEastAsia"/>
          <w:color w:val="auto"/>
          <w:highlight w:val="none"/>
        </w:rPr>
      </w:pPr>
    </w:p>
    <w:p>
      <w:pPr>
        <w:pStyle w:val="28"/>
        <w:spacing w:beforeLines="0" w:afterLines="0" w:line="360" w:lineRule="auto"/>
        <w:jc w:val="center"/>
        <w:rPr>
          <w:rFonts w:asciiTheme="minorEastAsia" w:hAnsiTheme="minorEastAsia" w:eastAsiaTheme="minorEastAsia"/>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pPr>
        <w:pStyle w:val="188"/>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CN"/>
        </w:rPr>
        <w:t>目录</w:t>
      </w:r>
    </w:p>
    <w:p>
      <w:pPr>
        <w:pStyle w:val="35"/>
        <w:tabs>
          <w:tab w:val="right" w:leader="dot" w:pos="8846"/>
        </w:tabs>
        <w:spacing w:line="360" w:lineRule="auto"/>
        <w:rPr>
          <w:rFonts w:ascii="宋体" w:hAnsi="宋体" w:cs="黑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"_Toc86053871" </w:instrText>
      </w:r>
      <w:r>
        <w:rPr>
          <w:color w:val="auto"/>
          <w:highlight w:val="none"/>
        </w:rPr>
        <w:fldChar w:fldCharType="separate"/>
      </w:r>
      <w:r>
        <w:rPr>
          <w:rStyle w:val="60"/>
          <w:rFonts w:ascii="宋体" w:hAnsi="宋体"/>
          <w:color w:val="auto"/>
          <w:sz w:val="24"/>
          <w:highlight w:val="none"/>
        </w:rPr>
        <w:t>第一章  采购公告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_Toc86053871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pPr>
        <w:pStyle w:val="35"/>
        <w:tabs>
          <w:tab w:val="right" w:leader="dot" w:pos="8846"/>
        </w:tabs>
        <w:spacing w:line="360" w:lineRule="auto"/>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"_Toc86053872" </w:instrText>
      </w:r>
      <w:r>
        <w:rPr>
          <w:color w:val="auto"/>
          <w:highlight w:val="none"/>
        </w:rPr>
        <w:fldChar w:fldCharType="separate"/>
      </w:r>
      <w:r>
        <w:rPr>
          <w:rStyle w:val="60"/>
          <w:rFonts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_Toc86053872 \h </w:instrText>
      </w:r>
      <w:r>
        <w:rPr>
          <w:rFonts w:ascii="宋体" w:hAnsi="宋体"/>
          <w:color w:val="auto"/>
          <w:sz w:val="24"/>
          <w:highlight w:val="none"/>
        </w:rPr>
        <w:fldChar w:fldCharType="separate"/>
      </w:r>
      <w:r>
        <w:rPr>
          <w:rFonts w:ascii="宋体" w:hAnsi="宋体"/>
          <w:color w:val="auto"/>
          <w:sz w:val="24"/>
          <w:highlight w:val="none"/>
        </w:rPr>
        <w:t>6</w:t>
      </w:r>
      <w:r>
        <w:rPr>
          <w:rFonts w:ascii="宋体" w:hAnsi="宋体"/>
          <w:color w:val="auto"/>
          <w:sz w:val="24"/>
          <w:highlight w:val="none"/>
        </w:rPr>
        <w:fldChar w:fldCharType="end"/>
      </w:r>
      <w:r>
        <w:rPr>
          <w:rFonts w:ascii="宋体" w:hAnsi="宋体"/>
          <w:color w:val="auto"/>
          <w:sz w:val="24"/>
          <w:highlight w:val="none"/>
        </w:rPr>
        <w:fldChar w:fldCharType="end"/>
      </w:r>
    </w:p>
    <w:p>
      <w:pPr>
        <w:pStyle w:val="35"/>
        <w:tabs>
          <w:tab w:val="right" w:leader="dot" w:pos="8846"/>
        </w:tabs>
        <w:spacing w:line="360" w:lineRule="auto"/>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"_Toc86053873" </w:instrText>
      </w:r>
      <w:r>
        <w:rPr>
          <w:color w:val="auto"/>
          <w:highlight w:val="none"/>
        </w:rPr>
        <w:fldChar w:fldCharType="separate"/>
      </w:r>
      <w:r>
        <w:rPr>
          <w:rStyle w:val="60"/>
          <w:rFonts w:ascii="宋体" w:hAnsi="宋体"/>
          <w:color w:val="auto"/>
          <w:sz w:val="24"/>
          <w:highlight w:val="none"/>
        </w:rPr>
        <w:t>第三章  供应商须知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_Toc86053873 \h </w:instrText>
      </w:r>
      <w:r>
        <w:rPr>
          <w:rFonts w:ascii="宋体" w:hAnsi="宋体"/>
          <w:color w:val="auto"/>
          <w:sz w:val="24"/>
          <w:highlight w:val="none"/>
        </w:rPr>
        <w:fldChar w:fldCharType="separate"/>
      </w:r>
      <w:r>
        <w:rPr>
          <w:rFonts w:ascii="宋体" w:hAnsi="宋体"/>
          <w:color w:val="auto"/>
          <w:sz w:val="24"/>
          <w:highlight w:val="none"/>
        </w:rPr>
        <w:t>9</w:t>
      </w:r>
      <w:r>
        <w:rPr>
          <w:rFonts w:ascii="宋体" w:hAnsi="宋体"/>
          <w:color w:val="auto"/>
          <w:sz w:val="24"/>
          <w:highlight w:val="none"/>
        </w:rPr>
        <w:fldChar w:fldCharType="end"/>
      </w:r>
      <w:r>
        <w:rPr>
          <w:rFonts w:ascii="宋体" w:hAnsi="宋体"/>
          <w:color w:val="auto"/>
          <w:sz w:val="24"/>
          <w:highlight w:val="none"/>
        </w:rPr>
        <w:fldChar w:fldCharType="end"/>
      </w:r>
    </w:p>
    <w:p>
      <w:pPr>
        <w:pStyle w:val="35"/>
        <w:tabs>
          <w:tab w:val="right" w:leader="dot" w:pos="8846"/>
        </w:tabs>
        <w:spacing w:line="360" w:lineRule="auto"/>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"_Toc86053874" </w:instrText>
      </w:r>
      <w:r>
        <w:rPr>
          <w:color w:val="auto"/>
          <w:highlight w:val="none"/>
        </w:rPr>
        <w:fldChar w:fldCharType="separate"/>
      </w:r>
      <w:r>
        <w:rPr>
          <w:rStyle w:val="60"/>
          <w:rFonts w:ascii="宋体" w:hAnsi="宋体"/>
          <w:color w:val="auto"/>
          <w:sz w:val="24"/>
          <w:highlight w:val="none"/>
        </w:rPr>
        <w:t>第四章  评审方法和评审标准</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_Toc86053874 \h </w:instrText>
      </w:r>
      <w:r>
        <w:rPr>
          <w:rFonts w:ascii="宋体" w:hAnsi="宋体"/>
          <w:color w:val="auto"/>
          <w:sz w:val="24"/>
          <w:highlight w:val="none"/>
        </w:rPr>
        <w:fldChar w:fldCharType="separate"/>
      </w:r>
      <w:r>
        <w:rPr>
          <w:rFonts w:ascii="宋体" w:hAnsi="宋体"/>
          <w:color w:val="auto"/>
          <w:sz w:val="24"/>
          <w:highlight w:val="none"/>
        </w:rPr>
        <w:t>22</w:t>
      </w:r>
      <w:r>
        <w:rPr>
          <w:rFonts w:ascii="宋体" w:hAnsi="宋体"/>
          <w:color w:val="auto"/>
          <w:sz w:val="24"/>
          <w:highlight w:val="none"/>
        </w:rPr>
        <w:fldChar w:fldCharType="end"/>
      </w:r>
      <w:r>
        <w:rPr>
          <w:rFonts w:ascii="宋体" w:hAnsi="宋体"/>
          <w:color w:val="auto"/>
          <w:sz w:val="24"/>
          <w:highlight w:val="none"/>
        </w:rPr>
        <w:fldChar w:fldCharType="end"/>
      </w:r>
    </w:p>
    <w:p>
      <w:pPr>
        <w:pStyle w:val="35"/>
        <w:tabs>
          <w:tab w:val="right" w:leader="dot" w:pos="8846"/>
        </w:tabs>
        <w:spacing w:line="360" w:lineRule="auto"/>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"_Toc86053875" </w:instrText>
      </w:r>
      <w:r>
        <w:rPr>
          <w:color w:val="auto"/>
          <w:highlight w:val="none"/>
        </w:rPr>
        <w:fldChar w:fldCharType="separate"/>
      </w:r>
      <w:r>
        <w:rPr>
          <w:rStyle w:val="60"/>
          <w:rFonts w:ascii="宋体" w:hAnsi="宋体"/>
          <w:color w:val="auto"/>
          <w:sz w:val="24"/>
          <w:highlight w:val="none"/>
        </w:rPr>
        <w:t>第五章  合同草案条款</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_Toc86053875 \h </w:instrText>
      </w:r>
      <w:r>
        <w:rPr>
          <w:rFonts w:ascii="宋体" w:hAnsi="宋体"/>
          <w:color w:val="auto"/>
          <w:sz w:val="24"/>
          <w:highlight w:val="none"/>
        </w:rPr>
        <w:fldChar w:fldCharType="separate"/>
      </w:r>
      <w:r>
        <w:rPr>
          <w:rFonts w:ascii="宋体" w:hAnsi="宋体"/>
          <w:color w:val="auto"/>
          <w:sz w:val="24"/>
          <w:highlight w:val="none"/>
        </w:rPr>
        <w:t>27</w:t>
      </w:r>
      <w:r>
        <w:rPr>
          <w:rFonts w:ascii="宋体" w:hAnsi="宋体"/>
          <w:color w:val="auto"/>
          <w:sz w:val="24"/>
          <w:highlight w:val="none"/>
        </w:rPr>
        <w:fldChar w:fldCharType="end"/>
      </w:r>
      <w:r>
        <w:rPr>
          <w:rFonts w:ascii="宋体" w:hAnsi="宋体"/>
          <w:color w:val="auto"/>
          <w:sz w:val="24"/>
          <w:highlight w:val="none"/>
        </w:rPr>
        <w:fldChar w:fldCharType="end"/>
      </w:r>
    </w:p>
    <w:p>
      <w:pPr>
        <w:pStyle w:val="35"/>
        <w:tabs>
          <w:tab w:val="right" w:leader="dot" w:pos="8846"/>
        </w:tabs>
        <w:spacing w:line="360" w:lineRule="auto"/>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"_Toc86053876" </w:instrText>
      </w:r>
      <w:r>
        <w:rPr>
          <w:color w:val="auto"/>
          <w:highlight w:val="none"/>
        </w:rPr>
        <w:fldChar w:fldCharType="separate"/>
      </w:r>
      <w:r>
        <w:rPr>
          <w:rStyle w:val="60"/>
          <w:rFonts w:ascii="宋体" w:hAnsi="宋体"/>
          <w:color w:val="auto"/>
          <w:sz w:val="24"/>
          <w:highlight w:val="none"/>
        </w:rPr>
        <w:t>第六章  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_Toc86053876 \h </w:instrText>
      </w:r>
      <w:r>
        <w:rPr>
          <w:rFonts w:ascii="宋体" w:hAnsi="宋体"/>
          <w:color w:val="auto"/>
          <w:sz w:val="24"/>
          <w:highlight w:val="none"/>
        </w:rPr>
        <w:fldChar w:fldCharType="separate"/>
      </w:r>
      <w:r>
        <w:rPr>
          <w:rFonts w:ascii="宋体" w:hAnsi="宋体"/>
          <w:color w:val="auto"/>
          <w:sz w:val="24"/>
          <w:highlight w:val="none"/>
        </w:rPr>
        <w:t>41</w:t>
      </w:r>
      <w:r>
        <w:rPr>
          <w:rFonts w:ascii="宋体" w:hAnsi="宋体"/>
          <w:color w:val="auto"/>
          <w:sz w:val="24"/>
          <w:highlight w:val="none"/>
        </w:rPr>
        <w:fldChar w:fldCharType="end"/>
      </w:r>
      <w:r>
        <w:rPr>
          <w:rFonts w:ascii="宋体" w:hAnsi="宋体"/>
          <w:color w:val="auto"/>
          <w:sz w:val="24"/>
          <w:highlight w:val="none"/>
        </w:rPr>
        <w:fldChar w:fldCharType="end"/>
      </w:r>
    </w:p>
    <w:p>
      <w:pPr>
        <w:pStyle w:val="35"/>
        <w:tabs>
          <w:tab w:val="right" w:leader="dot" w:pos="8846"/>
        </w:tabs>
        <w:spacing w:line="360" w:lineRule="auto"/>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"_Toc86053877" </w:instrText>
      </w:r>
      <w:r>
        <w:rPr>
          <w:color w:val="auto"/>
          <w:highlight w:val="none"/>
        </w:rPr>
        <w:fldChar w:fldCharType="separate"/>
      </w:r>
      <w:r>
        <w:rPr>
          <w:rStyle w:val="60"/>
          <w:rFonts w:ascii="宋体" w:hAnsi="宋体"/>
          <w:color w:val="auto"/>
          <w:sz w:val="24"/>
          <w:highlight w:val="none"/>
        </w:rPr>
        <w:t>第七章  政府采购供应商质疑函及投诉书范本</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_Toc86053877 \h </w:instrText>
      </w:r>
      <w:r>
        <w:rPr>
          <w:rFonts w:ascii="宋体" w:hAnsi="宋体"/>
          <w:color w:val="auto"/>
          <w:sz w:val="24"/>
          <w:highlight w:val="none"/>
        </w:rPr>
        <w:fldChar w:fldCharType="separate"/>
      </w:r>
      <w:r>
        <w:rPr>
          <w:rFonts w:ascii="宋体" w:hAnsi="宋体"/>
          <w:color w:val="auto"/>
          <w:sz w:val="24"/>
          <w:highlight w:val="none"/>
        </w:rPr>
        <w:t>55</w:t>
      </w:r>
      <w:r>
        <w:rPr>
          <w:rFonts w:ascii="宋体" w:hAnsi="宋体"/>
          <w:color w:val="auto"/>
          <w:sz w:val="24"/>
          <w:highlight w:val="none"/>
        </w:rPr>
        <w:fldChar w:fldCharType="end"/>
      </w:r>
      <w:r>
        <w:rPr>
          <w:rFonts w:ascii="宋体" w:hAnsi="宋体"/>
          <w:color w:val="auto"/>
          <w:sz w:val="24"/>
          <w:highlight w:val="none"/>
        </w:rPr>
        <w:fldChar w:fldCharType="end"/>
      </w:r>
    </w:p>
    <w:p>
      <w:pPr>
        <w:spacing w:line="360" w:lineRule="auto"/>
        <w:rPr>
          <w:rFonts w:asciiTheme="minorEastAsia" w:hAnsiTheme="minorEastAsia" w:eastAsiaTheme="minorEastAsia"/>
          <w:color w:val="auto"/>
          <w:highlight w:val="none"/>
        </w:rPr>
      </w:pPr>
      <w:r>
        <w:rPr>
          <w:rFonts w:ascii="宋体" w:hAnsi="宋体"/>
          <w:b/>
          <w:bCs/>
          <w:color w:val="auto"/>
          <w:sz w:val="24"/>
          <w:highlight w:val="none"/>
          <w:lang w:val="zh-CN"/>
        </w:rPr>
        <w:fldChar w:fldCharType="end"/>
      </w:r>
    </w:p>
    <w:p>
      <w:pPr>
        <w:spacing w:line="360" w:lineRule="auto"/>
        <w:rPr>
          <w:rFonts w:asciiTheme="minorEastAsia" w:hAnsiTheme="minorEastAsia" w:eastAsiaTheme="minorEastAsia"/>
          <w:color w:val="auto"/>
          <w:kern w:val="0"/>
          <w:sz w:val="28"/>
          <w:szCs w:val="28"/>
          <w:highlight w:val="none"/>
        </w:rPr>
      </w:pPr>
    </w:p>
    <w:p>
      <w:pPr>
        <w:pStyle w:val="28"/>
        <w:snapToGrid w:val="0"/>
        <w:spacing w:beforeLines="0" w:afterLines="0" w:line="360" w:lineRule="auto"/>
        <w:jc w:val="center"/>
        <w:outlineLvl w:val="0"/>
        <w:rPr>
          <w:rFonts w:asciiTheme="minorEastAsia" w:hAnsiTheme="minorEastAsia" w:eastAsiaTheme="minorEastAsia"/>
          <w:color w:val="auto"/>
          <w:sz w:val="28"/>
          <w:szCs w:val="28"/>
          <w:highlight w:val="none"/>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pPr>
        <w:pStyle w:val="4"/>
        <w:rPr>
          <w:rFonts w:cs="宋体" w:asciiTheme="minorEastAsia" w:hAnsiTheme="minorEastAsia" w:eastAsiaTheme="minorEastAsia"/>
          <w:color w:val="auto"/>
          <w:szCs w:val="30"/>
          <w:highlight w:val="none"/>
        </w:rPr>
      </w:pPr>
      <w:bookmarkStart w:id="0" w:name="_Toc86053871"/>
      <w:bookmarkStart w:id="1" w:name="_Toc34844741"/>
      <w:r>
        <w:rPr>
          <w:rFonts w:hint="eastAsia" w:asciiTheme="minorEastAsia" w:hAnsiTheme="minorEastAsia" w:eastAsiaTheme="minorEastAsia"/>
          <w:color w:val="auto"/>
          <w:highlight w:val="none"/>
        </w:rPr>
        <w:t>第一章</w:t>
      </w:r>
      <w:bookmarkEnd w:id="0"/>
      <w:bookmarkEnd w:id="1"/>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Cs w:val="30"/>
          <w:highlight w:val="none"/>
        </w:rPr>
        <w:t>采购公告</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u w:val="single"/>
        </w:rPr>
        <w:t>浙江商业技师学院学生餐厅改造项目</w:t>
      </w:r>
      <w:r>
        <w:rPr>
          <w:rFonts w:hint="eastAsia" w:asciiTheme="minorEastAsia" w:hAnsiTheme="minorEastAsia" w:eastAsiaTheme="minorEastAsia"/>
          <w:color w:val="auto"/>
          <w:highlight w:val="none"/>
        </w:rPr>
        <w:t>的潜在供应商应在政采云平台（</w:t>
      </w:r>
      <w:r>
        <w:rPr>
          <w:color w:val="auto"/>
          <w:highlight w:val="none"/>
        </w:rPr>
        <w:fldChar w:fldCharType="begin"/>
      </w:r>
      <w:r>
        <w:rPr>
          <w:color w:val="auto"/>
          <w:highlight w:val="none"/>
        </w:rPr>
        <w:instrText xml:space="preserve"> HYPERLINK "https://www.zcygov.cn）获取（下载）采购文件，并于2024年4月" </w:instrText>
      </w:r>
      <w:r>
        <w:rPr>
          <w:color w:val="auto"/>
          <w:highlight w:val="none"/>
        </w:rPr>
        <w:fldChar w:fldCharType="separate"/>
      </w:r>
      <w:r>
        <w:rPr>
          <w:rStyle w:val="60"/>
          <w:rFonts w:hint="eastAsia" w:asciiTheme="minorEastAsia" w:hAnsiTheme="minorEastAsia" w:eastAsiaTheme="minorEastAsia"/>
          <w:bCs/>
          <w:color w:val="auto"/>
          <w:highlight w:val="none"/>
        </w:rPr>
        <w:t>https://www.zcygov.cn）获取（下载）采购文件，并于2024年</w:t>
      </w:r>
      <w:r>
        <w:rPr>
          <w:rStyle w:val="60"/>
          <w:rFonts w:hint="eastAsia" w:asciiTheme="minorEastAsia" w:hAnsiTheme="minorEastAsia" w:eastAsiaTheme="minorEastAsia"/>
          <w:bCs/>
          <w:color w:val="auto"/>
          <w:highlight w:val="none"/>
          <w:lang w:val="en-US" w:eastAsia="zh-CN"/>
        </w:rPr>
        <w:t>7</w:t>
      </w:r>
      <w:r>
        <w:rPr>
          <w:rStyle w:val="60"/>
          <w:rFonts w:hint="eastAsia" w:asciiTheme="minorEastAsia" w:hAnsiTheme="minorEastAsia" w:eastAsiaTheme="minorEastAsia"/>
          <w:bCs/>
          <w:color w:val="auto"/>
          <w:highlight w:val="none"/>
        </w:rPr>
        <w:t>月</w:t>
      </w:r>
      <w:r>
        <w:rPr>
          <w:rStyle w:val="60"/>
          <w:rFonts w:hint="eastAsia" w:asciiTheme="minorEastAsia" w:hAnsiTheme="minorEastAsia" w:eastAsiaTheme="minorEastAsia"/>
          <w:bCs/>
          <w:color w:val="auto"/>
          <w:highlight w:val="none"/>
        </w:rPr>
        <w:fldChar w:fldCharType="end"/>
      </w:r>
      <w:r>
        <w:rPr>
          <w:rStyle w:val="60"/>
          <w:rFonts w:hint="eastAsia" w:asciiTheme="minorEastAsia" w:hAnsiTheme="minorEastAsia" w:eastAsiaTheme="minorEastAsia"/>
          <w:bCs/>
          <w:color w:val="auto"/>
          <w:highlight w:val="none"/>
          <w:lang w:val="en-US" w:eastAsia="zh-CN"/>
        </w:rPr>
        <w:t>2</w:t>
      </w:r>
      <w:r>
        <w:rPr>
          <w:rFonts w:hint="eastAsia" w:asciiTheme="minorEastAsia" w:hAnsiTheme="minorEastAsia" w:eastAsiaTheme="minorEastAsia"/>
          <w:bCs/>
          <w:color w:val="auto"/>
          <w:highlight w:val="none"/>
          <w:u w:val="single"/>
        </w:rPr>
        <w:t>日14：0</w:t>
      </w:r>
      <w:r>
        <w:rPr>
          <w:rFonts w:asciiTheme="minorEastAsia" w:hAnsiTheme="minorEastAsia" w:eastAsiaTheme="minorEastAsia"/>
          <w:bCs/>
          <w:color w:val="auto"/>
          <w:highlight w:val="none"/>
          <w:u w:val="single"/>
        </w:rPr>
        <w:t>0</w:t>
      </w:r>
      <w:r>
        <w:rPr>
          <w:rFonts w:hint="eastAsia" w:asciiTheme="minorEastAsia" w:hAnsiTheme="minorEastAsia" w:eastAsiaTheme="minorEastAsia"/>
          <w:bCs/>
          <w:color w:val="auto"/>
          <w:highlight w:val="none"/>
        </w:rPr>
        <w:t>（北京时间）前提交（上传）响应</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w:t>
      </w:r>
    </w:p>
    <w:p>
      <w:pPr>
        <w:pStyle w:val="5"/>
        <w:spacing w:before="0" w:after="0" w:line="360" w:lineRule="auto"/>
        <w:rPr>
          <w:rFonts w:asciiTheme="minorEastAsia" w:hAnsiTheme="minorEastAsia" w:eastAsiaTheme="minorEastAsia"/>
          <w:color w:val="auto"/>
          <w:sz w:val="21"/>
          <w:szCs w:val="21"/>
          <w:highlight w:val="none"/>
        </w:rPr>
      </w:pPr>
      <w:bookmarkStart w:id="2" w:name="_Toc28359089"/>
      <w:bookmarkStart w:id="3" w:name="_Toc28359012"/>
      <w:bookmarkStart w:id="4" w:name="_Toc35393798"/>
      <w:bookmarkStart w:id="5" w:name="_Toc35393629"/>
      <w:r>
        <w:rPr>
          <w:rFonts w:hint="eastAsia" w:asciiTheme="minorEastAsia" w:hAnsiTheme="minorEastAsia" w:eastAsiaTheme="minorEastAsia"/>
          <w:color w:val="auto"/>
          <w:sz w:val="21"/>
          <w:szCs w:val="21"/>
          <w:highlight w:val="none"/>
        </w:rPr>
        <w:t>一、项目基本情况</w:t>
      </w:r>
      <w:bookmarkEnd w:id="2"/>
      <w:bookmarkEnd w:id="3"/>
      <w:bookmarkEnd w:id="4"/>
      <w:bookmarkEnd w:id="5"/>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项目编号：NBMC-20249046SJ磋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项目名称：浙江商业技师学院学生餐厅改造项目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采购方式：竞争性磋商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w:t>
      </w:r>
      <w:r>
        <w:rPr>
          <w:rFonts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rPr>
        <w:t>：847500.00</w:t>
      </w:r>
    </w:p>
    <w:p>
      <w:pPr>
        <w:spacing w:line="360" w:lineRule="auto"/>
        <w:ind w:firstLine="420" w:firstLineChars="200"/>
        <w:rPr>
          <w:rFonts w:ascii="宋体" w:hAnsi="宋体" w:eastAsiaTheme="minorEastAsia"/>
          <w:color w:val="auto"/>
          <w:szCs w:val="21"/>
          <w:highlight w:val="none"/>
        </w:rPr>
      </w:pPr>
      <w:r>
        <w:rPr>
          <w:rFonts w:hint="eastAsia" w:asciiTheme="minorEastAsia" w:hAnsiTheme="minorEastAsia" w:eastAsiaTheme="minorEastAsia"/>
          <w:color w:val="auto"/>
          <w:szCs w:val="21"/>
          <w:highlight w:val="none"/>
        </w:rPr>
        <w:t>最高限价（元）：847500.00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标项名称：浙江商业技师学院学生餐厅改造项目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预算金额（元）：847500.00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简要规格描述：工程施工图范围内的餐厅改造工程内容。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（1）计划工期：</w:t>
      </w:r>
      <w:r>
        <w:rPr>
          <w:rFonts w:hint="eastAsia" w:asciiTheme="minorEastAsia" w:hAnsiTheme="minorEastAsia" w:eastAsiaTheme="minorEastAsia"/>
          <w:color w:val="auto"/>
          <w:szCs w:val="21"/>
          <w:highlight w:val="none"/>
          <w:lang w:val="en-US" w:eastAsia="zh-CN"/>
        </w:rPr>
        <w:t>40</w:t>
      </w:r>
      <w:r>
        <w:rPr>
          <w:rFonts w:asciiTheme="minorEastAsia" w:hAnsiTheme="minorEastAsia" w:eastAsiaTheme="minorEastAsia"/>
          <w:color w:val="auto"/>
          <w:szCs w:val="21"/>
          <w:highlight w:val="none"/>
        </w:rPr>
        <w:t>日历天</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（2）质量要求：按国家施工验收规范一次性验收合格</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（3）安全要求：合格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合同履约期限：标项1，自合同签订之日起至合同全部义务履行完毕止。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本项目（否）接受联合体参加磋商。</w:t>
      </w:r>
    </w:p>
    <w:p>
      <w:pPr>
        <w:pStyle w:val="5"/>
        <w:spacing w:before="0" w:after="0" w:line="360" w:lineRule="auto"/>
        <w:rPr>
          <w:rFonts w:asciiTheme="minorEastAsia" w:hAnsiTheme="minorEastAsia" w:eastAsiaTheme="minorEastAsia"/>
          <w:color w:val="auto"/>
          <w:sz w:val="21"/>
          <w:szCs w:val="21"/>
          <w:highlight w:val="none"/>
        </w:rPr>
      </w:pPr>
      <w:bookmarkStart w:id="6" w:name="_Toc28359090"/>
      <w:bookmarkStart w:id="7" w:name="_Toc35393799"/>
      <w:bookmarkStart w:id="8" w:name="_Toc28359013"/>
      <w:bookmarkStart w:id="9" w:name="_Toc35393630"/>
      <w:r>
        <w:rPr>
          <w:rFonts w:hint="eastAsia" w:asciiTheme="minorEastAsia" w:hAnsiTheme="minorEastAsia" w:eastAsiaTheme="minorEastAsia"/>
          <w:color w:val="auto"/>
          <w:sz w:val="21"/>
          <w:szCs w:val="21"/>
          <w:highlight w:val="none"/>
        </w:rPr>
        <w:t>二、申请人的资格要求：</w:t>
      </w:r>
      <w:bookmarkEnd w:id="6"/>
      <w:bookmarkEnd w:id="7"/>
      <w:bookmarkEnd w:id="8"/>
      <w:bookmarkEnd w:id="9"/>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第一款规定；未被“信用中国”（www.creditchina.gov.cn)、中国政府采购网（www.ccgp.gov.cn）列入失信被执行人、重大税收违法案件当事人名单、政府采购严重违法失信行为记录名单。</w:t>
      </w:r>
    </w:p>
    <w:p>
      <w:pPr>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.单位负责人为同一人或者存在直接控股、管理关系的不同供应商，不得同时参加本项目的政府采购活动。</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为本项目提供整体设计、规范编制或者项目管理、监理、检测等服务的供应商，不得再参加本项目的磋商。</w:t>
      </w:r>
    </w:p>
    <w:p>
      <w:pPr>
        <w:spacing w:line="360" w:lineRule="auto"/>
        <w:ind w:firstLine="420" w:firstLineChars="200"/>
        <w:jc w:val="left"/>
        <w:rPr>
          <w:rFonts w:asciiTheme="minorEastAsia" w:hAnsiTheme="minorEastAsia" w:eastAsiaTheme="minorEastAsia"/>
          <w:color w:val="auto"/>
          <w:szCs w:val="21"/>
          <w:highlight w:val="none"/>
        </w:rPr>
      </w:pPr>
      <w:bookmarkStart w:id="10" w:name="_Toc28359091"/>
      <w:bookmarkStart w:id="11" w:name="_Toc28359014"/>
      <w:r>
        <w:rPr>
          <w:rFonts w:hint="eastAsia" w:asciiTheme="minorEastAsia" w:hAnsiTheme="minorEastAsia" w:eastAsiaTheme="minorEastAsia"/>
          <w:color w:val="auto"/>
          <w:szCs w:val="21"/>
          <w:highlight w:val="none"/>
        </w:rPr>
        <w:t>4.落实政府采购政策需满足的资格要求：标项1：</w:t>
      </w:r>
      <w:r>
        <w:rPr>
          <w:rFonts w:hint="eastAsia" w:asciiTheme="minorEastAsia" w:hAnsiTheme="minorEastAsia" w:eastAsiaTheme="minorEastAsia"/>
          <w:color w:val="auto"/>
          <w:szCs w:val="21"/>
          <w:highlight w:val="none"/>
          <w:u w:val="single"/>
        </w:rPr>
        <w:t>供应商为属于建筑业的中小企业</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5.本项目的特定资格要求：</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（1）具备</w:t>
      </w:r>
      <w:r>
        <w:rPr>
          <w:rFonts w:ascii="宋体" w:hAnsi="宋体"/>
          <w:color w:val="auto"/>
          <w:highlight w:val="none"/>
        </w:rPr>
        <w:t>建筑装修装饰工程专业承包</w:t>
      </w:r>
      <w:r>
        <w:rPr>
          <w:rFonts w:hint="eastAsia" w:ascii="宋体" w:hAnsi="宋体"/>
          <w:color w:val="auto"/>
          <w:highlight w:val="none"/>
        </w:rPr>
        <w:t>二</w:t>
      </w:r>
      <w:r>
        <w:rPr>
          <w:rFonts w:ascii="宋体" w:hAnsi="宋体"/>
          <w:color w:val="auto"/>
          <w:highlight w:val="none"/>
        </w:rPr>
        <w:t>级及以上资质</w:t>
      </w:r>
      <w:r>
        <w:rPr>
          <w:rFonts w:hint="eastAsia" w:ascii="宋体" w:hAnsi="宋体"/>
          <w:color w:val="auto"/>
          <w:highlight w:val="none"/>
        </w:rPr>
        <w:t>或建筑施工总承包三级及以上资质</w:t>
      </w:r>
      <w:r>
        <w:rPr>
          <w:rFonts w:hint="eastAsia" w:asciiTheme="minorEastAsia" w:hAnsiTheme="minorEastAsia" w:eastAsiaTheme="minorEastAsia"/>
          <w:color w:val="auto"/>
          <w:szCs w:val="21"/>
          <w:highlight w:val="none"/>
        </w:rPr>
        <w:t>；</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）具备有效的安全生产许可证。</w:t>
      </w:r>
    </w:p>
    <w:p>
      <w:pPr>
        <w:pStyle w:val="5"/>
        <w:spacing w:before="0" w:after="0" w:line="360" w:lineRule="auto"/>
        <w:rPr>
          <w:rFonts w:asciiTheme="minorEastAsia" w:hAnsiTheme="minorEastAsia" w:eastAsiaTheme="minorEastAsia"/>
          <w:color w:val="auto"/>
          <w:sz w:val="21"/>
          <w:szCs w:val="21"/>
          <w:highlight w:val="none"/>
        </w:rPr>
      </w:pPr>
      <w:bookmarkStart w:id="12" w:name="_Toc35393800"/>
      <w:bookmarkStart w:id="13" w:name="_Toc35393631"/>
      <w:r>
        <w:rPr>
          <w:rFonts w:hint="eastAsia" w:asciiTheme="minorEastAsia" w:hAnsiTheme="minorEastAsia" w:eastAsiaTheme="minorEastAsia"/>
          <w:color w:val="auto"/>
          <w:sz w:val="21"/>
          <w:szCs w:val="21"/>
          <w:highlight w:val="none"/>
        </w:rPr>
        <w:t>三、获取</w:t>
      </w:r>
      <w:bookmarkEnd w:id="10"/>
      <w:bookmarkEnd w:id="11"/>
      <w:bookmarkEnd w:id="12"/>
      <w:bookmarkEnd w:id="13"/>
      <w:r>
        <w:rPr>
          <w:rFonts w:hint="eastAsia" w:asciiTheme="minorEastAsia" w:hAnsiTheme="minorEastAsia" w:eastAsiaTheme="minorEastAsia"/>
          <w:color w:val="auto"/>
          <w:sz w:val="21"/>
          <w:szCs w:val="21"/>
          <w:highlight w:val="none"/>
        </w:rPr>
        <w:t>（下载）采购文件</w:t>
      </w:r>
    </w:p>
    <w:p>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时间：/至2024年</w:t>
      </w: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日，每天上午00:00至12:00，下午12:00至23:59（北京时间，线上获取法定节假日均可，线下获取文件法定节假日除外）</w:t>
      </w:r>
    </w:p>
    <w:p>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地点（网址）：政采云平台（https://www.zcygov.cn）</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方式：依法获取磋商文件方式为潜在供应商登陆政采云平台，根据政采云平台的规定步骤进行操作并在线申请获取磋商文件。仅需浏览磋商文件的只需点击“游客，浏览采购文件”直接下载磋商文件进行浏览。</w:t>
      </w:r>
    </w:p>
    <w:p>
      <w:pPr>
        <w:spacing w:line="360" w:lineRule="auto"/>
        <w:ind w:firstLine="420" w:firstLineChars="200"/>
        <w:rPr>
          <w:rFonts w:cs="Arial"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任何网站显示的本项目采购公告附件中提供的磋商文件仅供阅览使用，未按磋商文件规定的程序依法获取磋商文件的潜在供应商，对磋商文件提起质疑的，按照无效质疑处理。采购人及采购代理机构拒收未依法获取磋商文件的供应商提交的响应文件或其磋商响应按照无效响应处理。</w:t>
      </w:r>
    </w:p>
    <w:p>
      <w:pPr>
        <w:spacing w:line="360" w:lineRule="auto"/>
        <w:ind w:firstLine="420" w:firstLineChars="200"/>
        <w:rPr>
          <w:rFonts w:cs="宋体" w:asciiTheme="minorEastAsia" w:hAnsiTheme="minorEastAsia" w:eastAsiaTheme="minorEastAsia"/>
          <w:color w:val="auto"/>
          <w:szCs w:val="21"/>
          <w:highlight w:val="none"/>
        </w:rPr>
      </w:pPr>
      <w:bookmarkStart w:id="14" w:name="_Toc35393632"/>
      <w:bookmarkStart w:id="15" w:name="_Toc28359015"/>
      <w:bookmarkStart w:id="16" w:name="_Toc28359092"/>
      <w:bookmarkStart w:id="17" w:name="_Toc35393801"/>
      <w:r>
        <w:rPr>
          <w:rFonts w:hint="eastAsia" w:cs="宋体" w:asciiTheme="minorEastAsia" w:hAnsiTheme="minorEastAsia" w:eastAsiaTheme="minorEastAsia"/>
          <w:color w:val="auto"/>
          <w:szCs w:val="21"/>
          <w:highlight w:val="none"/>
        </w:rPr>
        <w:t>售价（元）：0</w:t>
      </w:r>
    </w:p>
    <w:p>
      <w:pPr>
        <w:pStyle w:val="5"/>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、响应文件提交</w:t>
      </w:r>
      <w:bookmarkEnd w:id="14"/>
      <w:bookmarkEnd w:id="15"/>
      <w:bookmarkEnd w:id="16"/>
      <w:bookmarkEnd w:id="17"/>
      <w:r>
        <w:rPr>
          <w:rFonts w:hint="eastAsia" w:asciiTheme="minorEastAsia" w:hAnsiTheme="minorEastAsia" w:eastAsiaTheme="minorEastAsia"/>
          <w:color w:val="auto"/>
          <w:sz w:val="21"/>
          <w:szCs w:val="21"/>
          <w:highlight w:val="none"/>
        </w:rPr>
        <w:t>（上传）</w:t>
      </w:r>
    </w:p>
    <w:p>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截止时间：2024年</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日14:00（北京时间）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地点（网址）：</w:t>
      </w:r>
      <w:r>
        <w:rPr>
          <w:rFonts w:hint="eastAsia" w:cs="Arial" w:asciiTheme="minorEastAsia" w:hAnsiTheme="minorEastAsia" w:eastAsiaTheme="minorEastAsia"/>
          <w:color w:val="auto"/>
          <w:szCs w:val="21"/>
          <w:highlight w:val="none"/>
        </w:rPr>
        <w:t>电子加密响应文件通过</w:t>
      </w:r>
      <w:r>
        <w:rPr>
          <w:rFonts w:hint="eastAsia" w:asciiTheme="minorEastAsia" w:hAnsiTheme="minorEastAsia" w:eastAsiaTheme="minorEastAsia"/>
          <w:color w:val="auto"/>
          <w:szCs w:val="21"/>
          <w:highlight w:val="none"/>
        </w:rPr>
        <w:t>政采云平台（https://www.zcygov.cn）</w:t>
      </w:r>
      <w:r>
        <w:rPr>
          <w:rFonts w:hint="eastAsia" w:cs="Arial" w:asciiTheme="minorEastAsia" w:hAnsiTheme="minorEastAsia" w:eastAsiaTheme="minorEastAsia"/>
          <w:color w:val="auto"/>
          <w:szCs w:val="21"/>
          <w:highlight w:val="none"/>
        </w:rPr>
        <w:t>在线上传提交；</w:t>
      </w:r>
      <w:r>
        <w:rPr>
          <w:rFonts w:hint="eastAsia" w:asciiTheme="minorEastAsia" w:hAnsiTheme="minorEastAsia" w:eastAsiaTheme="minorEastAsia"/>
          <w:bCs/>
          <w:color w:val="auto"/>
          <w:szCs w:val="21"/>
          <w:highlight w:val="none"/>
        </w:rPr>
        <w:t>备份响应文件在</w:t>
      </w:r>
      <w:r>
        <w:rPr>
          <w:rFonts w:hint="eastAsia" w:asciiTheme="minorEastAsia" w:hAnsiTheme="minorEastAsia" w:eastAsiaTheme="minorEastAsia"/>
          <w:color w:val="auto"/>
          <w:szCs w:val="21"/>
          <w:highlight w:val="none"/>
        </w:rPr>
        <w:t>截止时间前</w:t>
      </w:r>
      <w:r>
        <w:rPr>
          <w:rFonts w:hint="eastAsia" w:cs="Arial" w:asciiTheme="minorEastAsia" w:hAnsiTheme="minorEastAsia" w:eastAsiaTheme="minorEastAsia"/>
          <w:color w:val="auto"/>
          <w:szCs w:val="21"/>
          <w:highlight w:val="none"/>
        </w:rPr>
        <w:t>邮寄或送达</w:t>
      </w:r>
      <w:r>
        <w:rPr>
          <w:rFonts w:hint="eastAsia" w:cs="宋体" w:asciiTheme="minorEastAsia" w:hAnsiTheme="minorEastAsia" w:eastAsiaTheme="minorEastAsia"/>
          <w:color w:val="auto"/>
          <w:szCs w:val="21"/>
          <w:highlight w:val="none"/>
        </w:rPr>
        <w:t>采购代理机构（如提供）。</w:t>
      </w:r>
    </w:p>
    <w:p>
      <w:pPr>
        <w:pStyle w:val="5"/>
        <w:spacing w:before="0" w:after="0" w:line="360" w:lineRule="auto"/>
        <w:rPr>
          <w:rFonts w:asciiTheme="minorEastAsia" w:hAnsiTheme="minorEastAsia" w:eastAsiaTheme="minorEastAsia"/>
          <w:color w:val="auto"/>
          <w:sz w:val="21"/>
          <w:szCs w:val="21"/>
          <w:highlight w:val="none"/>
        </w:rPr>
      </w:pPr>
      <w:bookmarkStart w:id="18" w:name="_Toc28359016"/>
      <w:bookmarkStart w:id="19" w:name="_Toc28359093"/>
      <w:bookmarkStart w:id="20" w:name="_Toc35393633"/>
      <w:bookmarkStart w:id="21" w:name="_Toc35393802"/>
      <w:r>
        <w:rPr>
          <w:rFonts w:hint="eastAsia" w:asciiTheme="minorEastAsia" w:hAnsiTheme="minorEastAsia" w:eastAsiaTheme="minorEastAsia"/>
          <w:color w:val="auto"/>
          <w:sz w:val="21"/>
          <w:szCs w:val="21"/>
          <w:highlight w:val="none"/>
        </w:rPr>
        <w:t>五、响应文件开启</w:t>
      </w:r>
      <w:bookmarkEnd w:id="18"/>
      <w:bookmarkEnd w:id="19"/>
      <w:bookmarkEnd w:id="20"/>
      <w:bookmarkEnd w:id="21"/>
    </w:p>
    <w:p>
      <w:pPr>
        <w:spacing w:line="360" w:lineRule="auto"/>
        <w:ind w:firstLine="420" w:firstLineChars="200"/>
        <w:rPr>
          <w:rFonts w:asciiTheme="minorEastAsia" w:hAnsiTheme="minorEastAsia" w:eastAsiaTheme="minorEastAsia"/>
          <w:color w:val="auto"/>
          <w:szCs w:val="21"/>
          <w:highlight w:val="none"/>
        </w:rPr>
      </w:pPr>
      <w:bookmarkStart w:id="22" w:name="_Toc28359017"/>
      <w:bookmarkStart w:id="23" w:name="_Toc28359094"/>
      <w:bookmarkStart w:id="24" w:name="_Toc35393803"/>
      <w:bookmarkStart w:id="25" w:name="_Toc35393634"/>
      <w:r>
        <w:rPr>
          <w:rFonts w:hint="eastAsia" w:asciiTheme="minorEastAsia" w:hAnsiTheme="minorEastAsia" w:eastAsiaTheme="minorEastAsia"/>
          <w:color w:val="auto"/>
          <w:szCs w:val="21"/>
          <w:highlight w:val="none"/>
        </w:rPr>
        <w:t>开启时间：2024年</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日14:00（北京时间）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color w:val="auto"/>
          <w:highlight w:val="none"/>
        </w:rPr>
        <w:t>https://www.zcygov.cn</w:t>
      </w:r>
      <w:r>
        <w:rPr>
          <w:rFonts w:hint="eastAsia"/>
          <w:color w:val="auto"/>
          <w:highlight w:val="none"/>
        </w:rPr>
        <w:fldChar w:fldCharType="end"/>
      </w:r>
      <w:r>
        <w:rPr>
          <w:rFonts w:hint="eastAsia" w:asciiTheme="minorEastAsia" w:hAnsiTheme="minorEastAsia" w:eastAsiaTheme="minorEastAsia"/>
          <w:color w:val="auto"/>
          <w:szCs w:val="21"/>
          <w:highlight w:val="none"/>
        </w:rPr>
        <w:t>）</w:t>
      </w:r>
    </w:p>
    <w:p>
      <w:pPr>
        <w:pStyle w:val="5"/>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bCs w:val="0"/>
          <w:color w:val="auto"/>
          <w:kern w:val="2"/>
          <w:sz w:val="21"/>
          <w:szCs w:val="21"/>
          <w:highlight w:val="none"/>
        </w:rPr>
        <w:t>六、</w:t>
      </w:r>
      <w:r>
        <w:rPr>
          <w:rFonts w:hint="eastAsia" w:asciiTheme="minorEastAsia" w:hAnsiTheme="minorEastAsia" w:eastAsiaTheme="minorEastAsia"/>
          <w:color w:val="auto"/>
          <w:sz w:val="21"/>
          <w:szCs w:val="21"/>
          <w:highlight w:val="none"/>
        </w:rPr>
        <w:t>公告期限</w:t>
      </w:r>
      <w:bookmarkEnd w:id="22"/>
      <w:bookmarkEnd w:id="23"/>
      <w:bookmarkEnd w:id="24"/>
      <w:bookmarkEnd w:id="25"/>
    </w:p>
    <w:p>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pPr>
        <w:pStyle w:val="5"/>
        <w:spacing w:before="0" w:after="0" w:line="360" w:lineRule="auto"/>
        <w:rPr>
          <w:rFonts w:asciiTheme="minorEastAsia" w:hAnsiTheme="minorEastAsia" w:eastAsiaTheme="minorEastAsia"/>
          <w:color w:val="auto"/>
          <w:sz w:val="21"/>
          <w:szCs w:val="21"/>
          <w:highlight w:val="none"/>
        </w:rPr>
      </w:pPr>
      <w:bookmarkStart w:id="26" w:name="_Toc35393635"/>
      <w:bookmarkStart w:id="27" w:name="_Toc35393804"/>
      <w:r>
        <w:rPr>
          <w:rFonts w:hint="eastAsia" w:asciiTheme="minorEastAsia" w:hAnsiTheme="minorEastAsia" w:eastAsiaTheme="minorEastAsia"/>
          <w:color w:val="auto"/>
          <w:sz w:val="21"/>
          <w:szCs w:val="21"/>
          <w:highlight w:val="none"/>
        </w:rPr>
        <w:t>七、其他补充事宜</w:t>
      </w:r>
      <w:bookmarkEnd w:id="26"/>
      <w:bookmarkEnd w:id="27"/>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内部设置的采购监督机构投诉。质疑函范本、投诉书范本请到浙江政府采购网下载专区下载。</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其他事项：4.1为依法获取本项目采购文件及磋商响应，潜在供应商应当按照《浙江省政府采购供应商注册及诚信管理暂行办法》的规定在“浙江政府采购网(http://zfcg.czt.zj.gov.cn/)”政采云平台注册登记。成交人必须成为注册供应商，未注册的磋商响应单位，请注意注册所需时间，由此产生的后果自行承担。</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4.2本项目依据《浙江省政府采购项目电子交易管理暂行办法》，通过政采云平台（https://www.zcygov.cn）实行电子交易（在线磋商响应）。潜在供应商在参与本项目磋商响应文件递交截至时间前应当完成“政府采购云平台”的账号注册、身份认证（CA数字证书申领）、“政采云电子交易客户端”下载安装，相关操作指南参考如下：</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1）供应商注册（入驻）：https://middle.zcygov.cn/v-settle-front/registry；</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2）浙江省“电子交易/不见面开评标”学习专题（网址https://edu.zcygov.cn/luban/e-biding）</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3）“政府采购云平台”服务热线电话：95763。</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4.3对符合财政扶持政策的中小企业（小型、微型）、残疾人福利性单位给予价格优惠，执行扶持不发达地区和少数民族地区政府采购政策。</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4.4电子投标注意事项</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1）磋商响应的单位应于提交磋商响应文件截止时间前将电子加密磋商响应文件上传到政府采购云平台（https://www.zcygov.cn），未按规定上传电子加密磋商响应文件，视为磋商响应单位放弃本项目的磋商活动。</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磋商响应单位须在“政府采购云平台”完成“电子加密磋商响应文件”的上传提交之外，还可以在磋商响应文件递交截止时间前提交以U盘为介质存储的备份磋商响应文件，备份磋商响应文件递交可采用现场或邮寄递交的方式，但此项并非强制要求。</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磋商响应文件递交截至时候后，在解密指令发出30分钟内磋商响应单位应当登录政采云平台，用“项目采购-开标评标”功能解密电子加密磋商响应文件。若磋商响应单位在规定时间内无法解密或解密失败且未提供备份磋商响应文件的，视为磋商响应单位放弃磋商活动；如已按照采购文件规定提交备份磋商响应文件的，则采购代理机构按照“政采云平台”的操作规范处理，若使用备份磋商响应文件仍然无法成功的，视为磋商响应单位放弃磋商，因此产生的后果磋商响应单位自行承担。</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电子加密磋商响应文件按时解密的，备份磋商响应文件自动失效。</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4.5本次政府采购活动有关信息在浙江政府采购网（zfcg.czt.zj.gov.cn）网站上公布，发布信息视同送达所有潜在供应商，参加投标的供应商有义务在采购活动期间浏览公告发布网站。</w:t>
      </w:r>
    </w:p>
    <w:p>
      <w:pPr>
        <w:pStyle w:val="5"/>
        <w:spacing w:before="0" w:after="0" w:line="360" w:lineRule="auto"/>
        <w:rPr>
          <w:rFonts w:asciiTheme="minorEastAsia" w:hAnsiTheme="minorEastAsia" w:eastAsiaTheme="minorEastAsia"/>
          <w:color w:val="auto"/>
          <w:sz w:val="21"/>
          <w:szCs w:val="21"/>
          <w:highlight w:val="none"/>
        </w:rPr>
      </w:pPr>
      <w:bookmarkStart w:id="28" w:name="_Toc35393636"/>
      <w:bookmarkStart w:id="29" w:name="_Toc28359095"/>
      <w:bookmarkStart w:id="30" w:name="_Toc28359018"/>
      <w:bookmarkStart w:id="31" w:name="_Toc35393805"/>
      <w:r>
        <w:rPr>
          <w:rFonts w:hint="eastAsia" w:asciiTheme="minorEastAsia" w:hAnsiTheme="minorEastAsia" w:eastAsiaTheme="minorEastAsia"/>
          <w:color w:val="auto"/>
          <w:sz w:val="21"/>
          <w:szCs w:val="21"/>
          <w:highlight w:val="none"/>
        </w:rPr>
        <w:t>八、凡对本次采购提出询问、质疑、投诉，请按</w:t>
      </w:r>
      <w:r>
        <w:rPr>
          <w:rFonts w:asciiTheme="minorEastAsia" w:hAnsiTheme="minorEastAsia" w:eastAsiaTheme="minorEastAsia"/>
          <w:color w:val="auto"/>
          <w:sz w:val="21"/>
          <w:szCs w:val="21"/>
          <w:highlight w:val="none"/>
        </w:rPr>
        <w:t>以下方式</w:t>
      </w:r>
      <w:r>
        <w:rPr>
          <w:rFonts w:hint="eastAsia" w:asciiTheme="minorEastAsia" w:hAnsiTheme="minorEastAsia" w:eastAsiaTheme="minorEastAsia"/>
          <w:color w:val="auto"/>
          <w:sz w:val="21"/>
          <w:szCs w:val="21"/>
          <w:highlight w:val="none"/>
        </w:rPr>
        <w:t>联系</w:t>
      </w:r>
      <w:bookmarkEnd w:id="28"/>
      <w:bookmarkEnd w:id="29"/>
      <w:bookmarkEnd w:id="30"/>
      <w:bookmarkEnd w:id="31"/>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1.采购人信息</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名    称：浙江商业技师学院</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    址：宁波市海曙区白云街道环城西路南段138号</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    真：</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项目联系人（询问）：贺老师</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项目联系方式（询问）：0574-87127536</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质疑联系人：鲍老师</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质疑联系方式：0574-87127536</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名    称：宁波名诚招标代理有限公司</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    址：宁波市海曙区江汇城496号姚江时代14幢3楼</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    真：</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项目联系人（询问）：万修文、王裕挺</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项目联系方式（询问）：0574-83860503</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质疑联系人：方芳</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质疑联系方式：0574-87101271</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3.该项目由采购人处理采购争议。质疑环节，采购人委托采购代理机构处理的，可由采购代理机构答复。对质疑答复不满意的，向采购人内部设置的采购监督机构反映。</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CA问题联系电话（人工）：汇信CA 400-888-4636；天谷CA 400-087-8198。</w:t>
      </w: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rPr>
          <w:rFonts w:asciiTheme="minorEastAsia" w:hAnsiTheme="minorEastAsia" w:eastAsiaTheme="minorEastAsia"/>
          <w:color w:val="auto"/>
          <w:sz w:val="32"/>
          <w:highlight w:val="none"/>
        </w:rPr>
      </w:pPr>
      <w:bookmarkStart w:id="32" w:name="_Toc86053872"/>
      <w:bookmarkStart w:id="33" w:name="_Toc34844742"/>
      <w:r>
        <w:rPr>
          <w:rFonts w:hint="eastAsia" w:asciiTheme="minorEastAsia" w:hAnsiTheme="minorEastAsia" w:eastAsiaTheme="minorEastAsia"/>
          <w:color w:val="auto"/>
          <w:highlight w:val="none"/>
        </w:rPr>
        <w:t>第二章  采购需求</w:t>
      </w:r>
      <w:bookmarkEnd w:id="32"/>
      <w:bookmarkEnd w:id="33"/>
    </w:p>
    <w:p>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前注</w:t>
      </w:r>
    </w:p>
    <w:p>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本项目技术、服务等具体要求，供应商必须对其有明确的响应，并如实描述偏离情况。明确要求提供证明材料的，如在响应时仅复制粘贴或仅具有文字描述而未按照要求提供佐证材料的，其产生的影响直至被认定为未实质性响应的后果将由供应商自行承担。</w:t>
      </w:r>
    </w:p>
    <w:p>
      <w:pPr>
        <w:spacing w:line="360" w:lineRule="auto"/>
        <w:ind w:firstLine="435"/>
        <w:rPr>
          <w:rFonts w:asciiTheme="minorEastAsia" w:hAnsiTheme="minorEastAsia" w:eastAsiaTheme="minorEastAsia"/>
          <w:b/>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一、商务要求</w:t>
      </w:r>
    </w:p>
    <w:tbl>
      <w:tblPr>
        <w:tblStyle w:val="51"/>
        <w:tblW w:w="8647" w:type="dxa"/>
        <w:tblInd w:w="-34" w:type="dxa"/>
        <w:tblLayout w:type="fixed"/>
        <w:tblCellMar>
          <w:top w:w="0" w:type="dxa"/>
          <w:left w:w="108" w:type="dxa"/>
          <w:bottom w:w="0" w:type="dxa"/>
          <w:right w:w="108" w:type="dxa"/>
        </w:tblCellMar>
      </w:tblPr>
      <w:tblGrid>
        <w:gridCol w:w="851"/>
        <w:gridCol w:w="2410"/>
        <w:gridCol w:w="5386"/>
      </w:tblGrid>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kern w:val="1"/>
                <w:szCs w:val="21"/>
                <w:highlight w:val="none"/>
              </w:rPr>
            </w:pPr>
            <w:r>
              <w:rPr>
                <w:rFonts w:hint="eastAsia" w:ascii="宋体" w:hAnsi="宋体"/>
                <w:color w:val="auto"/>
                <w:kern w:val="1"/>
                <w:szCs w:val="21"/>
                <w:highlight w:val="none"/>
              </w:rPr>
              <w:t>序号</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kern w:val="1"/>
                <w:szCs w:val="21"/>
                <w:highlight w:val="none"/>
              </w:rPr>
            </w:pPr>
            <w:r>
              <w:rPr>
                <w:rFonts w:ascii="宋体" w:hAnsi="宋体"/>
                <w:color w:val="auto"/>
                <w:kern w:val="1"/>
                <w:szCs w:val="21"/>
                <w:highlight w:val="none"/>
              </w:rPr>
              <w:t>项目</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kern w:val="1"/>
                <w:szCs w:val="21"/>
                <w:highlight w:val="none"/>
              </w:rPr>
            </w:pPr>
            <w:r>
              <w:rPr>
                <w:rFonts w:ascii="宋体" w:hAnsi="宋体"/>
                <w:color w:val="auto"/>
                <w:kern w:val="1"/>
                <w:szCs w:val="21"/>
                <w:highlight w:val="none"/>
              </w:rPr>
              <w:t>要 求</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施工准备时间</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采购结果公告</w:t>
            </w:r>
            <w:r>
              <w:rPr>
                <w:rFonts w:hint="eastAsia" w:ascii="宋体" w:hAnsi="宋体"/>
                <w:color w:val="auto"/>
                <w:szCs w:val="21"/>
                <w:highlight w:val="none"/>
              </w:rPr>
              <w:t>期限届满之日（本公告发布之日后第2个工作日）</w:t>
            </w:r>
            <w:r>
              <w:rPr>
                <w:rFonts w:hint="eastAsia" w:ascii="宋体" w:hAnsi="宋体"/>
                <w:color w:val="auto"/>
                <w:szCs w:val="21"/>
                <w:highlight w:val="none"/>
                <w:lang w:val="en-US" w:eastAsia="zh-CN"/>
              </w:rPr>
              <w:t>起</w:t>
            </w:r>
            <w:r>
              <w:rPr>
                <w:rFonts w:hint="eastAsia" w:ascii="宋体" w:hAnsi="宋体"/>
                <w:color w:val="auto"/>
                <w:szCs w:val="21"/>
                <w:highlight w:val="none"/>
                <w:u w:val="single"/>
              </w:rPr>
              <w:t>3</w:t>
            </w:r>
            <w:r>
              <w:rPr>
                <w:rFonts w:hint="eastAsia" w:ascii="宋体" w:hAnsi="宋体"/>
                <w:color w:val="auto"/>
                <w:szCs w:val="21"/>
                <w:highlight w:val="none"/>
              </w:rPr>
              <w:t>个工作日内完成</w:t>
            </w:r>
            <w:r>
              <w:rPr>
                <w:rFonts w:hint="eastAsia" w:ascii="宋体" w:hAnsi="宋体"/>
                <w:color w:val="auto"/>
                <w:szCs w:val="21"/>
                <w:highlight w:val="none"/>
                <w:lang w:eastAsia="zh-CN"/>
              </w:rPr>
              <w:t>。</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工期</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u w:val="single"/>
                <w:lang w:val="en-US" w:eastAsia="zh-CN"/>
              </w:rPr>
              <w:t>40</w:t>
            </w:r>
            <w:r>
              <w:rPr>
                <w:rFonts w:hint="eastAsia" w:ascii="宋体" w:hAnsi="宋体" w:cs="宋体"/>
                <w:color w:val="auto"/>
                <w:szCs w:val="21"/>
                <w:highlight w:val="none"/>
              </w:rPr>
              <w:t>日历天</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rPr>
              <w:t>延误合同工期赔偿标准</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u w:val="single"/>
              </w:rPr>
              <w:t xml:space="preserve">1000 </w:t>
            </w:r>
            <w:r>
              <w:rPr>
                <w:rFonts w:hint="eastAsia" w:ascii="宋体" w:hAnsi="宋体" w:cs="宋体"/>
                <w:color w:val="auto"/>
                <w:szCs w:val="21"/>
                <w:highlight w:val="none"/>
              </w:rPr>
              <w:t>元/天</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履约担保（履约保证金）</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承包人应在签订合同签订时提交合同金额1</w:t>
            </w:r>
            <w:r>
              <w:rPr>
                <w:rFonts w:ascii="宋体" w:hAnsi="宋体" w:cs="宋体"/>
                <w:color w:val="auto"/>
                <w:szCs w:val="21"/>
                <w:highlight w:val="none"/>
              </w:rPr>
              <w:t>%</w:t>
            </w:r>
            <w:r>
              <w:rPr>
                <w:rFonts w:hint="eastAsia" w:ascii="宋体" w:hAnsi="宋体" w:cs="宋体"/>
                <w:color w:val="auto"/>
                <w:szCs w:val="21"/>
                <w:highlight w:val="none"/>
              </w:rPr>
              <w:t>的履约担保（履约保证金），以银行保函或保险保单或保证金形式提交。履约担保在发包人出具工程接收证书后退还。</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5</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民工工资</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承诺不拖欠民工工资</w:t>
            </w:r>
          </w:p>
        </w:tc>
      </w:tr>
      <w:tr>
        <w:tblPrEx>
          <w:tblCellMar>
            <w:top w:w="0" w:type="dxa"/>
            <w:left w:w="108" w:type="dxa"/>
            <w:bottom w:w="0" w:type="dxa"/>
            <w:right w:w="108"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6</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施工地点</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宁波市海曙区白云街道环城西路南段138号</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浙江商业技师学院内</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7</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安全要求</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合格。</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8</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质量要求</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按国家施工验收规范一次性验收合格。</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auto"/>
                <w:kern w:val="1"/>
                <w:szCs w:val="21"/>
                <w:highlight w:val="none"/>
              </w:rPr>
            </w:pPr>
            <w:r>
              <w:rPr>
                <w:rFonts w:ascii="宋体" w:hAnsi="宋体" w:cs="宋体"/>
                <w:color w:val="auto"/>
                <w:kern w:val="1"/>
                <w:szCs w:val="21"/>
                <w:highlight w:val="none"/>
              </w:rPr>
              <w:t>9</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s="宋体"/>
                <w:color w:val="auto"/>
                <w:kern w:val="1"/>
                <w:szCs w:val="21"/>
                <w:highlight w:val="none"/>
              </w:rPr>
              <w:t>产品质量保证</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供应商保证应用于本项目的产品必须是全新出厂原装合格产品,如发生所供的产品与合同不符,采购人有权拒收或退货,由此产生的一切责任和后果由供应商承担。</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仿宋"/>
                <w:color w:val="auto"/>
                <w:kern w:val="0"/>
                <w:szCs w:val="21"/>
                <w:highlight w:val="none"/>
              </w:rPr>
            </w:pPr>
            <w:r>
              <w:rPr>
                <w:rFonts w:ascii="宋体" w:hAnsi="宋体" w:cs="仿宋"/>
                <w:color w:val="auto"/>
                <w:kern w:val="0"/>
                <w:szCs w:val="21"/>
                <w:highlight w:val="none"/>
              </w:rPr>
              <w:t>10</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color w:val="auto"/>
                <w:kern w:val="1"/>
                <w:szCs w:val="21"/>
                <w:highlight w:val="none"/>
              </w:rPr>
            </w:pPr>
            <w:r>
              <w:rPr>
                <w:rFonts w:hint="eastAsia" w:ascii="宋体" w:hAnsi="宋体" w:cs="仿宋"/>
                <w:color w:val="auto"/>
                <w:kern w:val="0"/>
                <w:szCs w:val="21"/>
                <w:highlight w:val="none"/>
              </w:rPr>
              <w:t>质量标准</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s="仿宋"/>
                <w:color w:val="auto"/>
                <w:kern w:val="0"/>
                <w:szCs w:val="21"/>
                <w:highlight w:val="none"/>
              </w:rPr>
              <w:t>项目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仿宋"/>
                <w:color w:val="auto"/>
                <w:kern w:val="0"/>
                <w:szCs w:val="21"/>
                <w:highlight w:val="none"/>
              </w:rPr>
            </w:pPr>
            <w:r>
              <w:rPr>
                <w:rFonts w:hint="eastAsia" w:ascii="宋体" w:hAnsi="宋体" w:cs="仿宋"/>
                <w:color w:val="auto"/>
                <w:kern w:val="0"/>
                <w:szCs w:val="21"/>
                <w:highlight w:val="none"/>
              </w:rPr>
              <w:t>11</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仿宋"/>
                <w:color w:val="auto"/>
                <w:kern w:val="0"/>
                <w:szCs w:val="21"/>
                <w:highlight w:val="none"/>
              </w:rPr>
            </w:pPr>
            <w:r>
              <w:rPr>
                <w:rFonts w:hint="eastAsia" w:ascii="宋体" w:hAnsi="宋体" w:cs="仿宋"/>
                <w:color w:val="auto"/>
                <w:kern w:val="0"/>
                <w:szCs w:val="21"/>
                <w:highlight w:val="none"/>
              </w:rPr>
              <w:t>工程联系单</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仿宋"/>
                <w:color w:val="auto"/>
                <w:kern w:val="0"/>
                <w:szCs w:val="21"/>
                <w:highlight w:val="none"/>
              </w:rPr>
            </w:pPr>
            <w:r>
              <w:rPr>
                <w:rFonts w:hint="eastAsia" w:ascii="宋体" w:hAnsi="宋体" w:cs="仿宋"/>
                <w:color w:val="auto"/>
                <w:kern w:val="0"/>
                <w:szCs w:val="21"/>
                <w:highlight w:val="none"/>
              </w:rPr>
              <w:t>图纸、工程量清单包含的工作内容均由供应商自行计入到本次磋商响应报价内，在施工过程中非图纸和工程量清单的变更，不得向采购人要求增加工程量和联系单。</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kern w:val="1"/>
                <w:szCs w:val="21"/>
                <w:highlight w:val="none"/>
              </w:rPr>
            </w:pPr>
            <w:r>
              <w:rPr>
                <w:rFonts w:hint="eastAsia" w:ascii="宋体" w:hAnsi="宋体" w:cs="宋体"/>
                <w:color w:val="auto"/>
                <w:szCs w:val="21"/>
                <w:highlight w:val="none"/>
              </w:rPr>
              <w:t>验收标准</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color w:val="auto"/>
                <w:highlight w:val="none"/>
              </w:rPr>
              <w:t>按国家施工验收规范验收</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签订合同时间</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成交人在领职成交通知书后5个工作日内与采购人签订合同，如未按要求的时限签订合同，视成交人主动放弃成交资格，采购人将选择排序第二的成交候选人成交本项目，以此类推。具体签约时间以采购人通知为准。</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合同款项支付条件及方式</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1.合同签订生效</w:t>
            </w:r>
            <w:r>
              <w:rPr>
                <w:rFonts w:hint="eastAsia" w:ascii="宋体" w:hAnsi="宋体"/>
                <w:color w:val="auto"/>
                <w:szCs w:val="21"/>
                <w:highlight w:val="none"/>
                <w:lang w:eastAsia="zh-CN"/>
              </w:rPr>
              <w:t>，乙方开具发票后</w:t>
            </w:r>
            <w:r>
              <w:rPr>
                <w:rFonts w:hint="eastAsia" w:ascii="宋体" w:hAnsi="宋体"/>
                <w:color w:val="auto"/>
                <w:szCs w:val="21"/>
                <w:highlight w:val="none"/>
              </w:rPr>
              <w:t>7个工作日内支付合同价款的40%作为预付款；</w:t>
            </w:r>
          </w:p>
          <w:p>
            <w:pPr>
              <w:spacing w:line="300" w:lineRule="exact"/>
              <w:rPr>
                <w:rFonts w:ascii="宋体" w:hAnsi="宋体"/>
                <w:color w:val="auto"/>
                <w:szCs w:val="21"/>
                <w:highlight w:val="none"/>
              </w:rPr>
            </w:pPr>
            <w:r>
              <w:rPr>
                <w:rFonts w:hint="eastAsia" w:ascii="宋体" w:hAnsi="宋体"/>
                <w:color w:val="auto"/>
                <w:szCs w:val="21"/>
                <w:highlight w:val="none"/>
              </w:rPr>
              <w:t>2.工程竣工</w:t>
            </w:r>
            <w:r>
              <w:rPr>
                <w:rFonts w:hint="eastAsia" w:ascii="宋体" w:hAnsi="宋体"/>
                <w:color w:val="auto"/>
                <w:szCs w:val="21"/>
                <w:highlight w:val="none"/>
                <w:lang w:eastAsia="zh-CN"/>
              </w:rPr>
              <w:t>，</w:t>
            </w:r>
            <w:r>
              <w:rPr>
                <w:rFonts w:hint="eastAsia" w:ascii="宋体" w:hAnsi="宋体"/>
                <w:color w:val="auto"/>
                <w:szCs w:val="21"/>
                <w:highlight w:val="none"/>
              </w:rPr>
              <w:t>验收合格</w:t>
            </w:r>
            <w:r>
              <w:rPr>
                <w:rFonts w:hint="eastAsia" w:ascii="宋体" w:hAnsi="宋体"/>
                <w:color w:val="auto"/>
                <w:szCs w:val="21"/>
                <w:highlight w:val="none"/>
                <w:lang w:eastAsia="zh-CN"/>
              </w:rPr>
              <w:t>，</w:t>
            </w:r>
            <w:r>
              <w:rPr>
                <w:rFonts w:hint="eastAsia" w:ascii="宋体" w:hAnsi="宋体"/>
                <w:color w:val="auto"/>
                <w:szCs w:val="21"/>
                <w:highlight w:val="none"/>
              </w:rPr>
              <w:t>并在乙方开具发票后7个工作日内支付至合同总价的70%；</w:t>
            </w:r>
          </w:p>
          <w:p>
            <w:pPr>
              <w:spacing w:line="300" w:lineRule="exact"/>
              <w:rPr>
                <w:rFonts w:ascii="宋体" w:hAnsi="宋体"/>
                <w:color w:val="auto"/>
                <w:szCs w:val="21"/>
                <w:highlight w:val="none"/>
              </w:rPr>
            </w:pPr>
            <w:r>
              <w:rPr>
                <w:rFonts w:hint="eastAsia" w:ascii="宋体" w:hAnsi="宋体"/>
                <w:color w:val="auto"/>
                <w:szCs w:val="21"/>
                <w:highlight w:val="none"/>
              </w:rPr>
              <w:t>3.乙方提供结算资料，经第三方审核出具结算报告，并在乙方开具发票后7个工作日内支付至审定价的100%。</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仿宋"/>
                <w:color w:val="auto"/>
                <w:kern w:val="0"/>
                <w:szCs w:val="21"/>
                <w:highlight w:val="none"/>
              </w:rPr>
            </w:pPr>
            <w:r>
              <w:rPr>
                <w:rFonts w:ascii="宋体" w:hAnsi="宋体" w:cs="仿宋"/>
                <w:color w:val="auto"/>
                <w:kern w:val="0"/>
                <w:szCs w:val="21"/>
                <w:highlight w:val="none"/>
              </w:rPr>
              <w:t>1</w:t>
            </w:r>
            <w:r>
              <w:rPr>
                <w:rFonts w:hint="eastAsia" w:ascii="宋体" w:hAnsi="宋体" w:cs="仿宋"/>
                <w:color w:val="auto"/>
                <w:kern w:val="0"/>
                <w:szCs w:val="21"/>
                <w:highlight w:val="none"/>
              </w:rPr>
              <w:t>5</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s="仿宋"/>
                <w:color w:val="auto"/>
                <w:kern w:val="0"/>
                <w:szCs w:val="21"/>
                <w:highlight w:val="none"/>
              </w:rPr>
              <w:t>发票要求</w:t>
            </w:r>
          </w:p>
        </w:tc>
        <w:tc>
          <w:tcPr>
            <w:tcW w:w="53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00" w:lineRule="exact"/>
              <w:rPr>
                <w:rFonts w:ascii="宋体" w:hAnsi="宋体" w:cs="仿宋"/>
                <w:color w:val="auto"/>
                <w:kern w:val="0"/>
                <w:szCs w:val="21"/>
                <w:highlight w:val="none"/>
              </w:rPr>
            </w:pPr>
            <w:r>
              <w:rPr>
                <w:rFonts w:hint="eastAsia" w:ascii="宋体" w:hAnsi="宋体" w:cs="仿宋"/>
                <w:color w:val="auto"/>
                <w:kern w:val="0"/>
                <w:szCs w:val="21"/>
                <w:highlight w:val="none"/>
              </w:rPr>
              <w:t>1.成交供应商应在采购人支付费用前，依据相应的金额，先行向采购人提供足额且符合税法规定的发票。采购人在收到成交供应商提供的发票后在合同约定的时间支付相应款项，否则采购人有权延迟支付相应费用而不被视为违约，亦无须承担任何违约责任。</w:t>
            </w:r>
          </w:p>
          <w:p>
            <w:pPr>
              <w:spacing w:line="300" w:lineRule="exact"/>
              <w:ind w:right="-107" w:rightChars="-51"/>
              <w:rPr>
                <w:rFonts w:ascii="宋体" w:hAnsi="宋体"/>
                <w:color w:val="auto"/>
                <w:szCs w:val="21"/>
                <w:highlight w:val="none"/>
              </w:rPr>
            </w:pPr>
            <w:r>
              <w:rPr>
                <w:rFonts w:hint="eastAsia" w:ascii="宋体" w:hAnsi="宋体" w:cs="仿宋"/>
                <w:color w:val="auto"/>
                <w:kern w:val="0"/>
                <w:szCs w:val="21"/>
                <w:highlight w:val="none"/>
              </w:rPr>
              <w:t>2.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tblPrEx>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其他</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szCs w:val="21"/>
                <w:highlight w:val="none"/>
              </w:rPr>
            </w:pPr>
            <w:r>
              <w:rPr>
                <w:rFonts w:hint="eastAsia" w:ascii="宋体" w:hAnsi="宋体" w:cs="仿宋"/>
                <w:color w:val="auto"/>
                <w:kern w:val="0"/>
                <w:szCs w:val="21"/>
                <w:highlight w:val="none"/>
              </w:rPr>
              <w:t>在合同执行过程中，成交供应商应承担由于其行为所造成的采购人或第三人的人身伤害、财产损失或损坏的责任，无论何种原因造成，与采购人无涉，由此导致的损失由成交供应商承担，无论何种原因采购人先行支付的，采购人有权向供应商进行追偿。</w:t>
            </w:r>
          </w:p>
        </w:tc>
      </w:tr>
    </w:tbl>
    <w:p>
      <w:pPr>
        <w:spacing w:line="360" w:lineRule="auto"/>
        <w:rPr>
          <w:rFonts w:asciiTheme="minorEastAsia" w:hAnsiTheme="minorEastAsia" w:eastAsiaTheme="minorEastAsia"/>
          <w:b/>
          <w:color w:val="auto"/>
          <w:highlight w:val="none"/>
        </w:rPr>
      </w:pPr>
      <w:r>
        <w:rPr>
          <w:rFonts w:hint="eastAsia" w:cs="Arial" w:asciiTheme="minorEastAsia" w:hAnsiTheme="minorEastAsia" w:eastAsiaTheme="minorEastAsia"/>
          <w:color w:val="auto"/>
          <w:szCs w:val="21"/>
          <w:highlight w:val="none"/>
        </w:rPr>
        <w:t>二</w:t>
      </w:r>
      <w:r>
        <w:rPr>
          <w:rFonts w:hint="eastAsia" w:asciiTheme="minorEastAsia" w:hAnsiTheme="minorEastAsia" w:eastAsiaTheme="minorEastAsia"/>
          <w:b/>
          <w:color w:val="auto"/>
          <w:highlight w:val="none"/>
        </w:rPr>
        <w:t>、建设内容</w:t>
      </w:r>
    </w:p>
    <w:p>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szCs w:val="21"/>
          <w:highlight w:val="none"/>
        </w:rPr>
        <w:t>工程施工图范围内的餐厅改造工程内容。</w:t>
      </w: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三、工程量清单</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另册提供</w:t>
      </w:r>
    </w:p>
    <w:p>
      <w:pPr>
        <w:spacing w:line="360" w:lineRule="auto"/>
        <w:ind w:firstLine="420" w:firstLineChars="200"/>
        <w:rPr>
          <w:rFonts w:asciiTheme="minorEastAsia" w:hAnsiTheme="minorEastAsia" w:eastAsiaTheme="majorEastAsia"/>
          <w:color w:val="auto"/>
          <w:highlight w:val="none"/>
        </w:rPr>
      </w:pPr>
      <w:r>
        <w:rPr>
          <w:rFonts w:hint="eastAsia" w:asciiTheme="minorEastAsia" w:hAnsiTheme="minorEastAsia" w:eastAsiaTheme="minorEastAsia"/>
          <w:color w:val="auto"/>
          <w:highlight w:val="none"/>
        </w:rPr>
        <w:t>备注：供应商响应文件应提供</w:t>
      </w:r>
      <w:r>
        <w:rPr>
          <w:rFonts w:hint="eastAsia" w:asciiTheme="majorEastAsia" w:hAnsiTheme="majorEastAsia" w:eastAsiaTheme="majorEastAsia"/>
          <w:color w:val="auto"/>
          <w:highlight w:val="none"/>
        </w:rPr>
        <w:t>各分部分项工程施工技术方案。</w:t>
      </w: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四、控制价编制说明</w:t>
      </w:r>
    </w:p>
    <w:p>
      <w:pPr>
        <w:pStyle w:val="67"/>
        <w:rPr>
          <w:color w:val="auto"/>
          <w:highlight w:val="none"/>
        </w:rPr>
      </w:pPr>
      <w:r>
        <w:rPr>
          <w:rFonts w:hint="eastAsia" w:asciiTheme="minorEastAsia" w:hAnsiTheme="minorEastAsia" w:eastAsiaTheme="minorEastAsia"/>
          <w:color w:val="auto"/>
          <w:highlight w:val="none"/>
        </w:rPr>
        <w:t>另册提供</w:t>
      </w: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五、图纸</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另册提供</w:t>
      </w:r>
    </w:p>
    <w:p>
      <w:pPr>
        <w:spacing w:line="360" w:lineRule="auto"/>
        <w:ind w:firstLine="420" w:firstLineChars="200"/>
        <w:rPr>
          <w:rFonts w:asciiTheme="minorEastAsia" w:hAnsiTheme="minorEastAsia" w:eastAsiaTheme="majorEastAsia"/>
          <w:color w:val="auto"/>
          <w:highlight w:val="none"/>
        </w:rPr>
      </w:pPr>
      <w:r>
        <w:rPr>
          <w:rFonts w:hint="eastAsia" w:asciiTheme="minorEastAsia" w:hAnsiTheme="minorEastAsia" w:eastAsiaTheme="minorEastAsia"/>
          <w:color w:val="auto"/>
          <w:highlight w:val="none"/>
        </w:rPr>
        <w:t>备注：供应商响应文件应提供“</w:t>
      </w:r>
      <w:r>
        <w:rPr>
          <w:rFonts w:hint="eastAsia" w:asciiTheme="majorEastAsia" w:hAnsiTheme="majorEastAsia" w:eastAsiaTheme="majorEastAsia"/>
          <w:color w:val="auto"/>
          <w:highlight w:val="none"/>
        </w:rPr>
        <w:t>施工现场平面布置方案</w:t>
      </w:r>
      <w:r>
        <w:rPr>
          <w:rFonts w:hint="eastAsia" w:asciiTheme="minorEastAsia" w:hAnsiTheme="minorEastAsia" w:eastAsiaTheme="minorEastAsia"/>
          <w:color w:val="auto"/>
          <w:highlight w:val="none"/>
        </w:rPr>
        <w:t>”</w:t>
      </w:r>
      <w:r>
        <w:rPr>
          <w:rFonts w:hint="eastAsia" w:asciiTheme="majorEastAsia" w:hAnsiTheme="majorEastAsia" w:eastAsiaTheme="majorEastAsia"/>
          <w:color w:val="auto"/>
          <w:highlight w:val="none"/>
        </w:rPr>
        <w:t>。</w:t>
      </w: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六、技术要求</w:t>
      </w:r>
    </w:p>
    <w:p>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val="en-US" w:eastAsia="zh-CN"/>
        </w:rPr>
        <w:t>1、</w:t>
      </w:r>
      <w:r>
        <w:rPr>
          <w:rFonts w:hint="eastAsia" w:cs="宋体" w:asciiTheme="minorEastAsia" w:hAnsiTheme="minorEastAsia" w:eastAsiaTheme="minorEastAsia"/>
          <w:bCs/>
          <w:color w:val="auto"/>
          <w:kern w:val="0"/>
          <w:szCs w:val="21"/>
          <w:highlight w:val="none"/>
        </w:rPr>
        <w:t>按照国家及地方颁发的现行相关建筑工程施工及验收规范、标准，组织实施本项目工程的施工。</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inorEastAsia" w:hAnsiTheme="minorEastAsia" w:eastAsiaTheme="minorEastAsia"/>
          <w:color w:val="auto"/>
          <w:highlight w:val="none"/>
        </w:rPr>
        <w:t>备注：供应商响应文件应提供“</w:t>
      </w:r>
      <w:r>
        <w:rPr>
          <w:rFonts w:asciiTheme="majorEastAsia" w:hAnsiTheme="majorEastAsia" w:eastAsiaTheme="majorEastAsia"/>
          <w:color w:val="auto"/>
          <w:highlight w:val="none"/>
        </w:rPr>
        <w:t>项目重点、难点的分析</w:t>
      </w:r>
      <w:r>
        <w:rPr>
          <w:rFonts w:hint="eastAsia" w:asciiTheme="majorEastAsia" w:hAnsiTheme="majorEastAsia" w:eastAsiaTheme="majorEastAsia"/>
          <w:color w:val="auto"/>
          <w:highlight w:val="none"/>
        </w:rPr>
        <w:t>方案</w:t>
      </w:r>
      <w:r>
        <w:rPr>
          <w:rFonts w:hint="eastAsia" w:asciiTheme="minorEastAsia" w:hAnsiTheme="minorEastAsia" w:eastAsiaTheme="minorEastAsia"/>
          <w:color w:val="auto"/>
          <w:highlight w:val="none"/>
        </w:rPr>
        <w:t>”</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项目重点、难点的解决</w:t>
      </w:r>
      <w:r>
        <w:rPr>
          <w:rFonts w:hint="eastAsia" w:asciiTheme="majorEastAsia" w:hAnsiTheme="majorEastAsia" w:eastAsiaTheme="majorEastAsia"/>
          <w:color w:val="auto"/>
          <w:highlight w:val="none"/>
        </w:rPr>
        <w:t>方案”、“工程质量的保证措施”、“整体项目进度计划及保障”、“确保文明施工的保证措施”“确保安全施工的保证措施”、“施工机械设备的选用和管理方案”。</w:t>
      </w:r>
    </w:p>
    <w:p>
      <w:pPr>
        <w:pStyle w:val="67"/>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2、有关事项说明</w:t>
      </w:r>
    </w:p>
    <w:p>
      <w:pPr>
        <w:numPr>
          <w:ilvl w:val="0"/>
          <w:numId w:val="0"/>
        </w:numPr>
        <w:tabs>
          <w:tab w:val="left" w:pos="960"/>
          <w:tab w:val="left" w:pos="1080"/>
          <w:tab w:val="left" w:pos="8280"/>
          <w:tab w:val="left" w:pos="9180"/>
          <w:tab w:val="left" w:pos="9360"/>
        </w:tabs>
        <w:spacing w:line="360" w:lineRule="auto"/>
        <w:ind w:left="420" w:leftChars="0" w:right="25" w:rightChars="12"/>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暂列金额</w:t>
      </w:r>
    </w:p>
    <w:p>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①本工程安全文明</w:t>
      </w:r>
      <w:r>
        <w:rPr>
          <w:rFonts w:hint="eastAsia" w:cs="Times New Roman" w:asciiTheme="minorEastAsia" w:hAnsiTheme="minorEastAsia" w:eastAsiaTheme="minorEastAsia"/>
          <w:color w:val="auto"/>
          <w:szCs w:val="21"/>
          <w:highlight w:val="none"/>
          <w:lang w:val="en-US" w:eastAsia="zh-CN"/>
        </w:rPr>
        <w:t>施工</w:t>
      </w:r>
      <w:r>
        <w:rPr>
          <w:rFonts w:hint="eastAsia" w:ascii="宋体" w:hAnsi="宋体" w:eastAsia="宋体" w:cs="宋体"/>
          <w:b w:val="0"/>
          <w:bCs w:val="0"/>
          <w:color w:val="auto"/>
          <w:kern w:val="2"/>
          <w:sz w:val="21"/>
          <w:szCs w:val="21"/>
          <w:highlight w:val="none"/>
          <w:lang w:val="en-US" w:eastAsia="zh-CN" w:bidi="ar-SA"/>
        </w:rPr>
        <w:t>费低限值为7238元。</w:t>
      </w:r>
    </w:p>
    <w:p>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②其它暂列金额：按《</w:t>
      </w:r>
      <w:r>
        <w:rPr>
          <w:rFonts w:hint="eastAsia" w:cs="Times New Roman" w:asciiTheme="minorEastAsia" w:hAnsiTheme="minorEastAsia" w:eastAsiaTheme="minorEastAsia"/>
          <w:color w:val="auto"/>
          <w:szCs w:val="21"/>
          <w:highlight w:val="none"/>
          <w:lang w:val="en-US" w:eastAsia="zh-CN"/>
        </w:rPr>
        <w:t>浙江省</w:t>
      </w:r>
      <w:r>
        <w:rPr>
          <w:rFonts w:hint="eastAsia" w:ascii="宋体" w:hAnsi="宋体" w:eastAsia="宋体" w:cs="宋体"/>
          <w:b w:val="0"/>
          <w:bCs w:val="0"/>
          <w:color w:val="auto"/>
          <w:kern w:val="2"/>
          <w:sz w:val="21"/>
          <w:szCs w:val="21"/>
          <w:highlight w:val="none"/>
          <w:lang w:val="en-US" w:eastAsia="zh-CN" w:bidi="ar-SA"/>
        </w:rPr>
        <w:t>建设工程计价规则》(2018版) 3.3.5规定：“其他暂列金应以招标控制价中除暂列金额外的税前工程造价乘以相应估算比例进行计算，估算比例一般不高于5%”。询招标单位意见后，本工程其它暂列金额按计8万元计（除税价）。</w:t>
      </w:r>
    </w:p>
    <w:tbl>
      <w:tblPr>
        <w:tblStyle w:val="51"/>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51"/>
        <w:gridCol w:w="2569"/>
        <w:gridCol w:w="873"/>
        <w:gridCol w:w="1047"/>
        <w:gridCol w:w="873"/>
        <w:gridCol w:w="109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jc w:val="center"/>
        </w:trPr>
        <w:tc>
          <w:tcPr>
            <w:tcW w:w="651"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2569"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名称、规格、型号</w:t>
            </w:r>
          </w:p>
        </w:tc>
        <w:tc>
          <w:tcPr>
            <w:tcW w:w="87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4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w:t>
            </w:r>
          </w:p>
        </w:tc>
        <w:tc>
          <w:tcPr>
            <w:tcW w:w="87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094"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合价</w:t>
            </w:r>
          </w:p>
        </w:tc>
        <w:tc>
          <w:tcPr>
            <w:tcW w:w="145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jc w:val="center"/>
        </w:trPr>
        <w:tc>
          <w:tcPr>
            <w:tcW w:w="651" w:type="dxa"/>
            <w:shd w:val="clear" w:color="auto" w:fill="FFFFFF"/>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w:t>
            </w:r>
          </w:p>
        </w:tc>
        <w:tc>
          <w:tcPr>
            <w:tcW w:w="2569"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暂列金额</w:t>
            </w:r>
          </w:p>
        </w:tc>
        <w:tc>
          <w:tcPr>
            <w:tcW w:w="873"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p>
        </w:tc>
        <w:tc>
          <w:tcPr>
            <w:tcW w:w="1047"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p>
        </w:tc>
        <w:tc>
          <w:tcPr>
            <w:tcW w:w="873"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80000</w:t>
            </w:r>
          </w:p>
        </w:tc>
        <w:tc>
          <w:tcPr>
            <w:tcW w:w="1094"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80000</w:t>
            </w:r>
          </w:p>
        </w:tc>
        <w:tc>
          <w:tcPr>
            <w:tcW w:w="145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jc w:val="center"/>
        </w:trPr>
        <w:tc>
          <w:tcPr>
            <w:tcW w:w="651"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69"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标化工地暂列金额</w:t>
            </w:r>
          </w:p>
        </w:tc>
        <w:tc>
          <w:tcPr>
            <w:tcW w:w="873"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04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094"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45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jc w:val="center"/>
        </w:trPr>
        <w:tc>
          <w:tcPr>
            <w:tcW w:w="651"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569"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优质工程暂列金额</w:t>
            </w:r>
          </w:p>
        </w:tc>
        <w:tc>
          <w:tcPr>
            <w:tcW w:w="873"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04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094"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45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jc w:val="center"/>
        </w:trPr>
        <w:tc>
          <w:tcPr>
            <w:tcW w:w="651"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569"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其它暂列金额</w:t>
            </w:r>
          </w:p>
        </w:tc>
        <w:tc>
          <w:tcPr>
            <w:tcW w:w="873"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04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80000</w:t>
            </w:r>
          </w:p>
        </w:tc>
        <w:tc>
          <w:tcPr>
            <w:tcW w:w="1094"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80000</w:t>
            </w:r>
          </w:p>
        </w:tc>
        <w:tc>
          <w:tcPr>
            <w:tcW w:w="145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jc w:val="center"/>
        </w:trPr>
        <w:tc>
          <w:tcPr>
            <w:tcW w:w="651"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569"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税金（一）</w:t>
            </w:r>
          </w:p>
        </w:tc>
        <w:tc>
          <w:tcPr>
            <w:tcW w:w="87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04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c>
          <w:tcPr>
            <w:tcW w:w="87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94" w:type="dxa"/>
            <w:shd w:val="clear" w:color="auto" w:fill="FFFFFF"/>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7200</w:t>
            </w:r>
          </w:p>
        </w:tc>
        <w:tc>
          <w:tcPr>
            <w:tcW w:w="145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5" w:hRule="atLeast"/>
          <w:jc w:val="center"/>
        </w:trPr>
        <w:tc>
          <w:tcPr>
            <w:tcW w:w="651"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2569"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含税价合计</w:t>
            </w:r>
          </w:p>
        </w:tc>
        <w:tc>
          <w:tcPr>
            <w:tcW w:w="873"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047"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c>
          <w:tcPr>
            <w:tcW w:w="873"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c>
          <w:tcPr>
            <w:tcW w:w="1094" w:type="dxa"/>
            <w:shd w:val="clear" w:color="auto" w:fill="E6E0EC"/>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87200</w:t>
            </w:r>
          </w:p>
        </w:tc>
        <w:tc>
          <w:tcPr>
            <w:tcW w:w="1452"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一+二</w:t>
            </w:r>
          </w:p>
        </w:tc>
      </w:tr>
    </w:tbl>
    <w:p>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③暂估价</w:t>
      </w:r>
    </w:p>
    <w:tbl>
      <w:tblPr>
        <w:tblStyle w:val="5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88"/>
        <w:gridCol w:w="2967"/>
        <w:gridCol w:w="637"/>
        <w:gridCol w:w="989"/>
        <w:gridCol w:w="992"/>
        <w:gridCol w:w="108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88"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296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名称、规格、型号</w:t>
            </w:r>
          </w:p>
        </w:tc>
        <w:tc>
          <w:tcPr>
            <w:tcW w:w="63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989"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w:t>
            </w:r>
          </w:p>
        </w:tc>
        <w:tc>
          <w:tcPr>
            <w:tcW w:w="99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088"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合价</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88"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967"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消防</w:t>
            </w:r>
            <w:r>
              <w:rPr>
                <w:rFonts w:hint="eastAsia" w:ascii="宋体" w:hAnsi="宋体" w:eastAsia="宋体" w:cs="宋体"/>
                <w:color w:val="auto"/>
                <w:sz w:val="21"/>
                <w:szCs w:val="21"/>
                <w:highlight w:val="none"/>
              </w:rPr>
              <w:t>工程暂估价</w:t>
            </w:r>
          </w:p>
        </w:tc>
        <w:tc>
          <w:tcPr>
            <w:tcW w:w="637"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89"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100000</w:t>
            </w:r>
          </w:p>
        </w:tc>
        <w:tc>
          <w:tcPr>
            <w:tcW w:w="1088"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100000</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88"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67" w:type="dxa"/>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637" w:type="dxa"/>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89" w:type="dxa"/>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2" w:type="dxa"/>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100000</w:t>
            </w:r>
          </w:p>
        </w:tc>
        <w:tc>
          <w:tcPr>
            <w:tcW w:w="1088" w:type="dxa"/>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100000</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8"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w:t>
            </w:r>
          </w:p>
        </w:tc>
        <w:tc>
          <w:tcPr>
            <w:tcW w:w="2967"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税金（一）</w:t>
            </w:r>
          </w:p>
        </w:tc>
        <w:tc>
          <w:tcPr>
            <w:tcW w:w="63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989"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kern w:val="0"/>
                <w:sz w:val="21"/>
                <w:szCs w:val="21"/>
                <w:highlight w:val="none"/>
                <w:lang w:val="en-US" w:eastAsia="zh-CN" w:bidi="ar"/>
              </w:rPr>
            </w:pPr>
          </w:p>
        </w:tc>
        <w:tc>
          <w:tcPr>
            <w:tcW w:w="99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w:t>
            </w:r>
          </w:p>
        </w:tc>
        <w:tc>
          <w:tcPr>
            <w:tcW w:w="1088" w:type="dxa"/>
            <w:shd w:val="clear" w:color="auto" w:fill="FFFFFF"/>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9000</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88" w:type="dxa"/>
            <w:shd w:val="clear" w:color="auto" w:fill="E6E0EC"/>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w:t>
            </w:r>
          </w:p>
        </w:tc>
        <w:tc>
          <w:tcPr>
            <w:tcW w:w="2967" w:type="dxa"/>
            <w:shd w:val="clear" w:color="auto" w:fill="E6E0EC"/>
            <w:noWrap w:val="0"/>
            <w:tcMar>
              <w:top w:w="0" w:type="dxa"/>
              <w:left w:w="108" w:type="dxa"/>
              <w:bottom w:w="0" w:type="dxa"/>
              <w:right w:w="108"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含税价合计</w:t>
            </w:r>
          </w:p>
        </w:tc>
        <w:tc>
          <w:tcPr>
            <w:tcW w:w="637"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元</w:t>
            </w:r>
          </w:p>
        </w:tc>
        <w:tc>
          <w:tcPr>
            <w:tcW w:w="989"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kern w:val="0"/>
                <w:sz w:val="21"/>
                <w:szCs w:val="21"/>
                <w:highlight w:val="none"/>
                <w:lang w:bidi="ar"/>
              </w:rPr>
            </w:pPr>
          </w:p>
        </w:tc>
        <w:tc>
          <w:tcPr>
            <w:tcW w:w="992"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p>
        </w:tc>
        <w:tc>
          <w:tcPr>
            <w:tcW w:w="1088" w:type="dxa"/>
            <w:shd w:val="clear" w:color="auto" w:fill="E6E0EC"/>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109000</w:t>
            </w:r>
          </w:p>
        </w:tc>
        <w:tc>
          <w:tcPr>
            <w:tcW w:w="1483"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一+二</w:t>
            </w:r>
          </w:p>
        </w:tc>
      </w:tr>
    </w:tbl>
    <w:p>
      <w:pPr>
        <w:numPr>
          <w:ilvl w:val="0"/>
          <w:numId w:val="0"/>
        </w:numPr>
        <w:tabs>
          <w:tab w:val="left" w:pos="960"/>
          <w:tab w:val="left" w:pos="1080"/>
          <w:tab w:val="left" w:pos="8280"/>
          <w:tab w:val="left" w:pos="9180"/>
          <w:tab w:val="left" w:pos="9360"/>
        </w:tabs>
        <w:spacing w:line="360" w:lineRule="auto"/>
        <w:ind w:left="480" w:leftChars="0" w:right="25" w:rightChars="12"/>
        <w:jc w:val="left"/>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主要材料表</w:t>
      </w:r>
    </w:p>
    <w:tbl>
      <w:tblPr>
        <w:tblStyle w:val="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2553"/>
        <w:gridCol w:w="5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464"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2957"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64"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地砖、墙面砖</w:t>
            </w:r>
          </w:p>
        </w:tc>
        <w:tc>
          <w:tcPr>
            <w:tcW w:w="2957"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东鹏、蒙娜丽莎、斯米克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64" w:type="pct"/>
            <w:noWrap w:val="0"/>
            <w:vAlign w:val="center"/>
          </w:tcPr>
          <w:p>
            <w:pPr>
              <w:spacing w:before="100" w:beforeAutospacing="1" w:after="100" w:afterAutospacing="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乳胶漆</w:t>
            </w:r>
          </w:p>
        </w:tc>
        <w:tc>
          <w:tcPr>
            <w:tcW w:w="2957" w:type="pct"/>
            <w:noWrap w:val="0"/>
            <w:vAlign w:val="center"/>
          </w:tcPr>
          <w:p>
            <w:pPr>
              <w:spacing w:before="100" w:beforeAutospacing="1" w:after="100" w:afterAutospacing="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立邦、多乐士、华润、久诺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64" w:type="pct"/>
            <w:noWrap w:val="0"/>
            <w:vAlign w:val="center"/>
          </w:tcPr>
          <w:p>
            <w:pPr>
              <w:pStyle w:val="46"/>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轻钢龙骨</w:t>
            </w:r>
          </w:p>
        </w:tc>
        <w:tc>
          <w:tcPr>
            <w:tcW w:w="2957" w:type="pct"/>
            <w:noWrap w:val="0"/>
            <w:vAlign w:val="center"/>
          </w:tcPr>
          <w:p>
            <w:pPr>
              <w:spacing w:before="100" w:beforeAutospacing="1" w:after="100" w:afterAutospacing="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龙牌、可耐福、泰山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64" w:type="pct"/>
            <w:noWrap w:val="0"/>
            <w:vAlign w:val="center"/>
          </w:tcPr>
          <w:p>
            <w:pPr>
              <w:pStyle w:val="46"/>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石膏板</w:t>
            </w:r>
          </w:p>
        </w:tc>
        <w:tc>
          <w:tcPr>
            <w:tcW w:w="2957" w:type="pct"/>
            <w:noWrap w:val="0"/>
            <w:vAlign w:val="center"/>
          </w:tcPr>
          <w:p>
            <w:pPr>
              <w:pStyle w:val="46"/>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龙牌、可耐福、泰山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64"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电线、电缆</w:t>
            </w:r>
          </w:p>
        </w:tc>
        <w:tc>
          <w:tcPr>
            <w:tcW w:w="2957"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宁波球冠、宁波东方、杭州中策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64"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照明灯具</w:t>
            </w:r>
          </w:p>
        </w:tc>
        <w:tc>
          <w:tcPr>
            <w:tcW w:w="2957"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欧普、三雄极光、雷士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64"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开关插座面板</w:t>
            </w:r>
          </w:p>
        </w:tc>
        <w:tc>
          <w:tcPr>
            <w:tcW w:w="2957"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西门子、罗格朗、西蒙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64"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PVC电线管</w:t>
            </w:r>
          </w:p>
        </w:tc>
        <w:tc>
          <w:tcPr>
            <w:tcW w:w="2957"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中财、伟星、公元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78"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64"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配电箱内的元器件</w:t>
            </w:r>
          </w:p>
        </w:tc>
        <w:tc>
          <w:tcPr>
            <w:tcW w:w="2957" w:type="pct"/>
            <w:noWrap w:val="0"/>
            <w:vAlign w:val="center"/>
          </w:tcPr>
          <w:p>
            <w:pPr>
              <w:spacing w:before="100" w:beforeAutospacing="1" w:after="100" w:afterAutospacing="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ABB、罗格朗、西门子、施耐德</w:t>
            </w:r>
          </w:p>
        </w:tc>
      </w:tr>
    </w:tbl>
    <w:p>
      <w:pPr>
        <w:pStyle w:val="6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参考品牌（</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品牌</w:t>
      </w:r>
      <w:r>
        <w:rPr>
          <w:rFonts w:hint="eastAsia" w:ascii="宋体" w:hAnsi="宋体" w:eastAsia="宋体" w:cs="宋体"/>
          <w:color w:val="auto"/>
          <w:sz w:val="21"/>
          <w:szCs w:val="21"/>
          <w:highlight w:val="none"/>
          <w:lang w:val="en-US" w:eastAsia="zh-CN"/>
        </w:rPr>
        <w:t>型号仅做性能描述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供应商可以提供相同</w:t>
      </w:r>
      <w:r>
        <w:rPr>
          <w:rFonts w:hint="eastAsia" w:ascii="宋体" w:hAnsi="宋体" w:eastAsia="宋体" w:cs="宋体"/>
          <w:color w:val="auto"/>
          <w:sz w:val="21"/>
          <w:szCs w:val="21"/>
          <w:highlight w:val="none"/>
        </w:rPr>
        <w:t>品质、性能</w:t>
      </w:r>
      <w:r>
        <w:rPr>
          <w:rFonts w:hint="eastAsia" w:ascii="宋体" w:hAnsi="宋体" w:eastAsia="宋体" w:cs="宋体"/>
          <w:color w:val="auto"/>
          <w:sz w:val="21"/>
          <w:szCs w:val="21"/>
          <w:highlight w:val="none"/>
          <w:lang w:val="en-US" w:eastAsia="zh-CN"/>
        </w:rPr>
        <w:t>或优于参考品牌品质、性能的产品参与项目的磋商</w:t>
      </w:r>
      <w:r>
        <w:rPr>
          <w:rFonts w:hint="eastAsia" w:ascii="宋体" w:hAnsi="宋体" w:eastAsia="宋体" w:cs="宋体"/>
          <w:color w:val="auto"/>
          <w:sz w:val="21"/>
          <w:szCs w:val="21"/>
          <w:highlight w:val="none"/>
          <w:lang w:eastAsia="zh-CN"/>
        </w:rPr>
        <w:t>）。</w:t>
      </w: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七、其他要求</w:t>
      </w:r>
    </w:p>
    <w:p>
      <w:pPr>
        <w:spacing w:line="360" w:lineRule="auto"/>
        <w:ind w:firstLine="420" w:firstLineChars="200"/>
        <w:jc w:val="left"/>
        <w:rPr>
          <w:rFonts w:ascii="宋体" w:hAnsi="宋体" w:cs="宋体"/>
          <w:bCs/>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拟派本项目的项目经理须具备</w:t>
      </w:r>
      <w:r>
        <w:rPr>
          <w:rFonts w:hint="eastAsia" w:ascii="宋体" w:hAnsi="宋体" w:cs="宋体"/>
          <w:color w:val="auto"/>
          <w:szCs w:val="21"/>
          <w:highlight w:val="none"/>
          <w:u w:val="single"/>
        </w:rPr>
        <w:t>注册建造师贰级及以上执业资格</w:t>
      </w:r>
      <w:r>
        <w:rPr>
          <w:rFonts w:hint="eastAsia" w:ascii="宋体" w:hAnsi="宋体" w:cs="宋体"/>
          <w:color w:val="auto"/>
          <w:szCs w:val="21"/>
          <w:highlight w:val="none"/>
        </w:rPr>
        <w:t>，，具有有效的安全生产考核合格证（B证），响应文件中提供项目经理的执业资格证书及安全生产考核合格证书复印件；</w:t>
      </w:r>
    </w:p>
    <w:p>
      <w:pPr>
        <w:spacing w:line="360" w:lineRule="auto"/>
        <w:ind w:firstLine="420" w:firstLineChars="200"/>
        <w:jc w:val="left"/>
        <w:rPr>
          <w:rFonts w:asciiTheme="minorEastAsia" w:hAnsiTheme="minorEastAsia" w:eastAsiaTheme="minorEastAsia"/>
          <w:bCs/>
          <w:color w:val="auto"/>
          <w:szCs w:val="21"/>
          <w:highlight w:val="none"/>
        </w:rPr>
      </w:pPr>
      <w:r>
        <w:rPr>
          <w:rFonts w:ascii="宋体" w:hAnsi="宋体" w:cs="宋体"/>
          <w:bCs/>
          <w:color w:val="auto"/>
          <w:szCs w:val="21"/>
          <w:highlight w:val="none"/>
        </w:rPr>
        <w:t>2.</w:t>
      </w:r>
      <w:r>
        <w:rPr>
          <w:rFonts w:hint="eastAsia" w:asciiTheme="minorEastAsia" w:hAnsiTheme="minorEastAsia" w:eastAsiaTheme="minorEastAsia"/>
          <w:color w:val="auto"/>
          <w:highlight w:val="none"/>
        </w:rPr>
        <w:t>供应商响应文件应提供“</w:t>
      </w:r>
      <w:r>
        <w:rPr>
          <w:rFonts w:hint="eastAsia" w:asciiTheme="majorEastAsia" w:hAnsiTheme="majorEastAsia" w:eastAsiaTheme="majorEastAsia"/>
          <w:color w:val="auto"/>
          <w:highlight w:val="none"/>
        </w:rPr>
        <w:t>项目班子及劳动力配备方案</w:t>
      </w:r>
      <w:r>
        <w:rPr>
          <w:rFonts w:hint="eastAsia" w:asciiTheme="minorEastAsia" w:hAnsiTheme="minorEastAsia" w:eastAsiaTheme="minorEastAsia"/>
          <w:color w:val="auto"/>
          <w:highlight w:val="none"/>
        </w:rPr>
        <w:t>”</w:t>
      </w:r>
      <w:r>
        <w:rPr>
          <w:rFonts w:hint="eastAsia" w:asciiTheme="majorEastAsia" w:hAnsiTheme="majorEastAsia" w:eastAsiaTheme="majorEastAsia"/>
          <w:color w:val="auto"/>
          <w:highlight w:val="none"/>
        </w:rPr>
        <w:t>。</w:t>
      </w:r>
      <w:r>
        <w:rPr>
          <w:rFonts w:asciiTheme="minorEastAsia" w:hAnsiTheme="minorEastAsia" w:eastAsiaTheme="minorEastAsia"/>
          <w:bCs/>
          <w:color w:val="auto"/>
          <w:szCs w:val="21"/>
          <w:highlight w:val="none"/>
        </w:rPr>
        <w:br w:type="page"/>
      </w:r>
    </w:p>
    <w:p>
      <w:pPr>
        <w:pStyle w:val="4"/>
        <w:rPr>
          <w:rFonts w:asciiTheme="minorEastAsia" w:hAnsiTheme="minorEastAsia" w:eastAsiaTheme="minorEastAsia"/>
          <w:color w:val="auto"/>
          <w:sz w:val="32"/>
          <w:highlight w:val="none"/>
        </w:rPr>
      </w:pPr>
      <w:bookmarkStart w:id="34" w:name="_Toc34844743"/>
      <w:bookmarkStart w:id="35" w:name="_Toc86053873"/>
      <w:r>
        <w:rPr>
          <w:rFonts w:hint="eastAsia" w:asciiTheme="minorEastAsia" w:hAnsiTheme="minorEastAsia" w:eastAsiaTheme="minorEastAsia"/>
          <w:color w:val="auto"/>
          <w:highlight w:val="none"/>
        </w:rPr>
        <w:t>第三章  供应商须知</w:t>
      </w:r>
      <w:bookmarkEnd w:id="34"/>
      <w:bookmarkEnd w:id="35"/>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供应商须知前附表</w:t>
      </w:r>
    </w:p>
    <w:p>
      <w:pPr>
        <w:spacing w:line="360" w:lineRule="auto"/>
        <w:jc w:val="left"/>
        <w:rPr>
          <w:rStyle w:val="409"/>
          <w:rFonts w:hint="default" w:asciiTheme="minorEastAsia" w:hAnsiTheme="minorEastAsia" w:eastAsiaTheme="minorEastAsia"/>
          <w:color w:val="auto"/>
          <w:sz w:val="21"/>
          <w:szCs w:val="21"/>
          <w:highlight w:val="none"/>
        </w:rPr>
      </w:pPr>
      <w:r>
        <w:rPr>
          <w:rStyle w:val="409"/>
          <w:rFonts w:hint="default" w:asciiTheme="minorEastAsia" w:hAnsiTheme="minorEastAsia" w:eastAsiaTheme="minorEastAsia"/>
          <w:color w:val="auto"/>
          <w:sz w:val="21"/>
          <w:szCs w:val="21"/>
          <w:highlight w:val="none"/>
        </w:rPr>
        <w:t>注：本表内容是对供应商须知的具体补充，如有不一致，以本表为准。</w:t>
      </w:r>
    </w:p>
    <w:tbl>
      <w:tblPr>
        <w:tblStyle w:val="51"/>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5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3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浙江商业技师学院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bCs/>
                <w:color w:val="auto"/>
                <w:szCs w:val="21"/>
                <w:highlight w:val="none"/>
              </w:rPr>
            </w:pPr>
            <w:r>
              <w:rPr>
                <w:rFonts w:hint="eastAsia" w:cs="Arial" w:asciiTheme="minorEastAsia" w:hAnsiTheme="minorEastAsia" w:eastAsiaTheme="minorEastAsia"/>
                <w:color w:val="auto"/>
                <w:szCs w:val="21"/>
                <w:highlight w:val="none"/>
              </w:rPr>
              <w:t>采购人内部设置的采购监督机构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9.3</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344"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递交方式：</w:t>
            </w:r>
            <w:r>
              <w:rPr>
                <w:rFonts w:hint="eastAsia" w:asciiTheme="minorEastAsia" w:hAnsiTheme="minorEastAsia" w:eastAsiaTheme="minorEastAsia"/>
                <w:color w:val="auto"/>
                <w:sz w:val="21"/>
                <w:szCs w:val="21"/>
                <w:highlight w:val="none"/>
                <w:u w:val="single"/>
              </w:rPr>
              <w:t>书面形式</w:t>
            </w:r>
          </w:p>
          <w:p>
            <w:pPr>
              <w:pStyle w:val="235"/>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color w:val="auto"/>
                <w:sz w:val="21"/>
                <w:szCs w:val="21"/>
                <w:highlight w:val="none"/>
              </w:rPr>
              <w:t>接收部门：</w:t>
            </w:r>
            <w:r>
              <w:rPr>
                <w:rFonts w:hint="eastAsia" w:asciiTheme="minorEastAsia" w:hAnsiTheme="minorEastAsia" w:eastAsiaTheme="minorEastAsia"/>
                <w:color w:val="auto"/>
                <w:sz w:val="21"/>
                <w:szCs w:val="21"/>
                <w:highlight w:val="none"/>
                <w:u w:val="single"/>
              </w:rPr>
              <w:t>综合办</w:t>
            </w:r>
          </w:p>
          <w:p>
            <w:pPr>
              <w:pStyle w:val="235"/>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asciiTheme="minorEastAsia" w:hAnsiTheme="minorEastAsia" w:eastAsiaTheme="minorEastAsia"/>
                <w:color w:val="auto"/>
                <w:sz w:val="21"/>
                <w:szCs w:val="21"/>
                <w:highlight w:val="none"/>
              </w:rPr>
              <w:t>联系电话：</w:t>
            </w:r>
            <w:r>
              <w:rPr>
                <w:rFonts w:hint="eastAsia" w:asciiTheme="minorEastAsia" w:hAnsiTheme="minorEastAsia" w:eastAsiaTheme="minorEastAsia"/>
                <w:bCs/>
                <w:color w:val="auto"/>
                <w:sz w:val="21"/>
                <w:szCs w:val="21"/>
                <w:highlight w:val="none"/>
                <w:u w:val="single"/>
              </w:rPr>
              <w:t>0574-87101271</w:t>
            </w:r>
          </w:p>
          <w:p>
            <w:pPr>
              <w:pStyle w:val="235"/>
              <w:widowControl w:val="0"/>
              <w:spacing w:before="0" w:beforeAutospacing="0" w:afterAutospacing="0"/>
              <w:jc w:val="both"/>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 w:val="21"/>
                <w:szCs w:val="21"/>
                <w:highlight w:val="none"/>
              </w:rPr>
              <w:t>通讯地址：</w:t>
            </w:r>
            <w:r>
              <w:rPr>
                <w:rFonts w:hint="eastAsia" w:asciiTheme="minorEastAsia" w:hAnsiTheme="minorEastAsia" w:eastAsiaTheme="minorEastAsia"/>
                <w:color w:val="auto"/>
                <w:sz w:val="21"/>
                <w:szCs w:val="21"/>
                <w:highlight w:val="none"/>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344"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1.根据国家发改委发改办价格[2003]857号通知和原国家计委计价格[2002]1980号文件规定的收费费率打八折为取费标准。</w:t>
            </w:r>
          </w:p>
          <w:p>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highlight w:val="none"/>
              </w:rPr>
              <w:t>2.结合上述费率标准计算本项目的</w:t>
            </w:r>
            <w:r>
              <w:rPr>
                <w:rFonts w:asciiTheme="minorEastAsia" w:hAnsiTheme="minorEastAsia" w:eastAsiaTheme="minorEastAsia"/>
                <w:bCs/>
                <w:color w:val="auto"/>
                <w:highlight w:val="none"/>
              </w:rPr>
              <w:t>代理</w:t>
            </w:r>
            <w:r>
              <w:rPr>
                <w:rFonts w:hint="eastAsia" w:asciiTheme="minorEastAsia" w:hAnsiTheme="minorEastAsia" w:eastAsiaTheme="minorEastAsia"/>
                <w:bCs/>
                <w:color w:val="auto"/>
                <w:highlight w:val="none"/>
              </w:rPr>
              <w:t>服务</w:t>
            </w:r>
            <w:r>
              <w:rPr>
                <w:rFonts w:asciiTheme="minorEastAsia" w:hAnsiTheme="minorEastAsia" w:eastAsiaTheme="minorEastAsia"/>
                <w:bCs/>
                <w:color w:val="auto"/>
                <w:highlight w:val="none"/>
              </w:rPr>
              <w:t>费用</w:t>
            </w:r>
            <w:r>
              <w:rPr>
                <w:rFonts w:hint="eastAsia" w:asciiTheme="minorEastAsia" w:hAnsiTheme="minorEastAsia" w:eastAsiaTheme="minorEastAsia"/>
                <w:bCs/>
                <w:color w:val="auto"/>
                <w:highlight w:val="none"/>
              </w:rPr>
              <w:t>，最终以本项目成交金额为计算基数结算采购代理服务费。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344"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highlight w:val="none"/>
              </w:rPr>
              <w:t>本项目代理服务费由成交供应商支付。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w:t>
            </w:r>
          </w:p>
        </w:tc>
        <w:tc>
          <w:tcPr>
            <w:tcW w:w="1959"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现场考察</w:t>
            </w:r>
          </w:p>
        </w:tc>
        <w:tc>
          <w:tcPr>
            <w:tcW w:w="53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sym w:font="Wingdings" w:char="F0FE"/>
            </w:r>
            <w:r>
              <w:rPr>
                <w:rFonts w:hint="eastAsia" w:asciiTheme="minorEastAsia" w:hAnsiTheme="minorEastAsia" w:eastAsiaTheme="minorEastAsia"/>
                <w:color w:val="auto"/>
                <w:szCs w:val="21"/>
                <w:highlight w:val="none"/>
              </w:rPr>
              <w:t>不</w:t>
            </w:r>
            <w:r>
              <w:rPr>
                <w:rFonts w:hint="eastAsia" w:asciiTheme="minorEastAsia" w:hAnsiTheme="minorEastAsia" w:eastAsiaTheme="minorEastAsia"/>
                <w:bCs/>
                <w:color w:val="auto"/>
                <w:szCs w:val="21"/>
                <w:highlight w:val="none"/>
              </w:rPr>
              <w:t>统一</w:t>
            </w:r>
            <w:r>
              <w:rPr>
                <w:rFonts w:hint="eastAsia" w:asciiTheme="minorEastAsia" w:hAnsiTheme="minorEastAsia" w:eastAsiaTheme="minorEastAsia"/>
                <w:color w:val="auto"/>
                <w:szCs w:val="21"/>
                <w:highlight w:val="none"/>
              </w:rPr>
              <w:t>组织，供应商可以</w:t>
            </w:r>
            <w:r>
              <w:rPr>
                <w:rFonts w:hint="eastAsia" w:asciiTheme="minorEastAsia" w:hAnsiTheme="minorEastAsia" w:eastAsiaTheme="minorEastAsia"/>
                <w:bCs/>
                <w:color w:val="auto"/>
                <w:szCs w:val="21"/>
                <w:highlight w:val="none"/>
              </w:rPr>
              <w:t>自行考察，考察前请联系采购人的项目联系人。</w:t>
            </w:r>
          </w:p>
          <w:p>
            <w:pP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统一组织</w:t>
            </w:r>
          </w:p>
          <w:p>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时间：/年/月/日/时/分</w:t>
            </w:r>
          </w:p>
          <w:p>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地点：/</w:t>
            </w:r>
          </w:p>
          <w:p>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现场考察联系人及联系电话：</w:t>
            </w:r>
          </w:p>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备注：如供应商未参加采购人统一组织的现场考察，视同放弃现场考察，由此引起的一切责任由供应商自行承担。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w:t>
            </w:r>
          </w:p>
        </w:tc>
        <w:tc>
          <w:tcPr>
            <w:tcW w:w="1959"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资格要求响应文件的组成</w:t>
            </w:r>
          </w:p>
        </w:tc>
        <w:tc>
          <w:tcPr>
            <w:tcW w:w="5344"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1.供应商资格声明函；</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2.法人或者其他组织的营业执照等单位登记证明文件复印件；</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中小企业声明函或残疾人福利性单位声明函或监狱企业证明文件；</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.特定资格条件的证明材料：</w:t>
            </w:r>
          </w:p>
          <w:p>
            <w:pPr>
              <w:pStyle w:val="67"/>
              <w:ind w:firstLine="0" w:firstLineChars="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1提供建筑装修装饰工程专业承包二级及以上资质或建筑施工总承包三级及以上资质复印件；</w:t>
            </w:r>
          </w:p>
          <w:p>
            <w:pPr>
              <w:pStyle w:val="67"/>
              <w:ind w:firstLine="0" w:firstLineChars="0"/>
              <w:rPr>
                <w:rFonts w:eastAsiaTheme="minorEastAsia"/>
                <w:color w:val="auto"/>
                <w:highlight w:val="none"/>
              </w:rPr>
            </w:pPr>
            <w:r>
              <w:rPr>
                <w:rFonts w:hint="eastAsia" w:asciiTheme="minorEastAsia" w:hAnsiTheme="minorEastAsia" w:eastAsiaTheme="minorEastAsia"/>
                <w:color w:val="auto"/>
                <w:szCs w:val="21"/>
                <w:highlight w:val="none"/>
              </w:rPr>
              <w:t>4.2提供有效的安全生产许可证复印件。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959"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344"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1.响应函；</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2.供应商的法定代表人身份证复印件（双面）或法定代表人授权委托书及其附件；</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3.技术及其他要求响应表；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商务</w:t>
            </w:r>
            <w:r>
              <w:rPr>
                <w:rFonts w:hint="eastAsia" w:asciiTheme="minorEastAsia" w:hAnsiTheme="minorEastAsia" w:eastAsiaTheme="minorEastAsia"/>
                <w:color w:val="auto"/>
                <w:szCs w:val="21"/>
                <w:highlight w:val="none"/>
              </w:rPr>
              <w:t>要求响应表；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5.项目管理机构；</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.施工组织设计；</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.拟应用于本项目的主要材料情况表；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959"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344" w:type="dxa"/>
            <w:tcBorders>
              <w:top w:val="single" w:color="auto" w:sz="4" w:space="0"/>
              <w:left w:val="single" w:color="auto" w:sz="4" w:space="0"/>
              <w:right w:val="single" w:color="auto" w:sz="4" w:space="0"/>
            </w:tcBorders>
            <w:vAlign w:val="center"/>
          </w:tcPr>
          <w:p>
            <w:pPr>
              <w:tabs>
                <w:tab w:val="left" w:pos="3870"/>
                <w:tab w:val="left" w:pos="4085"/>
              </w:tabs>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1.初次报价表；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2.工程量报价</w:t>
            </w:r>
            <w:r>
              <w:rPr>
                <w:rFonts w:hint="eastAsia" w:asciiTheme="minorEastAsia" w:hAnsiTheme="minorEastAsia" w:eastAsiaTheme="minorEastAsia"/>
                <w:color w:val="auto"/>
                <w:szCs w:val="21"/>
                <w:highlight w:val="none"/>
                <w:lang w:val="en-US" w:eastAsia="zh-CN"/>
              </w:rPr>
              <w:t>表</w:t>
            </w:r>
            <w:r>
              <w:rPr>
                <w:rFonts w:hint="eastAsia" w:asciiTheme="minorEastAsia" w:hAnsiTheme="minorEastAsia" w:eastAsiaTheme="minorEastAsia"/>
                <w:color w:val="auto"/>
                <w:szCs w:val="21"/>
                <w:highlight w:val="none"/>
              </w:rPr>
              <w:t>。</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工程按施工图和工程量清单，以总价形式进行报价。投标人在编制投标文件时，应根据施工图纸和核准的工程量清单进行报价，如发现工程量清单有漏项、错项及数量有差异等情况时，则须在附件“工程量清单补充说明表”中列出，该部分造价核定后计入投标总价中，投标时须递交“工程量清单补充说明表”；如投标人未列出，则相关费用视为已分摊在工程量清单中其他相关分部分项的单价和价格之中，不另行计量结算与支付（设计变更和双方确认的签证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w:t>
            </w:r>
            <w:r>
              <w:rPr>
                <w:rFonts w:asciiTheme="minorEastAsia" w:hAnsiTheme="minorEastAsia" w:eastAsiaTheme="minorEastAsia"/>
                <w:color w:val="auto"/>
                <w:szCs w:val="21"/>
                <w:highlight w:val="none"/>
              </w:rPr>
              <w:t>有效期</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28.1</w:t>
            </w:r>
          </w:p>
        </w:tc>
        <w:tc>
          <w:tcPr>
            <w:tcW w:w="1959"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响应文件提交的截止时间、开启时间及地点</w:t>
            </w:r>
          </w:p>
        </w:tc>
        <w:tc>
          <w:tcPr>
            <w:tcW w:w="5344"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见</w:t>
            </w:r>
            <w:r>
              <w:rPr>
                <w:rFonts w:hint="eastAsia" w:asciiTheme="minorEastAsia" w:hAnsiTheme="minorEastAsia" w:eastAsiaTheme="minorEastAsia"/>
                <w:bCs/>
                <w:color w:val="auto"/>
                <w:sz w:val="21"/>
                <w:szCs w:val="21"/>
                <w:highlight w:val="none"/>
                <w:u w:val="single"/>
              </w:rPr>
              <w:t>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30.2</w:t>
            </w:r>
          </w:p>
        </w:tc>
        <w:tc>
          <w:tcPr>
            <w:tcW w:w="1959"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响应文件解密时间</w:t>
            </w:r>
          </w:p>
        </w:tc>
        <w:tc>
          <w:tcPr>
            <w:tcW w:w="5344"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开启响应文件时间到达后3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w:t>
            </w:r>
          </w:p>
        </w:tc>
        <w:tc>
          <w:tcPr>
            <w:tcW w:w="1959"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评审方法</w:t>
            </w:r>
          </w:p>
        </w:tc>
        <w:tc>
          <w:tcPr>
            <w:tcW w:w="5344"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16</w:t>
            </w:r>
          </w:p>
        </w:tc>
        <w:tc>
          <w:tcPr>
            <w:tcW w:w="1959"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中小企业划分标准所属行业</w:t>
            </w:r>
          </w:p>
        </w:tc>
        <w:tc>
          <w:tcPr>
            <w:tcW w:w="5344" w:type="dxa"/>
            <w:tcBorders>
              <w:top w:val="single" w:color="auto" w:sz="4" w:space="0"/>
              <w:left w:val="single" w:color="auto" w:sz="4" w:space="0"/>
              <w:bottom w:val="single" w:color="auto" w:sz="4" w:space="0"/>
              <w:right w:val="single" w:color="auto" w:sz="4" w:space="0"/>
            </w:tcBorders>
            <w:vAlign w:val="center"/>
          </w:tcPr>
          <w:p>
            <w:pPr>
              <w:pStyle w:val="235"/>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建筑业</w:t>
            </w:r>
          </w:p>
        </w:tc>
      </w:tr>
    </w:tbl>
    <w:p>
      <w:pPr>
        <w:spacing w:line="360" w:lineRule="auto"/>
        <w:rPr>
          <w:rFonts w:asciiTheme="minorEastAsia" w:hAnsiTheme="minorEastAsia" w:eastAsiaTheme="minorEastAsia"/>
          <w:b/>
          <w:color w:val="auto"/>
          <w:szCs w:val="21"/>
          <w:highlight w:val="none"/>
        </w:rPr>
      </w:pP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br w:type="page"/>
      </w:r>
      <w:r>
        <w:rPr>
          <w:rFonts w:hint="eastAsia" w:asciiTheme="minorEastAsia" w:hAnsiTheme="minorEastAsia" w:eastAsiaTheme="minorEastAsia"/>
          <w:b/>
          <w:color w:val="auto"/>
          <w:sz w:val="21"/>
          <w:szCs w:val="21"/>
          <w:highlight w:val="none"/>
        </w:rPr>
        <w:t>一、总则</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本磋商文件适用于本次磋商采购所述的工程及伴随的货物和服务的采购。</w:t>
      </w:r>
    </w:p>
    <w:p>
      <w:pPr>
        <w:tabs>
          <w:tab w:val="left" w:pos="3600"/>
        </w:tabs>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2.1</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w:t>
      </w:r>
      <w:r>
        <w:rPr>
          <w:rFonts w:hint="eastAsia" w:cs="Arial" w:asciiTheme="minorEastAsia" w:hAnsiTheme="minorEastAsia" w:eastAsiaTheme="minorEastAsia"/>
          <w:color w:val="auto"/>
          <w:szCs w:val="21"/>
          <w:highlight w:val="none"/>
        </w:rPr>
        <w:t>、网上公告</w:t>
      </w:r>
      <w:r>
        <w:rPr>
          <w:rFonts w:cs="Arial" w:asciiTheme="minorEastAsia" w:hAnsiTheme="minorEastAsia" w:eastAsiaTheme="minorEastAsia"/>
          <w:color w:val="auto"/>
          <w:szCs w:val="21"/>
          <w:highlight w:val="none"/>
        </w:rPr>
        <w:t>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2.2实质性条款：标注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的属于磋商文件的</w:t>
      </w:r>
      <w:r>
        <w:rPr>
          <w:rFonts w:cs="Arial" w:asciiTheme="minorEastAsia" w:hAnsiTheme="minorEastAsia" w:eastAsiaTheme="minorEastAsia"/>
          <w:color w:val="auto"/>
          <w:szCs w:val="21"/>
          <w:highlight w:val="none"/>
        </w:rPr>
        <w:t>实质性要求条款。</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2.3公章:</w:t>
      </w:r>
      <w:r>
        <w:rPr>
          <w:rFonts w:cs="Arial" w:asciiTheme="minorEastAsia" w:hAnsiTheme="minorEastAsia" w:eastAsiaTheme="minorEastAsia"/>
          <w:color w:val="auto"/>
          <w:szCs w:val="21"/>
          <w:highlight w:val="none"/>
        </w:rPr>
        <w:t>供应商在响应文件及通知等事项的书面文件中的单位盖章、公章等处，均仅指与</w:t>
      </w:r>
      <w:r>
        <w:rPr>
          <w:rFonts w:hint="eastAsia" w:cs="Arial" w:asciiTheme="minorEastAsia" w:hAnsiTheme="minorEastAsia" w:eastAsiaTheme="minorEastAsia"/>
          <w:color w:val="auto"/>
          <w:szCs w:val="21"/>
          <w:highlight w:val="none"/>
        </w:rPr>
        <w:t>磋商响应供应商</w:t>
      </w:r>
      <w:r>
        <w:rPr>
          <w:rFonts w:cs="Arial" w:asciiTheme="minorEastAsia" w:hAnsiTheme="minorEastAsia" w:eastAsiaTheme="minorEastAsia"/>
          <w:color w:val="auto"/>
          <w:szCs w:val="21"/>
          <w:highlight w:val="none"/>
        </w:rPr>
        <w:t>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pPr>
        <w:wordWrap w:val="0"/>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2.4电子交易平台：指本次政府采购活动所依托的政府采购云平台（https://www.zcygov.cn/）。</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2.5依法获取磋商文件：供应商按照</w:t>
      </w:r>
      <w:r>
        <w:rPr>
          <w:rFonts w:hint="eastAsia" w:asciiTheme="minorEastAsia" w:hAnsiTheme="minorEastAsia" w:eastAsiaTheme="minorEastAsia"/>
          <w:bCs/>
          <w:color w:val="auto"/>
          <w:szCs w:val="21"/>
          <w:highlight w:val="none"/>
          <w:u w:val="single"/>
        </w:rPr>
        <w:t>采购公告</w:t>
      </w:r>
      <w:r>
        <w:rPr>
          <w:rFonts w:hint="eastAsia" w:asciiTheme="minorEastAsia" w:hAnsiTheme="minorEastAsia" w:eastAsiaTheme="minorEastAsia"/>
          <w:bCs/>
          <w:color w:val="auto"/>
          <w:szCs w:val="21"/>
          <w:highlight w:val="none"/>
        </w:rPr>
        <w:t>第三条的约定实施</w:t>
      </w:r>
      <w:r>
        <w:rPr>
          <w:rFonts w:hint="eastAsia" w:asciiTheme="minorEastAsia" w:hAnsiTheme="minorEastAsia" w:eastAsiaTheme="minorEastAsia"/>
          <w:color w:val="auto"/>
          <w:highlight w:val="none"/>
        </w:rPr>
        <w:t>。</w:t>
      </w:r>
    </w:p>
    <w:p>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采购人、采购代理机构及供应商</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.1采购人：是指依法开展政府采购活动的国家机关、事业单位、团体组织。</w:t>
      </w:r>
      <w:r>
        <w:rPr>
          <w:rFonts w:hint="eastAsia" w:asciiTheme="minorEastAsia" w:hAnsiTheme="minorEastAsia" w:eastAsiaTheme="minorEastAsia"/>
          <w:color w:val="auto"/>
          <w:szCs w:val="21"/>
          <w:highlight w:val="none"/>
        </w:rPr>
        <w:t>本项目的采购人见</w:t>
      </w:r>
      <w:r>
        <w:rPr>
          <w:rFonts w:hint="eastAsia" w:asciiTheme="minorEastAsia" w:hAnsiTheme="minorEastAsia" w:eastAsiaTheme="minorEastAsia"/>
          <w:color w:val="auto"/>
          <w:szCs w:val="21"/>
          <w:highlight w:val="none"/>
          <w:u w:val="single"/>
        </w:rPr>
        <w:t>供应商须知前附表</w:t>
      </w:r>
      <w:r>
        <w:rPr>
          <w:rFonts w:hint="eastAsia"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.2采购代理机构：是指从事采购代理业务的社会中介机构。本项目的采购代理机构见</w:t>
      </w:r>
      <w:r>
        <w:rPr>
          <w:rFonts w:hint="eastAsia" w:asciiTheme="minorEastAsia" w:hAnsiTheme="minorEastAsia" w:eastAsiaTheme="minorEastAsia"/>
          <w:color w:val="auto"/>
          <w:szCs w:val="21"/>
          <w:highlight w:val="none"/>
          <w:u w:val="single"/>
        </w:rPr>
        <w:t>供应商须知前附表</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本项目的政府采购监督管理部门见</w:t>
      </w:r>
      <w:r>
        <w:rPr>
          <w:rFonts w:hint="eastAsia" w:asciiTheme="minorEastAsia" w:hAnsiTheme="minorEastAsia" w:eastAsiaTheme="minorEastAsia"/>
          <w:color w:val="auto"/>
          <w:szCs w:val="21"/>
          <w:highlight w:val="none"/>
          <w:u w:val="single"/>
        </w:rPr>
        <w:t>供应商须知前附表</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.4供应商：</w:t>
      </w:r>
      <w:r>
        <w:rPr>
          <w:rFonts w:hint="eastAsia" w:asciiTheme="minorEastAsia" w:hAnsiTheme="minorEastAsia" w:eastAsiaTheme="minorEastAsia"/>
          <w:color w:val="auto"/>
          <w:szCs w:val="21"/>
          <w:highlight w:val="none"/>
        </w:rPr>
        <w:t>是指向采购人提供货物、工程或者服务的法人、其他组织或者自然人</w:t>
      </w:r>
      <w:r>
        <w:rPr>
          <w:rFonts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bCs/>
          <w:color w:val="auto"/>
          <w:kern w:val="0"/>
          <w:szCs w:val="21"/>
          <w:highlight w:val="none"/>
        </w:rPr>
      </w:pPr>
      <w:bookmarkStart w:id="36"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本项目（否）接受联合体参加磋商。</w:t>
      </w:r>
    </w:p>
    <w:bookmarkEnd w:id="36"/>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不得参加同一合同项下的政府采购活动（同一项目不同标项不在此范围）。否则相关单位均将被认定为</w:t>
      </w:r>
      <w:r>
        <w:rPr>
          <w:rFonts w:hint="eastAsia" w:asciiTheme="minorEastAsia" w:hAnsiTheme="minorEastAsia" w:eastAsiaTheme="minorEastAsia"/>
          <w:b/>
          <w:bCs/>
          <w:color w:val="auto"/>
          <w:szCs w:val="21"/>
          <w:highlight w:val="none"/>
        </w:rPr>
        <w:t>响应无效</w:t>
      </w:r>
      <w:r>
        <w:rPr>
          <w:rFonts w:hint="eastAsia" w:asciiTheme="minorEastAsia" w:hAnsiTheme="minorEastAsia" w:eastAsiaTheme="minorEastAsia"/>
          <w:color w:val="auto"/>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.7为本项目提供过整体设计、规范编制或者项目管理、监理、检测等服务的供应商，不得再参加本项目的采购活动。</w:t>
      </w:r>
      <w:bookmarkStart w:id="37" w:name="_Hlk13431092"/>
      <w:r>
        <w:rPr>
          <w:rFonts w:asciiTheme="minorEastAsia" w:hAnsiTheme="minorEastAsia" w:eastAsiaTheme="minorEastAsia"/>
          <w:color w:val="auto"/>
          <w:szCs w:val="21"/>
          <w:highlight w:val="none"/>
        </w:rPr>
        <w:t>否则将被认定为</w:t>
      </w:r>
      <w:r>
        <w:rPr>
          <w:rFonts w:asciiTheme="minorEastAsia" w:hAnsiTheme="minorEastAsia" w:eastAsiaTheme="minorEastAsia"/>
          <w:b/>
          <w:color w:val="auto"/>
          <w:szCs w:val="21"/>
          <w:highlight w:val="none"/>
        </w:rPr>
        <w:t>响应无效</w:t>
      </w:r>
      <w:r>
        <w:rPr>
          <w:rFonts w:asciiTheme="minorEastAsia" w:hAnsiTheme="minorEastAsia" w:eastAsiaTheme="minorEastAsia"/>
          <w:color w:val="auto"/>
          <w:szCs w:val="21"/>
          <w:highlight w:val="none"/>
        </w:rPr>
        <w:t>。</w:t>
      </w:r>
      <w:bookmarkEnd w:id="37"/>
    </w:p>
    <w:p>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本项目的采购人已获得足以支付本次采购后所签订的合同项下的资金。</w:t>
      </w:r>
    </w:p>
    <w:p>
      <w:pPr>
        <w:spacing w:line="360" w:lineRule="auto"/>
        <w:ind w:firstLine="435"/>
        <w:rPr>
          <w:rFonts w:asciiTheme="minorEastAsia" w:hAnsiTheme="minorEastAsia" w:eastAsiaTheme="minorEastAsia"/>
          <w:color w:val="auto"/>
          <w:szCs w:val="21"/>
          <w:highlight w:val="none"/>
        </w:rPr>
      </w:pPr>
      <w:bookmarkStart w:id="38" w:name="_Hlk11702998"/>
      <w:r>
        <w:rPr>
          <w:rFonts w:hint="eastAsia" w:asciiTheme="minorEastAsia" w:hAnsiTheme="minorEastAsia" w:eastAsiaTheme="minorEastAsia"/>
          <w:color w:val="auto"/>
          <w:szCs w:val="21"/>
          <w:highlight w:val="none"/>
        </w:rPr>
        <w:t>4.2项目预算金额和最高限价见</w:t>
      </w:r>
      <w:r>
        <w:rPr>
          <w:rFonts w:hint="eastAsia" w:asciiTheme="minorEastAsia" w:hAnsiTheme="minorEastAsia" w:eastAsiaTheme="minorEastAsia"/>
          <w:bCs/>
          <w:color w:val="auto"/>
          <w:kern w:val="0"/>
          <w:szCs w:val="21"/>
          <w:highlight w:val="none"/>
          <w:u w:val="single"/>
        </w:rPr>
        <w:t>采购公告</w:t>
      </w:r>
      <w:r>
        <w:rPr>
          <w:rFonts w:hint="eastAsia" w:asciiTheme="minorEastAsia" w:hAnsiTheme="minorEastAsia" w:eastAsiaTheme="minorEastAsia"/>
          <w:color w:val="auto"/>
          <w:szCs w:val="21"/>
          <w:highlight w:val="none"/>
        </w:rPr>
        <w:t>。</w:t>
      </w:r>
    </w:p>
    <w:bookmarkEnd w:id="38"/>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5.磋商委托</w:t>
      </w:r>
    </w:p>
    <w:p>
      <w:pPr>
        <w:pStyle w:val="201"/>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响应文件的签署人应当为供应商的法定代表人，并在响应文件中提供法定代表人身份证正反面复印件。如供应商的法定代表人委托他人签署响应文件办理磋商响应事务的，响应文件中必须提供供应商的</w:t>
      </w:r>
      <w:r>
        <w:rPr>
          <w:rFonts w:asciiTheme="minorEastAsia" w:hAnsiTheme="minorEastAsia" w:eastAsiaTheme="minorEastAsia"/>
          <w:color w:val="auto"/>
          <w:sz w:val="21"/>
          <w:szCs w:val="21"/>
          <w:highlight w:val="none"/>
        </w:rPr>
        <w:t>法定代表人出具的授权委托书</w:t>
      </w:r>
      <w:r>
        <w:rPr>
          <w:rFonts w:hint="eastAsia" w:asciiTheme="minorEastAsia" w:hAnsiTheme="minorEastAsia" w:eastAsiaTheme="minorEastAsia"/>
          <w:color w:val="auto"/>
          <w:sz w:val="21"/>
          <w:szCs w:val="21"/>
          <w:highlight w:val="none"/>
        </w:rPr>
        <w:t>及授权代表的身份证正反面复印件</w:t>
      </w:r>
      <w:r>
        <w:rPr>
          <w:rFonts w:asciiTheme="minorEastAsia" w:hAnsiTheme="minorEastAsia" w:eastAsiaTheme="minorEastAsia"/>
          <w:color w:val="auto"/>
          <w:sz w:val="21"/>
          <w:szCs w:val="21"/>
          <w:highlight w:val="none"/>
        </w:rPr>
        <w:t>。</w:t>
      </w:r>
    </w:p>
    <w:p>
      <w:pPr>
        <w:pStyle w:val="201"/>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非法人组织参加本项目磋商响应并由单位负责人签署的相关响应资料与磋商文件规定由法定代表人签署的的文件材料具有同等效力。</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6.磋商费用</w:t>
      </w:r>
    </w:p>
    <w:p>
      <w:pPr>
        <w:pStyle w:val="201"/>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不论磋商的结果如何，供应商自行承担所有与准备和参加磋商有关的费用。</w:t>
      </w:r>
    </w:p>
    <w:p>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pPr>
        <w:pStyle w:val="201"/>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供应商、竞争性磋商小组（以下简称磋商小组）参考《中华人民共和国政府采购法》《中华人民共和国政府采购法实施条例》《政府采购竞争性磋商采购方式管理暂行办法》等政府采购法律法规执行。</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pPr>
        <w:spacing w:line="360" w:lineRule="auto"/>
        <w:ind w:firstLine="420" w:firstLineChars="200"/>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pPr>
        <w:spacing w:line="360" w:lineRule="auto"/>
        <w:ind w:firstLine="420" w:firstLineChars="200"/>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供应商采用自身所不拥有的知识产权，无论是否在磋商报价中单独列明，采购人均视为报价已包含供应商合法获取该知识产权的相关费用。</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9.转包与分包</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9.1</w:t>
      </w:r>
      <w:r>
        <w:rPr>
          <w:rFonts w:ascii="宋体" w:hAnsi="宋体"/>
          <w:color w:val="auto"/>
          <w:kern w:val="0"/>
          <w:szCs w:val="21"/>
          <w:highlight w:val="none"/>
        </w:rPr>
        <w:t>本项目</w:t>
      </w:r>
      <w:r>
        <w:rPr>
          <w:rFonts w:hint="eastAsia" w:ascii="宋体" w:hAnsi="宋体"/>
          <w:color w:val="auto"/>
          <w:kern w:val="0"/>
          <w:szCs w:val="21"/>
          <w:highlight w:val="none"/>
        </w:rPr>
        <w:t>依法</w:t>
      </w:r>
      <w:r>
        <w:rPr>
          <w:rFonts w:ascii="宋体" w:hAnsi="宋体"/>
          <w:color w:val="auto"/>
          <w:kern w:val="0"/>
          <w:szCs w:val="21"/>
          <w:highlight w:val="none"/>
        </w:rPr>
        <w:t>不允许转包</w:t>
      </w:r>
      <w:r>
        <w:rPr>
          <w:rFonts w:hint="eastAsia" w:ascii="宋体" w:hAnsi="宋体"/>
          <w:color w:val="auto"/>
          <w:kern w:val="0"/>
          <w:szCs w:val="21"/>
          <w:highlight w:val="none"/>
        </w:rPr>
        <w:t>；经采购人同意后允许分包。</w:t>
      </w:r>
    </w:p>
    <w:p>
      <w:pPr>
        <w:tabs>
          <w:tab w:val="left" w:pos="426"/>
        </w:tabs>
        <w:snapToGrid w:val="0"/>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10.</w:t>
      </w:r>
      <w:r>
        <w:rPr>
          <w:rFonts w:cs="宋体" w:asciiTheme="minorEastAsia" w:hAnsiTheme="minorEastAsia" w:eastAsiaTheme="minorEastAsia"/>
          <w:b/>
          <w:color w:val="auto"/>
          <w:kern w:val="0"/>
          <w:szCs w:val="21"/>
          <w:highlight w:val="none"/>
        </w:rPr>
        <w:t>质疑和投诉</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10.1供应商认为磋商文件、采购过程和成交结果使自己的权益受到损害的，可以参考</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采购法实施条例》</w:t>
      </w:r>
      <w:r>
        <w:rPr>
          <w:rFonts w:hint="eastAsia" w:asciiTheme="minorEastAsia" w:hAnsiTheme="minorEastAsia" w:eastAsiaTheme="minorEastAsia"/>
          <w:color w:val="auto"/>
          <w:sz w:val="21"/>
          <w:szCs w:val="21"/>
          <w:highlight w:val="none"/>
        </w:rPr>
        <w:t>和</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w:t>
      </w:r>
      <w:r>
        <w:rPr>
          <w:rFonts w:hint="eastAsia"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rPr>
        <w:t>有关规定，</w:t>
      </w:r>
      <w:r>
        <w:rPr>
          <w:rFonts w:hint="eastAsia" w:asciiTheme="minorEastAsia" w:hAnsiTheme="minorEastAsia" w:eastAsiaTheme="minorEastAsia"/>
          <w:color w:val="auto"/>
          <w:sz w:val="21"/>
          <w:szCs w:val="21"/>
          <w:highlight w:val="none"/>
        </w:rPr>
        <w:t>依法向采购人或采购代理机构提出质疑。</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应</w:t>
      </w:r>
      <w:r>
        <w:rPr>
          <w:rFonts w:hint="eastAsia" w:asciiTheme="minorEastAsia" w:hAnsiTheme="minorEastAsia" w:eastAsiaTheme="minorEastAsia"/>
          <w:color w:val="auto"/>
          <w:sz w:val="21"/>
          <w:szCs w:val="21"/>
          <w:highlight w:val="none"/>
        </w:rPr>
        <w:t>按《第七章  政府采购供应商质疑函及投诉书格式》提供的格式和</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采购质疑和投诉办法》的要求</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在法定质疑期内</w:t>
      </w:r>
      <w:r>
        <w:rPr>
          <w:rFonts w:hint="eastAsia" w:asciiTheme="minorEastAsia" w:hAnsiTheme="minorEastAsia" w:eastAsiaTheme="minorEastAsia"/>
          <w:color w:val="auto"/>
          <w:sz w:val="21"/>
          <w:szCs w:val="21"/>
          <w:highlight w:val="none"/>
        </w:rPr>
        <w:t>以书面形式</w:t>
      </w:r>
      <w:r>
        <w:rPr>
          <w:rFonts w:asciiTheme="minorEastAsia" w:hAnsiTheme="minorEastAsia" w:eastAsiaTheme="minorEastAsia"/>
          <w:color w:val="auto"/>
          <w:sz w:val="21"/>
          <w:szCs w:val="21"/>
          <w:highlight w:val="none"/>
        </w:rPr>
        <w:t>提出质疑</w:t>
      </w:r>
      <w:r>
        <w:rPr>
          <w:rFonts w:hint="eastAsia" w:asciiTheme="minorEastAsia" w:hAnsiTheme="minorEastAsia" w:eastAsiaTheme="minorEastAsia"/>
          <w:color w:val="auto"/>
          <w:sz w:val="21"/>
          <w:szCs w:val="21"/>
          <w:highlight w:val="none"/>
        </w:rPr>
        <w:t>，超出法定质疑期提交的质疑将被拒绝。针对同一采购程序环节的质疑应一次性提出。</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10.3采购代理机构质疑函接收部门、联系电话和通讯地址，见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10.4质疑供应商对采购人、采购代理机构的答复不满意，或者采购人、采购代理机构未在规定时间内作出答复的，可以在答复期满后15个工作日内向</w:t>
      </w:r>
      <w:r>
        <w:rPr>
          <w:rFonts w:hint="eastAsia" w:cs="Arial" w:asciiTheme="minorEastAsia" w:hAnsiTheme="minorEastAsia" w:eastAsiaTheme="minorEastAsia"/>
          <w:color w:val="auto"/>
          <w:szCs w:val="21"/>
          <w:highlight w:val="none"/>
        </w:rPr>
        <w:t>采购人内部设置的采购监督机构</w:t>
      </w:r>
      <w:r>
        <w:rPr>
          <w:rFonts w:hint="eastAsia" w:asciiTheme="minorEastAsia" w:hAnsiTheme="minorEastAsia" w:eastAsiaTheme="minorEastAsia"/>
          <w:color w:val="auto"/>
          <w:szCs w:val="21"/>
          <w:highlight w:val="none"/>
        </w:rPr>
        <w:t>提起投诉，详见</w:t>
      </w:r>
      <w:r>
        <w:rPr>
          <w:rFonts w:hint="eastAsia" w:asciiTheme="minorEastAsia" w:hAnsiTheme="minorEastAsia" w:eastAsiaTheme="minorEastAsia"/>
          <w:color w:val="auto"/>
          <w:szCs w:val="21"/>
          <w:highlight w:val="none"/>
          <w:u w:val="single"/>
        </w:rPr>
        <w:t>《第一章  采购公告》</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11.供应商信用记录查询及使用</w:t>
      </w:r>
    </w:p>
    <w:p>
      <w:pPr>
        <w:pStyle w:val="3"/>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r>
        <w:rPr>
          <w:rFonts w:asciiTheme="minorEastAsia" w:hAnsiTheme="minorEastAsia" w:eastAsiaTheme="minorEastAsia"/>
          <w:color w:val="auto"/>
          <w:sz w:val="21"/>
          <w:szCs w:val="21"/>
          <w:highlight w:val="none"/>
        </w:rPr>
        <w:t>信用信息查询渠道</w:t>
      </w:r>
      <w:r>
        <w:rPr>
          <w:rFonts w:hint="eastAsia" w:asciiTheme="minorEastAsia" w:hAnsiTheme="minorEastAsia" w:eastAsiaTheme="minorEastAsia"/>
          <w:color w:val="auto"/>
          <w:sz w:val="21"/>
          <w:szCs w:val="21"/>
          <w:highlight w:val="none"/>
        </w:rPr>
        <w:t>：“信用中国”网站（www.creditchina.gov.cn）、中国政府采购网（www.ccgp.gov.cn）。</w:t>
      </w:r>
    </w:p>
    <w:p>
      <w:pPr>
        <w:pStyle w:val="3"/>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r>
        <w:rPr>
          <w:rFonts w:asciiTheme="minorEastAsia" w:hAnsiTheme="minorEastAsia" w:eastAsiaTheme="minorEastAsia"/>
          <w:color w:val="auto"/>
          <w:sz w:val="21"/>
          <w:szCs w:val="21"/>
          <w:highlight w:val="none"/>
        </w:rPr>
        <w:t>信用信息查询截止时点</w:t>
      </w:r>
      <w:r>
        <w:rPr>
          <w:rFonts w:hint="eastAsia" w:asciiTheme="minorEastAsia" w:hAnsiTheme="minorEastAsia" w:eastAsiaTheme="minorEastAsia"/>
          <w:color w:val="auto"/>
          <w:sz w:val="21"/>
          <w:szCs w:val="21"/>
          <w:highlight w:val="none"/>
        </w:rPr>
        <w:t>：响应截止时间后至评审结束前。</w:t>
      </w:r>
    </w:p>
    <w:p>
      <w:pPr>
        <w:pStyle w:val="3"/>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：由</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工作人员将查询网页打印并与其他采购文件一并存档备查。</w:t>
      </w:r>
    </w:p>
    <w:p>
      <w:pPr>
        <w:pStyle w:val="3"/>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39"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磋商文件规定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39"/>
      <w:r>
        <w:rPr>
          <w:rFonts w:hint="eastAsia" w:asciiTheme="minorEastAsia" w:hAnsiTheme="minorEastAsia" w:eastAsiaTheme="minorEastAsia"/>
          <w:color w:val="auto"/>
          <w:sz w:val="21"/>
          <w:szCs w:val="21"/>
          <w:highlight w:val="none"/>
        </w:rPr>
        <w:t>供应商自行提供的网站查询结果材料亦不作为资格审查依据。</w:t>
      </w:r>
    </w:p>
    <w:p>
      <w:pPr>
        <w:pStyle w:val="3"/>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：供应商存在采购文件明确的不良信用记录的，其磋商响应将被认定为</w:t>
      </w:r>
      <w:r>
        <w:rPr>
          <w:rFonts w:hint="eastAsia" w:asciiTheme="minorEastAsia" w:hAnsiTheme="minorEastAsia" w:eastAsiaTheme="minorEastAsia"/>
          <w:b/>
          <w:color w:val="auto"/>
          <w:sz w:val="21"/>
          <w:szCs w:val="21"/>
          <w:highlight w:val="none"/>
        </w:rPr>
        <w:t>响应无效</w:t>
      </w:r>
      <w:r>
        <w:rPr>
          <w:rFonts w:hint="eastAsia" w:asciiTheme="minorEastAsia" w:hAnsiTheme="minorEastAsia" w:eastAsiaTheme="minorEastAsia"/>
          <w:color w:val="auto"/>
          <w:sz w:val="21"/>
          <w:szCs w:val="21"/>
          <w:highlight w:val="none"/>
        </w:rPr>
        <w:t>。</w:t>
      </w:r>
    </w:p>
    <w:p>
      <w:pPr>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12.政府采购信息发布媒体</w:t>
      </w:r>
    </w:p>
    <w:p>
      <w:pPr>
        <w:pStyle w:val="3"/>
        <w:snapToGrid w:val="0"/>
        <w:spacing w:after="0" w:line="360" w:lineRule="auto"/>
        <w:ind w:left="0"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本项目政府采购信息发布</w:t>
      </w:r>
      <w:r>
        <w:rPr>
          <w:rFonts w:hint="eastAsia" w:asciiTheme="minorEastAsia" w:hAnsiTheme="minorEastAsia" w:eastAsiaTheme="minorEastAsia"/>
          <w:bCs/>
          <w:color w:val="auto"/>
          <w:sz w:val="21"/>
          <w:szCs w:val="21"/>
          <w:highlight w:val="none"/>
        </w:rPr>
        <w:t>浙江政府采购网（</w:t>
      </w:r>
      <w:r>
        <w:rPr>
          <w:rFonts w:asciiTheme="minorEastAsia" w:hAnsiTheme="minorEastAsia" w:eastAsiaTheme="minorEastAsia"/>
          <w:bCs/>
          <w:color w:val="auto"/>
          <w:sz w:val="21"/>
          <w:szCs w:val="21"/>
          <w:highlight w:val="none"/>
        </w:rPr>
        <w:t>https://zfcg.czt.zj.gov.cn/</w:t>
      </w:r>
      <w:r>
        <w:rPr>
          <w:rFonts w:hint="eastAsia" w:asciiTheme="minorEastAsia" w:hAnsiTheme="minorEastAsia" w:eastAsiaTheme="minorEastAsia"/>
          <w:bCs/>
          <w:color w:val="auto"/>
          <w:sz w:val="21"/>
          <w:szCs w:val="21"/>
          <w:highlight w:val="none"/>
        </w:rPr>
        <w:t>）。</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pPr>
        <w:pStyle w:val="3"/>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pStyle w:val="3"/>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pStyle w:val="28"/>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14.其他</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14.1磋商文件的标题和序号只是为了查阅方便，不影响对磋商文件的理解。</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14.2磋商文件如出现某品牌、型号的内容是为了更好的描述产品的性能、规格及要求，并无指定产品品牌、型号的意思表达。</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14.3供应商提交的响应文件针对磋商文件同一条款出现不同表述（响应）的，按照不利于供应商的标准进行认定；在合同签订或履行中发现存在上述情形的，按照有利于采购人的标准执行。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14.4磋商文件要求携带原件备查的资料，如该资料可以通过互联网或者相关信息系统查询的，供应商能够当场提供账号、网址等进行查询、核实资料真伪及有关数据的，视同提供了原件。</w:t>
      </w:r>
    </w:p>
    <w:p>
      <w:pPr>
        <w:snapToGrid w:val="0"/>
        <w:spacing w:line="360" w:lineRule="auto"/>
        <w:ind w:firstLine="422" w:firstLineChars="20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1</w:t>
      </w:r>
      <w:r>
        <w:rPr>
          <w:rFonts w:cs="Arial" w:asciiTheme="minorEastAsia" w:hAnsiTheme="minorEastAsia" w:eastAsiaTheme="minorEastAsia"/>
          <w:b/>
          <w:color w:val="auto"/>
          <w:szCs w:val="21"/>
          <w:highlight w:val="none"/>
        </w:rPr>
        <w:t>4</w:t>
      </w:r>
      <w:r>
        <w:rPr>
          <w:rFonts w:hint="eastAsia" w:cs="Arial" w:asciiTheme="minorEastAsia" w:hAnsiTheme="minorEastAsia" w:eastAsiaTheme="minorEastAsia"/>
          <w:b/>
          <w:color w:val="auto"/>
          <w:szCs w:val="21"/>
          <w:highlight w:val="none"/>
        </w:rPr>
        <w:t>.5供应商应当及时维护政府采购云平台（https://www.zcygov.cn/）注册信息，包含但不仅限于单位银行账户信息等。</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、磋商文件</w:t>
      </w:r>
    </w:p>
    <w:p>
      <w:pPr>
        <w:pStyle w:val="28"/>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15.磋商文件的构成</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磋商文件共七章。由下列文件以及在采购过程中发出的澄清或修改文件组成，内容如下：</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采购公告</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供应商须知</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评审方法和评审标准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合同草案条款</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响应文件格式</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第七章  政府采购供应商质疑函及投诉书范本</w:t>
      </w:r>
    </w:p>
    <w:p>
      <w:pPr>
        <w:pStyle w:val="15"/>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16.磋商文件的询问、澄清和修改</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供应商</w:t>
      </w:r>
      <w:r>
        <w:rPr>
          <w:rFonts w:hint="eastAsia" w:asciiTheme="minorEastAsia" w:hAnsiTheme="minorEastAsia" w:eastAsiaTheme="minorEastAsia"/>
          <w:bCs/>
          <w:color w:val="auto"/>
          <w:sz w:val="21"/>
          <w:szCs w:val="21"/>
          <w:highlight w:val="none"/>
        </w:rPr>
        <w:t>对磋商文件有疑问，可以向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对潜在供应商</w:t>
      </w:r>
      <w:r>
        <w:rPr>
          <w:rFonts w:hint="eastAsia" w:asciiTheme="minorEastAsia" w:hAnsiTheme="minorEastAsia" w:eastAsiaTheme="minorEastAsia"/>
          <w:color w:val="auto"/>
          <w:sz w:val="21"/>
          <w:szCs w:val="21"/>
          <w:highlight w:val="none"/>
        </w:rPr>
        <w:t>的询问作出答复。</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16.2澄清和修改</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w:t>
      </w:r>
      <w:r>
        <w:rPr>
          <w:rFonts w:asciiTheme="minorEastAsia" w:hAnsiTheme="minorEastAsia" w:eastAsiaTheme="minorEastAsia"/>
          <w:bCs/>
          <w:color w:val="auto"/>
          <w:sz w:val="21"/>
          <w:szCs w:val="21"/>
          <w:highlight w:val="none"/>
        </w:rPr>
        <w:t>澄清或者修改</w:t>
      </w:r>
      <w:r>
        <w:rPr>
          <w:rFonts w:hint="eastAsia" w:asciiTheme="minorEastAsia" w:hAnsiTheme="minorEastAsia" w:eastAsiaTheme="minorEastAsia"/>
          <w:bCs/>
          <w:color w:val="auto"/>
          <w:sz w:val="21"/>
          <w:szCs w:val="21"/>
          <w:highlight w:val="none"/>
        </w:rPr>
        <w:t>的更正信息将以书面形式在浙江政府采购网（</w:t>
      </w:r>
      <w:r>
        <w:rPr>
          <w:rFonts w:asciiTheme="minorEastAsia" w:hAnsiTheme="minorEastAsia" w:eastAsiaTheme="minorEastAsia"/>
          <w:bCs/>
          <w:color w:val="auto"/>
          <w:sz w:val="21"/>
          <w:szCs w:val="21"/>
          <w:highlight w:val="none"/>
        </w:rPr>
        <w:t>https://zfcg.czt.zj.gov.cn/</w:t>
      </w:r>
      <w:r>
        <w:rPr>
          <w:rFonts w:hint="eastAsia" w:asciiTheme="minorEastAsia" w:hAnsiTheme="minorEastAsia" w:eastAsiaTheme="minorEastAsia"/>
          <w:bCs/>
          <w:color w:val="auto"/>
          <w:sz w:val="21"/>
          <w:szCs w:val="21"/>
          <w:highlight w:val="none"/>
        </w:rPr>
        <w:t>）公开发布。政采云平台将发送短信通知所有获取磋商文件的供应商，供应商应当自行登陆上述网站并浏览更正内容，并按照更正后的采购文件编制响应文件。</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w:t>
      </w:r>
      <w:r>
        <w:rPr>
          <w:rFonts w:asciiTheme="minorEastAsia" w:hAnsiTheme="minorEastAsia" w:eastAsiaTheme="minorEastAsia"/>
          <w:bCs/>
          <w:color w:val="auto"/>
          <w:sz w:val="21"/>
          <w:szCs w:val="21"/>
          <w:highlight w:val="none"/>
        </w:rPr>
        <w:t>供应商在收到书面形式通知后，</w:t>
      </w:r>
      <w:r>
        <w:rPr>
          <w:rFonts w:hint="eastAsia" w:asciiTheme="minorEastAsia" w:hAnsiTheme="minorEastAsia" w:eastAsiaTheme="minorEastAsia"/>
          <w:bCs/>
          <w:color w:val="auto"/>
          <w:sz w:val="21"/>
          <w:szCs w:val="21"/>
          <w:highlight w:val="none"/>
        </w:rPr>
        <w:t>认为</w:t>
      </w:r>
      <w:r>
        <w:rPr>
          <w:rFonts w:asciiTheme="minorEastAsia" w:hAnsiTheme="minorEastAsia" w:eastAsiaTheme="minorEastAsia"/>
          <w:bCs/>
          <w:color w:val="auto"/>
          <w:sz w:val="21"/>
          <w:szCs w:val="21"/>
          <w:highlight w:val="none"/>
        </w:rPr>
        <w:t>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影响响应文件编制</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应当</w:t>
      </w:r>
      <w:r>
        <w:rPr>
          <w:rFonts w:asciiTheme="minorEastAsia" w:hAnsiTheme="minorEastAsia" w:eastAsiaTheme="minorEastAsia"/>
          <w:bCs/>
          <w:color w:val="auto"/>
          <w:sz w:val="21"/>
          <w:szCs w:val="21"/>
          <w:highlight w:val="none"/>
        </w:rPr>
        <w:t>在收到</w:t>
      </w:r>
      <w:r>
        <w:rPr>
          <w:rFonts w:hint="eastAsia" w:asciiTheme="minorEastAsia" w:hAnsiTheme="minorEastAsia" w:eastAsiaTheme="minorEastAsia"/>
          <w:bCs/>
          <w:color w:val="auto"/>
          <w:sz w:val="21"/>
          <w:szCs w:val="21"/>
          <w:highlight w:val="none"/>
        </w:rPr>
        <w:t>书面通知</w:t>
      </w:r>
      <w:r>
        <w:rPr>
          <w:rFonts w:asciiTheme="minorEastAsia" w:hAnsiTheme="minorEastAsia" w:eastAsiaTheme="minorEastAsia"/>
          <w:bCs/>
          <w:color w:val="auto"/>
          <w:sz w:val="21"/>
          <w:szCs w:val="21"/>
          <w:highlight w:val="none"/>
        </w:rPr>
        <w:t>后</w:t>
      </w:r>
      <w:r>
        <w:rPr>
          <w:rFonts w:hint="eastAsia" w:asciiTheme="minorEastAsia" w:hAnsiTheme="minorEastAsia" w:eastAsiaTheme="minorEastAsia"/>
          <w:bCs/>
          <w:color w:val="auto"/>
          <w:sz w:val="21"/>
          <w:szCs w:val="21"/>
          <w:highlight w:val="none"/>
        </w:rPr>
        <w:t>及时</w:t>
      </w:r>
      <w:r>
        <w:rPr>
          <w:rFonts w:asciiTheme="minorEastAsia" w:hAnsiTheme="minorEastAsia" w:eastAsiaTheme="minorEastAsia"/>
          <w:bCs/>
          <w:color w:val="auto"/>
          <w:sz w:val="21"/>
          <w:szCs w:val="21"/>
          <w:highlight w:val="none"/>
        </w:rPr>
        <w:t>将</w:t>
      </w:r>
      <w:r>
        <w:rPr>
          <w:rFonts w:hint="eastAsia" w:asciiTheme="minorEastAsia" w:hAnsiTheme="minorEastAsia" w:eastAsiaTheme="minorEastAsia"/>
          <w:bCs/>
          <w:color w:val="auto"/>
          <w:sz w:val="21"/>
          <w:szCs w:val="21"/>
          <w:highlight w:val="none"/>
        </w:rPr>
        <w:t>有关</w:t>
      </w:r>
      <w:r>
        <w:rPr>
          <w:rFonts w:asciiTheme="minorEastAsia" w:hAnsiTheme="minorEastAsia" w:eastAsiaTheme="minorEastAsia"/>
          <w:bCs/>
          <w:color w:val="auto"/>
          <w:sz w:val="21"/>
          <w:szCs w:val="21"/>
          <w:highlight w:val="none"/>
        </w:rPr>
        <w:t>意见以书面形式向</w:t>
      </w:r>
      <w:r>
        <w:rPr>
          <w:rFonts w:hint="eastAsia" w:asciiTheme="minorEastAsia" w:hAnsiTheme="minorEastAsia" w:eastAsiaTheme="minorEastAsia"/>
          <w:color w:val="auto"/>
          <w:sz w:val="21"/>
          <w:szCs w:val="21"/>
          <w:highlight w:val="none"/>
        </w:rPr>
        <w:t>采购人、采购代理机构</w:t>
      </w:r>
      <w:r>
        <w:rPr>
          <w:rFonts w:asciiTheme="minorEastAsia" w:hAnsiTheme="minorEastAsia" w:eastAsiaTheme="minorEastAsia"/>
          <w:bCs/>
          <w:color w:val="auto"/>
          <w:sz w:val="21"/>
          <w:szCs w:val="21"/>
          <w:highlight w:val="none"/>
        </w:rPr>
        <w:t>提出，否则，</w:t>
      </w:r>
      <w:r>
        <w:rPr>
          <w:rFonts w:hint="eastAsia" w:asciiTheme="minorEastAsia" w:hAnsiTheme="minorEastAsia" w:eastAsiaTheme="minorEastAsia"/>
          <w:color w:val="auto"/>
          <w:sz w:val="21"/>
          <w:szCs w:val="21"/>
          <w:highlight w:val="none"/>
        </w:rPr>
        <w:t>采购人、采购代理机构</w:t>
      </w:r>
      <w:r>
        <w:rPr>
          <w:rFonts w:asciiTheme="minorEastAsia" w:hAnsiTheme="minorEastAsia" w:eastAsiaTheme="minorEastAsia"/>
          <w:bCs/>
          <w:color w:val="auto"/>
          <w:sz w:val="21"/>
          <w:szCs w:val="21"/>
          <w:highlight w:val="none"/>
        </w:rPr>
        <w:t>视</w:t>
      </w:r>
      <w:r>
        <w:rPr>
          <w:rFonts w:hint="eastAsia" w:asciiTheme="minorEastAsia" w:hAnsiTheme="minorEastAsia" w:eastAsiaTheme="minorEastAsia"/>
          <w:bCs/>
          <w:color w:val="auto"/>
          <w:sz w:val="21"/>
          <w:szCs w:val="21"/>
          <w:highlight w:val="none"/>
        </w:rPr>
        <w:t>为</w:t>
      </w:r>
      <w:r>
        <w:rPr>
          <w:rFonts w:asciiTheme="minorEastAsia" w:hAnsiTheme="minorEastAsia" w:eastAsiaTheme="minorEastAsia"/>
          <w:bCs/>
          <w:color w:val="auto"/>
          <w:sz w:val="21"/>
          <w:szCs w:val="21"/>
          <w:highlight w:val="none"/>
        </w:rPr>
        <w:t>供应商完全接受澄清或者修改的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rFonts w:asciiTheme="minorEastAsia" w:hAnsiTheme="minorEastAsia" w:eastAsiaTheme="minorEastAsia"/>
          <w:bCs/>
          <w:color w:val="auto"/>
          <w:sz w:val="21"/>
          <w:szCs w:val="21"/>
          <w:highlight w:val="none"/>
        </w:rPr>
        <w:t>影响</w:t>
      </w:r>
      <w:r>
        <w:rPr>
          <w:rFonts w:hint="eastAsia" w:asciiTheme="minorEastAsia" w:hAnsiTheme="minorEastAsia" w:eastAsiaTheme="minorEastAsia"/>
          <w:bCs/>
          <w:color w:val="auto"/>
          <w:sz w:val="21"/>
          <w:szCs w:val="21"/>
          <w:highlight w:val="none"/>
        </w:rPr>
        <w:t>响应文件</w:t>
      </w:r>
      <w:r>
        <w:rPr>
          <w:rFonts w:asciiTheme="minorEastAsia" w:hAnsiTheme="minorEastAsia" w:eastAsiaTheme="minorEastAsia"/>
          <w:bCs/>
          <w:color w:val="auto"/>
          <w:sz w:val="21"/>
          <w:szCs w:val="21"/>
          <w:highlight w:val="none"/>
        </w:rPr>
        <w:t>编制。</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供应商要求澄清</w:t>
      </w:r>
      <w:r>
        <w:rPr>
          <w:rFonts w:hint="eastAsia" w:asciiTheme="minorEastAsia" w:hAnsiTheme="minorEastAsia" w:eastAsiaTheme="minorEastAsia"/>
          <w:bCs/>
          <w:color w:val="auto"/>
          <w:sz w:val="21"/>
          <w:szCs w:val="21"/>
          <w:highlight w:val="none"/>
        </w:rPr>
        <w:t>和回复的书面材料</w:t>
      </w:r>
      <w:r>
        <w:rPr>
          <w:rFonts w:asciiTheme="minorEastAsia" w:hAnsiTheme="minorEastAsia" w:eastAsiaTheme="minorEastAsia"/>
          <w:bCs/>
          <w:color w:val="auto"/>
          <w:sz w:val="21"/>
          <w:szCs w:val="21"/>
          <w:highlight w:val="none"/>
        </w:rPr>
        <w:t>应</w:t>
      </w:r>
      <w:r>
        <w:rPr>
          <w:rFonts w:hint="eastAsia" w:asciiTheme="minorEastAsia" w:hAnsiTheme="minorEastAsia" w:eastAsiaTheme="minorEastAsia"/>
          <w:bCs/>
          <w:color w:val="auto"/>
          <w:sz w:val="21"/>
          <w:szCs w:val="21"/>
          <w:highlight w:val="none"/>
        </w:rPr>
        <w:t>当</w:t>
      </w:r>
      <w:r>
        <w:rPr>
          <w:rFonts w:asciiTheme="minorEastAsia" w:hAnsiTheme="minorEastAsia" w:eastAsiaTheme="minorEastAsia"/>
          <w:bCs/>
          <w:color w:val="auto"/>
          <w:sz w:val="21"/>
          <w:szCs w:val="21"/>
          <w:highlight w:val="none"/>
        </w:rPr>
        <w:t>加盖单位公章</w:t>
      </w:r>
      <w:r>
        <w:rPr>
          <w:rFonts w:hint="eastAsia" w:asciiTheme="minorEastAsia" w:hAnsiTheme="minorEastAsia" w:eastAsiaTheme="minorEastAsia"/>
          <w:bCs/>
          <w:color w:val="auto"/>
          <w:sz w:val="21"/>
          <w:szCs w:val="21"/>
          <w:highlight w:val="none"/>
        </w:rPr>
        <w:t>并注明</w:t>
      </w:r>
      <w:r>
        <w:rPr>
          <w:rFonts w:asciiTheme="minorEastAsia" w:hAnsiTheme="minorEastAsia" w:eastAsiaTheme="minorEastAsia"/>
          <w:bCs/>
          <w:color w:val="auto"/>
          <w:sz w:val="21"/>
          <w:szCs w:val="21"/>
          <w:highlight w:val="none"/>
        </w:rPr>
        <w:t>日期。</w:t>
      </w:r>
    </w:p>
    <w:p>
      <w:pPr>
        <w:snapToGrid w:val="0"/>
        <w:spacing w:line="360" w:lineRule="auto"/>
        <w:ind w:firstLine="422"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（4）供应商应当在获取采购文件时登记准确的项目联系人信息并确保联系方式的畅通，否则，因此导致未收到政采云平台发送的通知短信而未及时浏览网上公告通知事项造成的后果由供应商自行承担。</w:t>
      </w:r>
    </w:p>
    <w:p>
      <w:pPr>
        <w:pStyle w:val="28"/>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17.现场考察及召开磋商前答疑会</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17.1现场考察事项见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17.2</w:t>
      </w:r>
      <w:r>
        <w:rPr>
          <w:rFonts w:asciiTheme="minorEastAsia" w:hAnsiTheme="minorEastAsia" w:eastAsiaTheme="minorEastAsia"/>
          <w:color w:val="auto"/>
          <w:sz w:val="21"/>
          <w:szCs w:val="21"/>
          <w:highlight w:val="none"/>
        </w:rPr>
        <w:t>供应商</w:t>
      </w:r>
      <w:r>
        <w:rPr>
          <w:rFonts w:hint="eastAsia" w:asciiTheme="minorEastAsia" w:hAnsiTheme="minorEastAsia" w:eastAsiaTheme="minorEastAsia"/>
          <w:color w:val="auto"/>
          <w:sz w:val="21"/>
          <w:szCs w:val="21"/>
          <w:highlight w:val="none"/>
        </w:rPr>
        <w:t>应当在通知的时间准时参加现场考察，否则自行承担未及时参加造成的后果。除采购人的原因外，供应商自行负责现场考察造成的自身或第三人的人身伤害、财产损失或损坏的责任。</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17.3本项目不组织召开磋商前答疑会。</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三、响应文件的编制</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18.磋商响应范围</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应当对所</w:t>
      </w:r>
      <w:r>
        <w:rPr>
          <w:rFonts w:hint="eastAsia" w:asciiTheme="minorEastAsia" w:hAnsiTheme="minorEastAsia" w:eastAsiaTheme="minorEastAsia"/>
          <w:color w:val="auto"/>
          <w:szCs w:val="21"/>
          <w:highlight w:val="none"/>
        </w:rPr>
        <w:t>响应标项的所有标的</w:t>
      </w:r>
      <w:r>
        <w:rPr>
          <w:rFonts w:asciiTheme="minorEastAsia" w:hAnsiTheme="minorEastAsia" w:eastAsiaTheme="minorEastAsia"/>
          <w:color w:val="auto"/>
          <w:szCs w:val="21"/>
          <w:highlight w:val="none"/>
        </w:rPr>
        <w:t>内容进行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，如仅</w:t>
      </w:r>
      <w:r>
        <w:rPr>
          <w:rFonts w:hint="eastAsia" w:asciiTheme="minorEastAsia" w:hAnsiTheme="minorEastAsia" w:eastAsiaTheme="minorEastAsia"/>
          <w:color w:val="auto"/>
          <w:szCs w:val="21"/>
          <w:highlight w:val="none"/>
        </w:rPr>
        <w:t>对所</w:t>
      </w:r>
      <w:r>
        <w:rPr>
          <w:rFonts w:asciiTheme="minorEastAsia" w:hAnsiTheme="minorEastAsia" w:eastAsiaTheme="minorEastAsia"/>
          <w:color w:val="auto"/>
          <w:szCs w:val="21"/>
          <w:highlight w:val="none"/>
        </w:rPr>
        <w:t>响应</w:t>
      </w:r>
      <w:r>
        <w:rPr>
          <w:rFonts w:hint="eastAsia" w:asciiTheme="minorEastAsia" w:hAnsiTheme="minorEastAsia" w:eastAsiaTheme="minorEastAsia"/>
          <w:color w:val="auto"/>
          <w:szCs w:val="21"/>
          <w:highlight w:val="none"/>
        </w:rPr>
        <w:t>标项的部分标的</w:t>
      </w:r>
      <w:r>
        <w:rPr>
          <w:rFonts w:asciiTheme="minorEastAsia" w:hAnsiTheme="minorEastAsia" w:eastAsiaTheme="minorEastAsia"/>
          <w:color w:val="auto"/>
          <w:szCs w:val="21"/>
          <w:highlight w:val="none"/>
        </w:rPr>
        <w:t>内容</w:t>
      </w:r>
      <w:r>
        <w:rPr>
          <w:rFonts w:hint="eastAsia" w:asciiTheme="minorEastAsia" w:hAnsiTheme="minorEastAsia" w:eastAsiaTheme="minorEastAsia"/>
          <w:color w:val="auto"/>
          <w:szCs w:val="21"/>
          <w:highlight w:val="none"/>
        </w:rPr>
        <w:t>进行响应</w:t>
      </w:r>
      <w:r>
        <w:rPr>
          <w:rFonts w:asciiTheme="minorEastAsia" w:hAnsiTheme="minorEastAsia" w:eastAsiaTheme="minorEastAsia"/>
          <w:color w:val="auto"/>
          <w:szCs w:val="21"/>
          <w:highlight w:val="none"/>
        </w:rPr>
        <w:t>，其</w:t>
      </w:r>
      <w:r>
        <w:rPr>
          <w:rFonts w:hint="eastAsia" w:asciiTheme="minorEastAsia" w:hAnsiTheme="minorEastAsia" w:eastAsiaTheme="minorEastAsia"/>
          <w:color w:val="auto"/>
          <w:szCs w:val="21"/>
          <w:highlight w:val="none"/>
        </w:rPr>
        <w:t>对该标项的磋商响应</w:t>
      </w:r>
      <w:r>
        <w:rPr>
          <w:rFonts w:asciiTheme="minorEastAsia" w:hAnsiTheme="minorEastAsia" w:eastAsiaTheme="minorEastAsia"/>
          <w:color w:val="auto"/>
          <w:szCs w:val="21"/>
          <w:highlight w:val="none"/>
        </w:rPr>
        <w:t>将被认定为响应无效。</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19.响应文件中标准和计量单位的使用</w:t>
      </w:r>
    </w:p>
    <w:p>
      <w:pPr>
        <w:spacing w:line="360" w:lineRule="auto"/>
        <w:ind w:firstLine="435"/>
        <w:rPr>
          <w:rFonts w:asciiTheme="minorEastAsia" w:hAnsiTheme="minorEastAsia" w:eastAsiaTheme="minorEastAsia"/>
          <w:color w:val="auto"/>
          <w:szCs w:val="21"/>
          <w:highlight w:val="none"/>
        </w:rPr>
      </w:pPr>
      <w:bookmarkStart w:id="40" w:name="_Hlk16458980"/>
      <w:r>
        <w:rPr>
          <w:rFonts w:hint="eastAsia" w:asciiTheme="minorEastAsia" w:hAnsiTheme="minorEastAsia" w:eastAsiaTheme="minorEastAsia"/>
          <w:color w:val="auto"/>
          <w:szCs w:val="21"/>
          <w:highlight w:val="none"/>
        </w:rPr>
        <w:t>19.1</w:t>
      </w:r>
      <w:r>
        <w:rPr>
          <w:rFonts w:asciiTheme="minorEastAsia" w:hAnsiTheme="minorEastAsia" w:eastAsiaTheme="minorEastAsia"/>
          <w:color w:val="auto"/>
          <w:szCs w:val="21"/>
          <w:highlight w:val="none"/>
        </w:rPr>
        <w:t>无论磋商文件是否要求，</w:t>
      </w:r>
      <w:r>
        <w:rPr>
          <w:rFonts w:hint="eastAsia" w:asciiTheme="minorEastAsia" w:hAnsiTheme="minorEastAsia" w:eastAsiaTheme="minorEastAsia"/>
          <w:color w:val="auto"/>
          <w:szCs w:val="21"/>
          <w:highlight w:val="none"/>
        </w:rPr>
        <w:t>供应商所提供的服务以及伴随的货物和工程均应符合国家强制性标准。</w:t>
      </w:r>
    </w:p>
    <w:bookmarkEnd w:id="40"/>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19.2</w:t>
      </w:r>
      <w:r>
        <w:rPr>
          <w:rFonts w:asciiTheme="minorEastAsia" w:hAnsiTheme="minorEastAsia" w:eastAsiaTheme="minorEastAsia"/>
          <w:color w:val="auto"/>
          <w:sz w:val="21"/>
          <w:szCs w:val="21"/>
          <w:highlight w:val="none"/>
        </w:rPr>
        <w:t>供应商与</w:t>
      </w:r>
      <w:r>
        <w:rPr>
          <w:rFonts w:hint="eastAsia" w:asciiTheme="minorEastAsia" w:hAnsiTheme="minorEastAsia" w:eastAsiaTheme="minorEastAsia"/>
          <w:color w:val="auto"/>
          <w:sz w:val="21"/>
          <w:szCs w:val="21"/>
          <w:highlight w:val="none"/>
        </w:rPr>
        <w:t>采购人或</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w:t>
      </w:r>
      <w:r>
        <w:rPr>
          <w:rFonts w:hint="eastAsia" w:asciiTheme="minorEastAsia" w:hAnsiTheme="minorEastAsia" w:eastAsiaTheme="minorEastAsia"/>
          <w:color w:val="auto"/>
          <w:sz w:val="21"/>
          <w:szCs w:val="21"/>
          <w:highlight w:val="none"/>
        </w:rPr>
        <w:t>磋商</w:t>
      </w:r>
      <w:r>
        <w:rPr>
          <w:rFonts w:asciiTheme="minorEastAsia" w:hAnsiTheme="minorEastAsia" w:eastAsiaTheme="minorEastAsia"/>
          <w:color w:val="auto"/>
          <w:sz w:val="21"/>
          <w:szCs w:val="21"/>
          <w:highlight w:val="none"/>
        </w:rPr>
        <w:t>有关的所有往来通知、函件和响应文件均用中文表述。供应商随响应文件提供的证明文件和资料可以为其它语言</w:t>
      </w:r>
      <w:r>
        <w:rPr>
          <w:rFonts w:hint="eastAsia" w:asciiTheme="minorEastAsia" w:hAnsiTheme="minorEastAsia" w:eastAsiaTheme="minorEastAsia"/>
          <w:color w:val="auto"/>
          <w:sz w:val="21"/>
          <w:szCs w:val="21"/>
          <w:highlight w:val="none"/>
        </w:rPr>
        <w:t>（文字）</w:t>
      </w:r>
      <w:r>
        <w:rPr>
          <w:rFonts w:asciiTheme="minorEastAsia" w:hAnsiTheme="minorEastAsia" w:eastAsiaTheme="minorEastAsia"/>
          <w:color w:val="auto"/>
          <w:sz w:val="21"/>
          <w:szCs w:val="21"/>
          <w:highlight w:val="none"/>
        </w:rPr>
        <w:t>，但必须附中文译文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19.3</w:t>
      </w:r>
      <w:r>
        <w:rPr>
          <w:rFonts w:asciiTheme="minorEastAsia" w:hAnsiTheme="minorEastAsia" w:eastAsiaTheme="minorEastAsia"/>
          <w:color w:val="auto"/>
          <w:szCs w:val="21"/>
          <w:highlight w:val="none"/>
        </w:rPr>
        <w:t>除磋商文件有特殊要求外，响应文件中所使用的计量单位，应采用中华人民共和国法定计量单位。</w:t>
      </w:r>
    </w:p>
    <w:p>
      <w:pPr>
        <w:pStyle w:val="28"/>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20.响应文件的形式</w:t>
      </w:r>
    </w:p>
    <w:p>
      <w:pPr>
        <w:pStyle w:val="28"/>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本项目采用电子响应文件形式，分为电子加密响应文件和备份响应文件两种。</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20.1电子加密响应文件是指通过“政采云电子投标客户端”完成响应文件编制后生成并加密的数据电文形式的加密标书，后缀名为【.jmbs】。</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20.2备份响应文件是指与电子加密响应文件同时生成的数据电文形式的备份标书，后缀名为【.bfbs】。</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21.响应文件内容的构成</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21.1供应商编写的响应文件应包含资格要求响应文件、商务技术文件和报价要求响应文件。</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上述各项文件的组成内容见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，未列入其中的内容，供应商认为需要的可以自行提供相关材料。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21.2磋商文件明确要求在响应文件中附（提交）证明材料而供应商未在响应文件中提供的，不被认定为对具体要求作出响应。</w:t>
      </w:r>
      <w:r>
        <w:rPr>
          <w:rFonts w:hint="eastAsia" w:asciiTheme="minorEastAsia" w:hAnsiTheme="minorEastAsia" w:eastAsiaTheme="minorEastAsia"/>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22.响应文件的制作</w:t>
      </w:r>
    </w:p>
    <w:p>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供应商应当安装“政采云电子投标客户端”，按照磋商文件和政采云平台的要求编制并加密响应文件。</w:t>
      </w:r>
      <w:r>
        <w:rPr>
          <w:rFonts w:cs="Arial" w:asciiTheme="minorEastAsia" w:hAnsiTheme="minorEastAsia" w:eastAsiaTheme="minorEastAsia"/>
          <w:color w:val="auto"/>
          <w:kern w:val="0"/>
          <w:szCs w:val="21"/>
          <w:highlight w:val="none"/>
        </w:rPr>
        <w:t>响应文件的制作应满足以下规定：</w:t>
      </w:r>
    </w:p>
    <w:p>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（1）由</w:t>
      </w:r>
      <w:r>
        <w:rPr>
          <w:rFonts w:cs="Arial" w:asciiTheme="minorEastAsia" w:hAnsiTheme="minorEastAsia" w:eastAsiaTheme="minorEastAsia"/>
          <w:color w:val="auto"/>
          <w:kern w:val="0"/>
          <w:szCs w:val="21"/>
          <w:highlight w:val="none"/>
        </w:rPr>
        <w:t>供应商使用电子交易系统提供的响应文件制作工具制作生成</w:t>
      </w:r>
      <w:r>
        <w:rPr>
          <w:rFonts w:hint="eastAsia" w:cs="Arial" w:asciiTheme="minorEastAsia" w:hAnsiTheme="minorEastAsia" w:eastAsiaTheme="minorEastAsia"/>
          <w:color w:val="auto"/>
          <w:kern w:val="0"/>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（2）供应商应完整地填写响应函、初次报价表等磋商文件提供的格式文件，以及为响应磋商文件的实质性要求及项目评审必须提供的其他材料。</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注：供应商应准确设置评审关联定位，避免未设置或设置错误导致响应文件被误读、漏读或者查找不到相关内容。</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23.响应文件的签署及盖章</w:t>
      </w:r>
    </w:p>
    <w:p>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（1）磋商文件要求签字的应当由供应商的法定代表人或其授权代表签字或盖章，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 xml:space="preserve"> 响应文件格式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章处，供应商均应加盖</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可使用电子公章在线签章或线下加盖公章后扫描上传。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（3）响应文件</w:t>
      </w:r>
      <w:r>
        <w:rPr>
          <w:rFonts w:asciiTheme="minorEastAsia" w:hAnsiTheme="minorEastAsia" w:eastAsiaTheme="minorEastAsia"/>
          <w:color w:val="auto"/>
          <w:szCs w:val="21"/>
          <w:highlight w:val="none"/>
        </w:rPr>
        <w:t>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等必须修改的，修改处应当</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由供应商的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或盖章，否则因此造成该修改内容不被磋商小组认定的后果由供应商承担</w:t>
      </w:r>
      <w:r>
        <w:rPr>
          <w:rFonts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价格构成</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w:t>
      </w:r>
      <w:r>
        <w:rPr>
          <w:rFonts w:asciiTheme="minorEastAsia" w:hAnsiTheme="minorEastAsia" w:eastAsiaTheme="minorEastAsia"/>
          <w:color w:val="auto"/>
          <w:szCs w:val="21"/>
          <w:highlight w:val="none"/>
        </w:rPr>
        <w:t>供应商的报价应当包括满足本次</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全部</w:t>
      </w:r>
      <w:r>
        <w:rPr>
          <w:rFonts w:hint="eastAsia" w:asciiTheme="minorEastAsia" w:hAnsiTheme="minorEastAsia" w:eastAsiaTheme="minorEastAsia"/>
          <w:color w:val="auto"/>
          <w:szCs w:val="21"/>
          <w:highlight w:val="none"/>
        </w:rPr>
        <w:t>标的</w:t>
      </w:r>
      <w:r>
        <w:rPr>
          <w:rFonts w:asciiTheme="minorEastAsia" w:hAnsiTheme="minorEastAsia" w:eastAsiaTheme="minorEastAsia"/>
          <w:color w:val="auto"/>
          <w:szCs w:val="21"/>
          <w:highlight w:val="none"/>
        </w:rPr>
        <w:t>所</w:t>
      </w:r>
      <w:r>
        <w:rPr>
          <w:rFonts w:hint="eastAsia" w:asciiTheme="minorEastAsia" w:hAnsiTheme="minorEastAsia" w:eastAsiaTheme="minorEastAsia"/>
          <w:color w:val="auto"/>
          <w:szCs w:val="21"/>
          <w:highlight w:val="none"/>
        </w:rPr>
        <w:t>要求</w:t>
      </w:r>
      <w:r>
        <w:rPr>
          <w:rFonts w:asciiTheme="minorEastAsia" w:hAnsiTheme="minorEastAsia" w:eastAsiaTheme="minorEastAsia"/>
          <w:color w:val="auto"/>
          <w:szCs w:val="21"/>
          <w:highlight w:val="none"/>
        </w:rPr>
        <w:t>提供的</w:t>
      </w:r>
      <w:r>
        <w:rPr>
          <w:rFonts w:hint="eastAsia" w:asciiTheme="minorEastAsia" w:hAnsiTheme="minorEastAsia" w:eastAsiaTheme="minorEastAsia"/>
          <w:color w:val="auto"/>
          <w:szCs w:val="21"/>
          <w:highlight w:val="none"/>
        </w:rPr>
        <w:t>工程，</w:t>
      </w:r>
      <w:r>
        <w:rPr>
          <w:rFonts w:asciiTheme="minorEastAsia" w:hAnsiTheme="minorEastAsia" w:eastAsiaTheme="minorEastAsia"/>
          <w:color w:val="auto"/>
          <w:szCs w:val="21"/>
          <w:highlight w:val="none"/>
        </w:rPr>
        <w:t>以及伴随的货物和</w:t>
      </w:r>
      <w:r>
        <w:rPr>
          <w:rFonts w:hint="eastAsia" w:asciiTheme="minorEastAsia" w:hAnsiTheme="minorEastAsia" w:eastAsiaTheme="minorEastAsia"/>
          <w:color w:val="auto"/>
          <w:szCs w:val="21"/>
          <w:highlight w:val="none"/>
        </w:rPr>
        <w:t>服务。</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24.2磋商报价及结算货币均为人民币，除非磋商文件另有规定，针对本项目的磋商报价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24.4磋商报价（包含分项报价）不允许为0元（即赠送），采购人不予接受，其响应文件按照响应无效处理。</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25.磋商保证金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本项目无须供应商缴纳磋商保证金。</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26.响应有效期</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26.1响应文件的有效期为从提交响应文件截止之日算起的日历天数，响应文件的有效期见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spacing w:line="360" w:lineRule="auto"/>
        <w:ind w:firstLine="435"/>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26.2在响应有效期内，供应商的磋商响应保持有效，供应商不得要求撤销或修改其响应文件。</w:t>
      </w:r>
      <w:r>
        <w:rPr>
          <w:rFonts w:hint="eastAsia" w:asciiTheme="minorEastAsia" w:hAnsiTheme="minorEastAsia" w:eastAsiaTheme="minorEastAsia"/>
          <w:color w:val="auto"/>
          <w:szCs w:val="21"/>
          <w:highlight w:val="none"/>
        </w:rPr>
        <w:t>响应</w:t>
      </w:r>
      <w:r>
        <w:rPr>
          <w:rFonts w:hint="eastAsia" w:asciiTheme="minorEastAsia" w:hAnsiTheme="minorEastAsia" w:eastAsiaTheme="minorEastAsia"/>
          <w:color w:val="auto"/>
          <w:kern w:val="0"/>
          <w:szCs w:val="21"/>
          <w:highlight w:val="none"/>
        </w:rPr>
        <w:t>有效期不满足要求的，将被认定为</w:t>
      </w:r>
      <w:r>
        <w:rPr>
          <w:rFonts w:hint="eastAsia" w:asciiTheme="minorEastAsia" w:hAnsiTheme="minorEastAsia" w:eastAsiaTheme="minorEastAsia"/>
          <w:b/>
          <w:color w:val="auto"/>
          <w:kern w:val="0"/>
          <w:szCs w:val="21"/>
          <w:highlight w:val="none"/>
        </w:rPr>
        <w:t>响应无效</w:t>
      </w:r>
      <w:r>
        <w:rPr>
          <w:rFonts w:hint="eastAsia" w:asciiTheme="minorEastAsia" w:hAnsiTheme="minorEastAsia" w:eastAsiaTheme="minorEastAsia"/>
          <w:color w:val="auto"/>
          <w:kern w:val="0"/>
          <w:szCs w:val="21"/>
          <w:highlight w:val="none"/>
        </w:rPr>
        <w:t>。</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四、响应文件的提交</w:t>
      </w:r>
    </w:p>
    <w:p>
      <w:pPr>
        <w:pStyle w:val="28"/>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27.电子加密响应文件的提交</w:t>
      </w:r>
    </w:p>
    <w:p>
      <w:pPr>
        <w:pStyle w:val="28"/>
        <w:snapToGrid w:val="0"/>
        <w:spacing w:beforeLines="0" w:afterLines="0"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供应商应当在磋商文件规定的</w:t>
      </w:r>
      <w:r>
        <w:rPr>
          <w:rFonts w:hint="eastAsia" w:asciiTheme="minorEastAsia" w:hAnsiTheme="minorEastAsia" w:eastAsiaTheme="minorEastAsia"/>
          <w:color w:val="auto"/>
          <w:sz w:val="21"/>
          <w:szCs w:val="21"/>
          <w:highlight w:val="none"/>
        </w:rPr>
        <w:t>提交响应文件</w:t>
      </w:r>
      <w:r>
        <w:rPr>
          <w:rFonts w:hint="eastAsia" w:cs="宋体" w:asciiTheme="minorEastAsia" w:hAnsiTheme="minorEastAsia" w:eastAsiaTheme="minorEastAsia"/>
          <w:color w:val="auto"/>
          <w:sz w:val="21"/>
          <w:szCs w:val="21"/>
          <w:highlight w:val="none"/>
        </w:rPr>
        <w:t>截止时间前将电子加密响应文件上传至政采云平台，成功上传后，供应商可自行打印响应文件接收回执。</w:t>
      </w:r>
    </w:p>
    <w:p>
      <w:pPr>
        <w:pStyle w:val="28"/>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28.</w:t>
      </w:r>
      <w:r>
        <w:rPr>
          <w:rFonts w:hint="eastAsia" w:cs="宋体" w:asciiTheme="minorEastAsia" w:hAnsiTheme="minorEastAsia" w:eastAsiaTheme="minorEastAsia"/>
          <w:b/>
          <w:color w:val="auto"/>
          <w:sz w:val="21"/>
          <w:szCs w:val="21"/>
          <w:highlight w:val="none"/>
        </w:rPr>
        <w:t>备份响应文件的提交</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可以在响应截止时间前提交备份响应文件。备份响应文件的载体必须密封包装，密封包装应当清楚的标明项目名称、项目编号、供应商名称。采购人或采购代理机构拒绝接收未按照规定密封、标注的备份响应文件。</w:t>
      </w:r>
    </w:p>
    <w:p>
      <w:pPr>
        <w:pStyle w:val="28"/>
        <w:snapToGrid w:val="0"/>
        <w:spacing w:beforeLines="0" w:afterLines="0" w:line="360" w:lineRule="auto"/>
        <w:ind w:firstLine="422"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29.响应文件提交的截止时间、开启时间及地点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29.1响应文件提交的截止时间、开启时间及地点见</w:t>
      </w:r>
      <w:r>
        <w:rPr>
          <w:rFonts w:hint="eastAsia" w:asciiTheme="minorEastAsia" w:hAnsiTheme="minorEastAsia" w:eastAsiaTheme="minorEastAsia"/>
          <w:color w:val="auto"/>
          <w:szCs w:val="21"/>
          <w:highlight w:val="none"/>
          <w:u w:val="single"/>
        </w:rPr>
        <w:t>采购公告</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推迟响应文件提交的截止时间。在此情况下，采购人、采购代理机构和供应商受响应文件提交的截止时间约束的所有权利和义务均应延长至新的截止时间。</w:t>
      </w:r>
    </w:p>
    <w:p>
      <w:pPr>
        <w:snapToGrid w:val="0"/>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30.响应文件的修改和撤回</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30.1供应商在提交响应文件截止时间前</w:t>
      </w:r>
      <w:r>
        <w:rPr>
          <w:rFonts w:asciiTheme="minorEastAsia" w:hAnsiTheme="minorEastAsia" w:eastAsiaTheme="minorEastAsia"/>
          <w:color w:val="auto"/>
          <w:szCs w:val="21"/>
          <w:highlight w:val="none"/>
        </w:rPr>
        <w:t>，可以对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的响应文件进行补充、修改或者撤回。</w:t>
      </w:r>
    </w:p>
    <w:p>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电子加密响应文件进行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补充或者修改的，应当先行撤回原文件，补充、修改后重新传输递交。供应商在</w:t>
      </w:r>
      <w:r>
        <w:rPr>
          <w:rFonts w:hint="eastAsia" w:asciiTheme="minorEastAsia" w:hAnsiTheme="minorEastAsia" w:eastAsiaTheme="minorEastAsia"/>
          <w:color w:val="auto"/>
          <w:szCs w:val="21"/>
          <w:highlight w:val="none"/>
        </w:rPr>
        <w:t>提交响应文件截止时间前</w:t>
      </w:r>
      <w:r>
        <w:rPr>
          <w:rFonts w:hint="eastAsia" w:cs="Helvetica" w:asciiTheme="minorEastAsia" w:hAnsiTheme="minorEastAsia" w:eastAsiaTheme="minorEastAsia"/>
          <w:color w:val="auto"/>
          <w:kern w:val="0"/>
          <w:szCs w:val="21"/>
          <w:highlight w:val="none"/>
        </w:rPr>
        <w:t>未重新完成传输递交的，</w:t>
      </w:r>
      <w:r>
        <w:rPr>
          <w:rFonts w:hint="eastAsia" w:cs="Helvetica" w:asciiTheme="minorEastAsia" w:hAnsiTheme="minorEastAsia" w:eastAsiaTheme="minorEastAsia"/>
          <w:b/>
          <w:color w:val="auto"/>
          <w:kern w:val="0"/>
          <w:szCs w:val="21"/>
          <w:highlight w:val="none"/>
        </w:rPr>
        <w:t>视为撤回响应文件</w:t>
      </w:r>
      <w:r>
        <w:rPr>
          <w:rFonts w:hint="eastAsia" w:cs="Helvetica"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提交响应文件截止时间</w:t>
      </w:r>
      <w:r>
        <w:rPr>
          <w:rFonts w:hint="eastAsia" w:cs="Helvetica" w:asciiTheme="minorEastAsia" w:hAnsiTheme="minorEastAsia" w:eastAsiaTheme="minorEastAsia"/>
          <w:color w:val="auto"/>
          <w:kern w:val="0"/>
          <w:szCs w:val="21"/>
          <w:highlight w:val="none"/>
        </w:rPr>
        <w:t>后递交的电子加密响应文件，电子交易平台将拒收。</w:t>
      </w:r>
    </w:p>
    <w:p>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rPr>
        <w:t>30.2供应商在</w:t>
      </w:r>
      <w:r>
        <w:rPr>
          <w:rFonts w:hint="eastAsia" w:asciiTheme="minorEastAsia" w:hAnsiTheme="minorEastAsia" w:eastAsiaTheme="minorEastAsia"/>
          <w:color w:val="auto"/>
          <w:szCs w:val="21"/>
          <w:highlight w:val="none"/>
        </w:rPr>
        <w:t>提交响应文件截止时间</w:t>
      </w:r>
      <w:r>
        <w:rPr>
          <w:rFonts w:cs="Arial" w:asciiTheme="minorEastAsia" w:hAnsiTheme="minorEastAsia" w:eastAsiaTheme="minorEastAsia"/>
          <w:color w:val="auto"/>
          <w:szCs w:val="21"/>
          <w:highlight w:val="none"/>
        </w:rPr>
        <w:t>递交</w:t>
      </w:r>
      <w:r>
        <w:rPr>
          <w:rFonts w:hint="eastAsia" w:cs="Arial" w:asciiTheme="minorEastAsia" w:hAnsiTheme="minorEastAsia" w:eastAsiaTheme="minorEastAsia"/>
          <w:color w:val="auto"/>
          <w:szCs w:val="21"/>
          <w:highlight w:val="none"/>
        </w:rPr>
        <w:t>了需要补充或修改的</w:t>
      </w:r>
      <w:r>
        <w:rPr>
          <w:rFonts w:hint="eastAsia" w:cs="宋体" w:asciiTheme="minorEastAsia" w:hAnsiTheme="minorEastAsia" w:eastAsiaTheme="minorEastAsia"/>
          <w:color w:val="auto"/>
          <w:szCs w:val="21"/>
          <w:highlight w:val="none"/>
        </w:rPr>
        <w:t>电子加密响应文件的</w:t>
      </w:r>
      <w:r>
        <w:rPr>
          <w:rFonts w:cs="Arial" w:asciiTheme="minorEastAsia" w:hAnsiTheme="minorEastAsia" w:eastAsiaTheme="minorEastAsia"/>
          <w:color w:val="auto"/>
          <w:szCs w:val="21"/>
          <w:highlight w:val="none"/>
        </w:rPr>
        <w:t>备份响应文件</w:t>
      </w:r>
      <w:r>
        <w:rPr>
          <w:rFonts w:hint="eastAsia" w:cs="Arial" w:asciiTheme="minorEastAsia" w:hAnsiTheme="minorEastAsia" w:eastAsiaTheme="minorEastAsia"/>
          <w:color w:val="auto"/>
          <w:szCs w:val="21"/>
          <w:highlight w:val="none"/>
        </w:rPr>
        <w:t>的，可以</w:t>
      </w:r>
      <w:r>
        <w:rPr>
          <w:rFonts w:cs="Arial" w:asciiTheme="minorEastAsia" w:hAnsiTheme="minorEastAsia" w:eastAsiaTheme="minorEastAsia"/>
          <w:color w:val="auto"/>
          <w:szCs w:val="21"/>
          <w:highlight w:val="none"/>
        </w:rPr>
        <w:t>重新</w:t>
      </w:r>
      <w:r>
        <w:rPr>
          <w:rFonts w:hint="eastAsia" w:cs="Arial" w:asciiTheme="minorEastAsia" w:hAnsiTheme="minorEastAsia" w:eastAsiaTheme="minorEastAsia"/>
          <w:color w:val="auto"/>
          <w:szCs w:val="21"/>
          <w:highlight w:val="none"/>
        </w:rPr>
        <w:t>提交补充或修改后的</w:t>
      </w:r>
      <w:r>
        <w:rPr>
          <w:rFonts w:cs="Arial" w:asciiTheme="minorEastAsia" w:hAnsiTheme="minorEastAsia" w:eastAsiaTheme="minorEastAsia"/>
          <w:color w:val="auto"/>
          <w:szCs w:val="21"/>
          <w:highlight w:val="none"/>
        </w:rPr>
        <w:t>备份响应文件</w:t>
      </w:r>
      <w:r>
        <w:rPr>
          <w:rFonts w:hint="eastAsia" w:cs="Arial"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30.3提交响应文件截止时间</w:t>
      </w:r>
      <w:r>
        <w:rPr>
          <w:rFonts w:asciiTheme="minorEastAsia" w:hAnsiTheme="minorEastAsia" w:eastAsiaTheme="minorEastAsia"/>
          <w:color w:val="auto"/>
          <w:szCs w:val="21"/>
          <w:highlight w:val="none"/>
        </w:rPr>
        <w:t>后</w:t>
      </w:r>
      <w:r>
        <w:rPr>
          <w:rFonts w:hint="eastAsia" w:asciiTheme="minorEastAsia" w:hAnsiTheme="minorEastAsia" w:eastAsiaTheme="minorEastAsia"/>
          <w:color w:val="auto"/>
          <w:szCs w:val="21"/>
          <w:highlight w:val="none"/>
        </w:rPr>
        <w:t>，供应商不得对其响应文件进行补充、修改</w:t>
      </w:r>
      <w:r>
        <w:rPr>
          <w:rFonts w:asciiTheme="minorEastAsia" w:hAnsiTheme="minorEastAsia" w:eastAsiaTheme="minorEastAsia"/>
          <w:color w:val="auto"/>
          <w:szCs w:val="21"/>
          <w:highlight w:val="none"/>
        </w:rPr>
        <w:t>。</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五、响应文件的开启和评审程序</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31.响应文件的开启</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31.1采购代理机构按磋商文件规定的时间通过电子交易平台组织磋商会议，所有供应商均应当准时在线参加</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31.2开启响应文件时间到达后，采购代理机构依托电子交易平台发起开始解密指令，</w:t>
      </w:r>
      <w:r>
        <w:rPr>
          <w:rFonts w:asciiTheme="minorEastAsia" w:hAnsiTheme="minorEastAsia" w:eastAsiaTheme="minorEastAsia"/>
          <w:color w:val="auto"/>
          <w:szCs w:val="21"/>
          <w:highlight w:val="none"/>
        </w:rPr>
        <w:t>供应商应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）对本单位的响应文件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31.3供应商如未在线参加响应文件开启的，</w:t>
      </w:r>
      <w:r>
        <w:rPr>
          <w:rFonts w:hint="eastAsia" w:asciiTheme="minorEastAsia" w:hAnsiTheme="minorEastAsia" w:eastAsiaTheme="minorEastAsia"/>
          <w:color w:val="auto"/>
          <w:highlight w:val="none"/>
        </w:rPr>
        <w:t>视同认可响应文件开启结果</w:t>
      </w:r>
      <w:r>
        <w:rPr>
          <w:rFonts w:hint="eastAsia" w:asciiTheme="minorEastAsia" w:hAnsiTheme="minorEastAsia" w:eastAsiaTheme="minorEastAsia"/>
          <w:color w:val="auto"/>
          <w:szCs w:val="21"/>
          <w:highlight w:val="none"/>
        </w:rPr>
        <w:t>，事后不得对</w:t>
      </w:r>
      <w:r>
        <w:rPr>
          <w:rFonts w:hint="eastAsia" w:asciiTheme="minorEastAsia" w:hAnsiTheme="minorEastAsia" w:eastAsiaTheme="minorEastAsia"/>
          <w:color w:val="auto"/>
          <w:highlight w:val="none"/>
        </w:rPr>
        <w:t>开启结果</w:t>
      </w:r>
      <w:r>
        <w:rPr>
          <w:rFonts w:hint="eastAsia" w:asciiTheme="minorEastAsia" w:hAnsiTheme="minorEastAsia" w:eastAsiaTheme="minorEastAsia"/>
          <w:color w:val="auto"/>
          <w:szCs w:val="21"/>
          <w:highlight w:val="none"/>
        </w:rPr>
        <w:t>提出异议。同时，供应商因未在线参加磋商而导致电子加密响应文件无法按时解密等一切后果由供应商自行承担。</w:t>
      </w:r>
    </w:p>
    <w:p>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cs="Arial" w:asciiTheme="minorEastAsia" w:hAnsiTheme="minorEastAsia" w:eastAsiaTheme="minorEastAsia"/>
          <w:color w:val="auto"/>
          <w:kern w:val="0"/>
          <w:szCs w:val="21"/>
          <w:highlight w:val="none"/>
        </w:rPr>
        <w:t>未按规定提交备份响应文件的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视为撤回响应文件</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电子加密响应文件已按时解密的，备份响应文件自动失效。</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31.5响应文件开启后不公布供应商的初次报价。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31.6响应文件开启</w:t>
      </w:r>
      <w:r>
        <w:rPr>
          <w:rFonts w:asciiTheme="minorEastAsia" w:hAnsiTheme="minorEastAsia" w:eastAsiaTheme="minorEastAsia"/>
          <w:color w:val="auto"/>
          <w:szCs w:val="21"/>
          <w:highlight w:val="none"/>
        </w:rPr>
        <w:t>过程由采购代理机构负责记录，由参加</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的供应商代表和相关工作人员签字确认后随采购文件一并存档。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供应商代表对</w:t>
      </w:r>
      <w:r>
        <w:rPr>
          <w:rFonts w:hint="eastAsia" w:asciiTheme="minorEastAsia" w:hAnsiTheme="minorEastAsia" w:eastAsiaTheme="minorEastAsia"/>
          <w:color w:val="auto"/>
          <w:szCs w:val="21"/>
          <w:highlight w:val="none"/>
        </w:rPr>
        <w:t>响应文件开启</w:t>
      </w:r>
      <w:r>
        <w:rPr>
          <w:rFonts w:asciiTheme="minorEastAsia" w:hAnsiTheme="minorEastAsia" w:eastAsiaTheme="minorEastAsia"/>
          <w:color w:val="auto"/>
          <w:szCs w:val="21"/>
          <w:highlight w:val="none"/>
        </w:rPr>
        <w:t>过程有疑义，以及认为</w:t>
      </w:r>
      <w:r>
        <w:rPr>
          <w:rFonts w:hint="eastAsia" w:asciiTheme="minorEastAsia" w:hAnsiTheme="minorEastAsia" w:eastAsiaTheme="minorEastAsia"/>
          <w:color w:val="auto"/>
          <w:szCs w:val="21"/>
          <w:highlight w:val="none"/>
        </w:rPr>
        <w:t>采购人或采购代理机构</w:t>
      </w:r>
      <w:r>
        <w:rPr>
          <w:rFonts w:asciiTheme="minorEastAsia" w:hAnsiTheme="minorEastAsia" w:eastAsiaTheme="minorEastAsia"/>
          <w:color w:val="auto"/>
          <w:szCs w:val="21"/>
          <w:highlight w:val="none"/>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32.资格审查及组建磋商小组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32.1响应文件开启结束后，采购人或采购代理机构依据法律法规和磋商文件规定的内容对供应商的资格进行审查，未通过资格审查的供应商不进入磋商环节，通过资格审查的供应商不足3家的不进行后续的磋商</w:t>
      </w:r>
      <w:r>
        <w:rPr>
          <w:rFonts w:hint="eastAsia" w:asciiTheme="minorEastAsia" w:hAnsiTheme="minorEastAsia" w:eastAsiaTheme="minorEastAsia"/>
          <w:color w:val="auto"/>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32.2磋商小组由3人以上单数组成。</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33.响应文件符合性审查与澄清</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33.1磋商小组负责对符合资格要求的供应商的响应文件进行符合性审查，以确定其是否满足磋商文件的实质性要求。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33.2磋商小组在对响应文件的有效性、完整性和响应程度进行审查时，对于响应文件中含义不明确、同类问题表述不一致或者有明显文字和计算错误的内容，</w:t>
      </w:r>
      <w:r>
        <w:rPr>
          <w:rFonts w:asciiTheme="minorEastAsia" w:hAnsiTheme="minorEastAsia" w:eastAsiaTheme="minorEastAsia"/>
          <w:color w:val="auto"/>
          <w:szCs w:val="21"/>
          <w:highlight w:val="none"/>
        </w:rPr>
        <w:t>以及磋商小组认为供应商的报价明显低于其他通过符合性</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查供应商的报价，有可能</w:t>
      </w:r>
      <w:r>
        <w:rPr>
          <w:rFonts w:asciiTheme="minorEastAsia" w:hAnsiTheme="minorEastAsia" w:eastAsiaTheme="minorEastAsia"/>
          <w:color w:val="auto"/>
          <w:szCs w:val="21"/>
          <w:highlight w:val="none"/>
          <w:shd w:val="clear" w:color="auto" w:fill="FFFFFF"/>
        </w:rPr>
        <w:t>影响产品质量或者不能诚信履约的</w:t>
      </w:r>
      <w:r>
        <w:rPr>
          <w:rFonts w:hint="eastAsia" w:asciiTheme="minorEastAsia" w:hAnsiTheme="minorEastAsia" w:eastAsiaTheme="minorEastAsia"/>
          <w:color w:val="auto"/>
          <w:szCs w:val="21"/>
          <w:highlight w:val="none"/>
        </w:rPr>
        <w:t>，磋商小组将以书面形式要求供应商作出必要的澄清、说明或者更正。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供应商的澄清、说明或者更正不得超出响应文件的范围或者改变响应文件的实质性内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33.3供应商的澄清、说明或更正将作为响应文件的一部分。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33.4报价修正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电子交易平台客户端里开标一览表录入的报价与报价要求响应文件中的初次报价表中的报价不一致的，以报价要求响应文件中的报价为准。响应文件报价出现前后不一致的，按照下列规定修正：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（1）响应文件中报价表内容与响应文件中相应内容不一致的，以报价表为准；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（2）大写金额和小写金额不一致的，以大写金额为准；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（3）报价浮动率与实际不一致的，以报价表的大写金额为准，并调整报价浮动率；</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同时出现两种以上不一致的，按照前款规定的顺序修正。修正后的报价由供应商确认，经供应商确认后产生约束力，供应商不确认的，</w:t>
      </w:r>
      <w:r>
        <w:rPr>
          <w:rFonts w:hint="eastAsia" w:asciiTheme="minorEastAsia" w:hAnsiTheme="minorEastAsia" w:eastAsiaTheme="minorEastAsia"/>
          <w:b/>
          <w:color w:val="auto"/>
          <w:szCs w:val="21"/>
          <w:highlight w:val="none"/>
        </w:rPr>
        <w:t>其响应无效</w:t>
      </w:r>
      <w:r>
        <w:rPr>
          <w:rFonts w:hint="eastAsia" w:asciiTheme="minorEastAsia" w:hAnsiTheme="minorEastAsia" w:eastAsiaTheme="minorEastAsia"/>
          <w:color w:val="auto"/>
          <w:szCs w:val="21"/>
          <w:highlight w:val="none"/>
        </w:rPr>
        <w:t>。</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34.响应无效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34.1</w:t>
      </w:r>
      <w:r>
        <w:rPr>
          <w:rFonts w:asciiTheme="minorEastAsia" w:hAnsiTheme="minorEastAsia" w:eastAsiaTheme="minorEastAsia"/>
          <w:color w:val="auto"/>
          <w:szCs w:val="21"/>
          <w:highlight w:val="none"/>
        </w:rPr>
        <w:t>根据本</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的规定，磋商小组审查</w:t>
      </w:r>
      <w:r>
        <w:rPr>
          <w:rFonts w:hint="eastAsia" w:asciiTheme="minorEastAsia" w:hAnsiTheme="minorEastAsia" w:eastAsiaTheme="minorEastAsia"/>
          <w:color w:val="auto"/>
          <w:szCs w:val="21"/>
          <w:highlight w:val="none"/>
        </w:rPr>
        <w:t>供应商的</w:t>
      </w:r>
      <w:r>
        <w:rPr>
          <w:rFonts w:asciiTheme="minorEastAsia" w:hAnsiTheme="minorEastAsia" w:eastAsiaTheme="minorEastAsia"/>
          <w:color w:val="auto"/>
          <w:szCs w:val="21"/>
          <w:highlight w:val="none"/>
        </w:rPr>
        <w:t>响应文件是否响应了磋商文件的实质</w:t>
      </w:r>
      <w:r>
        <w:rPr>
          <w:rFonts w:hint="eastAsia" w:asciiTheme="minorEastAsia" w:hAnsiTheme="minorEastAsia" w:eastAsiaTheme="minorEastAsia"/>
          <w:color w:val="auto"/>
          <w:szCs w:val="21"/>
          <w:highlight w:val="none"/>
        </w:rPr>
        <w:t>性</w:t>
      </w:r>
      <w:r>
        <w:rPr>
          <w:rFonts w:asciiTheme="minorEastAsia" w:hAnsiTheme="minorEastAsia" w:eastAsiaTheme="minorEastAsia"/>
          <w:color w:val="auto"/>
          <w:szCs w:val="21"/>
          <w:highlight w:val="none"/>
        </w:rPr>
        <w:t>要求。供应商不得通过修正或撤销不符合要求的偏离，从而使其</w:t>
      </w:r>
      <w:r>
        <w:rPr>
          <w:rFonts w:hint="eastAsia" w:asciiTheme="minorEastAsia" w:hAnsiTheme="minorEastAsia" w:eastAsiaTheme="minorEastAsia"/>
          <w:color w:val="auto"/>
          <w:szCs w:val="21"/>
          <w:highlight w:val="none"/>
        </w:rPr>
        <w:t>磋商响应满足磋商文件要求</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34.2供应商存在下列情况之一的，响应无效: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（1）响应文件未按磋商文件要求签署、盖章而影响响应文件法律效力的；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（2）不具备磋商文件中规定的申请人的资格要求的（包括未提交有效的资格证明文件）；</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（3）未对磋商文件的实质性条款作出响应（包括未按要求提交证明文件）的；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（4）不满足磋商文件规定的材料技术性能要求的；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（5）报价超过磋商文件中规定的预算金额或最高限价（如有）或单项限价（如有）的；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（6）响应文件含有采购人不能接受的附加条件的；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（7）响应文件中含有虚假材料的；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（8）供应商违背诚实信用原则的；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（9）供应商仅提交备份响应文件的；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（10）法律、法规和磋商文件规定的其他响应无效情形。</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34.3</w:t>
      </w:r>
      <w:r>
        <w:rPr>
          <w:rFonts w:asciiTheme="minorEastAsia" w:hAnsiTheme="minorEastAsia" w:eastAsiaTheme="minorEastAsia"/>
          <w:color w:val="auto"/>
          <w:szCs w:val="21"/>
          <w:highlight w:val="none"/>
        </w:rPr>
        <w:t>有下列情形之一的，按照无效响应处理：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对于初始报价低于最高限价85%的报价，供应商未在响应文件中提供报价合理性的书面说明材料（至少包括工程量清单综合单价工料分析表、措施项目清单综合单价工料分析表、类似货物进货单、进货发票、近1年内承担过项目的第三方结算审核报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磋商小组认为供应商的最终报价明显低于其他通过符合性审查供应商的报价，有可能影响工程质量或者不能诚信履约的，且供应商未在1小时内向磋商小组提供报价合理性的书面说明材料（至少包括工程量清单综合单价工料分析表、措施项目清单综合单价工料分析表、类似货物进货单、进货发票、近1年内承担过项目的第三方结算审核报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（3）供应商虽然提供了书面说明材料，但材料内容不完整或依据不充分或磋商小组经分析认为其依据不合理。</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35.磋商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35.1磋商小组所有成员集中与单一供应商分别进行磋商，并给予所有参加磋商的供应商平等的磋商机会。</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35.2在磋商过程中，磋商小组可以根据磋商文件和磋商情况实质性变动采购需求中的技术、服务要求以及合同草案条款。</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35.3对磋商文件作出的实质性变动是磋商文件的有效组成部分，磋商小组以书面形式同时通知所有参加磋商的供应商。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35.4供应商应当按照磋商文件的变动情况和磋商小组的要求重新提交响应文件，并由其法定代表人或授权代表签字或者加盖公章。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35.5磋商文件能够详细列明采购标的的技术、服务要求的，磋商结束后，磋商小组将要求所有实质性响应的供应商在规定时间内提交最后报价。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最后报价是供应商响应文件的有效组成部分。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35.6已提交响应文件的供应商，在提交最后报价之前，可以根据磋商情况退出磋商。</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比较与评价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36.1经磋商确定最终采购需求和提交最后报价的供应商后，由磋商小组采用综合评分法对提交最后报价的供应商的响应文件和最后报价进行综合评分。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竞争性磋商采购采用综合评分法，是指响应文件满足磋商文件全部实质性要求且按评审因素的量化指标评审得分最高的供应商为成交候选供应商的评审方法。</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36.2评审严格按照磋商文件的要求和条件进行，详细评审标准见磋商文件第四章。</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37.采购终止的情形</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在本项目磋商采购中，出现下列情形之一的，应当终止竞争性磋商采购活动，发布项目终止公告并说明原因，重新开展采购活动：</w:t>
      </w:r>
    </w:p>
    <w:p>
      <w:pPr>
        <w:snapToGrid w:val="0"/>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（1）因情况变化，不再符合规定的竞争性磋商采购方式适用情形的；</w:t>
      </w:r>
    </w:p>
    <w:p>
      <w:pPr>
        <w:snapToGrid w:val="0"/>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（2）出现影响采购公正的违法、违规行为的；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（3）除</w:t>
      </w:r>
      <w:r>
        <w:rPr>
          <w:rFonts w:hint="eastAsia" w:asciiTheme="minorEastAsia" w:hAnsiTheme="minorEastAsia" w:eastAsiaTheme="minorEastAsia"/>
          <w:color w:val="auto"/>
          <w:szCs w:val="21"/>
          <w:highlight w:val="none"/>
        </w:rPr>
        <w:t>《政府采购竞争性磋商采购方式管理暂行办法》</w:t>
      </w:r>
      <w:r>
        <w:rPr>
          <w:rFonts w:hint="eastAsia" w:asciiTheme="minorEastAsia" w:hAnsiTheme="minorEastAsia" w:eastAsiaTheme="minorEastAsia"/>
          <w:color w:val="auto"/>
          <w:highlight w:val="none"/>
        </w:rPr>
        <w:t>第二十一条第三款和</w:t>
      </w:r>
      <w:r>
        <w:rPr>
          <w:rFonts w:hint="eastAsia" w:asciiTheme="minorEastAsia" w:hAnsiTheme="minorEastAsia" w:eastAsiaTheme="minorEastAsia"/>
          <w:color w:val="auto"/>
          <w:szCs w:val="21"/>
          <w:highlight w:val="none"/>
        </w:rPr>
        <w:t>《财政部关于政府采购竞争性磋商采购方式管理暂行办法有关问题的补充通知》</w:t>
      </w:r>
      <w:r>
        <w:rPr>
          <w:rFonts w:hint="eastAsia" w:asciiTheme="minorEastAsia" w:hAnsiTheme="minorEastAsia" w:eastAsiaTheme="minorEastAsia"/>
          <w:color w:val="auto"/>
          <w:highlight w:val="none"/>
        </w:rPr>
        <w:t>规定的情形外，在采购过程中符合要求的供应商或者报价未超过采购预算的供应商不足3家的。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（4）电子交易平台无法正常运行，无法保证电子交易的公平、公正和安全的情况。</w:t>
      </w:r>
    </w:p>
    <w:p>
      <w:pPr>
        <w:pStyle w:val="28"/>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38.中止电子交易活动的情形</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（1）电子交易平台发生故障而无法登录访问的；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（2）电子交易平台应用或数据库出现错误，不能进行正常操作的；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（3）电子交易平台发现严重安全漏洞，有潜在泄密危险的；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（4）病毒发作导致不能进行正常操作的；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（5）其他无法保证电子交易的公平、公正和安全的情况。</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出现前款规定情形，不影响采购公平、公正性的，可以待上述情形消除后继续组织电子交易活动；影响或可能影响采购公平、公正性的，将重新采购。</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39</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成交候选供应商的确定原则及标准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40.编写评审报告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六、授予合同</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41.成交供应商的确定</w:t>
      </w:r>
    </w:p>
    <w:p>
      <w:pPr>
        <w:snapToGrid w:val="0"/>
        <w:spacing w:line="360" w:lineRule="auto"/>
        <w:ind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成交供应商确定主体为采购人，</w:t>
      </w:r>
      <w:r>
        <w:rPr>
          <w:rFonts w:hint="eastAsia" w:asciiTheme="minorEastAsia" w:hAnsiTheme="minorEastAsia" w:eastAsiaTheme="minorEastAsia"/>
          <w:color w:val="auto"/>
          <w:szCs w:val="21"/>
          <w:highlight w:val="none"/>
          <w:u w:val="single"/>
        </w:rPr>
        <w:t>确定评审报告提出的排序第一的成交候选供应商为成交供应商。</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42.成交结果公告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自成交供应商确定之日起2个工作日内，采购代理机构在磋商文件确定的采购信息发布媒体上公告成交结果。</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43.成交通知书和采购结果通知书</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43.1在公告成交结果的同时，采购代理机构向成交供应商发出成交通知书，向未成交供应商发出采购结果通知书。</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43.2因重大变故采购任务取消时，采购人有权拒绝任何供应商获得成交，且对受影响的供应商不承担任何责任。</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44.签订合同</w:t>
      </w:r>
    </w:p>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采购人按照法律法规及磋商文件的规定与成交供应商签订书面合同。</w:t>
      </w:r>
    </w:p>
    <w:p>
      <w:pPr>
        <w:pStyle w:val="4"/>
        <w:rPr>
          <w:rFonts w:asciiTheme="minorEastAsia" w:hAnsiTheme="minorEastAsia" w:eastAsiaTheme="minorEastAsia"/>
          <w:color w:val="auto"/>
          <w:sz w:val="32"/>
          <w:highlight w:val="none"/>
        </w:rPr>
      </w:pPr>
      <w:r>
        <w:rPr>
          <w:rFonts w:asciiTheme="minorEastAsia" w:hAnsiTheme="minorEastAsia" w:eastAsiaTheme="minorEastAsia"/>
          <w:b w:val="0"/>
          <w:bCs w:val="0"/>
          <w:color w:val="auto"/>
          <w:kern w:val="2"/>
          <w:sz w:val="21"/>
          <w:szCs w:val="21"/>
          <w:highlight w:val="none"/>
        </w:rPr>
        <w:br w:type="page"/>
      </w:r>
      <w:bookmarkStart w:id="41" w:name="_Toc86053874"/>
      <w:bookmarkStart w:id="42" w:name="_Toc34844744"/>
      <w:r>
        <w:rPr>
          <w:rFonts w:hint="eastAsia" w:asciiTheme="minorEastAsia" w:hAnsiTheme="minorEastAsia" w:eastAsiaTheme="minorEastAsia"/>
          <w:color w:val="auto"/>
          <w:highlight w:val="none"/>
        </w:rPr>
        <w:t xml:space="preserve">第四章  </w:t>
      </w:r>
      <w:r>
        <w:rPr>
          <w:rFonts w:asciiTheme="minorEastAsia" w:hAnsiTheme="minorEastAsia" w:eastAsiaTheme="minorEastAsia"/>
          <w:color w:val="auto"/>
          <w:highlight w:val="none"/>
        </w:rPr>
        <w:t>评审方法和评审标准</w:t>
      </w:r>
      <w:bookmarkEnd w:id="41"/>
      <w:bookmarkEnd w:id="42"/>
    </w:p>
    <w:p>
      <w:pPr>
        <w:spacing w:line="360" w:lineRule="auto"/>
        <w:ind w:firstLine="424" w:firstLineChars="201"/>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评审专家应当遵守评审工作纪律，不得泄露评审情况和评审中获悉的商业秘密。</w:t>
      </w:r>
    </w:p>
    <w:p>
      <w:pPr>
        <w:spacing w:line="360" w:lineRule="auto"/>
        <w:ind w:firstLine="424" w:firstLineChars="201"/>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二、评审方法</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采用综合评分法进行评审。评审时，磋商小组各成员应当独立对每个有效响应的文件进行评价、打分，然后汇总每个供应商每项评分因素的得分。每项评分因素的得分均为小数点后四舍五入保留一位小数。评委打分表中分值重复的数值上限不含本数,下限含本数。每个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最终评审</w:t>
      </w:r>
      <w:r>
        <w:rPr>
          <w:rFonts w:asciiTheme="minorEastAsia" w:hAnsiTheme="minorEastAsia" w:eastAsiaTheme="minorEastAsia"/>
          <w:color w:val="auto"/>
          <w:szCs w:val="21"/>
          <w:highlight w:val="none"/>
        </w:rPr>
        <w:t>得分为所有评委</w:t>
      </w:r>
      <w:r>
        <w:rPr>
          <w:rFonts w:hint="eastAsia" w:asciiTheme="minorEastAsia" w:hAnsiTheme="minorEastAsia" w:eastAsiaTheme="minorEastAsia"/>
          <w:color w:val="auto"/>
          <w:szCs w:val="21"/>
          <w:highlight w:val="none"/>
        </w:rPr>
        <w:t>评</w:t>
      </w:r>
      <w:r>
        <w:rPr>
          <w:rFonts w:asciiTheme="minorEastAsia" w:hAnsiTheme="minorEastAsia" w:eastAsiaTheme="minorEastAsia"/>
          <w:color w:val="auto"/>
          <w:szCs w:val="21"/>
          <w:highlight w:val="none"/>
        </w:rPr>
        <w:t>分的算术平均数</w:t>
      </w:r>
      <w:r>
        <w:rPr>
          <w:rFonts w:hint="eastAsia" w:asciiTheme="minorEastAsia" w:hAnsiTheme="minorEastAsia" w:eastAsiaTheme="minorEastAsia"/>
          <w:color w:val="auto"/>
          <w:szCs w:val="21"/>
          <w:highlight w:val="none"/>
        </w:rPr>
        <w:t>，小数点后四舍五入保留二位小数。</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三、评审程序</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供应商进行资格审查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5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26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76" w:type="dxa"/>
            <w:tcBorders>
              <w:bottom w:val="single" w:color="auto" w:sz="4" w:space="0"/>
            </w:tcBorders>
            <w:vAlign w:val="center"/>
          </w:tcPr>
          <w:p>
            <w:pPr>
              <w:pStyle w:val="284"/>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宋体" w:hAnsi="宋体" w:eastAsia="宋体"/>
                <w:color w:val="auto"/>
                <w:kern w:val="2"/>
                <w:sz w:val="21"/>
                <w:szCs w:val="21"/>
                <w:highlight w:val="none"/>
              </w:rPr>
              <w:t>评审内容</w:t>
            </w:r>
          </w:p>
        </w:tc>
        <w:tc>
          <w:tcPr>
            <w:tcW w:w="2268"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审查要求</w:t>
            </w:r>
          </w:p>
        </w:tc>
        <w:tc>
          <w:tcPr>
            <w:tcW w:w="4678"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76" w:type="dxa"/>
            <w:vAlign w:val="center"/>
          </w:tcPr>
          <w:p>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基本资质</w:t>
            </w:r>
          </w:p>
        </w:tc>
        <w:tc>
          <w:tcPr>
            <w:tcW w:w="2268" w:type="dxa"/>
            <w:vAlign w:val="center"/>
          </w:tcPr>
          <w:p>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满足《中华人民共和国政府采购法》第二十二条第一款规定</w:t>
            </w:r>
          </w:p>
        </w:tc>
        <w:tc>
          <w:tcPr>
            <w:tcW w:w="4678" w:type="dxa"/>
            <w:vAlign w:val="center"/>
          </w:tcPr>
          <w:p>
            <w:pPr>
              <w:jc w:val="left"/>
              <w:rPr>
                <w:rFonts w:asciiTheme="minorEastAsia" w:hAnsiTheme="minorEastAsia" w:eastAsiaTheme="minorEastAsia"/>
                <w:color w:val="auto"/>
                <w:szCs w:val="21"/>
                <w:highlight w:val="none"/>
              </w:rPr>
            </w:pPr>
            <w:r>
              <w:rPr>
                <w:rFonts w:hint="eastAsia" w:ascii="宋体" w:hAnsi="宋体"/>
                <w:color w:val="auto"/>
                <w:szCs w:val="21"/>
                <w:highlight w:val="none"/>
              </w:rPr>
              <w:t>资格要求响应文件内提供《供应商资格声明函》。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76"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宋体" w:hAnsi="宋体"/>
                <w:color w:val="auto"/>
                <w:szCs w:val="21"/>
                <w:highlight w:val="none"/>
              </w:rPr>
              <w:t>营业执照</w:t>
            </w:r>
          </w:p>
        </w:tc>
        <w:tc>
          <w:tcPr>
            <w:tcW w:w="2268"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1"/>
                <w:highlight w:val="none"/>
              </w:rPr>
              <w:t>营业执照或事业单位法人证书或社会团体法人登记</w:t>
            </w:r>
            <w:r>
              <w:rPr>
                <w:rFonts w:hint="eastAsia" w:asciiTheme="minorEastAsia" w:hAnsiTheme="minorEastAsia" w:eastAsiaTheme="minorEastAsia"/>
                <w:color w:val="auto"/>
                <w:szCs w:val="21"/>
                <w:highlight w:val="none"/>
              </w:rPr>
              <w:t>证书</w:t>
            </w:r>
            <w:r>
              <w:rPr>
                <w:rFonts w:hint="eastAsia" w:cs="宋体" w:asciiTheme="minorEastAsia" w:hAnsiTheme="minorEastAsia" w:eastAsiaTheme="minorEastAsia"/>
                <w:color w:val="auto"/>
                <w:kern w:val="1"/>
                <w:highlight w:val="none"/>
              </w:rPr>
              <w:t>或民办非企业单位登记证书等机构登记证明复印件</w:t>
            </w:r>
          </w:p>
        </w:tc>
        <w:tc>
          <w:tcPr>
            <w:tcW w:w="4678" w:type="dxa"/>
            <w:tcBorders>
              <w:bottom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资格要求响应文件内提供有效</w:t>
            </w:r>
            <w:r>
              <w:rPr>
                <w:rFonts w:hint="eastAsia" w:cs="宋体" w:asciiTheme="minorEastAsia" w:hAnsiTheme="minorEastAsia" w:eastAsiaTheme="minorEastAsia"/>
                <w:color w:val="auto"/>
                <w:kern w:val="1"/>
                <w:highlight w:val="none"/>
              </w:rPr>
              <w:t>的营业执照或事业单位法人证书或社会团体法人登记证书或民办非企业单位登记证书等机构登记证明复印件，复印件</w:t>
            </w:r>
            <w:r>
              <w:rPr>
                <w:rFonts w:hint="eastAsia" w:asciiTheme="minorEastAsia" w:hAnsiTheme="minorEastAsia" w:eastAsiaTheme="minorEastAsia"/>
                <w:color w:val="auto"/>
                <w:szCs w:val="21"/>
                <w:highlight w:val="none"/>
              </w:rPr>
              <w:t>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76" w:type="dxa"/>
            <w:tcBorders>
              <w:bottom w:val="single" w:color="auto" w:sz="4" w:space="0"/>
            </w:tcBorders>
            <w:vAlign w:val="center"/>
          </w:tcPr>
          <w:p>
            <w:pPr>
              <w:ind w:right="-107"/>
              <w:jc w:val="left"/>
              <w:rPr>
                <w:rFonts w:ascii="宋体" w:hAnsi="宋体"/>
                <w:color w:val="auto"/>
                <w:szCs w:val="21"/>
                <w:highlight w:val="none"/>
              </w:rPr>
            </w:pPr>
            <w:r>
              <w:rPr>
                <w:rFonts w:hint="eastAsia" w:asciiTheme="minorEastAsia" w:hAnsiTheme="minorEastAsia" w:eastAsiaTheme="minorEastAsia"/>
                <w:color w:val="auto"/>
                <w:szCs w:val="21"/>
                <w:highlight w:val="none"/>
              </w:rPr>
              <w:t>落实政府采购政策需满足的资格要求</w:t>
            </w:r>
          </w:p>
        </w:tc>
        <w:tc>
          <w:tcPr>
            <w:tcW w:w="2268"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供应商为属于建筑业的中小企业</w:t>
            </w:r>
          </w:p>
        </w:tc>
        <w:tc>
          <w:tcPr>
            <w:tcW w:w="4678" w:type="dxa"/>
            <w:tcBorders>
              <w:bottom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提供符合要求的中小企业声明函或残疾人福利性单位声明函或监狱企业证明文件。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ascii="宋体" w:hAnsi="宋体"/>
                <w:color w:val="auto"/>
                <w:szCs w:val="21"/>
                <w:highlight w:val="none"/>
              </w:rPr>
              <w:t>4</w:t>
            </w:r>
          </w:p>
        </w:tc>
        <w:tc>
          <w:tcPr>
            <w:tcW w:w="1276" w:type="dxa"/>
            <w:tcBorders>
              <w:bottom w:val="single" w:color="auto" w:sz="4" w:space="0"/>
            </w:tcBorders>
            <w:vAlign w:val="center"/>
          </w:tcPr>
          <w:p>
            <w:pPr>
              <w:ind w:right="-107"/>
              <w:jc w:val="left"/>
              <w:rPr>
                <w:rFonts w:ascii="宋体" w:hAnsi="宋体"/>
                <w:color w:val="auto"/>
                <w:szCs w:val="21"/>
                <w:highlight w:val="none"/>
              </w:rPr>
            </w:pPr>
            <w:r>
              <w:rPr>
                <w:rFonts w:hint="eastAsia" w:ascii="宋体" w:hAnsi="宋体"/>
                <w:color w:val="auto"/>
                <w:szCs w:val="21"/>
                <w:highlight w:val="none"/>
              </w:rPr>
              <w:t>特定资质</w:t>
            </w:r>
          </w:p>
        </w:tc>
        <w:tc>
          <w:tcPr>
            <w:tcW w:w="2268" w:type="dxa"/>
            <w:tcBorders>
              <w:bottom w:val="single" w:color="auto" w:sz="4" w:space="0"/>
            </w:tcBorders>
            <w:vAlign w:val="center"/>
          </w:tcPr>
          <w:p>
            <w:pPr>
              <w:ind w:right="-107"/>
              <w:jc w:val="left"/>
              <w:rPr>
                <w:rFonts w:ascii="宋体" w:hAnsi="宋体"/>
                <w:color w:val="auto"/>
                <w:szCs w:val="21"/>
                <w:highlight w:val="none"/>
              </w:rPr>
            </w:pPr>
            <w:r>
              <w:rPr>
                <w:rFonts w:hint="eastAsia" w:asciiTheme="minorEastAsia" w:hAnsiTheme="minorEastAsia" w:eastAsiaTheme="minorEastAsia"/>
                <w:color w:val="auto"/>
                <w:szCs w:val="21"/>
                <w:highlight w:val="none"/>
              </w:rPr>
              <w:t>具备</w:t>
            </w:r>
            <w:r>
              <w:rPr>
                <w:rFonts w:ascii="宋体" w:hAnsi="宋体"/>
                <w:color w:val="auto"/>
                <w:highlight w:val="none"/>
              </w:rPr>
              <w:t>建筑装修装饰工程专业承包</w:t>
            </w:r>
            <w:r>
              <w:rPr>
                <w:rFonts w:hint="eastAsia" w:ascii="宋体" w:hAnsi="宋体"/>
                <w:color w:val="auto"/>
                <w:highlight w:val="none"/>
              </w:rPr>
              <w:t>二</w:t>
            </w:r>
            <w:r>
              <w:rPr>
                <w:rFonts w:ascii="宋体" w:hAnsi="宋体"/>
                <w:color w:val="auto"/>
                <w:highlight w:val="none"/>
              </w:rPr>
              <w:t>级及以上资质</w:t>
            </w:r>
            <w:r>
              <w:rPr>
                <w:rFonts w:hint="eastAsia" w:ascii="宋体" w:hAnsi="宋体"/>
                <w:color w:val="auto"/>
                <w:highlight w:val="none"/>
              </w:rPr>
              <w:t>或建筑施工总承包三级及以上资质</w:t>
            </w:r>
            <w:r>
              <w:rPr>
                <w:rFonts w:hint="eastAsia" w:asciiTheme="minorEastAsia" w:hAnsiTheme="minorEastAsia" w:eastAsiaTheme="minorEastAsia"/>
                <w:color w:val="auto"/>
                <w:szCs w:val="21"/>
                <w:highlight w:val="none"/>
              </w:rPr>
              <w:t>；</w:t>
            </w:r>
          </w:p>
        </w:tc>
        <w:tc>
          <w:tcPr>
            <w:tcW w:w="4678" w:type="dxa"/>
            <w:tcBorders>
              <w:bottom w:val="single" w:color="auto" w:sz="4" w:space="0"/>
            </w:tcBorders>
            <w:vAlign w:val="center"/>
          </w:tcPr>
          <w:p>
            <w:pPr>
              <w:jc w:val="left"/>
              <w:rPr>
                <w:rFonts w:ascii="宋体" w:hAnsi="宋体"/>
                <w:color w:val="auto"/>
                <w:szCs w:val="21"/>
                <w:highlight w:val="none"/>
              </w:rPr>
            </w:pPr>
            <w:r>
              <w:rPr>
                <w:rFonts w:hint="eastAsia" w:asciiTheme="minorEastAsia" w:hAnsiTheme="minorEastAsia" w:eastAsiaTheme="minorEastAsia"/>
                <w:color w:val="auto"/>
                <w:szCs w:val="21"/>
                <w:highlight w:val="none"/>
              </w:rPr>
              <w:t>提供符合要求的</w:t>
            </w:r>
            <w:r>
              <w:rPr>
                <w:rFonts w:ascii="宋体" w:hAnsi="宋体"/>
                <w:color w:val="auto"/>
                <w:highlight w:val="none"/>
              </w:rPr>
              <w:t>建筑装修装饰工程专业承包</w:t>
            </w:r>
            <w:r>
              <w:rPr>
                <w:rFonts w:hint="eastAsia" w:ascii="宋体" w:hAnsi="宋体"/>
                <w:color w:val="auto"/>
                <w:highlight w:val="none"/>
              </w:rPr>
              <w:t>二</w:t>
            </w:r>
            <w:r>
              <w:rPr>
                <w:rFonts w:ascii="宋体" w:hAnsi="宋体"/>
                <w:color w:val="auto"/>
                <w:highlight w:val="none"/>
              </w:rPr>
              <w:t>级及以上资质</w:t>
            </w:r>
            <w:r>
              <w:rPr>
                <w:rFonts w:hint="eastAsia" w:ascii="宋体" w:hAnsi="宋体"/>
                <w:color w:val="auto"/>
                <w:highlight w:val="none"/>
              </w:rPr>
              <w:t>或建筑施工总承包三级及以上资质</w:t>
            </w:r>
            <w:r>
              <w:rPr>
                <w:rFonts w:hint="eastAsia" w:asciiTheme="minorEastAsia" w:hAnsiTheme="minorEastAsia" w:eastAsiaTheme="minorEastAsia"/>
                <w:color w:val="auto"/>
                <w:szCs w:val="21"/>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hint="eastAsia" w:ascii="宋体" w:hAnsi="宋体"/>
                <w:color w:val="auto"/>
                <w:szCs w:val="21"/>
                <w:highlight w:val="none"/>
              </w:rPr>
              <w:t>5</w:t>
            </w:r>
          </w:p>
        </w:tc>
        <w:tc>
          <w:tcPr>
            <w:tcW w:w="1276" w:type="dxa"/>
            <w:tcBorders>
              <w:bottom w:val="single" w:color="auto" w:sz="4" w:space="0"/>
            </w:tcBorders>
            <w:vAlign w:val="center"/>
          </w:tcPr>
          <w:p>
            <w:pPr>
              <w:ind w:right="-107"/>
              <w:jc w:val="left"/>
              <w:rPr>
                <w:rFonts w:ascii="宋体" w:hAnsi="宋体"/>
                <w:color w:val="auto"/>
                <w:szCs w:val="21"/>
                <w:highlight w:val="none"/>
              </w:rPr>
            </w:pPr>
            <w:r>
              <w:rPr>
                <w:rFonts w:hint="eastAsia" w:ascii="宋体" w:hAnsi="宋体"/>
                <w:color w:val="auto"/>
                <w:szCs w:val="21"/>
                <w:highlight w:val="none"/>
              </w:rPr>
              <w:t>特定资质</w:t>
            </w:r>
          </w:p>
        </w:tc>
        <w:tc>
          <w:tcPr>
            <w:tcW w:w="2268"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具备有效的安全生产许可证</w:t>
            </w:r>
          </w:p>
        </w:tc>
        <w:tc>
          <w:tcPr>
            <w:tcW w:w="4678" w:type="dxa"/>
            <w:tcBorders>
              <w:bottom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提供符合要求的有效的安全生产许可证复印件</w:t>
            </w:r>
          </w:p>
        </w:tc>
      </w:tr>
    </w:tbl>
    <w:p>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供应商必须通过资格审查表中的全部评审指标。</w:t>
      </w:r>
    </w:p>
    <w:p>
      <w:pPr>
        <w:spacing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磋商小组对通过资格审查的供应商的响应文件进行符合性审查，以确定其是否满足磋商文件的实质性要求。符合性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51"/>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0" w:type="dxa"/>
            <w:tcBorders>
              <w:bottom w:val="single" w:color="auto" w:sz="4" w:space="0"/>
            </w:tcBorders>
            <w:vAlign w:val="center"/>
          </w:tcPr>
          <w:p>
            <w:pPr>
              <w:pStyle w:val="284"/>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宋体" w:hAnsi="宋体" w:eastAsia="宋体"/>
                <w:color w:val="auto"/>
                <w:kern w:val="2"/>
                <w:sz w:val="21"/>
                <w:szCs w:val="21"/>
                <w:highlight w:val="none"/>
              </w:rPr>
              <w:t>评审内容</w:t>
            </w:r>
          </w:p>
        </w:tc>
        <w:tc>
          <w:tcPr>
            <w:tcW w:w="326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w:t>
            </w:r>
          </w:p>
        </w:tc>
        <w:tc>
          <w:tcPr>
            <w:tcW w:w="326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《初次报价表》格式、金额符合磋商文件要求并加盖公章</w:t>
            </w:r>
          </w:p>
        </w:tc>
        <w:tc>
          <w:tcPr>
            <w:tcW w:w="3260"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响应文件内提供《初次报价表》，磋商过程中按照磋商小组要求提供报价资料。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响应函</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《响应函》格式、填写符合磋商文件要求并加盖公章</w:t>
            </w:r>
          </w:p>
        </w:tc>
        <w:tc>
          <w:tcPr>
            <w:tcW w:w="3260"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响应文件内</w:t>
            </w:r>
            <w:r>
              <w:rPr>
                <w:rFonts w:hint="eastAsia" w:asciiTheme="minorEastAsia" w:hAnsiTheme="minorEastAsia" w:eastAsiaTheme="minorEastAsia"/>
                <w:color w:val="auto"/>
                <w:szCs w:val="21"/>
                <w:highlight w:val="none"/>
              </w:rPr>
              <w:t>提供《响应函》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响应文件签署</w:t>
            </w:r>
            <w:r>
              <w:rPr>
                <w:rFonts w:hint="eastAsia" w:asciiTheme="minorEastAsia" w:hAnsiTheme="minorEastAsia" w:eastAsiaTheme="minorEastAsia"/>
                <w:color w:val="auto"/>
                <w:szCs w:val="21"/>
                <w:highlight w:val="none"/>
              </w:rPr>
              <w:t>（或盖姓名章）</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响应文件的签署人具有法定签署权或获得有效授权。</w:t>
            </w:r>
          </w:p>
        </w:tc>
        <w:tc>
          <w:tcPr>
            <w:tcW w:w="3260"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宋体" w:hAnsi="宋体"/>
                <w:color w:val="auto"/>
                <w:szCs w:val="21"/>
                <w:highlight w:val="none"/>
              </w:rPr>
              <w:t>签署文件并参加磋商的，响应文件内</w:t>
            </w:r>
            <w:r>
              <w:rPr>
                <w:rFonts w:hint="eastAsia" w:asciiTheme="minorEastAsia" w:hAnsiTheme="minorEastAsia" w:eastAsiaTheme="minorEastAsia"/>
                <w:color w:val="auto"/>
                <w:szCs w:val="21"/>
                <w:highlight w:val="none"/>
              </w:rPr>
              <w:t>提供身份证正反面复印件；授权代表</w:t>
            </w:r>
            <w:r>
              <w:rPr>
                <w:rFonts w:hint="eastAsia" w:ascii="宋体" w:hAnsi="宋体"/>
                <w:color w:val="auto"/>
                <w:szCs w:val="21"/>
                <w:highlight w:val="none"/>
              </w:rPr>
              <w:t>签署文件并</w:t>
            </w:r>
            <w:r>
              <w:rPr>
                <w:rFonts w:hint="eastAsia" w:asciiTheme="minorEastAsia" w:hAnsiTheme="minorEastAsia" w:eastAsiaTheme="minorEastAsia"/>
                <w:color w:val="auto"/>
                <w:szCs w:val="21"/>
                <w:highlight w:val="none"/>
              </w:rPr>
              <w:t>参加磋商的，</w:t>
            </w:r>
            <w:r>
              <w:rPr>
                <w:rFonts w:hint="eastAsia" w:ascii="宋体" w:hAnsi="宋体"/>
                <w:color w:val="auto"/>
                <w:szCs w:val="21"/>
                <w:highlight w:val="none"/>
              </w:rPr>
              <w:t>响应文件内</w:t>
            </w:r>
            <w:r>
              <w:rPr>
                <w:rFonts w:hint="eastAsia" w:asciiTheme="minorEastAsia" w:hAnsiTheme="minorEastAsia" w:eastAsiaTheme="minorEastAsia"/>
                <w:color w:val="auto"/>
                <w:szCs w:val="21"/>
                <w:highlight w:val="none"/>
              </w:rPr>
              <w:t>提供法定代表人授权委托书及其附件。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690" w:type="dxa"/>
            <w:vAlign w:val="center"/>
          </w:tcPr>
          <w:p>
            <w:pPr>
              <w:ind w:right="-10"/>
              <w:jc w:val="center"/>
              <w:rPr>
                <w:rFonts w:ascii="宋体" w:hAnsi="宋体"/>
                <w:color w:val="auto"/>
                <w:szCs w:val="21"/>
                <w:highlight w:val="none"/>
              </w:rPr>
            </w:pPr>
            <w:r>
              <w:rPr>
                <w:rFonts w:hint="eastAsia" w:ascii="宋体" w:hAnsi="宋体"/>
                <w:color w:val="auto"/>
                <w:szCs w:val="21"/>
                <w:highlight w:val="none"/>
              </w:rPr>
              <w:t>响应文件盖章</w:t>
            </w:r>
          </w:p>
        </w:tc>
        <w:tc>
          <w:tcPr>
            <w:tcW w:w="3260"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响应文件</w:t>
            </w:r>
            <w:r>
              <w:rPr>
                <w:rFonts w:hint="eastAsia" w:asciiTheme="minorEastAsia" w:hAnsiTheme="minorEastAsia" w:eastAsiaTheme="minorEastAsia"/>
                <w:color w:val="auto"/>
                <w:szCs w:val="21"/>
                <w:highlight w:val="none"/>
              </w:rPr>
              <w:t>按照磋商文件要求进行盖章</w:t>
            </w:r>
          </w:p>
        </w:tc>
        <w:tc>
          <w:tcPr>
            <w:tcW w:w="3260"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响应文件相关资料盖章满足磋商文件要求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采购需求响应</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符合磋商文件采购需求中明确的实质性要求。</w:t>
            </w:r>
          </w:p>
        </w:tc>
        <w:tc>
          <w:tcPr>
            <w:tcW w:w="3260"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响应文件内提供《采购需求偏离和建议调整表》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符合法律、行政法规规定的其他要求或不存在磋商文件列明的拒绝参加磋商、不允许存在的其他情形</w:t>
            </w:r>
          </w:p>
        </w:tc>
        <w:tc>
          <w:tcPr>
            <w:tcW w:w="326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除磋商文件要求提供的以外</w:t>
            </w:r>
            <w:r>
              <w:rPr>
                <w:rFonts w:hint="eastAsia" w:ascii="宋体" w:hAnsi="宋体"/>
                <w:color w:val="auto"/>
                <w:szCs w:val="21"/>
                <w:highlight w:val="none"/>
              </w:rPr>
              <w:t>，无需额外提供材料。</w:t>
            </w:r>
          </w:p>
        </w:tc>
      </w:tr>
    </w:tbl>
    <w:p>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符合性审查指标通过标准：</w:t>
      </w:r>
      <w:r>
        <w:rPr>
          <w:rFonts w:hint="eastAsia" w:asciiTheme="minorEastAsia" w:hAnsiTheme="minorEastAsia" w:eastAsiaTheme="minorEastAsia"/>
          <w:color w:val="auto"/>
          <w:szCs w:val="21"/>
          <w:highlight w:val="none"/>
        </w:rPr>
        <w:t>供应商必须通过符合性审查表中的全部评审指标。</w:t>
      </w:r>
    </w:p>
    <w:p>
      <w:pPr>
        <w:tabs>
          <w:tab w:val="left" w:pos="312"/>
        </w:tabs>
        <w:spacing w:line="360" w:lineRule="auto"/>
        <w:ind w:left="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详细审查和评分（评审标准兼评委打分表）</w:t>
      </w:r>
    </w:p>
    <w:tbl>
      <w:tblPr>
        <w:tblStyle w:val="5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4678"/>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42" w:type="dxa"/>
            <w:noWrap/>
            <w:vAlign w:val="center"/>
          </w:tcPr>
          <w:p>
            <w:pPr>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类别</w:t>
            </w:r>
          </w:p>
        </w:tc>
        <w:tc>
          <w:tcPr>
            <w:tcW w:w="1418" w:type="dxa"/>
            <w:noWrap/>
            <w:vAlign w:val="center"/>
          </w:tcPr>
          <w:p>
            <w:pPr>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评分内容</w:t>
            </w:r>
          </w:p>
        </w:tc>
        <w:tc>
          <w:tcPr>
            <w:tcW w:w="4678" w:type="dxa"/>
            <w:noWrap/>
            <w:vAlign w:val="center"/>
          </w:tcPr>
          <w:p>
            <w:pPr>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c>
        <w:tc>
          <w:tcPr>
            <w:tcW w:w="708" w:type="dxa"/>
            <w:noWrap/>
            <w:vAlign w:val="center"/>
          </w:tcPr>
          <w:p>
            <w:pPr>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分值</w:t>
            </w:r>
          </w:p>
        </w:tc>
        <w:tc>
          <w:tcPr>
            <w:tcW w:w="993" w:type="dxa"/>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42" w:type="dxa"/>
            <w:vMerge w:val="restart"/>
            <w:noWrap/>
            <w:vAlign w:val="center"/>
          </w:tcPr>
          <w:p>
            <w:pPr>
              <w:jc w:val="center"/>
              <w:rPr>
                <w:rFonts w:asciiTheme="majorEastAsia" w:hAnsiTheme="majorEastAsia" w:eastAsiaTheme="majorEastAsia"/>
                <w:b/>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1.施工现场平面布置方案</w:t>
            </w:r>
          </w:p>
        </w:tc>
        <w:tc>
          <w:tcPr>
            <w:tcW w:w="467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根据供应商提供的施工现场平面布置方案是否完善、</w:t>
            </w:r>
            <w:r>
              <w:rPr>
                <w:rFonts w:hint="eastAsia" w:cs="宋体" w:asciiTheme="majorEastAsia" w:hAnsiTheme="majorEastAsia" w:eastAsiaTheme="majorEastAsia"/>
                <w:color w:val="auto"/>
                <w:highlight w:val="none"/>
              </w:rPr>
              <w:t>施工现场临时设施布置是否齐全、施工设备和原材料堆放安排是否有序、安全警示设置是否合理进行评议。</w:t>
            </w:r>
          </w:p>
          <w:p>
            <w:pPr>
              <w:rPr>
                <w:rFonts w:cs="宋体" w:asciiTheme="majorEastAsia" w:hAnsiTheme="majorEastAsia" w:eastAsiaTheme="majorEastAsia"/>
                <w:color w:val="auto"/>
                <w:highlight w:val="none"/>
              </w:rPr>
            </w:pPr>
            <w:r>
              <w:rPr>
                <w:rFonts w:hint="eastAsia" w:asciiTheme="majorEastAsia" w:hAnsiTheme="majorEastAsia" w:eastAsiaTheme="majorEastAsia"/>
                <w:color w:val="auto"/>
                <w:highlight w:val="none"/>
              </w:rPr>
              <w:t>①平面布置方案详实完整</w:t>
            </w:r>
            <w:r>
              <w:rPr>
                <w:rFonts w:hint="eastAsia" w:cs="宋体" w:asciiTheme="majorEastAsia" w:hAnsiTheme="majorEastAsia" w:eastAsiaTheme="majorEastAsia"/>
                <w:color w:val="auto"/>
                <w:highlight w:val="none"/>
              </w:rPr>
              <w:t>，施工现场临时设施布置齐全，施工设备、原材料堆放有序，安全警示醒目，方案切实可行的得8-6.4分；</w:t>
            </w:r>
          </w:p>
          <w:p>
            <w:pPr>
              <w:rPr>
                <w:rFonts w:cs="宋体" w:asciiTheme="majorEastAsia" w:hAnsiTheme="majorEastAsia" w:eastAsiaTheme="majorEastAsia"/>
                <w:color w:val="auto"/>
                <w:highlight w:val="none"/>
              </w:rPr>
            </w:pPr>
            <w:r>
              <w:rPr>
                <w:rFonts w:hint="eastAsia" w:asciiTheme="majorEastAsia" w:hAnsiTheme="majorEastAsia" w:eastAsiaTheme="majorEastAsia"/>
                <w:color w:val="auto"/>
                <w:highlight w:val="none"/>
              </w:rPr>
              <w:t>②平面布置方案内容充分</w:t>
            </w:r>
            <w:r>
              <w:rPr>
                <w:rFonts w:hint="eastAsia" w:cs="宋体" w:asciiTheme="majorEastAsia" w:hAnsiTheme="majorEastAsia" w:eastAsiaTheme="majorEastAsia"/>
                <w:color w:val="auto"/>
                <w:highlight w:val="none"/>
              </w:rPr>
              <w:t>，较详细，施工现场临时设施布置基本齐全，施工设备、原材料堆放较有序，安全警示较醒目，方案合理可行的得6.3-4.8分；</w:t>
            </w:r>
          </w:p>
          <w:p>
            <w:pPr>
              <w:rPr>
                <w:rFonts w:cs="宋体" w:asciiTheme="majorEastAsia" w:hAnsiTheme="majorEastAsia" w:eastAsiaTheme="majorEastAsia"/>
                <w:color w:val="auto"/>
                <w:highlight w:val="none"/>
              </w:rPr>
            </w:pPr>
            <w:r>
              <w:rPr>
                <w:rFonts w:hint="eastAsia" w:asciiTheme="majorEastAsia" w:hAnsiTheme="majorEastAsia" w:eastAsiaTheme="majorEastAsia"/>
                <w:color w:val="auto"/>
                <w:highlight w:val="none"/>
              </w:rPr>
              <w:t>③平面布置方案内容不够完善</w:t>
            </w:r>
            <w:r>
              <w:rPr>
                <w:rFonts w:hint="eastAsia" w:cs="宋体" w:asciiTheme="majorEastAsia" w:hAnsiTheme="majorEastAsia" w:eastAsiaTheme="majorEastAsia"/>
                <w:color w:val="auto"/>
                <w:highlight w:val="none"/>
              </w:rPr>
              <w:t>，施工现场临时设施布置不够妥当，</w:t>
            </w:r>
            <w:r>
              <w:rPr>
                <w:rFonts w:hint="eastAsia" w:asciiTheme="majorEastAsia" w:hAnsiTheme="majorEastAsia" w:eastAsiaTheme="majorEastAsia"/>
                <w:color w:val="auto"/>
                <w:highlight w:val="none"/>
              </w:rPr>
              <w:t>施工设备</w:t>
            </w:r>
            <w:r>
              <w:rPr>
                <w:rFonts w:hint="eastAsia" w:cs="宋体" w:asciiTheme="majorEastAsia" w:hAnsiTheme="majorEastAsia" w:eastAsiaTheme="majorEastAsia"/>
                <w:color w:val="auto"/>
                <w:highlight w:val="none"/>
              </w:rPr>
              <w:t>、原材料堆放混乱，安全警示不够醒目，可行性较低的得4.7-1分；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④平面布置方案明显不符合项目实际或未提供的</w:t>
            </w:r>
            <w:r>
              <w:rPr>
                <w:rFonts w:hint="eastAsia" w:cs="宋体" w:asciiTheme="majorEastAsia" w:hAnsiTheme="majorEastAsia" w:eastAsiaTheme="majorEastAsia"/>
                <w:color w:val="auto"/>
                <w:szCs w:val="21"/>
                <w:highlight w:val="none"/>
              </w:rPr>
              <w:t>本项不得分。</w:t>
            </w:r>
          </w:p>
        </w:tc>
        <w:tc>
          <w:tcPr>
            <w:tcW w:w="708" w:type="dxa"/>
            <w:noWrap/>
            <w:vAlign w:val="center"/>
          </w:tcPr>
          <w:p>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8</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2.各分部分项工程施工技术方案</w:t>
            </w:r>
          </w:p>
        </w:tc>
        <w:tc>
          <w:tcPr>
            <w:tcW w:w="4678" w:type="dxa"/>
            <w:shd w:val="clear" w:color="auto" w:fill="auto"/>
            <w:noWrap/>
            <w:vAlign w:val="center"/>
          </w:tcPr>
          <w:p>
            <w:pPr>
              <w:spacing w:line="34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根据供应商提供的</w:t>
            </w:r>
            <w:r>
              <w:rPr>
                <w:rFonts w:hint="eastAsia" w:asciiTheme="majorEastAsia" w:hAnsiTheme="majorEastAsia" w:eastAsiaTheme="majorEastAsia"/>
                <w:color w:val="auto"/>
                <w:highlight w:val="none"/>
              </w:rPr>
              <w:t>工程施工技术</w:t>
            </w:r>
            <w:r>
              <w:rPr>
                <w:rFonts w:hint="eastAsia" w:asciiTheme="majorEastAsia" w:hAnsiTheme="majorEastAsia" w:eastAsiaTheme="majorEastAsia"/>
                <w:color w:val="auto"/>
                <w:szCs w:val="21"/>
                <w:highlight w:val="none"/>
              </w:rPr>
              <w:t>方案是否全面、描述是否清晰、工序是否安排得当进行评议。</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①施工技术方案内容全面、描述清晰，</w:t>
            </w:r>
            <w:r>
              <w:rPr>
                <w:rFonts w:hint="eastAsia" w:asciiTheme="majorEastAsia" w:hAnsiTheme="majorEastAsia" w:eastAsiaTheme="majorEastAsia"/>
                <w:bCs/>
                <w:color w:val="auto"/>
                <w:highlight w:val="none"/>
              </w:rPr>
              <w:t>符合项目实际情况，工序</w:t>
            </w:r>
            <w:r>
              <w:rPr>
                <w:rFonts w:hint="eastAsia" w:asciiTheme="majorEastAsia" w:hAnsiTheme="majorEastAsia" w:eastAsiaTheme="majorEastAsia"/>
                <w:color w:val="auto"/>
                <w:highlight w:val="none"/>
              </w:rPr>
              <w:t>安排得当，切实可行的得</w:t>
            </w:r>
            <w:r>
              <w:rPr>
                <w:rFonts w:hint="eastAsia" w:cs="宋体" w:asciiTheme="majorEastAsia" w:hAnsiTheme="majorEastAsia" w:eastAsiaTheme="majorEastAsia"/>
                <w:color w:val="auto"/>
                <w:highlight w:val="none"/>
              </w:rPr>
              <w:t>8-6.4</w:t>
            </w:r>
            <w:r>
              <w:rPr>
                <w:rFonts w:hint="eastAsia" w:asciiTheme="majorEastAsia" w:hAnsiTheme="majorEastAsia" w:eastAsiaTheme="majorEastAsia"/>
                <w:color w:val="auto"/>
                <w:highlight w:val="none"/>
              </w:rPr>
              <w:t>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②施工技术方案内容比较详细，工序较为清晰、基本符合项目实际情况，安排妥当，合理可行的得</w:t>
            </w:r>
            <w:r>
              <w:rPr>
                <w:rFonts w:hint="eastAsia" w:cs="宋体" w:asciiTheme="majorEastAsia" w:hAnsiTheme="majorEastAsia" w:eastAsiaTheme="majorEastAsia"/>
                <w:color w:val="auto"/>
                <w:highlight w:val="none"/>
              </w:rPr>
              <w:t>6.3-4.8</w:t>
            </w:r>
            <w:r>
              <w:rPr>
                <w:rFonts w:hint="eastAsia" w:asciiTheme="majorEastAsia" w:hAnsiTheme="majorEastAsia" w:eastAsiaTheme="majorEastAsia"/>
                <w:color w:val="auto"/>
                <w:highlight w:val="none"/>
              </w:rPr>
              <w:t>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③施工技术方案内容简单笼统，细化程度不足，与项目实际情况存在较多不符，安排欠妥的得</w:t>
            </w:r>
            <w:r>
              <w:rPr>
                <w:rFonts w:hint="eastAsia" w:cs="宋体" w:asciiTheme="majorEastAsia" w:hAnsiTheme="majorEastAsia" w:eastAsiaTheme="majorEastAsia"/>
                <w:color w:val="auto"/>
                <w:highlight w:val="none"/>
              </w:rPr>
              <w:t>4.7-1</w:t>
            </w:r>
            <w:r>
              <w:rPr>
                <w:rFonts w:hint="eastAsia" w:asciiTheme="majorEastAsia" w:hAnsiTheme="majorEastAsia" w:eastAsiaTheme="majorEastAsia"/>
                <w:color w:val="auto"/>
                <w:highlight w:val="none"/>
              </w:rPr>
              <w:t>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④施工技术方案缺陷较多且明显影响项目建设质量的或未提供的不得分。</w:t>
            </w:r>
          </w:p>
        </w:tc>
        <w:tc>
          <w:tcPr>
            <w:tcW w:w="708" w:type="dxa"/>
            <w:shd w:val="clear" w:color="auto" w:fill="auto"/>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993" w:type="dxa"/>
            <w:shd w:val="clear" w:color="auto" w:fill="auto"/>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3.项目班子及劳动力配备方案</w:t>
            </w:r>
          </w:p>
        </w:tc>
        <w:tc>
          <w:tcPr>
            <w:tcW w:w="4678" w:type="dxa"/>
            <w:noWrap/>
            <w:vAlign w:val="center"/>
          </w:tcPr>
          <w:p>
            <w:pP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根据供应商拟派</w:t>
            </w:r>
            <w:r>
              <w:rPr>
                <w:rFonts w:hint="eastAsia" w:asciiTheme="majorEastAsia" w:hAnsiTheme="majorEastAsia" w:eastAsiaTheme="majorEastAsia"/>
                <w:color w:val="auto"/>
                <w:highlight w:val="none"/>
              </w:rPr>
              <w:t>项目班子及劳动力配备方案</w:t>
            </w:r>
            <w:r>
              <w:rPr>
                <w:rFonts w:hint="eastAsia" w:cs="宋体" w:asciiTheme="majorEastAsia" w:hAnsiTheme="majorEastAsia" w:eastAsiaTheme="majorEastAsia"/>
                <w:color w:val="auto"/>
                <w:highlight w:val="none"/>
              </w:rPr>
              <w:t>，包括安全员、质检员、施工员等专业人员的配置，以及</w:t>
            </w:r>
            <w:r>
              <w:rPr>
                <w:rFonts w:hint="eastAsia" w:asciiTheme="majorEastAsia" w:hAnsiTheme="majorEastAsia" w:eastAsiaTheme="majorEastAsia"/>
                <w:color w:val="auto"/>
                <w:highlight w:val="none"/>
              </w:rPr>
              <w:t>拟派人员从事本项目相关行业工作年限及经验</w:t>
            </w:r>
            <w:r>
              <w:rPr>
                <w:rFonts w:hint="eastAsia" w:cs="宋体" w:asciiTheme="majorEastAsia" w:hAnsiTheme="majorEastAsia" w:eastAsiaTheme="majorEastAsia"/>
                <w:color w:val="auto"/>
                <w:highlight w:val="none"/>
              </w:rPr>
              <w:t>进行评议</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①项目班子和劳动力配备充足，专业配置合理，人员专业能力强，与供应商的实施方案匹配，能够可靠保障项目顺利实施的得</w:t>
            </w:r>
            <w:r>
              <w:rPr>
                <w:rFonts w:asciiTheme="majorEastAsia" w:hAnsiTheme="majorEastAsia" w:eastAsiaTheme="majorEastAsia"/>
                <w:color w:val="auto"/>
                <w:highlight w:val="none"/>
              </w:rPr>
              <w:t>8</w:t>
            </w:r>
            <w:r>
              <w:rPr>
                <w:rFonts w:hint="eastAsia" w:asciiTheme="majorEastAsia" w:hAnsiTheme="majorEastAsia" w:eastAsiaTheme="majorEastAsia"/>
                <w:color w:val="auto"/>
                <w:highlight w:val="none"/>
              </w:rPr>
              <w:t>-6.4分；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②项目班子和劳动力配备比较充分，专业配置比较合理，人员专业能力良好，与供应商的实施方案基本匹配，能够良好保障项目实施的得</w:t>
            </w:r>
            <w:r>
              <w:rPr>
                <w:rFonts w:asciiTheme="majorEastAsia" w:hAnsiTheme="majorEastAsia" w:eastAsiaTheme="majorEastAsia"/>
                <w:color w:val="auto"/>
                <w:highlight w:val="none"/>
              </w:rPr>
              <w:t>6</w:t>
            </w:r>
            <w:r>
              <w:rPr>
                <w:rFonts w:hint="eastAsia" w:asciiTheme="majorEastAsia" w:hAnsiTheme="majorEastAsia" w:eastAsiaTheme="majorEastAsia"/>
                <w:color w:val="auto"/>
                <w:highlight w:val="none"/>
              </w:rPr>
              <w:t>.3-4.8分；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③项目班子和劳动力配备一般，专业配置欠合理，人员专业能力一般，与供应商的项目实施方案不相匹配，不能保障项目顺利实施的得4.7-2分；</w:t>
            </w:r>
          </w:p>
          <w:p>
            <w:pPr>
              <w:widowControl/>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w:instrText>
            </w:r>
            <w:r>
              <w:rPr>
                <w:rFonts w:hint="eastAsia" w:asciiTheme="majorEastAsia" w:hAnsiTheme="majorEastAsia" w:eastAsiaTheme="majorEastAsia"/>
                <w:color w:val="auto"/>
                <w:highlight w:val="none"/>
              </w:rPr>
              <w:instrText xml:space="preserve">= 4 \* GB3</w:instrText>
            </w:r>
            <w:r>
              <w:rPr>
                <w:rFonts w:asciiTheme="majorEastAsia" w:hAnsiTheme="majorEastAsia" w:eastAsiaTheme="majorEastAsia"/>
                <w:color w:val="auto"/>
                <w:highlight w:val="none"/>
              </w:rPr>
              <w:instrText xml:space="preserve">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④</w:t>
            </w:r>
            <w:r>
              <w:rPr>
                <w:rFonts w:asciiTheme="majorEastAsia" w:hAnsiTheme="majorEastAsia" w:eastAsiaTheme="majorEastAsia"/>
                <w:color w:val="auto"/>
                <w:highlight w:val="none"/>
              </w:rPr>
              <w:fldChar w:fldCharType="end"/>
            </w:r>
            <w:r>
              <w:rPr>
                <w:rFonts w:hint="eastAsia" w:asciiTheme="majorEastAsia" w:hAnsiTheme="majorEastAsia" w:eastAsiaTheme="majorEastAsia"/>
                <w:color w:val="auto"/>
                <w:highlight w:val="none"/>
              </w:rPr>
              <w:t>项目班子和劳动力配备存在明显缺陷，</w:t>
            </w:r>
            <w:r>
              <w:rPr>
                <w:rFonts w:hint="eastAsia" w:asciiTheme="majorEastAsia" w:hAnsiTheme="majorEastAsia" w:eastAsiaTheme="majorEastAsia"/>
                <w:bCs/>
                <w:color w:val="auto"/>
                <w:highlight w:val="none"/>
              </w:rPr>
              <w:t>明显影响项目建设质量的不得分。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w:t>
            </w:r>
            <w:r>
              <w:rPr>
                <w:rFonts w:asciiTheme="majorEastAsia" w:hAnsiTheme="majorEastAsia" w:eastAsiaTheme="majorEastAsia"/>
                <w:color w:val="auto"/>
                <w:highlight w:val="none"/>
              </w:rPr>
              <w:t>.项目重点、难点的分析</w:t>
            </w:r>
            <w:r>
              <w:rPr>
                <w:rFonts w:hint="eastAsia" w:asciiTheme="majorEastAsia" w:hAnsiTheme="majorEastAsia" w:eastAsiaTheme="majorEastAsia"/>
                <w:color w:val="auto"/>
                <w:highlight w:val="none"/>
              </w:rPr>
              <w:t>方案</w:t>
            </w:r>
          </w:p>
        </w:tc>
        <w:tc>
          <w:tcPr>
            <w:tcW w:w="467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根据供应商提供的</w:t>
            </w:r>
            <w:r>
              <w:rPr>
                <w:rFonts w:asciiTheme="majorEastAsia" w:hAnsiTheme="majorEastAsia" w:eastAsiaTheme="majorEastAsia"/>
                <w:color w:val="auto"/>
                <w:highlight w:val="none"/>
              </w:rPr>
              <w:t>项目重点、难点的分析</w:t>
            </w:r>
            <w:r>
              <w:rPr>
                <w:rFonts w:hint="eastAsia" w:asciiTheme="majorEastAsia" w:hAnsiTheme="majorEastAsia" w:eastAsiaTheme="majorEastAsia"/>
                <w:color w:val="auto"/>
                <w:highlight w:val="none"/>
              </w:rPr>
              <w:t>方案，通过学生餐厅改造的了解，针对项目实施过程中的重、难点的分析情况进行评议。</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①对项目实施过程中的重点、难点认识充分，分析全面的得</w:t>
            </w:r>
            <w:r>
              <w:rPr>
                <w:rFonts w:asciiTheme="majorEastAsia" w:hAnsiTheme="majorEastAsia" w:eastAsiaTheme="majorEastAsia"/>
                <w:color w:val="auto"/>
                <w:highlight w:val="none"/>
              </w:rPr>
              <w:t>5</w:t>
            </w:r>
            <w:r>
              <w:rPr>
                <w:rFonts w:hint="eastAsia" w:asciiTheme="majorEastAsia" w:hAnsiTheme="majorEastAsia" w:eastAsiaTheme="majorEastAsia"/>
                <w:color w:val="auto"/>
                <w:highlight w:val="none"/>
              </w:rPr>
              <w:t>-4.1分；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②对项目实施过程中的重点、难点认识比较充分的得4-3.1分；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③对项目实施过程中的重点、难点认识不够充分的得3-2分；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④对项目实施过程中的重点、难点认识明显不足或未提供的得不得分。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w:t>
            </w:r>
            <w:r>
              <w:rPr>
                <w:rFonts w:asciiTheme="majorEastAsia" w:hAnsiTheme="majorEastAsia" w:eastAsiaTheme="majorEastAsia"/>
                <w:color w:val="auto"/>
                <w:highlight w:val="none"/>
              </w:rPr>
              <w:t>.项目重点、难点的解决方案</w:t>
            </w:r>
          </w:p>
        </w:tc>
        <w:tc>
          <w:tcPr>
            <w:tcW w:w="467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根据供应商提供的</w:t>
            </w:r>
            <w:r>
              <w:rPr>
                <w:rFonts w:asciiTheme="majorEastAsia" w:hAnsiTheme="majorEastAsia" w:eastAsiaTheme="majorEastAsia"/>
                <w:color w:val="auto"/>
                <w:highlight w:val="none"/>
              </w:rPr>
              <w:t>项目重点、难点的解决方案</w:t>
            </w:r>
            <w:r>
              <w:rPr>
                <w:rFonts w:hint="eastAsia" w:asciiTheme="majorEastAsia" w:hAnsiTheme="majorEastAsia" w:eastAsiaTheme="majorEastAsia"/>
                <w:color w:val="auto"/>
                <w:highlight w:val="none"/>
              </w:rPr>
              <w:t>，通过对学生餐厅改造实施过程中的重、难点的分析结果提出的解决方案进行评议。</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①对项目实施过程中的重点、难点分析后提出的解决方案内容详细，措施得力，切实可行的得</w:t>
            </w:r>
            <w:r>
              <w:rPr>
                <w:rFonts w:asciiTheme="majorEastAsia" w:hAnsiTheme="majorEastAsia" w:eastAsiaTheme="majorEastAsia"/>
                <w:color w:val="auto"/>
                <w:highlight w:val="none"/>
              </w:rPr>
              <w:t>5</w:t>
            </w:r>
            <w:r>
              <w:rPr>
                <w:rFonts w:hint="eastAsia" w:asciiTheme="majorEastAsia" w:hAnsiTheme="majorEastAsia" w:eastAsiaTheme="majorEastAsia"/>
                <w:color w:val="auto"/>
                <w:highlight w:val="none"/>
              </w:rPr>
              <w:t>-4.1分；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②对项目实施过程中的重点、难点分析后提出的解决方案内容比较详细，措施适当，合理可行的得4-3.1分；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③对项目实施过程中的重点、难点分析后提出的解决方案内容简单且措施不力的得3-2分；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④对项目实施过程中的重点、难点分析后提出的解决方案无实质性解决措施或未提供的不得分。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6.工程质量的保证措施</w:t>
            </w:r>
          </w:p>
        </w:tc>
        <w:tc>
          <w:tcPr>
            <w:tcW w:w="4678" w:type="dxa"/>
            <w:noWrap/>
            <w:vAlign w:val="center"/>
          </w:tcPr>
          <w:p>
            <w:pPr>
              <w:rPr>
                <w:rFonts w:cs="宋体"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根据供应商提供的工程质量保证措施，包括项目质量目标及其分解、质量管理及保证体系、质量保证制度的内容是否全面、描述是否清晰、是否切实可行</w:t>
            </w:r>
            <w:r>
              <w:rPr>
                <w:rFonts w:hint="eastAsia" w:cs="宋体" w:asciiTheme="majorEastAsia" w:hAnsiTheme="majorEastAsia" w:eastAsiaTheme="majorEastAsia"/>
                <w:color w:val="auto"/>
                <w:highlight w:val="none"/>
              </w:rPr>
              <w:t>进行评议。</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①工程质量保证措施内容全面完整、描述清晰，措施得力，切实可行的得</w:t>
            </w:r>
            <w:r>
              <w:rPr>
                <w:rFonts w:hint="eastAsia" w:cs="宋体" w:asciiTheme="majorEastAsia" w:hAnsiTheme="majorEastAsia" w:eastAsiaTheme="majorEastAsia"/>
                <w:color w:val="auto"/>
                <w:highlight w:val="none"/>
              </w:rPr>
              <w:t>8-6.4</w:t>
            </w:r>
            <w:r>
              <w:rPr>
                <w:rFonts w:hint="eastAsia" w:asciiTheme="majorEastAsia" w:hAnsiTheme="majorEastAsia" w:eastAsiaTheme="majorEastAsia"/>
                <w:color w:val="auto"/>
                <w:highlight w:val="none"/>
              </w:rPr>
              <w:t>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②工程质量保证措施内容比较详细，措施适当，合理可行的得</w:t>
            </w:r>
            <w:r>
              <w:rPr>
                <w:rFonts w:asciiTheme="majorEastAsia" w:hAnsiTheme="majorEastAsia" w:eastAsiaTheme="majorEastAsia"/>
                <w:color w:val="auto"/>
                <w:highlight w:val="none"/>
              </w:rPr>
              <w:t>6</w:t>
            </w:r>
            <w:r>
              <w:rPr>
                <w:rFonts w:hint="eastAsia" w:asciiTheme="majorEastAsia" w:hAnsiTheme="majorEastAsia" w:eastAsiaTheme="majorEastAsia"/>
                <w:color w:val="auto"/>
                <w:highlight w:val="none"/>
              </w:rPr>
              <w:t>.3-4.8分；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③工程质量保证措施内容比较笼统，细化程度不足，措施欠妥的得4.7-1分；</w:t>
            </w:r>
          </w:p>
          <w:p>
            <w:pPr>
              <w:rPr>
                <w:rFonts w:asciiTheme="majorEastAsia" w:hAnsiTheme="majorEastAsia" w:eastAsiaTheme="majorEastAsia"/>
                <w:color w:val="auto"/>
                <w:highlight w:val="none"/>
              </w:rPr>
            </w:pP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w:instrText>
            </w:r>
            <w:r>
              <w:rPr>
                <w:rFonts w:hint="eastAsia" w:asciiTheme="majorEastAsia" w:hAnsiTheme="majorEastAsia" w:eastAsiaTheme="majorEastAsia"/>
                <w:color w:val="auto"/>
                <w:highlight w:val="none"/>
              </w:rPr>
              <w:instrText xml:space="preserve">= 4 \* GB3</w:instrText>
            </w:r>
            <w:r>
              <w:rPr>
                <w:rFonts w:asciiTheme="majorEastAsia" w:hAnsiTheme="majorEastAsia" w:eastAsiaTheme="majorEastAsia"/>
                <w:color w:val="auto"/>
                <w:highlight w:val="none"/>
              </w:rPr>
              <w:instrText xml:space="preserve"> </w:instrText>
            </w:r>
            <w:r>
              <w:rPr>
                <w:rFonts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④</w:t>
            </w:r>
            <w:r>
              <w:rPr>
                <w:rFonts w:asciiTheme="majorEastAsia" w:hAnsiTheme="majorEastAsia" w:eastAsiaTheme="majorEastAsia"/>
                <w:color w:val="auto"/>
                <w:highlight w:val="none"/>
              </w:rPr>
              <w:fldChar w:fldCharType="end"/>
            </w:r>
            <w:r>
              <w:rPr>
                <w:rFonts w:hint="eastAsia" w:asciiTheme="majorEastAsia" w:hAnsiTheme="majorEastAsia" w:eastAsiaTheme="majorEastAsia"/>
                <w:color w:val="auto"/>
                <w:highlight w:val="none"/>
              </w:rPr>
              <w:t>工程质量保证措施缺陷较多且明显影响工程质量或未提供的不得分。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7.整体项目进度计划及保障</w:t>
            </w:r>
          </w:p>
        </w:tc>
        <w:tc>
          <w:tcPr>
            <w:tcW w:w="467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根据供应商提供的整体项目进度计划安排是否妥当、时间节点是否明确，保障措施是否可靠进行评议。</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①整体项目进度安排得当，</w:t>
            </w:r>
            <w:r>
              <w:rPr>
                <w:rFonts w:hint="eastAsia" w:cs="宋体" w:asciiTheme="majorEastAsia" w:hAnsiTheme="majorEastAsia" w:eastAsiaTheme="majorEastAsia"/>
                <w:color w:val="auto"/>
                <w:szCs w:val="21"/>
                <w:highlight w:val="none"/>
              </w:rPr>
              <w:t>时间节点明确，</w:t>
            </w:r>
            <w:r>
              <w:rPr>
                <w:rFonts w:hint="eastAsia" w:asciiTheme="majorEastAsia" w:hAnsiTheme="majorEastAsia" w:eastAsiaTheme="majorEastAsia"/>
                <w:color w:val="auto"/>
                <w:highlight w:val="none"/>
              </w:rPr>
              <w:t>措施得力，切实可行的得</w:t>
            </w:r>
            <w:r>
              <w:rPr>
                <w:rFonts w:hint="eastAsia" w:cs="宋体" w:asciiTheme="majorEastAsia" w:hAnsiTheme="majorEastAsia" w:eastAsiaTheme="majorEastAsia"/>
                <w:color w:val="auto"/>
                <w:highlight w:val="none"/>
              </w:rPr>
              <w:t>8-6.4</w:t>
            </w:r>
            <w:r>
              <w:rPr>
                <w:rFonts w:hint="eastAsia" w:asciiTheme="majorEastAsia" w:hAnsiTheme="majorEastAsia" w:eastAsiaTheme="majorEastAsia"/>
                <w:color w:val="auto"/>
                <w:highlight w:val="none"/>
              </w:rPr>
              <w:t>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②整体项目进度安排妥当，措施适当，合理可行的得</w:t>
            </w:r>
            <w:r>
              <w:rPr>
                <w:rFonts w:asciiTheme="majorEastAsia" w:hAnsiTheme="majorEastAsia" w:eastAsiaTheme="majorEastAsia"/>
                <w:color w:val="auto"/>
                <w:highlight w:val="none"/>
              </w:rPr>
              <w:t>6</w:t>
            </w:r>
            <w:r>
              <w:rPr>
                <w:rFonts w:hint="eastAsia" w:asciiTheme="majorEastAsia" w:hAnsiTheme="majorEastAsia" w:eastAsiaTheme="majorEastAsia"/>
                <w:color w:val="auto"/>
                <w:highlight w:val="none"/>
              </w:rPr>
              <w:t>.3-4.8分；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③整体项目进度安排安排欠妥，措施不力，合理性一般的得4.7-1分；</w:t>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④整体项目进度安排明显不妥或未提供的不得分。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8.确保文明施工的保证措施</w:t>
            </w:r>
          </w:p>
        </w:tc>
        <w:tc>
          <w:tcPr>
            <w:tcW w:w="4678" w:type="dxa"/>
            <w:noWrap/>
            <w:vAlign w:val="center"/>
          </w:tcPr>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根据供应商提供的确保文明施工的保证措施进行评议，包括项目现场场容场貌、机械管理、防止大气污染、材料堆放内容是否全面、描述是否清晰、是否切实可行进行评议。</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①文明施工方案内容全面、描述清晰，符合项目实际情况，措施得力，切实可行的得</w:t>
            </w:r>
            <w:r>
              <w:rPr>
                <w:rFonts w:asciiTheme="majorEastAsia" w:hAnsiTheme="majorEastAsia" w:eastAsiaTheme="majorEastAsia"/>
                <w:color w:val="auto"/>
                <w:highlight w:val="none"/>
              </w:rPr>
              <w:t>6</w:t>
            </w:r>
            <w:r>
              <w:rPr>
                <w:rFonts w:hint="eastAsia" w:asciiTheme="majorEastAsia" w:hAnsiTheme="majorEastAsia" w:eastAsiaTheme="majorEastAsia"/>
                <w:color w:val="auto"/>
                <w:highlight w:val="none"/>
              </w:rPr>
              <w:t>-4.8分；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②文明施工方案内容比较详细，基本符合项目实际情况，措施适当，合理可行的得</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.7-3.6分；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③文明施工方案内容比较笼统，细化程度不足，与项目实际情况存在较多不符，措施欠妥的得3.5-1分；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④文明施工方案缺陷较多且明显影响文明施工的或未提供的不得分。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9.确保安全施工的保证措施</w:t>
            </w:r>
          </w:p>
        </w:tc>
        <w:tc>
          <w:tcPr>
            <w:tcW w:w="4678" w:type="dxa"/>
            <w:noWrap/>
            <w:vAlign w:val="center"/>
          </w:tcPr>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供应商提供的确保安全施工保障措施进行评议，包括项目施工安全管理目标、管理组织机构、安全生产责任制度、安全技术措施、对施工阶段正常出入非施工区域的安全保障，安全技术措施、发生火灾、触电、机械伤害、化学品伤害、中暑等事故的逃生和急救方案是否全面、描述是否清晰、是否切实可行进行评议。</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①安全施工保障方案内容全面、描述清晰，符合项目实际情况，措施得力，切实可行的得</w:t>
            </w:r>
            <w:r>
              <w:rPr>
                <w:rFonts w:asciiTheme="majorEastAsia" w:hAnsiTheme="majorEastAsia" w:eastAsiaTheme="majorEastAsia"/>
                <w:color w:val="auto"/>
                <w:highlight w:val="none"/>
              </w:rPr>
              <w:t>6</w:t>
            </w:r>
            <w:r>
              <w:rPr>
                <w:rFonts w:hint="eastAsia" w:asciiTheme="majorEastAsia" w:hAnsiTheme="majorEastAsia" w:eastAsiaTheme="majorEastAsia"/>
                <w:color w:val="auto"/>
                <w:highlight w:val="none"/>
              </w:rPr>
              <w:t>-4.8分；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②安全施工保障方案内容比较详细，基本符合项目实际情况，措施适当，合理可行的得</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.7-3.6分；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③安全施工保障方案内容比较笼统，细化程度不足，与项目实际情况存在较多不符，措施欠妥的得3.5-1；</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④安全施工保障方案缺陷较多且明显影响安全施工的或未提供的不得分。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10</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rPr>
              <w:t>施工机械设备的选用和管理方案</w:t>
            </w:r>
          </w:p>
        </w:tc>
        <w:tc>
          <w:tcPr>
            <w:tcW w:w="4678" w:type="dxa"/>
            <w:noWrap/>
            <w:vAlign w:val="center"/>
          </w:tcPr>
          <w:p>
            <w:pPr>
              <w:widowControl/>
              <w:jc w:val="left"/>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根据供应商提供的</w:t>
            </w:r>
            <w:r>
              <w:rPr>
                <w:rFonts w:hint="eastAsia" w:asciiTheme="majorEastAsia" w:hAnsiTheme="majorEastAsia" w:eastAsiaTheme="majorEastAsia"/>
                <w:color w:val="auto"/>
                <w:highlight w:val="none"/>
              </w:rPr>
              <w:t>施工机械设备的选用和管理方案，包括</w:t>
            </w:r>
            <w:r>
              <w:rPr>
                <w:rFonts w:hint="eastAsia" w:cs="宋体" w:asciiTheme="majorEastAsia" w:hAnsiTheme="majorEastAsia" w:eastAsiaTheme="majorEastAsia"/>
                <w:color w:val="auto"/>
                <w:highlight w:val="none"/>
              </w:rPr>
              <w:t>施工所需的主要施工机械设备选用是否齐全，及其管理是否详实、得力进行评议。</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①主要施工机械设备配备齐全、设备管理制度完善、保障措施详实、得力的得</w:t>
            </w:r>
            <w:r>
              <w:rPr>
                <w:rFonts w:asciiTheme="majorEastAsia" w:hAnsiTheme="majorEastAsia" w:eastAsiaTheme="majorEastAsia"/>
                <w:color w:val="auto"/>
                <w:highlight w:val="none"/>
              </w:rPr>
              <w:t>6</w:t>
            </w:r>
            <w:r>
              <w:rPr>
                <w:rFonts w:hint="eastAsia" w:asciiTheme="majorEastAsia" w:hAnsiTheme="majorEastAsia" w:eastAsiaTheme="majorEastAsia"/>
                <w:color w:val="auto"/>
                <w:highlight w:val="none"/>
              </w:rPr>
              <w:t>-4.8分；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②主要施工机械设备配备基本完整、设备管理制度较完善、保障措施全面、适当的得</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.7-3.6分；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③主要施工机械设备配备不够充分、设备管理制度不够完善、到位、保障措施稍显不足的得3.5-1分；</w:t>
            </w:r>
          </w:p>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④未提供主要施工机械设备的选用和管理的本项不得分。</w:t>
            </w:r>
          </w:p>
        </w:tc>
        <w:tc>
          <w:tcPr>
            <w:tcW w:w="708"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42" w:type="dxa"/>
            <w:vMerge w:val="continue"/>
            <w:noWrap/>
            <w:vAlign w:val="center"/>
          </w:tcPr>
          <w:p>
            <w:pPr>
              <w:rPr>
                <w:rFonts w:asciiTheme="majorEastAsia" w:hAnsiTheme="majorEastAsia" w:eastAsiaTheme="majorEastAsia"/>
                <w:color w:val="auto"/>
                <w:szCs w:val="21"/>
                <w:highlight w:val="none"/>
              </w:rPr>
            </w:pPr>
          </w:p>
        </w:tc>
        <w:tc>
          <w:tcPr>
            <w:tcW w:w="1418" w:type="dxa"/>
            <w:noWrap/>
            <w:vAlign w:val="center"/>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r>
              <w:rPr>
                <w:rFonts w:asciiTheme="majorEastAsia" w:hAnsiTheme="majorEastAsia" w:eastAsiaTheme="majorEastAsia"/>
                <w:color w:val="auto"/>
                <w:highlight w:val="none"/>
              </w:rPr>
              <w:t>.业绩</w:t>
            </w:r>
          </w:p>
        </w:tc>
        <w:tc>
          <w:tcPr>
            <w:tcW w:w="4678" w:type="dxa"/>
            <w:noWrap/>
            <w:vAlign w:val="center"/>
          </w:tcPr>
          <w:p>
            <w:pPr>
              <w:widowControl/>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供应商自2021年1月1日（竣工日期）以来具有餐厅装修改造类工程业绩的，每提供一个业绩得1分，最高得2分。</w:t>
            </w:r>
          </w:p>
          <w:p>
            <w:pPr>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注：响应文件内提供合同及竣工报告（须体现日期）复印件。</w:t>
            </w:r>
          </w:p>
        </w:tc>
        <w:tc>
          <w:tcPr>
            <w:tcW w:w="708" w:type="dxa"/>
            <w:shd w:val="clear" w:color="auto" w:fill="auto"/>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993" w:type="dxa"/>
            <w:shd w:val="clear" w:color="auto" w:fill="auto"/>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42" w:type="dxa"/>
            <w:noWrap/>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价格</w:t>
            </w:r>
          </w:p>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asciiTheme="majorEastAsia" w:hAnsiTheme="majorEastAsia" w:eastAsiaTheme="majorEastAsia"/>
                <w:color w:val="auto"/>
                <w:szCs w:val="21"/>
                <w:highlight w:val="none"/>
              </w:rPr>
              <w:t>30</w:t>
            </w:r>
            <w:r>
              <w:rPr>
                <w:rFonts w:hint="eastAsia" w:asciiTheme="majorEastAsia" w:hAnsiTheme="majorEastAsia" w:eastAsiaTheme="majorEastAsia"/>
                <w:color w:val="auto"/>
                <w:szCs w:val="21"/>
                <w:highlight w:val="none"/>
              </w:rPr>
              <w:t>分）</w:t>
            </w:r>
          </w:p>
        </w:tc>
        <w:tc>
          <w:tcPr>
            <w:tcW w:w="6096" w:type="dxa"/>
            <w:gridSpan w:val="2"/>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288" w:lineRule="auto"/>
              <w:jc w:val="left"/>
              <w:textAlignment w:val="baseline"/>
              <w:rPr>
                <w:rFonts w:hint="eastAsia" w:cs="宋体" w:asciiTheme="majorEastAsia" w:hAnsiTheme="majorEastAsia" w:eastAsiaTheme="majorEastAsia"/>
                <w:color w:val="auto"/>
                <w:kern w:val="0"/>
                <w:szCs w:val="28"/>
                <w:highlight w:val="none"/>
              </w:rPr>
            </w:pPr>
            <w:r>
              <w:rPr>
                <w:rFonts w:hint="eastAsia" w:cs="宋体" w:asciiTheme="majorEastAsia" w:hAnsiTheme="majorEastAsia" w:eastAsiaTheme="majorEastAsia"/>
                <w:color w:val="auto"/>
                <w:kern w:val="0"/>
                <w:szCs w:val="28"/>
                <w:highlight w:val="none"/>
                <w:lang w:val="en-US" w:eastAsia="zh-CN"/>
              </w:rPr>
              <w:t>核算价格分时，</w:t>
            </w:r>
            <w:r>
              <w:rPr>
                <w:rFonts w:hint="eastAsia" w:cs="宋体" w:asciiTheme="majorEastAsia" w:hAnsiTheme="majorEastAsia" w:eastAsiaTheme="majorEastAsia"/>
                <w:color w:val="auto"/>
                <w:kern w:val="0"/>
                <w:szCs w:val="28"/>
                <w:highlight w:val="none"/>
              </w:rPr>
              <w:t>价格分统一采用低价优先法计算，即满足磋商文件要求且最后报价最低的供应商的价格</w:t>
            </w:r>
            <w:r>
              <w:rPr>
                <w:rFonts w:hint="eastAsia" w:cs="宋体" w:asciiTheme="majorEastAsia" w:hAnsiTheme="majorEastAsia" w:eastAsiaTheme="majorEastAsia"/>
                <w:color w:val="auto"/>
                <w:kern w:val="0"/>
                <w:szCs w:val="28"/>
                <w:highlight w:val="none"/>
                <w:lang w:eastAsia="zh-CN"/>
              </w:rPr>
              <w:t>（</w:t>
            </w:r>
            <w:r>
              <w:rPr>
                <w:rFonts w:hint="eastAsia" w:cs="宋体" w:asciiTheme="majorEastAsia" w:hAnsiTheme="majorEastAsia" w:eastAsiaTheme="majorEastAsia"/>
                <w:color w:val="auto"/>
                <w:kern w:val="0"/>
                <w:szCs w:val="28"/>
                <w:highlight w:val="none"/>
                <w:lang w:val="en-US" w:eastAsia="zh-CN"/>
              </w:rPr>
              <w:t>减去不可竞争的费用后</w:t>
            </w:r>
            <w:r>
              <w:rPr>
                <w:rFonts w:hint="eastAsia" w:cs="宋体" w:asciiTheme="majorEastAsia" w:hAnsiTheme="majorEastAsia" w:eastAsiaTheme="majorEastAsia"/>
                <w:color w:val="auto"/>
                <w:kern w:val="0"/>
                <w:szCs w:val="28"/>
                <w:highlight w:val="none"/>
                <w:lang w:eastAsia="zh-CN"/>
              </w:rPr>
              <w:t>）</w:t>
            </w:r>
            <w:r>
              <w:rPr>
                <w:rFonts w:hint="eastAsia" w:cs="宋体" w:asciiTheme="majorEastAsia" w:hAnsiTheme="majorEastAsia" w:eastAsiaTheme="majorEastAsia"/>
                <w:color w:val="auto"/>
                <w:kern w:val="0"/>
                <w:szCs w:val="28"/>
                <w:highlight w:val="none"/>
              </w:rPr>
              <w:t>为磋商基准价，其价格分为满分。</w:t>
            </w:r>
          </w:p>
          <w:p>
            <w:pPr>
              <w:keepNext w:val="0"/>
              <w:keepLines w:val="0"/>
              <w:pageBreakBefore w:val="0"/>
              <w:widowControl/>
              <w:shd w:val="clear" w:color="auto" w:fill="FFFFFF"/>
              <w:kinsoku/>
              <w:wordWrap/>
              <w:overflowPunct/>
              <w:topLinePunct w:val="0"/>
              <w:autoSpaceDE/>
              <w:autoSpaceDN/>
              <w:bidi w:val="0"/>
              <w:adjustRightInd/>
              <w:snapToGrid/>
              <w:spacing w:line="288" w:lineRule="auto"/>
              <w:jc w:val="left"/>
              <w:textAlignment w:val="baseline"/>
              <w:rPr>
                <w:rFonts w:hint="eastAsia" w:cs="宋体" w:asciiTheme="majorEastAsia" w:hAnsiTheme="majorEastAsia" w:eastAsiaTheme="majorEastAsia"/>
                <w:color w:val="auto"/>
                <w:kern w:val="0"/>
                <w:szCs w:val="28"/>
                <w:highlight w:val="none"/>
              </w:rPr>
            </w:pPr>
            <w:r>
              <w:rPr>
                <w:rFonts w:hint="eastAsia" w:cs="宋体" w:asciiTheme="majorEastAsia" w:hAnsiTheme="majorEastAsia" w:eastAsiaTheme="majorEastAsia"/>
                <w:color w:val="auto"/>
                <w:kern w:val="0"/>
                <w:szCs w:val="28"/>
                <w:highlight w:val="none"/>
              </w:rPr>
              <w:t>其他供应商的价格分统一按照下列公式计算：</w:t>
            </w:r>
          </w:p>
          <w:p>
            <w:pPr>
              <w:keepNext w:val="0"/>
              <w:keepLines w:val="0"/>
              <w:pageBreakBefore w:val="0"/>
              <w:widowControl/>
              <w:shd w:val="clear" w:color="auto" w:fill="FFFFFF"/>
              <w:kinsoku/>
              <w:wordWrap/>
              <w:overflowPunct/>
              <w:topLinePunct w:val="0"/>
              <w:autoSpaceDE/>
              <w:autoSpaceDN/>
              <w:bidi w:val="0"/>
              <w:adjustRightInd/>
              <w:snapToGrid/>
              <w:spacing w:line="288" w:lineRule="auto"/>
              <w:jc w:val="left"/>
              <w:textAlignment w:val="baseline"/>
              <w:rPr>
                <w:rFonts w:hint="eastAsia" w:cs="宋体" w:asciiTheme="majorEastAsia" w:hAnsiTheme="majorEastAsia" w:eastAsiaTheme="majorEastAsia"/>
                <w:color w:val="auto"/>
                <w:kern w:val="0"/>
                <w:szCs w:val="28"/>
                <w:highlight w:val="none"/>
              </w:rPr>
            </w:pPr>
            <w:r>
              <w:rPr>
                <w:rFonts w:hint="eastAsia" w:cs="宋体" w:asciiTheme="majorEastAsia" w:hAnsiTheme="majorEastAsia" w:eastAsiaTheme="majorEastAsia"/>
                <w:color w:val="auto"/>
                <w:kern w:val="0"/>
                <w:szCs w:val="28"/>
                <w:highlight w:val="none"/>
              </w:rPr>
              <w:t>磋商报价得分＝</w:t>
            </w:r>
            <w:r>
              <w:rPr>
                <w:rFonts w:hint="eastAsia" w:cs="宋体" w:asciiTheme="majorEastAsia" w:hAnsiTheme="majorEastAsia" w:eastAsiaTheme="majorEastAsia"/>
                <w:color w:val="auto"/>
                <w:kern w:val="0"/>
                <w:szCs w:val="28"/>
                <w:highlight w:val="none"/>
                <w:lang w:val="en-US" w:eastAsia="zh-CN"/>
              </w:rPr>
              <w:t>[</w:t>
            </w:r>
            <w:r>
              <w:rPr>
                <w:rFonts w:hint="eastAsia" w:cs="宋体" w:asciiTheme="majorEastAsia" w:hAnsiTheme="majorEastAsia" w:eastAsiaTheme="majorEastAsia"/>
                <w:color w:val="auto"/>
                <w:kern w:val="0"/>
                <w:szCs w:val="28"/>
                <w:highlight w:val="none"/>
              </w:rPr>
              <w:t>磋商基准价/最后磋商报价</w:t>
            </w:r>
            <w:r>
              <w:rPr>
                <w:rFonts w:hint="eastAsia" w:cs="宋体" w:asciiTheme="majorEastAsia" w:hAnsiTheme="majorEastAsia" w:eastAsiaTheme="majorEastAsia"/>
                <w:color w:val="auto"/>
                <w:kern w:val="0"/>
                <w:szCs w:val="28"/>
                <w:highlight w:val="none"/>
                <w:lang w:eastAsia="zh-CN"/>
              </w:rPr>
              <w:t>（</w:t>
            </w:r>
            <w:r>
              <w:rPr>
                <w:rFonts w:hint="eastAsia" w:cs="宋体" w:asciiTheme="majorEastAsia" w:hAnsiTheme="majorEastAsia" w:eastAsiaTheme="majorEastAsia"/>
                <w:color w:val="auto"/>
                <w:kern w:val="0"/>
                <w:szCs w:val="28"/>
                <w:highlight w:val="none"/>
                <w:lang w:val="en-US" w:eastAsia="zh-CN"/>
              </w:rPr>
              <w:t>减去不可竞争的费用后</w:t>
            </w:r>
            <w:r>
              <w:rPr>
                <w:rFonts w:hint="eastAsia" w:cs="宋体" w:asciiTheme="majorEastAsia" w:hAnsiTheme="majorEastAsia" w:eastAsiaTheme="majorEastAsia"/>
                <w:color w:val="auto"/>
                <w:kern w:val="0"/>
                <w:szCs w:val="28"/>
                <w:highlight w:val="none"/>
                <w:lang w:eastAsia="zh-CN"/>
              </w:rPr>
              <w:t>）</w:t>
            </w:r>
            <w:r>
              <w:rPr>
                <w:rFonts w:hint="eastAsia" w:cs="宋体" w:asciiTheme="majorEastAsia" w:hAnsiTheme="majorEastAsia" w:eastAsiaTheme="majorEastAsia"/>
                <w:color w:val="auto"/>
                <w:kern w:val="0"/>
                <w:szCs w:val="28"/>
                <w:highlight w:val="none"/>
                <w:lang w:val="en-US" w:eastAsia="zh-CN"/>
              </w:rPr>
              <w:t>]</w:t>
            </w:r>
            <w:r>
              <w:rPr>
                <w:rFonts w:hint="eastAsia" w:cs="宋体" w:asciiTheme="majorEastAsia" w:hAnsiTheme="majorEastAsia" w:eastAsiaTheme="majorEastAsia"/>
                <w:color w:val="auto"/>
                <w:kern w:val="0"/>
                <w:szCs w:val="28"/>
                <w:highlight w:val="none"/>
              </w:rPr>
              <w:t>×30</w:t>
            </w:r>
          </w:p>
          <w:p>
            <w:pPr>
              <w:keepNext w:val="0"/>
              <w:keepLines w:val="0"/>
              <w:pageBreakBefore w:val="0"/>
              <w:widowControl/>
              <w:shd w:val="clear" w:color="auto" w:fill="FFFFFF"/>
              <w:kinsoku/>
              <w:wordWrap/>
              <w:overflowPunct/>
              <w:topLinePunct w:val="0"/>
              <w:autoSpaceDE/>
              <w:autoSpaceDN/>
              <w:bidi w:val="0"/>
              <w:adjustRightInd/>
              <w:snapToGrid/>
              <w:spacing w:line="288" w:lineRule="auto"/>
              <w:jc w:val="left"/>
              <w:textAlignment w:val="baseline"/>
              <w:rPr>
                <w:rFonts w:hint="default" w:eastAsia="宋体"/>
                <w:color w:val="auto"/>
                <w:highlight w:val="none"/>
                <w:lang w:val="en-US" w:eastAsia="zh-CN"/>
              </w:rPr>
            </w:pPr>
            <w:r>
              <w:rPr>
                <w:rFonts w:hint="eastAsia" w:cs="宋体" w:asciiTheme="majorEastAsia" w:hAnsiTheme="majorEastAsia" w:eastAsiaTheme="majorEastAsia"/>
                <w:color w:val="auto"/>
                <w:kern w:val="0"/>
                <w:szCs w:val="28"/>
                <w:highlight w:val="none"/>
                <w:lang w:val="en-US" w:eastAsia="zh-CN"/>
              </w:rPr>
              <w:t>不可竞争的费用=工程暂估价（除含税）+暂列金额[安全文明施工费低限值+其他暂列金（除税价）]，即：100000+7238+80000=187238（元）</w:t>
            </w:r>
          </w:p>
        </w:tc>
        <w:tc>
          <w:tcPr>
            <w:tcW w:w="708"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w:t>
            </w:r>
          </w:p>
        </w:tc>
        <w:tc>
          <w:tcPr>
            <w:tcW w:w="993" w:type="dxa"/>
            <w:vAlign w:val="center"/>
          </w:tcPr>
          <w:p>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客观分</w:t>
            </w:r>
          </w:p>
        </w:tc>
      </w:tr>
    </w:tbl>
    <w:p>
      <w:pPr>
        <w:spacing w:before="142" w:beforeLines="50" w:line="360" w:lineRule="auto"/>
        <w:rPr>
          <w:rFonts w:asciiTheme="majorEastAsia" w:hAnsiTheme="majorEastAsia" w:eastAsiaTheme="majorEastAsia"/>
          <w:color w:val="auto"/>
          <w:spacing w:val="14"/>
          <w:szCs w:val="21"/>
          <w:highlight w:val="none"/>
        </w:rPr>
      </w:pPr>
      <w:r>
        <w:rPr>
          <w:rFonts w:hint="eastAsia" w:asciiTheme="majorEastAsia" w:hAnsiTheme="majorEastAsia" w:eastAsiaTheme="majorEastAsia"/>
          <w:color w:val="auto"/>
          <w:spacing w:val="14"/>
          <w:szCs w:val="21"/>
          <w:highlight w:val="none"/>
        </w:rPr>
        <w:t>评委签名：                                 日  期：</w:t>
      </w:r>
    </w:p>
    <w:p>
      <w:pPr>
        <w:widowControl/>
        <w:jc w:val="left"/>
        <w:rPr>
          <w:rFonts w:asciiTheme="minorEastAsia" w:hAnsiTheme="minorEastAsia" w:eastAsiaTheme="minorEastAsia"/>
          <w:color w:val="auto"/>
          <w:spacing w:val="14"/>
          <w:szCs w:val="21"/>
          <w:highlight w:val="none"/>
        </w:rPr>
      </w:pPr>
      <w:r>
        <w:rPr>
          <w:rFonts w:asciiTheme="minorEastAsia" w:hAnsiTheme="minorEastAsia" w:eastAsiaTheme="minorEastAsia"/>
          <w:color w:val="auto"/>
          <w:spacing w:val="14"/>
          <w:szCs w:val="21"/>
          <w:highlight w:val="none"/>
        </w:rPr>
        <w:br w:type="page"/>
      </w:r>
    </w:p>
    <w:p>
      <w:pPr>
        <w:pStyle w:val="4"/>
        <w:rPr>
          <w:rFonts w:asciiTheme="minorEastAsia" w:hAnsiTheme="minorEastAsia" w:eastAsiaTheme="minorEastAsia"/>
          <w:color w:val="auto"/>
          <w:highlight w:val="none"/>
        </w:rPr>
      </w:pPr>
      <w:bookmarkStart w:id="43" w:name="_Toc34844745"/>
      <w:bookmarkStart w:id="44" w:name="_Toc86053875"/>
      <w:r>
        <w:rPr>
          <w:rFonts w:hint="eastAsia" w:asciiTheme="minorEastAsia" w:hAnsiTheme="minorEastAsia" w:eastAsiaTheme="minorEastAsia"/>
          <w:color w:val="auto"/>
          <w:highlight w:val="none"/>
        </w:rPr>
        <w:t>第五章  合同草案条款</w:t>
      </w:r>
      <w:bookmarkEnd w:id="43"/>
      <w:bookmarkEnd w:id="44"/>
    </w:p>
    <w:p>
      <w:pPr>
        <w:pStyle w:val="48"/>
        <w:spacing w:before="0" w:after="0" w:line="360" w:lineRule="auto"/>
        <w:jc w:val="left"/>
        <w:rPr>
          <w:rFonts w:ascii="宋体" w:hAnsi="宋体" w:eastAsia="宋体"/>
          <w:color w:val="auto"/>
          <w:sz w:val="21"/>
          <w:szCs w:val="21"/>
          <w:highlight w:val="none"/>
        </w:rPr>
      </w:pPr>
      <w:r>
        <w:rPr>
          <w:rFonts w:hint="eastAsia" w:asciiTheme="minorEastAsia" w:hAnsiTheme="minorEastAsia" w:eastAsiaTheme="minorEastAsia"/>
          <w:color w:val="auto"/>
          <w:sz w:val="21"/>
          <w:highlight w:val="none"/>
        </w:rPr>
        <w:t>注：本合同文本为成交后签订合同的草案，并根据磋商结果签订，请供应商仔细阅读并理解。</w:t>
      </w:r>
    </w:p>
    <w:p>
      <w:pPr>
        <w:spacing w:line="360" w:lineRule="auto"/>
        <w:jc w:val="center"/>
        <w:outlineLvl w:val="2"/>
        <w:rPr>
          <w:rFonts w:ascii="宋体" w:hAnsi="宋体"/>
          <w:color w:val="auto"/>
          <w:szCs w:val="21"/>
          <w:highlight w:val="none"/>
        </w:rPr>
      </w:pPr>
      <w:r>
        <w:rPr>
          <w:rFonts w:hint="eastAsia" w:ascii="宋体" w:hAnsi="宋体"/>
          <w:b/>
          <w:color w:val="auto"/>
          <w:szCs w:val="21"/>
          <w:highlight w:val="none"/>
        </w:rPr>
        <w:t>第一部分</w:t>
      </w:r>
      <w:r>
        <w:rPr>
          <w:rFonts w:ascii="宋体" w:hAnsi="宋体"/>
          <w:b/>
          <w:color w:val="auto"/>
          <w:szCs w:val="21"/>
          <w:highlight w:val="none"/>
        </w:rPr>
        <w:t xml:space="preserve"> </w:t>
      </w:r>
      <w:r>
        <w:rPr>
          <w:rFonts w:hint="eastAsia" w:ascii="宋体" w:hAnsi="宋体"/>
          <w:b/>
          <w:color w:val="auto"/>
          <w:szCs w:val="21"/>
          <w:highlight w:val="none"/>
        </w:rPr>
        <w:t>合同协议书</w:t>
      </w:r>
    </w:p>
    <w:p>
      <w:pPr>
        <w:spacing w:line="360" w:lineRule="auto"/>
        <w:jc w:val="left"/>
        <w:rPr>
          <w:rFonts w:ascii="宋体" w:hAnsi="宋体" w:cs="宋体"/>
          <w:color w:val="auto"/>
          <w:szCs w:val="21"/>
          <w:highlight w:val="none"/>
          <w:u w:val="single"/>
        </w:rPr>
      </w:pPr>
      <w:bookmarkStart w:id="45" w:name="_Toc1583"/>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浙江商业技师学院</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承包人：</w:t>
      </w:r>
      <w:r>
        <w:rPr>
          <w:rFonts w:hint="eastAsia" w:ascii="宋体" w:hAnsi="宋体" w:cs="宋体"/>
          <w:color w:val="auto"/>
          <w:szCs w:val="21"/>
          <w:highlight w:val="none"/>
          <w:u w:val="single"/>
        </w:rPr>
        <w:t xml:space="preserve">                  </w:t>
      </w:r>
    </w:p>
    <w:p>
      <w:pPr>
        <w:snapToGrid w:val="0"/>
        <w:spacing w:line="360" w:lineRule="auto"/>
        <w:ind w:firstLine="438" w:firstLineChars="209"/>
        <w:rPr>
          <w:rFonts w:ascii="宋体" w:hAnsi="宋体" w:cs="宋体"/>
          <w:color w:val="auto"/>
          <w:szCs w:val="21"/>
          <w:highlight w:val="none"/>
        </w:rPr>
      </w:pPr>
      <w:r>
        <w:rPr>
          <w:rFonts w:hint="eastAsia" w:ascii="宋体" w:hAnsi="宋体" w:cs="宋体"/>
          <w:color w:val="auto"/>
          <w:szCs w:val="21"/>
          <w:highlight w:val="none"/>
        </w:rPr>
        <w:t>依照《中华人民共和国民法典》﹑《中华人民共和国建筑法》及其他有关法律﹑行政法规，遵循平等﹑自愿﹑公平和诚实信用的原则，双方就本工程施工事项协商一致，订立本合同。</w:t>
      </w:r>
    </w:p>
    <w:p>
      <w:pPr>
        <w:tabs>
          <w:tab w:val="left" w:pos="709"/>
        </w:tabs>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1.工程项目</w:t>
      </w:r>
    </w:p>
    <w:p>
      <w:pPr>
        <w:tabs>
          <w:tab w:val="left" w:pos="709"/>
          <w:tab w:val="left" w:pos="945"/>
        </w:tabs>
        <w:spacing w:line="360" w:lineRule="auto"/>
        <w:ind w:firstLine="210" w:firstLineChars="1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1.1工程名称：</w:t>
      </w:r>
      <w:r>
        <w:rPr>
          <w:rFonts w:hint="eastAsia" w:ascii="宋体" w:hAnsi="宋体" w:cs="宋体"/>
          <w:color w:val="auto"/>
          <w:szCs w:val="21"/>
          <w:highlight w:val="none"/>
          <w:u w:val="single"/>
        </w:rPr>
        <w:t>浙江商业技师学院学生餐厅改造项目</w:t>
      </w:r>
    </w:p>
    <w:p>
      <w:pPr>
        <w:tabs>
          <w:tab w:val="left" w:pos="709"/>
          <w:tab w:val="left" w:pos="945"/>
        </w:tabs>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1.2工程地点：</w:t>
      </w:r>
      <w:r>
        <w:rPr>
          <w:rFonts w:hint="eastAsia" w:ascii="宋体" w:hAnsi="宋体" w:cs="宋体"/>
          <w:color w:val="auto"/>
          <w:szCs w:val="21"/>
          <w:highlight w:val="none"/>
          <w:u w:val="single"/>
        </w:rPr>
        <w:t>该工程位于</w:t>
      </w:r>
      <w:r>
        <w:rPr>
          <w:rFonts w:hint="eastAsia" w:ascii="宋体" w:hAnsi="宋体" w:cs="宋体"/>
          <w:color w:val="auto"/>
          <w:szCs w:val="21"/>
          <w:highlight w:val="none"/>
          <w:u w:val="single"/>
          <w:lang w:eastAsia="zh-CN"/>
        </w:rPr>
        <w:t>浙江商业技师学院</w:t>
      </w:r>
      <w:r>
        <w:rPr>
          <w:rFonts w:hint="eastAsia" w:ascii="宋体" w:hAnsi="宋体" w:cs="宋体"/>
          <w:color w:val="auto"/>
          <w:szCs w:val="21"/>
          <w:highlight w:val="none"/>
          <w:u w:val="single"/>
        </w:rPr>
        <w:t>校区内</w:t>
      </w:r>
    </w:p>
    <w:p>
      <w:pPr>
        <w:tabs>
          <w:tab w:val="left" w:pos="709"/>
          <w:tab w:val="left" w:pos="945"/>
        </w:tabs>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1.3工程范围及内容：</w:t>
      </w:r>
      <w:r>
        <w:rPr>
          <w:rFonts w:hint="eastAsia" w:ascii="宋体" w:hAnsi="宋体" w:cs="宋体"/>
          <w:color w:val="auto"/>
          <w:szCs w:val="21"/>
          <w:highlight w:val="none"/>
          <w:u w:val="single"/>
        </w:rPr>
        <w:t>浙江商业技师学院学生餐厅改造项目</w:t>
      </w:r>
    </w:p>
    <w:p>
      <w:pPr>
        <w:tabs>
          <w:tab w:val="left" w:pos="945"/>
          <w:tab w:val="left" w:pos="2127"/>
        </w:tabs>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1.4签约合同价：</w:t>
      </w:r>
      <w:r>
        <w:rPr>
          <w:rFonts w:hint="eastAsia" w:ascii="宋体" w:hAnsi="宋体" w:cs="宋体"/>
          <w:color w:val="auto"/>
          <w:szCs w:val="21"/>
          <w:highlight w:val="none"/>
          <w:u w:val="single"/>
        </w:rPr>
        <w:t xml:space="preserve">       （¥        元）（含税价）。</w:t>
      </w:r>
    </w:p>
    <w:p>
      <w:pPr>
        <w:tabs>
          <w:tab w:val="left" w:pos="709"/>
          <w:tab w:val="left" w:pos="945"/>
        </w:tabs>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1.5承包方式：承包人以包工包料方式，实行工程总承包。承包人不得以任何借口对单位工程或分部分项工程进行转包或分包，一经发现，发包人有权发出停工指令，并扣工程签约合同价的5%作为违约金，同时单方终止合同，由此造成的一切损失由承包人负责。</w:t>
      </w:r>
    </w:p>
    <w:p>
      <w:pPr>
        <w:tabs>
          <w:tab w:val="left" w:pos="709"/>
        </w:tabs>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2.施工准备</w:t>
      </w:r>
    </w:p>
    <w:p>
      <w:pPr>
        <w:tabs>
          <w:tab w:val="left" w:pos="1134"/>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2.1发包人</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2.1.1开工前，应做好施工说明书或图纸的编制与审核，认真完成项目前期论证工作。负责做好接通施工现场总的施工用电、用水的需要；</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2.1.2组织有关部门参加施工交底会议，要求承包人做好交底会议纪要。</w:t>
      </w:r>
    </w:p>
    <w:p>
      <w:pPr>
        <w:tabs>
          <w:tab w:val="left" w:pos="1134"/>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2.2承包人</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2.2.1负责施工区域的道路、临时设施、水电管线的铺设、管理、使用和维修工作；</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2.2.2组织施工管理人员和材料、施工机械进场，合理确定场地布置图，并报发包人同意；</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2.2.3承包人应在开工前七天内依据投标文件将施工组织设计和工程进度计划交发包人，发包人在七日历天内予以审核或提出修改意见，逾期没有批复，可视为方案和计划已被批准；</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①施工期间水、电费按合同金额的3‰缴纳。在工程进度款支付申请前提供水电费支付凭证，承包人未按约支付水、电费用的，发包人有权在支付工程款中直接予以扣减。此外，承包人负责做好施工期间临时供水、供电的安全使用工作。</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通往指定区域的通道、场地内临时及出入通道的养护及相关费用由承包人负责，工程施工期间及完工前承包人须对施工造成的原有道路、排水设施等损坏的进行修缮，恢复其原有的使用功能，并自行承担相关费用。</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③承包人应充分考虑与其它参建单位的协调、配合等工作，并对施工区域内的施工人员及施工人员以外的第三人的人身、财产安全尽到保护义务，发生人身、财产损害的，由承包人承担赔偿责任。</w:t>
      </w:r>
    </w:p>
    <w:p>
      <w:pPr>
        <w:tabs>
          <w:tab w:val="left" w:pos="709"/>
        </w:tabs>
        <w:snapToGrid w:val="0"/>
        <w:spacing w:line="360" w:lineRule="auto"/>
        <w:jc w:val="left"/>
        <w:rPr>
          <w:rFonts w:ascii="宋体" w:hAnsi="宋体" w:cs="宋体"/>
          <w:b/>
          <w:color w:val="auto"/>
          <w:szCs w:val="21"/>
          <w:highlight w:val="none"/>
        </w:rPr>
      </w:pPr>
      <w:bookmarkStart w:id="46" w:name="_Toc310260910"/>
      <w:bookmarkStart w:id="47" w:name="_Toc338685650"/>
      <w:bookmarkStart w:id="48" w:name="_Toc325468613"/>
      <w:r>
        <w:rPr>
          <w:rFonts w:hint="eastAsia" w:ascii="宋体" w:hAnsi="宋体" w:cs="宋体"/>
          <w:b/>
          <w:color w:val="auto"/>
          <w:szCs w:val="21"/>
          <w:highlight w:val="none"/>
        </w:rPr>
        <w:t>3.工</w:t>
      </w:r>
      <w:bookmarkEnd w:id="46"/>
      <w:bookmarkEnd w:id="47"/>
      <w:bookmarkEnd w:id="48"/>
      <w:r>
        <w:rPr>
          <w:rFonts w:hint="eastAsia" w:ascii="宋体" w:hAnsi="宋体" w:cs="宋体"/>
          <w:b/>
          <w:color w:val="auto"/>
          <w:szCs w:val="21"/>
          <w:highlight w:val="none"/>
        </w:rPr>
        <w:t>程期限</w:t>
      </w:r>
    </w:p>
    <w:p>
      <w:pPr>
        <w:tabs>
          <w:tab w:val="left" w:pos="851"/>
        </w:tabs>
        <w:snapToGrid w:val="0"/>
        <w:spacing w:line="360" w:lineRule="auto"/>
        <w:ind w:firstLine="210" w:firstLineChars="100"/>
        <w:rPr>
          <w:rFonts w:ascii="宋体" w:hAnsi="宋体" w:cs="宋体"/>
          <w:color w:val="auto"/>
          <w:szCs w:val="21"/>
          <w:highlight w:val="none"/>
        </w:rPr>
      </w:pPr>
      <w:bookmarkStart w:id="49" w:name="_Toc338685651"/>
      <w:bookmarkStart w:id="50" w:name="_Toc325468614"/>
      <w:r>
        <w:rPr>
          <w:rFonts w:hint="eastAsia" w:ascii="宋体" w:hAnsi="宋体" w:cs="宋体"/>
          <w:color w:val="auto"/>
          <w:szCs w:val="21"/>
          <w:highlight w:val="none"/>
        </w:rPr>
        <w:t>3.1工期：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40日历天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。在具备开工条件时承包人应向发包人递交开工报告。本合同中规定按天计算时间，开始当天不计入，从次日开始计算，竣工当天计入。</w:t>
      </w:r>
    </w:p>
    <w:p>
      <w:pPr>
        <w:tabs>
          <w:tab w:val="left" w:pos="851"/>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在施工期间，发包人认为承包人现有力量明显不能满足质量和进度要求时，有权要求承包人调整、充实施工力量，承包人必须无条件接受，否则发包人有权发出停工指令，直至终止合同，由此造成的损失均由承包人承担。</w:t>
      </w:r>
    </w:p>
    <w:p>
      <w:pPr>
        <w:tabs>
          <w:tab w:val="left" w:pos="851"/>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3.3如遇下列情况，经发包人现场代表签证后，工期相应顺延：</w:t>
      </w:r>
    </w:p>
    <w:p>
      <w:pPr>
        <w:tabs>
          <w:tab w:val="left" w:pos="851"/>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3.3.1重大设计变更、设计方案改变而影响关键节点的进度；</w:t>
      </w:r>
    </w:p>
    <w:p>
      <w:pPr>
        <w:tabs>
          <w:tab w:val="left" w:pos="851"/>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3.3.2施工中，因发包人对技术联系签证不及时等非承包人的原因而影响正常施工；</w:t>
      </w:r>
    </w:p>
    <w:p>
      <w:pPr>
        <w:tabs>
          <w:tab w:val="left" w:pos="851"/>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3.3.3不可抗力因素延误工期。</w:t>
      </w:r>
    </w:p>
    <w:p>
      <w:pPr>
        <w:tabs>
          <w:tab w:val="left" w:pos="851"/>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工程竣工后，承包人需要在3日历天内做好剩余物资、建施设备、临时设施等清退工作，超期按每天签约合同价的千分之一支付违约金。建筑垃圾处理需按照《宁波市建筑垃圾管理办法》执行，若承包人随意倾倒被发包人发现，发包人有权停止支付工程款直至承包人清理完随意倾倒的垃圾，同时发包人保留向有关政府部门检举的权利。</w:t>
      </w:r>
    </w:p>
    <w:p>
      <w:pPr>
        <w:tabs>
          <w:tab w:val="left" w:pos="709"/>
        </w:tabs>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4.工程质量</w:t>
      </w:r>
      <w:bookmarkEnd w:id="49"/>
      <w:bookmarkEnd w:id="50"/>
    </w:p>
    <w:p>
      <w:pPr>
        <w:tabs>
          <w:tab w:val="left" w:pos="1134"/>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4.1本工程根据国家相关质量验收标准、建设工程质量管理条例（国务院令279号）、宁波市有关建设工程质量管理规定等（各质量标准存在不一致的，以较高的为准），由发包人组织有关专家或第三方对该工程进行验收评定。</w:t>
      </w:r>
    </w:p>
    <w:p>
      <w:pPr>
        <w:tabs>
          <w:tab w:val="left" w:pos="1134"/>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4.2承包人必须严格按照相关法律法规、制度、说明文件和国家颁发的建筑工程规范、规程和标准进行施工，并接受发包人派驻代表的监管。</w:t>
      </w:r>
    </w:p>
    <w:p>
      <w:pPr>
        <w:tabs>
          <w:tab w:val="left" w:pos="1134"/>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4.3本工程质量要求为按国家和行业施工验收规范一次性验收合格。如工程质量未达到上述合格要求的，应扣除承包人签约合同价的0.5%，还应赔偿发包人由此造成的全部经济损失。</w:t>
      </w:r>
    </w:p>
    <w:p>
      <w:pPr>
        <w:tabs>
          <w:tab w:val="left" w:pos="1134"/>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4.4承包人在施工过程中必须遵守下列规定：</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4.4.1主要原材料、构配件必须按有关规定提供质量合格证，或进行检验合格后方可用于工程；</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4.4.2如有材料改变或代用，应经发包人派驻代表签证同意后，方可用于工程；</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4.4.3隐蔽工程的验收：承包人应提前24小时以书面形式通知发包人。经发包人代表检查验收签章后，方可进行下一道工序；</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4.4.4承包人应按质量验评标准对工程进行分项、分部和单位工程质量评定，并及时将单位工程质量评定结果报送发包人核实签证，由发包人组织检查验收；</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4.4.5承包人应在工程验收前整理好验收资料，连同竣工报告一起提交发包人，发包人在收到以上资料并经审核确认无误后，将组织竣工验收，否则不予验收；</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4.4.6项目未经验收，发包人不得使用，如特殊情况，须双方协商，并办妥相关手续；</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4.4.7承包人延误工期，发包人按每天1000元的标准对其进行扣罚，扣罚限额为签约合同价的0.5%。工期延误超过30天的，发包人有权单方解除合同并要求承包人承担签约合同价的50％作为违约金，违约金不足以弥补发包人因此遭受的损失的，承包人还应承担赔偿责任；</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4.4.8承包人必须做好安全施工、文明施工，同时遵守学校安全保卫部门有关规定，及时办理相关手续，若因承包人未能履行前述义务导致发包人或第三方遭受任何损失的，承包人应当承担全部赔偿责任。且一经发现承包人未履行安全文明施工义务的，发包人有权对其扣罚签约合同价的0.2%作为违约金；</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4.4.9项目经理及主要施工管理人员未履行到现场承诺的，承包人将被扣罚签约合同价的0.6%，发包人有权要求更换项目经理或者管理人员，继任项目经理或者管理人员的资质不得低于前任，且应事先取得发包人的书面批准认可。如不改正，发包人有权解除合同并要求承包人赔偿由此遭受的全部损失；</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4.4.10未履行机械设备到场承诺，扣签约合同价的0.2%作为违约金；</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4.4.11因承包人原因造成本合同无法履行时，发包人有权解除或终止本合同，由此造成和各项损失均由承包人承担；</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4.4.12因承包人违约，发包人解除合同的，承包人须在10日内撤出施工现场的所有机械、材料、人员，并向发包人移交施工资料。承包人未按约定撤出施工现场的，发包人有权将机械、材料清理出施工现场，由此产生的费用、造成的损失由承包人承担，且发包人有权拒绝支付承包人已完工程的工程款；</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4.4.13前述违约金从当期的工程款中直接扣除。</w:t>
      </w:r>
    </w:p>
    <w:p>
      <w:pPr>
        <w:tabs>
          <w:tab w:val="left" w:pos="1134"/>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4.5工程变更</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4.5.1开工前由发包人签署的施工说明书或图纸及组织会审作出的施工纪要，作为施工的有效依据，承包人不得擅自修改。</w:t>
      </w:r>
    </w:p>
    <w:p>
      <w:pPr>
        <w:tabs>
          <w:tab w:val="left" w:pos="1134"/>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4.5.2施工中如发现技术交底有错误或不合理的地方，承包人及时以书面形式通知发包人，发包人应及时会同有关单位研究修改意见，承包人应按修改或变更的文件进行施工。</w:t>
      </w:r>
    </w:p>
    <w:p>
      <w:pPr>
        <w:tabs>
          <w:tab w:val="left" w:pos="709"/>
        </w:tabs>
        <w:snapToGrid w:val="0"/>
        <w:spacing w:line="360" w:lineRule="auto"/>
        <w:jc w:val="left"/>
        <w:rPr>
          <w:rFonts w:ascii="宋体" w:hAnsi="宋体" w:cs="宋体"/>
          <w:b/>
          <w:color w:val="auto"/>
          <w:szCs w:val="21"/>
          <w:highlight w:val="none"/>
        </w:rPr>
      </w:pPr>
      <w:bookmarkStart w:id="51" w:name="_Toc310260913"/>
      <w:bookmarkStart w:id="52" w:name="_Toc338685653"/>
      <w:bookmarkStart w:id="53" w:name="_Toc325468616"/>
      <w:r>
        <w:rPr>
          <w:rFonts w:hint="eastAsia" w:ascii="宋体" w:hAnsi="宋体" w:cs="宋体"/>
          <w:b/>
          <w:color w:val="auto"/>
          <w:szCs w:val="21"/>
          <w:highlight w:val="none"/>
        </w:rPr>
        <w:t>5.合同价款与支付</w:t>
      </w:r>
      <w:bookmarkEnd w:id="51"/>
      <w:bookmarkEnd w:id="52"/>
      <w:bookmarkEnd w:id="53"/>
    </w:p>
    <w:p>
      <w:pPr>
        <w:spacing w:line="360" w:lineRule="auto"/>
        <w:ind w:firstLine="210" w:firstLineChars="100"/>
        <w:rPr>
          <w:rFonts w:ascii="宋体" w:hAnsi="宋体" w:cs="宋体"/>
          <w:bCs/>
          <w:color w:val="auto"/>
          <w:szCs w:val="21"/>
          <w:highlight w:val="none"/>
        </w:rPr>
      </w:pPr>
      <w:r>
        <w:rPr>
          <w:rFonts w:hint="eastAsia" w:ascii="宋体" w:hAnsi="宋体" w:cs="宋体"/>
          <w:bCs/>
          <w:color w:val="auto"/>
          <w:szCs w:val="21"/>
          <w:highlight w:val="none"/>
        </w:rPr>
        <w:t>5.1合同价及调整</w:t>
      </w:r>
    </w:p>
    <w:p>
      <w:pPr>
        <w:spacing w:line="360" w:lineRule="auto"/>
        <w:ind w:firstLine="420" w:firstLineChars="200"/>
        <w:rPr>
          <w:rFonts w:ascii="宋体" w:hAnsi="宋体" w:cs="宋体"/>
          <w:b/>
          <w:color w:val="auto"/>
          <w:sz w:val="28"/>
          <w:szCs w:val="28"/>
          <w:highlight w:val="none"/>
        </w:rPr>
      </w:pPr>
      <w:r>
        <w:rPr>
          <w:rFonts w:hint="eastAsia" w:ascii="宋体" w:hAnsi="宋体" w:cs="宋体"/>
          <w:bCs/>
          <w:color w:val="auto"/>
          <w:szCs w:val="21"/>
          <w:highlight w:val="none"/>
        </w:rPr>
        <w:t>5.1.1 本合同价采用</w:t>
      </w:r>
      <w:r>
        <w:rPr>
          <w:rFonts w:hint="eastAsia" w:ascii="宋体" w:hAnsi="宋体" w:cs="宋体"/>
          <w:bCs/>
          <w:color w:val="auto"/>
          <w:szCs w:val="21"/>
          <w:highlight w:val="none"/>
          <w:u w:val="single"/>
        </w:rPr>
        <w:t xml:space="preserve"> 固定单价 </w:t>
      </w:r>
      <w:r>
        <w:rPr>
          <w:rFonts w:hint="eastAsia" w:ascii="宋体" w:hAnsi="宋体" w:cs="宋体"/>
          <w:bCs/>
          <w:color w:val="auto"/>
          <w:szCs w:val="21"/>
          <w:highlight w:val="none"/>
        </w:rPr>
        <w:t>方式确定，除下款规定可调外，施工图范围内造价由承包人一次性包干(施工图中不明确的，以双方确认的工程量清单为准)，施工完成后需满足发包人对于工程的使用要求。</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5.1.2 在合同期内发生下列4条情况，合同价格可以调整：</w:t>
      </w:r>
    </w:p>
    <w:p>
      <w:pPr>
        <w:spacing w:line="360" w:lineRule="auto"/>
        <w:ind w:firstLine="567" w:firstLineChars="270"/>
        <w:rPr>
          <w:rFonts w:ascii="宋体" w:hAnsi="宋体" w:cs="宋体"/>
          <w:bCs/>
          <w:color w:val="auto"/>
          <w:szCs w:val="21"/>
          <w:highlight w:val="none"/>
        </w:rPr>
      </w:pPr>
      <w:r>
        <w:rPr>
          <w:rFonts w:hint="eastAsia" w:ascii="宋体" w:hAnsi="宋体" w:cs="宋体"/>
          <w:bCs/>
          <w:color w:val="auto"/>
          <w:szCs w:val="21"/>
          <w:highlight w:val="none"/>
        </w:rPr>
        <w:t>（1）设计变更、现场签证及工程内容取消引起的工程项目；</w:t>
      </w:r>
    </w:p>
    <w:p>
      <w:pPr>
        <w:spacing w:line="360" w:lineRule="auto"/>
        <w:ind w:firstLine="567" w:firstLineChars="270"/>
        <w:rPr>
          <w:rFonts w:ascii="宋体" w:hAnsi="宋体" w:cs="宋体"/>
          <w:bCs/>
          <w:color w:val="auto"/>
          <w:szCs w:val="21"/>
          <w:highlight w:val="none"/>
        </w:rPr>
      </w:pPr>
      <w:r>
        <w:rPr>
          <w:rFonts w:hint="eastAsia" w:ascii="宋体" w:hAnsi="宋体" w:cs="宋体"/>
          <w:bCs/>
          <w:color w:val="auto"/>
          <w:szCs w:val="21"/>
          <w:highlight w:val="none"/>
        </w:rPr>
        <w:t>（2）暂定材料或暂估价调整方法；</w:t>
      </w:r>
    </w:p>
    <w:p>
      <w:pPr>
        <w:spacing w:line="360" w:lineRule="auto"/>
        <w:ind w:firstLine="567" w:firstLineChars="270"/>
        <w:rPr>
          <w:rFonts w:ascii="宋体" w:hAnsi="宋体" w:cs="宋体"/>
          <w:bCs/>
          <w:color w:val="auto"/>
          <w:szCs w:val="21"/>
          <w:highlight w:val="none"/>
        </w:rPr>
      </w:pPr>
      <w:r>
        <w:rPr>
          <w:rFonts w:hint="eastAsia" w:ascii="宋体" w:hAnsi="宋体" w:cs="宋体"/>
          <w:bCs/>
          <w:color w:val="auto"/>
          <w:szCs w:val="21"/>
          <w:highlight w:val="none"/>
        </w:rPr>
        <w:t>（3）措施费调整方法；</w:t>
      </w:r>
    </w:p>
    <w:p>
      <w:pPr>
        <w:spacing w:line="360" w:lineRule="auto"/>
        <w:ind w:firstLine="567" w:firstLineChars="270"/>
        <w:rPr>
          <w:rFonts w:ascii="宋体" w:hAnsi="宋体" w:cs="宋体"/>
          <w:bCs/>
          <w:color w:val="auto"/>
          <w:szCs w:val="21"/>
          <w:highlight w:val="none"/>
        </w:rPr>
      </w:pPr>
      <w:r>
        <w:rPr>
          <w:rFonts w:hint="eastAsia" w:ascii="宋体" w:hAnsi="宋体" w:cs="宋体"/>
          <w:bCs/>
          <w:color w:val="auto"/>
          <w:szCs w:val="21"/>
          <w:highlight w:val="none"/>
        </w:rPr>
        <w:t>（4）双方约定合同价的其他调整因素。</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5.1.3调整费用按以下方法确定：</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5.1.3.1设计变更、现场签证及工程内容取消引起的工程项目</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5.1.3.1.1设计变更、现场签证及工程内容取消引起的分部分项工程量清单项目工程数量的增减，除下列情况外执行合同原有的价格（合同原有的价格指承包人投标时的综合单价，下同）：</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合同金额占合同总价2%及以上的分部分项清单项目，其工程量增加或减少超过本项目工程数量15%及以上时，其增加部分工程量或减少后剩余部分工程量的相应单价应予调整。</w:t>
      </w:r>
    </w:p>
    <w:p>
      <w:pPr>
        <w:spacing w:line="360" w:lineRule="auto"/>
        <w:ind w:firstLine="840" w:firstLineChars="400"/>
        <w:rPr>
          <w:rFonts w:ascii="宋体" w:hAnsi="宋体" w:cs="宋体"/>
          <w:bCs/>
          <w:color w:val="auto"/>
          <w:szCs w:val="21"/>
          <w:highlight w:val="none"/>
        </w:rPr>
      </w:pPr>
      <w:r>
        <w:rPr>
          <w:rFonts w:hint="eastAsia" w:ascii="宋体" w:hAnsi="宋体" w:cs="宋体"/>
          <w:bCs/>
          <w:color w:val="auto"/>
          <w:szCs w:val="21"/>
          <w:highlight w:val="none"/>
        </w:rPr>
        <w:t>5.1.3.1.2设计变更及现场签证引起新的工程项目，其相应单价的确定方法为：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合同中有相同或类似工程项目单价的，按照合同中相同或类似项目的单价计算确定（合同中存在二个及以上类似工程项目且单价不同时，以其中价格最低的单价为准）；</w:t>
      </w:r>
    </w:p>
    <w:p>
      <w:pPr>
        <w:spacing w:line="360" w:lineRule="auto"/>
        <w:ind w:firstLine="424" w:firstLineChars="202"/>
        <w:rPr>
          <w:rFonts w:ascii="宋体" w:hAnsi="宋体" w:cs="宋体"/>
          <w:bCs/>
          <w:color w:val="auto"/>
          <w:szCs w:val="21"/>
          <w:highlight w:val="none"/>
        </w:rPr>
      </w:pPr>
      <w:r>
        <w:rPr>
          <w:rFonts w:hint="eastAsia" w:ascii="宋体" w:hAnsi="宋体" w:cs="宋体"/>
          <w:bCs/>
          <w:color w:val="auto"/>
          <w:szCs w:val="21"/>
          <w:highlight w:val="none"/>
        </w:rPr>
        <w:t>合同中既没有相同也没有类似工程项目单价的，由承包人根据变更资料、计量规则、计价办法、投标文件或施工合同价格单价分析表中的工料机单价和各项取费标准并按中标浮动率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计算，提出变更工程的单价，经发包人审定后执行，最终以发包人或其委托的造价咨询单位审定价格为准。</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合同中没有类似工程项目单价的，但又不能套用浙江省2018版工程预算定额确定综合单价的，则由承包人根据市场价格进行组价，并按中标浮动率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计算，将该组价上报，经发包人审定后作执行，最终以发包人或其委托的造价咨询单位审定价格为准。</w:t>
      </w:r>
    </w:p>
    <w:p>
      <w:pPr>
        <w:spacing w:line="360" w:lineRule="auto"/>
        <w:ind w:firstLine="850" w:firstLineChars="405"/>
        <w:rPr>
          <w:rFonts w:ascii="宋体" w:hAnsi="宋体" w:cs="宋体"/>
          <w:color w:val="auto"/>
          <w:szCs w:val="21"/>
          <w:highlight w:val="none"/>
        </w:rPr>
      </w:pPr>
      <w:r>
        <w:rPr>
          <w:rFonts w:hint="eastAsia" w:ascii="宋体" w:hAnsi="宋体" w:cs="宋体"/>
          <w:color w:val="auto"/>
          <w:szCs w:val="21"/>
          <w:highlight w:val="none"/>
        </w:rPr>
        <w:t>5.1.3.1.3本合同计价依据：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计价依据：《建设工程工程量清单计价规范》（GB50500-2013）、《房屋建筑与装饰工程工程量计算规范》（GB50854-2013）及浙江省有关补充规定、《浙江省房屋建筑与装饰工程预算定额》(2018版)、《浙江省建设工程计价规则》(2018版)。其中税金根据《关于增值税调整后我省建设工程计价依据增值税税率及有关计价调整的通知》（浙建建发〔2019〕92号）文件等有关造价管理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②人工按《宁波建设工程造价信息》综合版（</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月刊）中的价格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材料价格：按《宁波建设工程造价信息》综合版（</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月刊）的价格，缺项的材料单价参照同期《浙江造价信息》（</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月刊），无信息价材料参照市场价取定，上述材料价均为除税价。</w:t>
      </w:r>
    </w:p>
    <w:p>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③取费标准：（1）、企业管理费费率按</w:t>
      </w:r>
      <w:r>
        <w:rPr>
          <w:rFonts w:hint="eastAsia" w:ascii="宋体" w:hAnsi="宋体" w:cs="宋体"/>
          <w:color w:val="auto"/>
          <w:szCs w:val="21"/>
          <w:highlight w:val="none"/>
          <w:lang w:eastAsia="zh-CN"/>
        </w:rPr>
        <w:t>房屋建筑</w:t>
      </w:r>
      <w:r>
        <w:rPr>
          <w:rFonts w:hint="eastAsia" w:ascii="宋体" w:hAnsi="宋体" w:cs="宋体"/>
          <w:color w:val="auto"/>
          <w:szCs w:val="21"/>
          <w:highlight w:val="none"/>
        </w:rPr>
        <w:t>工程及安装专业弹性区间中值计取；利润费率按相应专业弹性区间中值计取。（2）、施工组织措施费按</w:t>
      </w:r>
      <w:r>
        <w:rPr>
          <w:rFonts w:hint="eastAsia" w:ascii="宋体" w:hAnsi="宋体" w:cs="宋体"/>
          <w:color w:val="auto"/>
          <w:szCs w:val="21"/>
          <w:highlight w:val="none"/>
          <w:lang w:eastAsia="zh-CN"/>
        </w:rPr>
        <w:t>房屋建筑装饰</w:t>
      </w:r>
      <w:r>
        <w:rPr>
          <w:rFonts w:hint="eastAsia" w:ascii="宋体" w:hAnsi="宋体" w:cs="宋体"/>
          <w:color w:val="auto"/>
          <w:szCs w:val="21"/>
          <w:highlight w:val="none"/>
        </w:rPr>
        <w:t>工程弹性区间费率中值计取，其中安全文明施工费按“市区一般工程”弹性区间费率中值计取，并按浙建建发【</w:t>
      </w:r>
      <w:r>
        <w:rPr>
          <w:rFonts w:hint="eastAsia" w:ascii="宋体" w:hAnsi="宋体" w:cs="宋体"/>
          <w:color w:val="auto"/>
          <w:szCs w:val="21"/>
          <w:highlight w:val="none"/>
          <w:lang w:eastAsia="zh-CN"/>
        </w:rPr>
        <w:t>2023</w:t>
      </w:r>
      <w:r>
        <w:rPr>
          <w:rFonts w:hint="eastAsia" w:ascii="宋体" w:hAnsi="宋体" w:cs="宋体"/>
          <w:color w:val="auto"/>
          <w:szCs w:val="21"/>
          <w:highlight w:val="none"/>
        </w:rPr>
        <w:t>】37号文件乘以系数1.15；计取二次搬运费、冬雨季施工增加费，不计取提前竣工增加费、标化工地增加费、行人行车干扰增加费。（3）、其他项目费：其中的总承包服务费、优质工程增加费不计。（4）、垂直运输机械保险增加费按甬建价[2019]12号规定计取。（5）、规费：按相应专业工程乘0.3系数计取。（6）、税金：《关于增值税调整后浙江省建设工程计价依据增值税税率及有关计价调整的通知》（浙建建发【2019】92号）文件规定按9%计取。</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color w:val="auto"/>
          <w:highlight w:val="none"/>
        </w:rPr>
        <w:t>④</w:t>
      </w:r>
      <w:r>
        <w:rPr>
          <w:rFonts w:hint="eastAsia" w:ascii="宋体" w:hAnsi="宋体" w:cs="宋体"/>
          <w:color w:val="auto"/>
          <w:szCs w:val="21"/>
          <w:highlight w:val="none"/>
        </w:rPr>
        <w:fldChar w:fldCharType="end"/>
      </w:r>
      <w:r>
        <w:rPr>
          <w:rFonts w:hint="eastAsia" w:ascii="宋体" w:hAnsi="宋体" w:cs="宋体"/>
          <w:bCs/>
          <w:color w:val="auto"/>
          <w:szCs w:val="21"/>
          <w:highlight w:val="none"/>
          <w:lang w:val="en-US" w:eastAsia="zh-CN"/>
        </w:rPr>
        <w:t>因学校教学特殊性需对施工场地进行全封闭围挡，另外场地狭小加工场地和人员住宿办公等场所由中标方自行考虑，且要满足校方要求，上述涉及的费用均包含在中标价中，不额外增加，。</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5.1.3.2暂定材料或暂估价调整方法</w:t>
      </w:r>
    </w:p>
    <w:p>
      <w:pPr>
        <w:spacing w:line="360" w:lineRule="auto"/>
        <w:ind w:firstLine="672" w:firstLineChars="320"/>
        <w:rPr>
          <w:rFonts w:ascii="宋体" w:hAnsi="宋体" w:cs="宋体"/>
          <w:color w:val="auto"/>
          <w:szCs w:val="21"/>
          <w:highlight w:val="none"/>
        </w:rPr>
      </w:pPr>
      <w:r>
        <w:rPr>
          <w:rFonts w:hint="eastAsia" w:ascii="宋体" w:hAnsi="宋体" w:cs="宋体"/>
          <w:color w:val="auto"/>
          <w:szCs w:val="21"/>
          <w:highlight w:val="none"/>
        </w:rPr>
        <w:t>5.1.3.2.1暂定材料、设备价格按发包人签证的价格结算，并下浮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。暂定材料设备价格结算时调整方法：每项暂定材料设备价格调整金额=[发包人签证的材料设备价格×（1-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）－暂定价]×单位定额用量×经发包人确认的工程量，并按规定计取相应税金。暂定材料、设备价格最终以发包人或其委托的造价咨询单位单位审定价格为准。</w:t>
      </w:r>
    </w:p>
    <w:p>
      <w:pPr>
        <w:spacing w:line="360" w:lineRule="auto"/>
        <w:ind w:firstLine="672" w:firstLineChars="320"/>
        <w:rPr>
          <w:rFonts w:ascii="宋体" w:hAnsi="宋体" w:cs="宋体"/>
          <w:color w:val="auto"/>
          <w:szCs w:val="21"/>
          <w:highlight w:val="none"/>
        </w:rPr>
      </w:pPr>
      <w:r>
        <w:rPr>
          <w:rFonts w:hint="eastAsia" w:ascii="宋体" w:hAnsi="宋体" w:cs="宋体"/>
          <w:color w:val="auto"/>
          <w:szCs w:val="21"/>
          <w:highlight w:val="none"/>
        </w:rPr>
        <w:t>5.1.3.2.2专业工程暂估价调整方法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按第5.1.3.1.2执行。</w:t>
      </w:r>
    </w:p>
    <w:p>
      <w:pPr>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5.1.3.3本项目的措施费按施工图（含工程量清单）范围中的内容一次性包干，因设计变更、现场签证等一切原因而引起的技术措施费按实调整，施工组织措施费一律不作调整。</w:t>
      </w:r>
    </w:p>
    <w:p>
      <w:pPr>
        <w:snapToGrid w:val="0"/>
        <w:spacing w:line="360" w:lineRule="auto"/>
        <w:ind w:firstLine="424" w:firstLineChars="202"/>
        <w:rPr>
          <w:color w:val="auto"/>
          <w:highlight w:val="none"/>
        </w:rPr>
      </w:pPr>
      <w:r>
        <w:rPr>
          <w:rFonts w:hint="eastAsia" w:ascii="宋体" w:hAnsi="宋体" w:cs="宋体"/>
          <w:color w:val="auto"/>
          <w:szCs w:val="21"/>
          <w:highlight w:val="none"/>
        </w:rPr>
        <w:t>5.1.3.4双方约定合同价的其他调整因素：属于不可抗力因素造成承包人的直接损失，按《建设工程施工合同（示范文本）》（GF-2017-0201）通用条款精神办理，发包人将根据实际情况给予一定的工期顺延，但费用不予补偿。但属应该预见而承包人没有及时预防或预防不力造成的损失，工期不得顺延，属施工技术组织措施失误造成的费用、工期损失由承包人承担。</w:t>
      </w:r>
    </w:p>
    <w:p>
      <w:pPr>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5.1.3.5通过采购方式确定的价格，经发包人确认后不下浮。</w:t>
      </w:r>
    </w:p>
    <w:p>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5.2工程款(进度款)支付</w:t>
      </w:r>
    </w:p>
    <w:p>
      <w:pPr>
        <w:snapToGrid w:val="0"/>
        <w:spacing w:line="360" w:lineRule="auto"/>
        <w:ind w:firstLine="426" w:firstLineChars="202"/>
        <w:rPr>
          <w:rFonts w:hint="eastAsia" w:ascii="宋体" w:hAnsi="宋体" w:cs="宋体"/>
          <w:b/>
          <w:color w:val="auto"/>
          <w:szCs w:val="21"/>
          <w:highlight w:val="none"/>
        </w:rPr>
      </w:pPr>
      <w:r>
        <w:rPr>
          <w:rFonts w:hint="eastAsia" w:ascii="宋体" w:hAnsi="宋体" w:cs="宋体"/>
          <w:b/>
          <w:color w:val="auto"/>
          <w:szCs w:val="21"/>
          <w:highlight w:val="none"/>
        </w:rPr>
        <w:t>1.合同签订生效，乙方开具发票后7个工作日内支付合同价款的40%作为预付款；</w:t>
      </w:r>
    </w:p>
    <w:p>
      <w:pPr>
        <w:snapToGrid w:val="0"/>
        <w:spacing w:line="360" w:lineRule="auto"/>
        <w:ind w:firstLine="426" w:firstLineChars="202"/>
        <w:rPr>
          <w:rFonts w:hint="eastAsia" w:ascii="宋体" w:hAnsi="宋体" w:cs="宋体"/>
          <w:b/>
          <w:color w:val="auto"/>
          <w:szCs w:val="21"/>
          <w:highlight w:val="none"/>
        </w:rPr>
      </w:pPr>
      <w:r>
        <w:rPr>
          <w:rFonts w:hint="eastAsia" w:ascii="宋体" w:hAnsi="宋体" w:cs="宋体"/>
          <w:b/>
          <w:color w:val="auto"/>
          <w:szCs w:val="21"/>
          <w:highlight w:val="none"/>
        </w:rPr>
        <w:t>2.工程竣工，验收合格，并在乙方开具发票后7个工作日内支付至合同总价的70%；</w:t>
      </w:r>
    </w:p>
    <w:p>
      <w:pPr>
        <w:snapToGrid w:val="0"/>
        <w:spacing w:line="360" w:lineRule="auto"/>
        <w:ind w:firstLine="426" w:firstLineChars="202"/>
        <w:rPr>
          <w:rFonts w:ascii="宋体" w:hAnsi="宋体" w:cs="宋体"/>
          <w:b/>
          <w:color w:val="auto"/>
          <w:szCs w:val="21"/>
          <w:highlight w:val="none"/>
        </w:rPr>
      </w:pPr>
      <w:r>
        <w:rPr>
          <w:rFonts w:hint="eastAsia" w:ascii="宋体" w:hAnsi="宋体" w:cs="宋体"/>
          <w:b/>
          <w:color w:val="auto"/>
          <w:szCs w:val="21"/>
          <w:highlight w:val="none"/>
        </w:rPr>
        <w:t>3.乙方提供结算资料，经第三方审核出具结算报告，并在乙方开具发票后7个工作日内支付至审定价的100%。</w:t>
      </w:r>
    </w:p>
    <w:p>
      <w:pPr>
        <w:tabs>
          <w:tab w:val="left" w:pos="709"/>
        </w:tabs>
        <w:snapToGrid w:val="0"/>
        <w:spacing w:line="360" w:lineRule="auto"/>
        <w:jc w:val="left"/>
        <w:rPr>
          <w:rFonts w:ascii="宋体" w:hAnsi="宋体" w:cs="宋体"/>
          <w:b/>
          <w:color w:val="auto"/>
          <w:szCs w:val="21"/>
          <w:highlight w:val="none"/>
        </w:rPr>
      </w:pPr>
      <w:bookmarkStart w:id="54" w:name="_Toc325468619"/>
      <w:bookmarkStart w:id="55" w:name="_Toc338685656"/>
      <w:bookmarkStart w:id="56" w:name="_Toc310260916"/>
      <w:r>
        <w:rPr>
          <w:rFonts w:hint="eastAsia" w:ascii="宋体" w:hAnsi="宋体" w:cs="宋体"/>
          <w:b/>
          <w:color w:val="auto"/>
          <w:szCs w:val="21"/>
          <w:highlight w:val="none"/>
        </w:rPr>
        <w:t>6.竣工验收与结算</w:t>
      </w:r>
      <w:bookmarkEnd w:id="54"/>
      <w:bookmarkEnd w:id="55"/>
      <w:bookmarkEnd w:id="56"/>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提供竣工资料的约定：工程具备竣工初验收条件时，承包人应向发包人提供完整的竣工资料3套，发包人在收到竣工验收报告并审核合格后10个日历天内组织有关单位进行竣工验收。承包人在工程竣工验收合格后30个日历天内，将真实完整的竣工结算资料（含电子光盘CAD竣工图）一式三份送交发包人。发包人或其委托的造价咨询单位对承包人递交的竣工结算资料进行结算审核。</w:t>
      </w:r>
    </w:p>
    <w:p>
      <w:pPr>
        <w:tabs>
          <w:tab w:val="left" w:pos="709"/>
        </w:tabs>
        <w:snapToGrid w:val="0"/>
        <w:spacing w:line="360" w:lineRule="auto"/>
        <w:jc w:val="left"/>
        <w:rPr>
          <w:rFonts w:ascii="宋体" w:hAnsi="宋体" w:cs="宋体"/>
          <w:b/>
          <w:color w:val="auto"/>
          <w:szCs w:val="21"/>
          <w:highlight w:val="none"/>
        </w:rPr>
      </w:pPr>
      <w:bookmarkStart w:id="57" w:name="_Toc325468620"/>
      <w:bookmarkStart w:id="58" w:name="_Toc338685657"/>
      <w:r>
        <w:rPr>
          <w:rFonts w:hint="eastAsia" w:ascii="宋体" w:hAnsi="宋体" w:cs="宋体"/>
          <w:b/>
          <w:color w:val="auto"/>
          <w:szCs w:val="21"/>
          <w:highlight w:val="none"/>
        </w:rPr>
        <w:t>7.工程质量保修范围和内容</w:t>
      </w:r>
      <w:bookmarkEnd w:id="57"/>
      <w:bookmarkEnd w:id="58"/>
    </w:p>
    <w:p>
      <w:pPr>
        <w:tabs>
          <w:tab w:val="left" w:pos="1418"/>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7.1承包人在质量保修期内,按照有关法律、法规、规章的管理规定和双方约定，承担本工程质量保修责任。质量保修期从工程竣工验收合格之日起计算。</w:t>
      </w:r>
    </w:p>
    <w:p>
      <w:pPr>
        <w:tabs>
          <w:tab w:val="left" w:pos="1418"/>
        </w:tabs>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7.2双方根据《建设工程质量管理条例》及有关规定，约定本工程的质量保修期如下：</w:t>
      </w:r>
    </w:p>
    <w:p>
      <w:pPr>
        <w:tabs>
          <w:tab w:val="left" w:pos="1418"/>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7.2.1屋面防水工程、有防水要求的卫生间、房间和外墙面的防渗漏，保修5年；</w:t>
      </w:r>
    </w:p>
    <w:p>
      <w:pPr>
        <w:tabs>
          <w:tab w:val="left" w:pos="1418"/>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7.2.2其它装修为2年，包括电气管线、给排水管道、设备安装工程等；</w:t>
      </w:r>
    </w:p>
    <w:p>
      <w:pPr>
        <w:tabs>
          <w:tab w:val="left" w:pos="1418"/>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7.2.3在保修期内的维修项目经维修后仍存在质量问题,其保修期限应从维修之日重新计算。</w:t>
      </w:r>
    </w:p>
    <w:p>
      <w:pPr>
        <w:tabs>
          <w:tab w:val="left" w:pos="1418"/>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7.2.4承包人应在接到发包人维修通知时起24小时内完成修理，逾期发包人可自行委托第三方维修，由此产生的一切费用由承包人承担。</w:t>
      </w:r>
    </w:p>
    <w:p>
      <w:pPr>
        <w:tabs>
          <w:tab w:val="left" w:pos="709"/>
        </w:tabs>
        <w:snapToGrid w:val="0"/>
        <w:spacing w:line="360" w:lineRule="auto"/>
        <w:jc w:val="left"/>
        <w:rPr>
          <w:rFonts w:ascii="宋体" w:hAnsi="宋体" w:cs="宋体"/>
          <w:b/>
          <w:bCs/>
          <w:color w:val="auto"/>
          <w:szCs w:val="21"/>
          <w:highlight w:val="none"/>
        </w:rPr>
      </w:pPr>
      <w:bookmarkStart w:id="59" w:name="_Toc310260918"/>
      <w:bookmarkStart w:id="60" w:name="_Toc325468621"/>
      <w:bookmarkStart w:id="61" w:name="_Toc338685658"/>
      <w:r>
        <w:rPr>
          <w:rFonts w:hint="eastAsia" w:ascii="宋体" w:hAnsi="宋体" w:cs="宋体"/>
          <w:b/>
          <w:bCs/>
          <w:color w:val="auto"/>
          <w:szCs w:val="21"/>
          <w:highlight w:val="none"/>
        </w:rPr>
        <w:t>8.其他</w:t>
      </w:r>
      <w:bookmarkEnd w:id="59"/>
      <w:bookmarkEnd w:id="60"/>
      <w:bookmarkEnd w:id="61"/>
    </w:p>
    <w:p>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8.1合同份数</w:t>
      </w:r>
    </w:p>
    <w:p>
      <w:pPr>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双方约定合同共</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份，其中发包人</w:t>
      </w:r>
      <w:r>
        <w:rPr>
          <w:rFonts w:hint="eastAsia" w:ascii="宋体" w:hAnsi="宋体" w:cs="宋体"/>
          <w:color w:val="auto"/>
          <w:szCs w:val="21"/>
          <w:highlight w:val="none"/>
          <w:u w:val="single"/>
        </w:rPr>
        <w:t xml:space="preserve">  4  </w:t>
      </w:r>
      <w:r>
        <w:rPr>
          <w:rFonts w:hint="eastAsia" w:ascii="宋体" w:hAnsi="宋体" w:cs="宋体"/>
          <w:color w:val="auto"/>
          <w:szCs w:val="21"/>
          <w:highlight w:val="none"/>
        </w:rPr>
        <w:t>份，承包人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份，经双方签章并签字之日起生效。</w:t>
      </w:r>
    </w:p>
    <w:p>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8.2争议双方约定，在履行合同过程中产生争议时：由双方当事人协商解决，协商解决不成的按第（1）种方式解决，不能解决的约定以第（2）种方式解决:</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（1）请上级主管部门调解；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（2）依法向项目工程所在地人民法院提起诉讼。</w:t>
      </w:r>
    </w:p>
    <w:p>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8.3补充条款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本合同施行监理制，未尽事宜由双方友好协商解决，签订本合同补充协议。</w:t>
      </w:r>
    </w:p>
    <w:p>
      <w:pPr>
        <w:snapToGrid w:val="0"/>
        <w:spacing w:line="360" w:lineRule="auto"/>
        <w:rPr>
          <w:rFonts w:ascii="宋体" w:hAnsi="宋体" w:cs="宋体"/>
          <w:color w:val="auto"/>
          <w:szCs w:val="21"/>
          <w:highlight w:val="none"/>
        </w:rPr>
      </w:pPr>
    </w:p>
    <w:tbl>
      <w:tblPr>
        <w:tblStyle w:val="51"/>
        <w:tblpPr w:leftFromText="180" w:rightFromText="180" w:vertAnchor="text" w:horzAnchor="margin" w:tblpX="-350" w:tblpY="370"/>
        <w:tblOverlap w:val="never"/>
        <w:tblW w:w="0" w:type="auto"/>
        <w:tblInd w:w="0" w:type="dxa"/>
        <w:tblLayout w:type="fixed"/>
        <w:tblCellMar>
          <w:top w:w="0" w:type="dxa"/>
          <w:left w:w="108" w:type="dxa"/>
          <w:bottom w:w="0" w:type="dxa"/>
          <w:right w:w="108" w:type="dxa"/>
        </w:tblCellMar>
      </w:tblPr>
      <w:tblGrid>
        <w:gridCol w:w="4911"/>
        <w:gridCol w:w="4560"/>
      </w:tblGrid>
      <w:tr>
        <w:tblPrEx>
          <w:tblCellMar>
            <w:top w:w="0" w:type="dxa"/>
            <w:left w:w="108" w:type="dxa"/>
            <w:bottom w:w="0" w:type="dxa"/>
            <w:right w:w="108" w:type="dxa"/>
          </w:tblCellMar>
        </w:tblPrEx>
        <w:trPr>
          <w:trHeight w:val="627" w:hRule="atLeast"/>
        </w:trPr>
        <w:tc>
          <w:tcPr>
            <w:tcW w:w="4911"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发包人（全称）：            （公章）</w:t>
            </w:r>
          </w:p>
        </w:tc>
        <w:tc>
          <w:tcPr>
            <w:tcW w:w="4560"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承包人（全称）：           （公章）</w:t>
            </w:r>
          </w:p>
        </w:tc>
      </w:tr>
      <w:tr>
        <w:tblPrEx>
          <w:tblCellMar>
            <w:top w:w="0" w:type="dxa"/>
            <w:left w:w="108" w:type="dxa"/>
            <w:bottom w:w="0" w:type="dxa"/>
            <w:right w:w="108" w:type="dxa"/>
          </w:tblCellMar>
        </w:tblPrEx>
        <w:trPr>
          <w:trHeight w:val="627" w:hRule="atLeast"/>
        </w:trPr>
        <w:tc>
          <w:tcPr>
            <w:tcW w:w="4911"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法定代表人或委托代表人：</w:t>
            </w:r>
          </w:p>
        </w:tc>
        <w:tc>
          <w:tcPr>
            <w:tcW w:w="4560"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法定代表人或委托代表人：</w:t>
            </w:r>
          </w:p>
        </w:tc>
      </w:tr>
      <w:tr>
        <w:tblPrEx>
          <w:tblCellMar>
            <w:top w:w="0" w:type="dxa"/>
            <w:left w:w="108" w:type="dxa"/>
            <w:bottom w:w="0" w:type="dxa"/>
            <w:right w:w="108" w:type="dxa"/>
          </w:tblCellMar>
        </w:tblPrEx>
        <w:trPr>
          <w:trHeight w:val="627" w:hRule="atLeast"/>
        </w:trPr>
        <w:tc>
          <w:tcPr>
            <w:tcW w:w="4911"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p>
        </w:tc>
        <w:tc>
          <w:tcPr>
            <w:tcW w:w="4560"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p>
        </w:tc>
      </w:tr>
      <w:tr>
        <w:tblPrEx>
          <w:tblCellMar>
            <w:top w:w="0" w:type="dxa"/>
            <w:left w:w="108" w:type="dxa"/>
            <w:bottom w:w="0" w:type="dxa"/>
            <w:right w:w="108" w:type="dxa"/>
          </w:tblCellMar>
        </w:tblPrEx>
        <w:trPr>
          <w:trHeight w:val="627" w:hRule="atLeast"/>
        </w:trPr>
        <w:tc>
          <w:tcPr>
            <w:tcW w:w="4911"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p>
        </w:tc>
        <w:tc>
          <w:tcPr>
            <w:tcW w:w="4560"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p>
        </w:tc>
      </w:tr>
      <w:tr>
        <w:tblPrEx>
          <w:tblCellMar>
            <w:top w:w="0" w:type="dxa"/>
            <w:left w:w="108" w:type="dxa"/>
            <w:bottom w:w="0" w:type="dxa"/>
            <w:right w:w="108" w:type="dxa"/>
          </w:tblCellMar>
        </w:tblPrEx>
        <w:trPr>
          <w:trHeight w:val="2337" w:hRule="atLeast"/>
        </w:trPr>
        <w:tc>
          <w:tcPr>
            <w:tcW w:w="4911"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p>
          <w:p>
            <w:pPr>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年   月   日</w:t>
            </w:r>
          </w:p>
        </w:tc>
        <w:tc>
          <w:tcPr>
            <w:tcW w:w="4560"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年   月   日</w:t>
            </w:r>
          </w:p>
        </w:tc>
      </w:tr>
    </w:tbl>
    <w:p>
      <w:pPr>
        <w:spacing w:line="360" w:lineRule="auto"/>
        <w:ind w:firstLine="422" w:firstLineChars="200"/>
        <w:rPr>
          <w:rFonts w:ascii="宋体" w:hAnsi="宋体" w:cs="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color w:val="auto"/>
          <w:szCs w:val="21"/>
          <w:highlight w:val="none"/>
        </w:rPr>
        <w:br w:type="page"/>
      </w:r>
      <w:bookmarkEnd w:id="45"/>
      <w:r>
        <w:rPr>
          <w:rFonts w:hint="eastAsia" w:ascii="宋体" w:hAnsi="宋体"/>
          <w:b/>
          <w:bCs/>
          <w:color w:val="auto"/>
          <w:szCs w:val="21"/>
          <w:highlight w:val="none"/>
        </w:rPr>
        <w:t>附件一</w:t>
      </w:r>
    </w:p>
    <w:p>
      <w:pPr>
        <w:snapToGrid w:val="0"/>
        <w:spacing w:line="360" w:lineRule="auto"/>
        <w:ind w:firstLine="562"/>
        <w:jc w:val="center"/>
        <w:rPr>
          <w:rFonts w:ascii="宋体" w:hAnsi="宋体"/>
          <w:b/>
          <w:color w:val="auto"/>
          <w:sz w:val="24"/>
          <w:szCs w:val="21"/>
          <w:highlight w:val="none"/>
        </w:rPr>
      </w:pPr>
      <w:r>
        <w:rPr>
          <w:rFonts w:hint="eastAsia" w:ascii="宋体" w:hAnsi="宋体"/>
          <w:b/>
          <w:color w:val="auto"/>
          <w:sz w:val="24"/>
          <w:szCs w:val="21"/>
          <w:highlight w:val="none"/>
        </w:rPr>
        <w:t>工程建设项目廉政合同</w:t>
      </w:r>
    </w:p>
    <w:p>
      <w:pPr>
        <w:snapToGrid w:val="0"/>
        <w:spacing w:line="360" w:lineRule="auto"/>
        <w:ind w:firstLine="420"/>
        <w:rPr>
          <w:rFonts w:ascii="宋体" w:hAnsi="宋体" w:cs="宋体"/>
          <w:color w:val="auto"/>
          <w:szCs w:val="21"/>
          <w:highlight w:val="none"/>
          <w:u w:val="words"/>
        </w:rPr>
      </w:pPr>
      <w:r>
        <w:rPr>
          <w:rFonts w:hint="eastAsia" w:ascii="宋体" w:hAnsi="宋体" w:cs="宋体"/>
          <w:color w:val="auto"/>
          <w:szCs w:val="21"/>
          <w:highlight w:val="none"/>
        </w:rPr>
        <w:t>为严格执行《</w:t>
      </w:r>
      <w:r>
        <w:rPr>
          <w:rFonts w:hint="eastAsia" w:ascii="宋体" w:hAnsi="宋体"/>
          <w:color w:val="auto"/>
          <w:szCs w:val="21"/>
          <w:highlight w:val="none"/>
        </w:rPr>
        <w:t>中华人民共和国</w:t>
      </w:r>
      <w:r>
        <w:rPr>
          <w:rFonts w:hint="eastAsia" w:ascii="宋体" w:hAnsi="宋体" w:cs="宋体"/>
          <w:color w:val="auto"/>
          <w:szCs w:val="21"/>
          <w:highlight w:val="none"/>
        </w:rPr>
        <w:t>建筑法》《</w:t>
      </w:r>
      <w:r>
        <w:rPr>
          <w:rFonts w:hint="eastAsia" w:ascii="宋体" w:hAnsi="宋体"/>
          <w:color w:val="auto"/>
          <w:szCs w:val="21"/>
          <w:highlight w:val="none"/>
        </w:rPr>
        <w:t>中华人民共和国</w:t>
      </w:r>
      <w:r>
        <w:rPr>
          <w:rFonts w:hint="eastAsia" w:ascii="宋体" w:hAnsi="宋体" w:cs="宋体"/>
          <w:color w:val="auto"/>
          <w:szCs w:val="21"/>
          <w:highlight w:val="none"/>
        </w:rPr>
        <w:t>政府采购法》《</w:t>
      </w:r>
      <w:r>
        <w:rPr>
          <w:rFonts w:hint="eastAsia" w:ascii="宋体" w:hAnsi="宋体"/>
          <w:color w:val="auto"/>
          <w:szCs w:val="21"/>
          <w:highlight w:val="none"/>
        </w:rPr>
        <w:t>中华人民共和国</w:t>
      </w:r>
      <w:r>
        <w:rPr>
          <w:rFonts w:hint="eastAsia" w:ascii="宋体" w:hAnsi="宋体" w:cs="宋体"/>
          <w:color w:val="auto"/>
          <w:szCs w:val="21"/>
          <w:highlight w:val="none"/>
        </w:rPr>
        <w:t>反不正当竞争法》以及有关工程建设、廉政建设的规定，做好工程建设中的党风廉政建设，保证工程建设高效优质，保证建设资金的安全和有效使用以及投资效益，</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的发包人</w:t>
      </w:r>
      <w:r>
        <w:rPr>
          <w:rFonts w:hint="eastAsia" w:ascii="宋体" w:hAnsi="宋体" w:cs="宋体"/>
          <w:color w:val="auto"/>
          <w:szCs w:val="21"/>
          <w:highlight w:val="none"/>
          <w:u w:val="single"/>
        </w:rPr>
        <w:t xml:space="preserve">               （以下简称甲方）</w:t>
      </w:r>
      <w:r>
        <w:rPr>
          <w:rFonts w:hint="eastAsia" w:ascii="宋体" w:hAnsi="宋体" w:cs="宋体"/>
          <w:color w:val="auto"/>
          <w:szCs w:val="21"/>
          <w:highlight w:val="none"/>
        </w:rPr>
        <w:t>与施工单位</w:t>
      </w:r>
      <w:r>
        <w:rPr>
          <w:rFonts w:hint="eastAsia" w:ascii="宋体" w:hAnsi="宋体" w:cs="宋体"/>
          <w:color w:val="auto"/>
          <w:szCs w:val="21"/>
          <w:highlight w:val="none"/>
          <w:u w:val="single"/>
        </w:rPr>
        <w:t xml:space="preserve">       （以下简称乙方）</w:t>
      </w:r>
      <w:r>
        <w:rPr>
          <w:rFonts w:hint="eastAsia" w:ascii="宋体" w:hAnsi="宋体" w:cs="宋体"/>
          <w:color w:val="auto"/>
          <w:szCs w:val="21"/>
          <w:highlight w:val="none"/>
        </w:rPr>
        <w:t>，特订立如下合同。</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第一条  甲乙双方的权利和义务</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（一）严格遵守党和国家有关法律法规及住建部的有关廉政规定。</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（二）双方的业务活动坚持公开、公平、公正、诚信、透明的原则（除法律认定的商业秘密和合同文件另有规定之外），不得损害国家和集体利益，不得违反工程建设管理规章制度。</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（三）建立健全廉政制度，开展廉政教育，设立廉政告示牌，公布举报电话，监督并认真查处违法违纪行为。</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（四）发现对方在业务活动中有违反廉政规定的行为，有及时提醒对方纠正的权利和义务。</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（五）发现对方严重违反本合同义务条款的行为，有向其上级有关部门举报、建议给予处理并要求告知处理结果的权利。</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第二条  甲方的义务</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甲方及其工作人员不得索要或接受乙方的礼金、礼券、有价证券和物品，不得在乙方报销任何应由甲方或个人支付的费用等。（二）甲方工作人员不得参加乙方安排的宴请和娱乐活动；不得接受乙方提供的通讯工具、交通工具和高档办公用品等。（三）甲方及其工作人员不得要求或者接受乙方为其住房装修、操办婚丧嫁娶、安排配偶子女的工作以及出国出境、旅游等。（四）甲方工作人员的配偶、子女及下属单位不得从事与甲方工程有关的材料设备供应、工程分包、劳务等经济活动。（五）甲方及其工作人员不得经任何理由向乙方推荐分包单位，不得要求乙方购买合同规定外的材料和设备。</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第三条  乙方义务</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（一）乙方不得以任何理由向甲方及其工作人员行贿或馈赠礼金、有价证券、贵重礼品。</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（二）乙方不得以任何名义为甲方及其工作人员报销应由甲方单位或个人支付的任何费用。</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（三）乙方不得以任何理由安排甲方工作人员参加宴请及娱乐活动。</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（四）乙方不得为甲方单位和个人购置或提供通讯工具、交通工具和高档办公用品等。</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第四条  违约责任</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（一）甲方及其工作人员违反本合同第一、二条，按管理权限，依据有关规定给予党纪、政纪或组织处理；涉嫌犯罪的，移送司法机关追究刑事责任；给乙方单位造成经济损失的，应予以赔偿。</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乙方及其工作人员违反本合同第一、三条，按管理权限，依据有关规定，给予党纪、政纪或组织处理；给甲方单位造成经济损失的，应予以赔偿；情节严重的，甲方建议有关工程建设主管制部门对乙方予以处罚。</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第五条  双方约定</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本合同由双方上级单位的纪检监察机关负责监督执行。由甲方或甲方上级单位的纪检监察机关约请乙方或乙方上级部门的纪检监察机关对本合同执行情况进行检查，提出在本合同规定范围内的裁定意见。</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第六条  本合同有效期为甲乙双方签署之日起至该工程项目工程款支付完结时止。</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第七条  本合同共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份，经合同双方签署立即生效。</w:t>
      </w:r>
    </w:p>
    <w:p>
      <w:pPr>
        <w:spacing w:line="360" w:lineRule="auto"/>
        <w:ind w:firstLine="440"/>
        <w:rPr>
          <w:rFonts w:ascii="宋体" w:hAnsi="宋体" w:cs="宋体"/>
          <w:color w:val="auto"/>
          <w:szCs w:val="21"/>
          <w:highlight w:val="none"/>
        </w:rPr>
      </w:pPr>
    </w:p>
    <w:p>
      <w:pPr>
        <w:pStyle w:val="430"/>
        <w:tabs>
          <w:tab w:val="left" w:pos="0"/>
        </w:tabs>
        <w:autoSpaceDE/>
        <w:autoSpaceDN/>
        <w:snapToGrid w:val="0"/>
        <w:spacing w:before="0" w:after="0" w:line="360" w:lineRule="auto"/>
        <w:ind w:left="0" w:right="0"/>
        <w:rPr>
          <w:rFonts w:ascii="宋体" w:hAnsi="宋体" w:cs="宋体"/>
          <w:color w:val="auto"/>
          <w:sz w:val="21"/>
          <w:szCs w:val="21"/>
          <w:highlight w:val="none"/>
        </w:rPr>
      </w:pPr>
    </w:p>
    <w:p>
      <w:pPr>
        <w:pStyle w:val="430"/>
        <w:tabs>
          <w:tab w:val="left" w:pos="0"/>
        </w:tabs>
        <w:autoSpaceDE/>
        <w:autoSpaceDN/>
        <w:snapToGrid w:val="0"/>
        <w:spacing w:before="0" w:after="0" w:line="360" w:lineRule="auto"/>
        <w:ind w:left="0" w:right="0"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发包人：（盖章）                       承包人：（盖章）</w:t>
      </w:r>
    </w:p>
    <w:p>
      <w:pPr>
        <w:pStyle w:val="430"/>
        <w:tabs>
          <w:tab w:val="left" w:pos="0"/>
        </w:tabs>
        <w:autoSpaceDE/>
        <w:autoSpaceDN/>
        <w:snapToGrid w:val="0"/>
        <w:spacing w:before="0" w:after="0" w:line="360" w:lineRule="auto"/>
        <w:ind w:left="0" w:right="0"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法定代表人（或委托代理人）：           法定代表人（或委托代理人）：</w:t>
      </w:r>
    </w:p>
    <w:p>
      <w:pPr>
        <w:pStyle w:val="430"/>
        <w:tabs>
          <w:tab w:val="left" w:pos="0"/>
        </w:tabs>
        <w:autoSpaceDE/>
        <w:autoSpaceDN/>
        <w:snapToGrid w:val="0"/>
        <w:spacing w:before="0" w:after="0" w:line="360" w:lineRule="auto"/>
        <w:ind w:left="0" w:right="0"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（签字）                              （签字）</w:t>
      </w:r>
    </w:p>
    <w:p>
      <w:pPr>
        <w:pStyle w:val="430"/>
        <w:tabs>
          <w:tab w:val="left" w:pos="0"/>
        </w:tabs>
        <w:autoSpaceDE/>
        <w:autoSpaceDN/>
        <w:snapToGrid w:val="0"/>
        <w:spacing w:before="0" w:after="0" w:line="360" w:lineRule="auto"/>
        <w:ind w:left="0" w:right="0"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联系电话：                             联系电话：</w:t>
      </w:r>
    </w:p>
    <w:p>
      <w:pPr>
        <w:spacing w:line="360" w:lineRule="auto"/>
        <w:ind w:firstLine="2310" w:firstLineChars="1100"/>
        <w:rPr>
          <w:rFonts w:ascii="宋体" w:hAnsi="宋体" w:cs="宋体"/>
          <w:bCs/>
          <w:color w:val="auto"/>
          <w:szCs w:val="21"/>
          <w:highlight w:val="none"/>
        </w:rPr>
      </w:pPr>
      <w:r>
        <w:rPr>
          <w:rFonts w:hint="eastAsia" w:ascii="宋体" w:hAnsi="宋体" w:cs="宋体"/>
          <w:color w:val="auto"/>
          <w:szCs w:val="21"/>
          <w:highlight w:val="none"/>
        </w:rPr>
        <w:t>年  月  日                       年  月  日</w:t>
      </w:r>
    </w:p>
    <w:p>
      <w:pPr>
        <w:spacing w:line="360" w:lineRule="auto"/>
        <w:ind w:firstLine="420"/>
        <w:rPr>
          <w:rFonts w:ascii="宋体" w:hAnsi="宋体" w:cs="宋体"/>
          <w:bCs/>
          <w:color w:val="auto"/>
          <w:szCs w:val="21"/>
          <w:highlight w:val="none"/>
        </w:rPr>
      </w:pPr>
    </w:p>
    <w:p>
      <w:pPr>
        <w:spacing w:line="360" w:lineRule="auto"/>
        <w:ind w:firstLine="440"/>
        <w:rPr>
          <w:rFonts w:ascii="宋体" w:hAnsi="宋体" w:cs="宋体"/>
          <w:color w:val="auto"/>
          <w:szCs w:val="21"/>
          <w:highlight w:val="none"/>
        </w:rPr>
      </w:pPr>
      <w:r>
        <w:rPr>
          <w:rFonts w:hint="eastAsia" w:ascii="宋体" w:hAnsi="宋体" w:cs="宋体"/>
          <w:bCs/>
          <w:color w:val="auto"/>
          <w:szCs w:val="21"/>
          <w:highlight w:val="none"/>
        </w:rPr>
        <w:br w:type="page"/>
      </w:r>
      <w:r>
        <w:rPr>
          <w:rFonts w:hint="eastAsia" w:ascii="宋体" w:hAnsi="宋体"/>
          <w:b/>
          <w:color w:val="auto"/>
          <w:szCs w:val="21"/>
          <w:highlight w:val="none"/>
        </w:rPr>
        <w:t>附件二</w:t>
      </w:r>
    </w:p>
    <w:p>
      <w:pPr>
        <w:spacing w:line="380" w:lineRule="exact"/>
        <w:jc w:val="center"/>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建设工程质量保修书</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签订工程质量保修书。</w:t>
      </w:r>
      <w:r>
        <w:rPr>
          <w:rFonts w:hint="eastAsia" w:ascii="宋体" w:hAnsi="宋体"/>
          <w:color w:val="auto"/>
          <w:szCs w:val="21"/>
          <w:highlight w:val="none"/>
        </w:rPr>
        <w:t>本质量保修书与合同前述保修条款不一致的以本保修书约定内容为准。</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一、工程质量保修范围和内容</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pPr>
        <w:pStyle w:val="428"/>
        <w:widowControl/>
        <w:snapToGrid w:val="0"/>
        <w:spacing w:line="360" w:lineRule="auto"/>
        <w:rPr>
          <w:color w:val="auto"/>
          <w:sz w:val="21"/>
          <w:szCs w:val="21"/>
          <w:highlight w:val="none"/>
          <w:u w:val="single"/>
        </w:rPr>
      </w:pPr>
      <w:r>
        <w:rPr>
          <w:rFonts w:hint="eastAsia" w:cs="宋体"/>
          <w:bCs/>
          <w:color w:val="auto"/>
          <w:sz w:val="21"/>
          <w:szCs w:val="21"/>
          <w:highlight w:val="none"/>
        </w:rPr>
        <w:t>质量保修范围包括</w:t>
      </w:r>
      <w:r>
        <w:rPr>
          <w:rFonts w:hint="eastAsia" w:cs="宋体"/>
          <w:color w:val="auto"/>
          <w:sz w:val="21"/>
          <w:szCs w:val="21"/>
          <w:highlight w:val="none"/>
          <w:u w:val="single"/>
        </w:rPr>
        <w:t xml:space="preserve">   全部工程施工内容  </w:t>
      </w:r>
      <w:r>
        <w:rPr>
          <w:rFonts w:hint="eastAsia" w:cs="宋体"/>
          <w:color w:val="auto"/>
          <w:sz w:val="21"/>
          <w:szCs w:val="21"/>
          <w:highlight w:val="none"/>
        </w:rPr>
        <w:t>。</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二、质量保修期</w:t>
      </w:r>
    </w:p>
    <w:p>
      <w:pPr>
        <w:tabs>
          <w:tab w:val="left" w:pos="1418"/>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tabs>
          <w:tab w:val="left" w:pos="1418"/>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保修期限约定如下：</w:t>
      </w:r>
    </w:p>
    <w:p>
      <w:pPr>
        <w:tabs>
          <w:tab w:val="left" w:pos="1418"/>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屋面防水工程、有防水要求的卫生间、房间和外墙面的防渗漏，保修5年；</w:t>
      </w:r>
    </w:p>
    <w:p>
      <w:pPr>
        <w:tabs>
          <w:tab w:val="left" w:pos="1418"/>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其它装修为2年，包括电气管线、给排水管道、设备安装工程等；</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质量保修期自工程竣工验收合格之日起计算。</w:t>
      </w:r>
    </w:p>
    <w:p>
      <w:pPr>
        <w:tabs>
          <w:tab w:val="left" w:pos="1418"/>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在保修期内的维修项目经维修后仍存在质量问题,其保修期限应从维修之日重新计算。</w:t>
      </w:r>
    </w:p>
    <w:p>
      <w:pPr>
        <w:tabs>
          <w:tab w:val="left" w:pos="1418"/>
        </w:tabs>
        <w:snapToGrid w:val="0"/>
        <w:spacing w:line="360" w:lineRule="auto"/>
        <w:ind w:firstLine="420" w:firstLineChars="200"/>
        <w:rPr>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承包人应在接到发包人维修通知时起24小时内完成修理，逾期发包人可自行委托第三方维修，由此产生的一切费用由承包人承担。</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三、缺陷责任期</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个月，缺陷责任期自</w:t>
      </w:r>
      <w:r>
        <w:rPr>
          <w:rFonts w:hint="eastAsia" w:ascii="宋体" w:hAnsi="宋体"/>
          <w:color w:val="auto"/>
          <w:szCs w:val="21"/>
          <w:highlight w:val="none"/>
        </w:rPr>
        <w:t>工程通过竣工验收之日</w:t>
      </w:r>
      <w:r>
        <w:rPr>
          <w:rFonts w:hint="eastAsia" w:ascii="宋体" w:hAnsi="宋体" w:cs="宋体"/>
          <w:color w:val="auto"/>
          <w:szCs w:val="21"/>
          <w:highlight w:val="none"/>
        </w:rPr>
        <w:t>起计算。单位工程先于全部工程进行验收，单位工程缺陷责任期自单位工程验收合格之日起算。</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四、质量保修责任</w:t>
      </w:r>
    </w:p>
    <w:p>
      <w:pPr>
        <w:pStyle w:val="430"/>
        <w:tabs>
          <w:tab w:val="left" w:pos="0"/>
          <w:tab w:val="left" w:pos="8568"/>
        </w:tabs>
        <w:snapToGrid w:val="0"/>
        <w:spacing w:before="0" w:after="0" w:line="360" w:lineRule="auto"/>
        <w:ind w:left="0" w:right="0" w:firstLine="420" w:firstLineChars="200"/>
        <w:jc w:val="both"/>
        <w:rPr>
          <w:rFonts w:ascii="宋体" w:hAnsi="宋体" w:cs="宋体"/>
          <w:bCs/>
          <w:color w:val="auto"/>
          <w:sz w:val="21"/>
          <w:szCs w:val="21"/>
          <w:highlight w:val="none"/>
        </w:rPr>
      </w:pPr>
      <w:r>
        <w:rPr>
          <w:rFonts w:hint="eastAsia" w:ascii="宋体" w:hAnsi="宋体" w:cs="宋体"/>
          <w:color w:val="auto"/>
          <w:sz w:val="21"/>
          <w:szCs w:val="21"/>
          <w:highlight w:val="none"/>
        </w:rPr>
        <w:t>1、</w:t>
      </w:r>
      <w:r>
        <w:rPr>
          <w:rFonts w:hint="eastAsia" w:ascii="宋体" w:hAnsi="宋体" w:cs="宋体"/>
          <w:bCs/>
          <w:color w:val="auto"/>
          <w:sz w:val="21"/>
          <w:szCs w:val="21"/>
          <w:highlight w:val="none"/>
        </w:rPr>
        <w:t>在质保期内，若出现工程质量问题，承包人应在接到发包人书面通知三日内及时进场维修，未能在三日内进场维修或无能力维修的，发包人有权可以委托他人按照本合同约定的要求进行缺陷修复，所发生的相关费用，发包人有权向承包人索赔。在质保期外，承包人仍应及时提供技术服务，由此产生的费用承包人与发包人协商。</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2、发生紧急抢修事故的，承包人在接到事故通知后，应当立即到达事故现场抢修。</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对于涉及结构安全的质量问题，发包人应当按照《房屋建筑工程质量保修办法》的规定，立即向当地建设行政主管部门报告，采取安全防范措施；由原设计单位或者具有相应资质等级的设计单位提出保修方案，承包人实施保修。</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五、保修费用</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本工程质量保证担保额度暂定为合同价（已完成竣工结算的，为结算价款）的</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六、双方约定的其他工程质量保修事项：</w:t>
      </w:r>
    </w:p>
    <w:p>
      <w:pPr>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建设工程在保修范围内和保修期限内发生质量问题，承包人应履行保修义务，并对造成的损失承担赔偿责任。</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pStyle w:val="22"/>
        <w:snapToGrid w:val="0"/>
        <w:spacing w:after="0" w:line="360" w:lineRule="auto"/>
        <w:ind w:left="560" w:hanging="560"/>
        <w:rPr>
          <w:rFonts w:ascii="宋体" w:hAnsi="宋体"/>
          <w:color w:val="auto"/>
          <w:sz w:val="21"/>
          <w:szCs w:val="21"/>
          <w:highlight w:val="none"/>
        </w:rPr>
      </w:pPr>
    </w:p>
    <w:p>
      <w:pPr>
        <w:pStyle w:val="22"/>
        <w:snapToGrid w:val="0"/>
        <w:spacing w:after="0" w:line="360" w:lineRule="auto"/>
        <w:ind w:left="560" w:hanging="560"/>
        <w:rPr>
          <w:rFonts w:ascii="宋体" w:hAnsi="宋体"/>
          <w:color w:val="auto"/>
          <w:sz w:val="21"/>
          <w:szCs w:val="21"/>
          <w:highlight w:val="none"/>
        </w:rPr>
      </w:pPr>
    </w:p>
    <w:p>
      <w:pPr>
        <w:pStyle w:val="430"/>
        <w:tabs>
          <w:tab w:val="left" w:pos="0"/>
        </w:tabs>
        <w:autoSpaceDE/>
        <w:autoSpaceDN/>
        <w:snapToGrid w:val="0"/>
        <w:spacing w:before="0" w:after="0" w:line="360" w:lineRule="auto"/>
        <w:ind w:left="0" w:right="0"/>
        <w:jc w:val="both"/>
        <w:rPr>
          <w:rFonts w:ascii="宋体" w:hAnsi="宋体" w:cs="宋体"/>
          <w:color w:val="auto"/>
          <w:sz w:val="21"/>
          <w:szCs w:val="21"/>
          <w:highlight w:val="none"/>
        </w:rPr>
      </w:pPr>
      <w:r>
        <w:rPr>
          <w:rFonts w:hint="eastAsia" w:ascii="宋体" w:hAnsi="宋体" w:cs="宋体"/>
          <w:color w:val="auto"/>
          <w:sz w:val="21"/>
          <w:szCs w:val="21"/>
          <w:highlight w:val="none"/>
        </w:rPr>
        <w:t>发包人：（盖章）                            承包人：（盖章）</w:t>
      </w:r>
    </w:p>
    <w:p>
      <w:pPr>
        <w:pStyle w:val="430"/>
        <w:tabs>
          <w:tab w:val="left" w:pos="0"/>
        </w:tabs>
        <w:autoSpaceDE/>
        <w:autoSpaceDN/>
        <w:snapToGrid w:val="0"/>
        <w:spacing w:before="0" w:after="0" w:line="360" w:lineRule="auto"/>
        <w:ind w:left="0" w:right="0"/>
        <w:jc w:val="both"/>
        <w:rPr>
          <w:rFonts w:ascii="宋体" w:hAnsi="宋体" w:cs="宋体"/>
          <w:color w:val="auto"/>
          <w:sz w:val="21"/>
          <w:szCs w:val="21"/>
          <w:highlight w:val="none"/>
        </w:rPr>
      </w:pPr>
      <w:r>
        <w:rPr>
          <w:rFonts w:hint="eastAsia" w:ascii="宋体" w:hAnsi="宋体" w:cs="宋体"/>
          <w:color w:val="auto"/>
          <w:sz w:val="21"/>
          <w:szCs w:val="21"/>
          <w:highlight w:val="none"/>
        </w:rPr>
        <w:t>法定代表人（或委托代理人）：                法定代表人（或委托代理人）：</w:t>
      </w:r>
    </w:p>
    <w:p>
      <w:pPr>
        <w:pStyle w:val="430"/>
        <w:tabs>
          <w:tab w:val="left" w:pos="0"/>
        </w:tabs>
        <w:autoSpaceDE/>
        <w:autoSpaceDN/>
        <w:snapToGrid w:val="0"/>
        <w:spacing w:before="0" w:after="0" w:line="360" w:lineRule="auto"/>
        <w:ind w:left="0" w:right="0"/>
        <w:jc w:val="both"/>
        <w:rPr>
          <w:rFonts w:ascii="宋体" w:hAnsi="宋体"/>
          <w:color w:val="auto"/>
          <w:sz w:val="21"/>
          <w:szCs w:val="21"/>
          <w:highlight w:val="none"/>
        </w:rPr>
      </w:pPr>
      <w:r>
        <w:rPr>
          <w:rFonts w:hint="eastAsia" w:ascii="宋体" w:hAnsi="宋体" w:cs="宋体"/>
          <w:color w:val="auto"/>
          <w:sz w:val="21"/>
          <w:szCs w:val="21"/>
          <w:highlight w:val="none"/>
        </w:rPr>
        <w:t>（签字或盖章）                             （签字或盖章）</w:t>
      </w:r>
    </w:p>
    <w:p>
      <w:pPr>
        <w:spacing w:line="360" w:lineRule="auto"/>
        <w:ind w:firstLine="1680" w:firstLineChars="800"/>
        <w:rPr>
          <w:rFonts w:ascii="宋体" w:hAnsi="宋体"/>
          <w:color w:val="auto"/>
          <w:szCs w:val="21"/>
          <w:highlight w:val="none"/>
        </w:rPr>
      </w:pPr>
      <w:r>
        <w:rPr>
          <w:rFonts w:hint="eastAsia" w:ascii="宋体" w:hAnsi="宋体" w:cs="宋体"/>
          <w:color w:val="auto"/>
          <w:szCs w:val="21"/>
          <w:highlight w:val="none"/>
        </w:rPr>
        <w:t>年  月  日                                年  月  日</w:t>
      </w:r>
    </w:p>
    <w:p>
      <w:pPr>
        <w:spacing w:line="360" w:lineRule="auto"/>
        <w:ind w:firstLine="422"/>
        <w:rPr>
          <w:rFonts w:ascii="宋体" w:hAnsi="宋体" w:cs="Arial"/>
          <w:color w:val="auto"/>
          <w:szCs w:val="21"/>
          <w:highlight w:val="none"/>
        </w:rPr>
      </w:pPr>
      <w:r>
        <w:rPr>
          <w:rFonts w:ascii="宋体" w:hAnsi="宋体"/>
          <w:b/>
          <w:color w:val="auto"/>
          <w:szCs w:val="21"/>
          <w:highlight w:val="none"/>
        </w:rPr>
        <w:br w:type="page"/>
      </w:r>
    </w:p>
    <w:p>
      <w:pPr>
        <w:spacing w:line="360" w:lineRule="auto"/>
        <w:ind w:firstLine="422"/>
        <w:rPr>
          <w:rFonts w:ascii="宋体" w:hAnsi="宋体"/>
          <w:b/>
          <w:bCs/>
          <w:color w:val="auto"/>
          <w:szCs w:val="21"/>
          <w:highlight w:val="none"/>
        </w:rPr>
      </w:pPr>
      <w:r>
        <w:rPr>
          <w:rFonts w:hint="eastAsia" w:ascii="宋体" w:hAnsi="宋体"/>
          <w:b/>
          <w:bCs/>
          <w:color w:val="auto"/>
          <w:szCs w:val="21"/>
          <w:highlight w:val="none"/>
        </w:rPr>
        <w:t>附件三</w:t>
      </w:r>
    </w:p>
    <w:p>
      <w:pPr>
        <w:spacing w:line="380" w:lineRule="exact"/>
        <w:jc w:val="center"/>
        <w:rPr>
          <w:rFonts w:ascii="宋体" w:hAnsi="宋体" w:cs="宋体"/>
          <w:b/>
          <w:color w:val="auto"/>
          <w:sz w:val="24"/>
          <w:szCs w:val="32"/>
          <w:highlight w:val="none"/>
        </w:rPr>
      </w:pPr>
      <w:r>
        <w:rPr>
          <w:rFonts w:hint="eastAsia" w:ascii="宋体" w:hAnsi="宋体" w:cs="宋体"/>
          <w:b/>
          <w:color w:val="auto"/>
          <w:kern w:val="0"/>
          <w:sz w:val="24"/>
          <w:szCs w:val="32"/>
          <w:highlight w:val="none"/>
        </w:rPr>
        <w:t>安全生产合同</w:t>
      </w:r>
    </w:p>
    <w:p>
      <w:pPr>
        <w:pStyle w:val="28"/>
        <w:spacing w:beforeLines="0" w:afterLines="0" w:line="440" w:lineRule="exact"/>
        <w:ind w:firstLine="420" w:firstLineChars="200"/>
        <w:rPr>
          <w:rFonts w:hAnsi="宋体" w:cs="宋体"/>
          <w:b/>
          <w:color w:val="auto"/>
          <w:sz w:val="21"/>
          <w:szCs w:val="21"/>
          <w:highlight w:val="none"/>
        </w:rPr>
      </w:pPr>
      <w:r>
        <w:rPr>
          <w:rFonts w:hint="eastAsia" w:hAnsi="宋体" w:cs="宋体"/>
          <w:color w:val="auto"/>
          <w:sz w:val="21"/>
          <w:szCs w:val="21"/>
          <w:highlight w:val="none"/>
        </w:rPr>
        <w:t>为在</w:t>
      </w:r>
      <w:r>
        <w:rPr>
          <w:rFonts w:hint="eastAsia" w:hAnsi="宋体" w:cs="宋体"/>
          <w:b/>
          <w:color w:val="auto"/>
          <w:sz w:val="21"/>
          <w:szCs w:val="21"/>
          <w:highlight w:val="none"/>
          <w:u w:val="single"/>
        </w:rPr>
        <w:t xml:space="preserve">             </w:t>
      </w:r>
      <w:r>
        <w:rPr>
          <w:rFonts w:hint="eastAsia" w:hAnsi="宋体" w:cs="宋体"/>
          <w:color w:val="auto"/>
          <w:sz w:val="21"/>
          <w:szCs w:val="21"/>
          <w:highlight w:val="none"/>
        </w:rPr>
        <w:t>施工合同的实施过程中创造安全、高效的施工环境，切实搞好本项目的安全管理工作，本项目业主</w:t>
      </w:r>
      <w:r>
        <w:rPr>
          <w:rFonts w:hint="eastAsia" w:hAnsi="宋体" w:cs="宋体"/>
          <w:b/>
          <w:color w:val="auto"/>
          <w:sz w:val="21"/>
          <w:szCs w:val="21"/>
          <w:highlight w:val="none"/>
        </w:rPr>
        <w:t xml:space="preserve"> </w:t>
      </w:r>
      <w:r>
        <w:rPr>
          <w:rFonts w:hint="eastAsia" w:hAnsi="宋体" w:cs="宋体"/>
          <w:b/>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（“甲方”）与承包人</w:t>
      </w:r>
      <w:r>
        <w:rPr>
          <w:rFonts w:hint="eastAsia" w:hAnsi="宋体" w:cs="宋体"/>
          <w:b/>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（以下简称“乙方”）特此签订安全生产合同：</w:t>
      </w:r>
    </w:p>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一、甲方职责</w:t>
      </w:r>
    </w:p>
    <w:p>
      <w:pPr>
        <w:tabs>
          <w:tab w:val="left" w:pos="144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1.遵守国家有关安全生产的法律法规，认真执行工程承包合同中的有关安全要求。</w:t>
      </w:r>
    </w:p>
    <w:p>
      <w:pPr>
        <w:tabs>
          <w:tab w:val="left" w:pos="144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pPr>
        <w:tabs>
          <w:tab w:val="left" w:pos="144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3.重要的安全设施必须坚持与主体工程“三同时”的原则，即：同时设计、审批，同时施工，同时验收，使用投入。</w:t>
      </w:r>
    </w:p>
    <w:p>
      <w:pPr>
        <w:tabs>
          <w:tab w:val="left" w:pos="144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pPr>
        <w:tabs>
          <w:tab w:val="left" w:pos="144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5.组织对乙方施工现场安全生产检查，监督乙方及时处理发现的各种安全隐患。</w:t>
      </w:r>
    </w:p>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二、乙方职责</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1.严格遵守国家有关安全生产的法律法规和《建筑施工机械操作规程》有关安全生产的规定，认真执行工程承包合同中的有关安全要求。</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2.坚持“安全第一，预防为主”和 “管生产必须管安全”的原则，加强安全生产宣传教育，增强全员安全生产意识，建立健全各项安全生产的管理机构和安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聘请的民工）的安全生产管理系统必须做到纵向到底，一环不漏；各职能部分、人员的安全生产责任制做到横向到边，人人有责。项目经理是安全生产的第一责任人。并设安全员，专职负责所有员工的安全和治安保卫工作及预防事故的发生。安全员有权按有关规定发布指令，并采取保护性措施防止事故发生。</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4.乙方在任何时候都应采取各种合理的预防措施，防止其员工发生任何违法、违禁、暴力或妨碍治安的行为。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器、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于易燃爆的材料除应专门妥善保管之外，还应配备有足够的消防设施，所有施工人员都应熟悉消防设备的性能和使用方法；乙方不得将任何种类的爆炸物给予、易货或以其它方式转让给其它人，或允许、容忍上述同样行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7.操作人员上岗，必须按规定穿戴防护用品，施工负责人和安全检查应随时检查劳动防护用品的穿戴情况，不按规定穿戴防护用品的人员不得上岗。</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8.施工中采用新技术、新工艺、新设备、新材料时，必须制定相应的安全技术措施，施工现场必须具备相关的安全标志牌。</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三、违约责任</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1.如因甲方或乙方违约造成安全事故，将依法追究责任。</w:t>
      </w:r>
    </w:p>
    <w:p>
      <w:pPr>
        <w:spacing w:line="44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2.承包人应严格按照施工安全操作规程及有关规定施工，若违反《工程安全施工合同》条款，被安检站处罚并下达了停工令的，自下达停工日起至解令复工为止，发包人将扣除承包人安全履约金2000元/天，扣完履约金为止。若违反《工程安全施工合同》条款，被监理人员发现一条，扣安全履约金200元/条，扣完履约金为止。</w:t>
      </w:r>
    </w:p>
    <w:p>
      <w:pPr>
        <w:spacing w:line="440" w:lineRule="exact"/>
        <w:ind w:left="480"/>
        <w:rPr>
          <w:rFonts w:ascii="宋体" w:hAnsi="宋体" w:cs="宋体"/>
          <w:color w:val="auto"/>
          <w:szCs w:val="21"/>
          <w:highlight w:val="none"/>
        </w:rPr>
      </w:pPr>
    </w:p>
    <w:p>
      <w:pPr>
        <w:spacing w:line="440" w:lineRule="exact"/>
        <w:ind w:left="480"/>
        <w:rPr>
          <w:rFonts w:ascii="宋体" w:hAnsi="宋体" w:cs="宋体"/>
          <w:color w:val="auto"/>
          <w:szCs w:val="21"/>
          <w:highlight w:val="none"/>
        </w:rPr>
      </w:pPr>
    </w:p>
    <w:p>
      <w:pPr>
        <w:spacing w:line="440" w:lineRule="exact"/>
        <w:ind w:left="480"/>
        <w:rPr>
          <w:rFonts w:ascii="宋体" w:hAnsi="宋体" w:cs="宋体"/>
          <w:color w:val="auto"/>
          <w:szCs w:val="21"/>
          <w:highlight w:val="none"/>
        </w:rPr>
      </w:pPr>
      <w:r>
        <w:rPr>
          <w:rFonts w:hint="eastAsia" w:ascii="宋体" w:hAnsi="宋体" w:cs="宋体"/>
          <w:color w:val="auto"/>
          <w:szCs w:val="21"/>
          <w:highlight w:val="none"/>
        </w:rPr>
        <w:t xml:space="preserve">甲          方：         （盖公章）        乙         方：       （盖公章）  </w:t>
      </w:r>
    </w:p>
    <w:p>
      <w:pPr>
        <w:spacing w:line="440" w:lineRule="exact"/>
        <w:ind w:left="480"/>
        <w:rPr>
          <w:rFonts w:ascii="宋体" w:hAnsi="宋体" w:cs="宋体"/>
          <w:color w:val="auto"/>
          <w:szCs w:val="21"/>
          <w:highlight w:val="none"/>
        </w:rPr>
      </w:pPr>
      <w:r>
        <w:rPr>
          <w:rFonts w:hint="eastAsia" w:ascii="宋体" w:hAnsi="宋体" w:cs="宋体"/>
          <w:color w:val="auto"/>
          <w:szCs w:val="21"/>
          <w:highlight w:val="none"/>
        </w:rPr>
        <w:t xml:space="preserve">法 定 代 表 人                              法 定 代 表 人 </w:t>
      </w:r>
    </w:p>
    <w:p>
      <w:pPr>
        <w:spacing w:line="44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（或其委托代理人）：（签字或盖章）             （或其委托代理人）：（签字或盖章） </w:t>
      </w:r>
    </w:p>
    <w:p>
      <w:pPr>
        <w:spacing w:line="440" w:lineRule="exact"/>
        <w:ind w:left="480" w:firstLine="18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 xml:space="preserve">地          址：                            地         址：               </w:t>
      </w:r>
    </w:p>
    <w:p>
      <w:pPr>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 xml:space="preserve">电          话：                            电         话：               </w:t>
      </w:r>
    </w:p>
    <w:p>
      <w:pPr>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日          期：                            日         期：</w:t>
      </w:r>
    </w:p>
    <w:p>
      <w:pPr>
        <w:widowControl/>
        <w:jc w:val="left"/>
        <w:rPr>
          <w:rFonts w:ascii="宋体" w:hAnsi="宋体"/>
          <w:b/>
          <w:bCs/>
          <w:color w:val="auto"/>
          <w:szCs w:val="21"/>
          <w:highlight w:val="none"/>
        </w:rPr>
      </w:pPr>
      <w:r>
        <w:rPr>
          <w:rFonts w:ascii="宋体" w:hAnsi="宋体"/>
          <w:b/>
          <w:bCs/>
          <w:color w:val="auto"/>
          <w:szCs w:val="21"/>
          <w:highlight w:val="none"/>
        </w:rPr>
        <w:br w:type="page"/>
      </w:r>
    </w:p>
    <w:p>
      <w:pPr>
        <w:spacing w:line="360" w:lineRule="auto"/>
        <w:ind w:firstLine="422"/>
        <w:rPr>
          <w:rFonts w:ascii="宋体" w:hAnsi="宋体"/>
          <w:b/>
          <w:bCs/>
          <w:color w:val="auto"/>
          <w:szCs w:val="21"/>
          <w:highlight w:val="none"/>
        </w:rPr>
      </w:pPr>
      <w:r>
        <w:rPr>
          <w:rFonts w:hint="eastAsia" w:ascii="宋体" w:hAnsi="宋体"/>
          <w:b/>
          <w:bCs/>
          <w:color w:val="auto"/>
          <w:szCs w:val="21"/>
          <w:highlight w:val="none"/>
        </w:rPr>
        <w:t>附件四</w:t>
      </w:r>
    </w:p>
    <w:p>
      <w:pPr>
        <w:spacing w:line="380" w:lineRule="exact"/>
        <w:jc w:val="center"/>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履约保函</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highlight w:val="none"/>
        </w:rPr>
        <w:t>办理日期：  年  月  日</w:t>
      </w:r>
    </w:p>
    <w:p>
      <w:pPr>
        <w:spacing w:line="360" w:lineRule="auto"/>
        <w:ind w:right="600"/>
        <w:rPr>
          <w:rFonts w:ascii="宋体" w:hAnsi="宋体" w:cs="宋体"/>
          <w:color w:val="auto"/>
          <w:highlight w:val="none"/>
        </w:rPr>
      </w:pPr>
      <w:r>
        <w:rPr>
          <w:rFonts w:hint="eastAsia" w:ascii="宋体" w:hAnsi="宋体" w:cs="宋体"/>
          <w:color w:val="auto"/>
          <w:highlight w:val="none"/>
        </w:rPr>
        <w:t xml:space="preserve">                                             保函编号：№</w:t>
      </w:r>
    </w:p>
    <w:p>
      <w:pPr>
        <w:spacing w:line="40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（发包人名称）：</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鉴于你方作为发包人已经与</w:t>
      </w:r>
      <w:r>
        <w:rPr>
          <w:rFonts w:hint="eastAsia" w:ascii="宋体" w:hAnsi="宋体" w:cs="宋体"/>
          <w:color w:val="auto"/>
          <w:highlight w:val="none"/>
          <w:u w:val="single"/>
        </w:rPr>
        <w:t xml:space="preserve">                         </w:t>
      </w:r>
      <w:r>
        <w:rPr>
          <w:rFonts w:hint="eastAsia" w:ascii="宋体" w:hAnsi="宋体" w:cs="宋体"/>
          <w:color w:val="auto"/>
          <w:highlight w:val="none"/>
        </w:rPr>
        <w:t>（承包商名称，以下称“承包商”）于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日签订了</w:t>
      </w:r>
      <w:r>
        <w:rPr>
          <w:rFonts w:hint="eastAsia" w:ascii="宋体" w:hAnsi="宋体" w:cs="宋体"/>
          <w:color w:val="auto"/>
          <w:highlight w:val="none"/>
          <w:u w:val="single"/>
        </w:rPr>
        <w:t xml:space="preserve">                          </w:t>
      </w:r>
      <w:r>
        <w:rPr>
          <w:rFonts w:hint="eastAsia" w:ascii="宋体" w:hAnsi="宋体" w:cs="宋体"/>
          <w:color w:val="auto"/>
          <w:highlight w:val="none"/>
        </w:rPr>
        <w:t>（工程名称）施工合同（以下称“主合同”），应承包商申请，我方愿就承包商履行主合同约定的义务以保证的方式向你方提供如下担保：</w:t>
      </w:r>
    </w:p>
    <w:p>
      <w:pPr>
        <w:spacing w:line="400" w:lineRule="exact"/>
        <w:rPr>
          <w:rFonts w:ascii="宋体" w:hAnsi="宋体" w:cs="宋体"/>
          <w:b/>
          <w:color w:val="auto"/>
          <w:highlight w:val="none"/>
        </w:rPr>
      </w:pPr>
      <w:bookmarkStart w:id="62" w:name="_Toc387415153"/>
      <w:bookmarkEnd w:id="62"/>
      <w:r>
        <w:rPr>
          <w:rFonts w:hint="eastAsia" w:ascii="宋体" w:hAnsi="宋体" w:cs="宋体"/>
          <w:b/>
          <w:color w:val="auto"/>
          <w:highlight w:val="none"/>
        </w:rPr>
        <w:t>一、保证的范围及保证金额</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我方的保证范围是承包商未按照主合同约定履行义务，给你方造成的实际损失。</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我方保证的金额是主合同约定的合同总价款</w:t>
      </w:r>
      <w:r>
        <w:rPr>
          <w:rFonts w:hint="eastAsia" w:ascii="宋体" w:hAnsi="宋体" w:cs="宋体"/>
          <w:color w:val="auto"/>
          <w:highlight w:val="none"/>
          <w:u w:val="single"/>
        </w:rPr>
        <w:t xml:space="preserve">      </w:t>
      </w:r>
      <w:r>
        <w:rPr>
          <w:rFonts w:hint="eastAsia" w:ascii="宋体" w:hAnsi="宋体" w:cs="宋体"/>
          <w:color w:val="auto"/>
          <w:highlight w:val="none"/>
        </w:rPr>
        <w:t>%，数额最高不超过人民币（大写）：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rPr>
          <w:rFonts w:ascii="宋体" w:hAnsi="宋体" w:cs="宋体"/>
          <w:b/>
          <w:color w:val="auto"/>
          <w:highlight w:val="none"/>
        </w:rPr>
      </w:pPr>
      <w:bookmarkStart w:id="63" w:name="_Toc387415154"/>
      <w:bookmarkEnd w:id="63"/>
      <w:r>
        <w:rPr>
          <w:rFonts w:hint="eastAsia" w:ascii="宋体" w:hAnsi="宋体" w:cs="宋体"/>
          <w:b/>
          <w:color w:val="auto"/>
          <w:highlight w:val="none"/>
        </w:rPr>
        <w:t>二、保证的方式及保证期间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我方保证的方式为：连带责任保证。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我方保证的期间为：自主合同生效之日起至承包商取得竣工验收记录后</w:t>
      </w:r>
      <w:r>
        <w:rPr>
          <w:rFonts w:hint="eastAsia" w:ascii="宋体" w:hAnsi="宋体" w:cs="宋体"/>
          <w:color w:val="auto"/>
          <w:highlight w:val="none"/>
          <w:u w:val="single"/>
        </w:rPr>
        <w:t xml:space="preserve">     </w:t>
      </w:r>
      <w:r>
        <w:rPr>
          <w:rFonts w:hint="eastAsia" w:ascii="宋体" w:hAnsi="宋体" w:cs="宋体"/>
          <w:color w:val="auto"/>
          <w:highlight w:val="none"/>
        </w:rPr>
        <w:t>日内。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你方与承包商协议变更工程竣工日期的，经我方书面同意后，保证期间按照变更后的竣工日期做相应调整。</w:t>
      </w:r>
    </w:p>
    <w:p>
      <w:pPr>
        <w:spacing w:line="400" w:lineRule="exact"/>
        <w:rPr>
          <w:rFonts w:ascii="宋体" w:hAnsi="宋体" w:cs="宋体"/>
          <w:b/>
          <w:color w:val="auto"/>
          <w:highlight w:val="none"/>
        </w:rPr>
      </w:pPr>
      <w:bookmarkStart w:id="64" w:name="_Toc387415155"/>
      <w:bookmarkEnd w:id="64"/>
      <w:r>
        <w:rPr>
          <w:rFonts w:hint="eastAsia" w:ascii="宋体" w:hAnsi="宋体" w:cs="宋体"/>
          <w:b/>
          <w:color w:val="auto"/>
          <w:highlight w:val="none"/>
        </w:rPr>
        <w:t>三、承担保证责任的形式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我方按以下第</w:t>
      </w:r>
      <w:r>
        <w:rPr>
          <w:rFonts w:hint="eastAsia" w:ascii="宋体" w:hAnsi="宋体" w:cs="宋体"/>
          <w:color w:val="auto"/>
          <w:highlight w:val="none"/>
          <w:u w:val="single"/>
        </w:rPr>
        <w:t xml:space="preserve">        </w:t>
      </w:r>
      <w:r>
        <w:rPr>
          <w:rFonts w:hint="eastAsia" w:ascii="宋体" w:hAnsi="宋体" w:cs="宋体"/>
          <w:color w:val="auto"/>
          <w:highlight w:val="none"/>
        </w:rPr>
        <w:t>种方式向你方承担保证责任：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（1）由我方提供资金及技术援助，使承包商继续履行主合同义务，支付金额不超过本保函第一条规定的保证金额。</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（2）由我方代为承包商履行主合同剩余部分义务。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（3）由我方在本保函第一条规定的保证金额内赔偿你方的损失。</w:t>
      </w:r>
    </w:p>
    <w:p>
      <w:pPr>
        <w:spacing w:line="400" w:lineRule="exact"/>
        <w:rPr>
          <w:rFonts w:ascii="宋体" w:hAnsi="宋体" w:cs="宋体"/>
          <w:b/>
          <w:color w:val="auto"/>
          <w:highlight w:val="none"/>
        </w:rPr>
      </w:pPr>
      <w:bookmarkStart w:id="65" w:name="_Toc387415156"/>
      <w:bookmarkEnd w:id="65"/>
      <w:r>
        <w:rPr>
          <w:rFonts w:hint="eastAsia" w:ascii="宋体" w:hAnsi="宋体" w:cs="宋体"/>
          <w:b/>
          <w:color w:val="auto"/>
          <w:highlight w:val="none"/>
        </w:rPr>
        <w:t>四、代偿的安排</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我方收到本保函原件和你方的书面索赔通知及相应证明材料后，在</w:t>
      </w:r>
      <w:r>
        <w:rPr>
          <w:rFonts w:hint="eastAsia" w:ascii="宋体" w:hAnsi="宋体" w:cs="宋体"/>
          <w:color w:val="auto"/>
          <w:highlight w:val="none"/>
          <w:u w:val="single"/>
        </w:rPr>
        <w:t xml:space="preserve">        </w:t>
      </w:r>
      <w:r>
        <w:rPr>
          <w:rFonts w:hint="eastAsia" w:ascii="宋体" w:hAnsi="宋体" w:cs="宋体"/>
          <w:color w:val="auto"/>
          <w:highlight w:val="none"/>
        </w:rPr>
        <w:t>个工作日内进行核定后按照本保函的承诺承担保证责任。</w:t>
      </w:r>
    </w:p>
    <w:p>
      <w:pPr>
        <w:spacing w:line="400" w:lineRule="exact"/>
        <w:rPr>
          <w:rFonts w:ascii="宋体" w:hAnsi="宋体" w:cs="宋体"/>
          <w:b/>
          <w:color w:val="auto"/>
          <w:highlight w:val="none"/>
        </w:rPr>
      </w:pPr>
      <w:bookmarkStart w:id="66" w:name="_Toc387415157"/>
      <w:bookmarkEnd w:id="66"/>
      <w:r>
        <w:rPr>
          <w:rFonts w:hint="eastAsia" w:ascii="宋体" w:hAnsi="宋体" w:cs="宋体"/>
          <w:b/>
          <w:color w:val="auto"/>
          <w:highlight w:val="none"/>
        </w:rPr>
        <w:t>五、保证责任的解除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1、在本保函承诺的保证期间内，你方未书面向我方主张保证责任的，自保证期间届满次日起，我方保证责任解除。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2、承包商按主合同约定履行了义务的，自本保函承诺的保证期间届满次日起，我方保证责任解除。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3、我方按照本保函向你方履行保证责任所支付的金额达到本保函保证金额时，自我方向你方支付（支付款项从我方账户划出）之日起，保证责任即解除。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4、按照法律法规的规定或出现应解除我方保证责任的其它情形的，我方在本保函项下的保证责任亦解除。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我方解除保证责任后，你方应自我方保证责任解除之日起</w:t>
      </w:r>
      <w:r>
        <w:rPr>
          <w:rFonts w:hint="eastAsia" w:ascii="宋体" w:hAnsi="宋体" w:cs="宋体"/>
          <w:color w:val="auto"/>
          <w:highlight w:val="none"/>
          <w:u w:val="single"/>
        </w:rPr>
        <w:t xml:space="preserve">        </w:t>
      </w:r>
      <w:r>
        <w:rPr>
          <w:rFonts w:hint="eastAsia" w:ascii="宋体" w:hAnsi="宋体" w:cs="宋体"/>
          <w:color w:val="auto"/>
          <w:highlight w:val="none"/>
        </w:rPr>
        <w:t>个工作日内，将本保函原件返还我方。超出本约定期限的，无论本保函原件是否退还我方，我方均不再承担保证责任。</w:t>
      </w:r>
    </w:p>
    <w:p>
      <w:pPr>
        <w:spacing w:line="400" w:lineRule="exact"/>
        <w:rPr>
          <w:rFonts w:ascii="宋体" w:hAnsi="宋体" w:cs="宋体"/>
          <w:b/>
          <w:color w:val="auto"/>
          <w:highlight w:val="none"/>
        </w:rPr>
      </w:pPr>
      <w:bookmarkStart w:id="67" w:name="_Toc387415158"/>
      <w:bookmarkEnd w:id="67"/>
      <w:r>
        <w:rPr>
          <w:rFonts w:hint="eastAsia" w:ascii="宋体" w:hAnsi="宋体" w:cs="宋体"/>
          <w:b/>
          <w:color w:val="auto"/>
          <w:highlight w:val="none"/>
        </w:rPr>
        <w:t>六、免责条款</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1、因你方违约致使承包商不能履行义务的，我方不承担保证责任。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2、依照法律法规的规定或你方与承包商的另行约定，免除承包商部分或全部义务的，我方亦免除其相应的保证责任。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3、你方与承包商协议变更主合同（符合主合同条款约定的变更除外），如加重承包商责任致使我方保证责任加重的，需征得我方书面同意，否则我方不再承担因此而加重部分的保证责任。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4、因不可抗力造成承包商不能履行义务的，我方不承担保证责任。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5、本保函不得转让，我方对除你方以外的任何第三方不承担任何责任。</w:t>
      </w:r>
    </w:p>
    <w:p>
      <w:pPr>
        <w:spacing w:line="400" w:lineRule="exact"/>
        <w:rPr>
          <w:rFonts w:ascii="宋体" w:hAnsi="宋体" w:cs="宋体"/>
          <w:b/>
          <w:color w:val="auto"/>
          <w:highlight w:val="none"/>
        </w:rPr>
      </w:pPr>
      <w:bookmarkStart w:id="68" w:name="_Toc387415159"/>
      <w:bookmarkEnd w:id="68"/>
      <w:r>
        <w:rPr>
          <w:rFonts w:hint="eastAsia" w:ascii="宋体" w:hAnsi="宋体" w:cs="宋体"/>
          <w:b/>
          <w:color w:val="auto"/>
          <w:highlight w:val="none"/>
        </w:rPr>
        <w:t>七、争议的解决</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因本保函发生的纠纷，由你我双方协商解决，协商不成的，任何一方均可提请</w:t>
      </w:r>
      <w:r>
        <w:rPr>
          <w:rFonts w:hint="eastAsia" w:ascii="宋体" w:hAnsi="宋体" w:cs="宋体"/>
          <w:color w:val="auto"/>
          <w:highlight w:val="none"/>
          <w:u w:val="single"/>
        </w:rPr>
        <w:t>宁波</w:t>
      </w:r>
      <w:r>
        <w:rPr>
          <w:rFonts w:hint="eastAsia" w:ascii="宋体" w:hAnsi="宋体" w:cs="宋体"/>
          <w:color w:val="auto"/>
          <w:highlight w:val="none"/>
        </w:rPr>
        <w:t>仲裁委员会仲裁。</w:t>
      </w:r>
    </w:p>
    <w:p>
      <w:pPr>
        <w:spacing w:line="400" w:lineRule="exact"/>
        <w:rPr>
          <w:rFonts w:ascii="宋体" w:hAnsi="宋体" w:cs="宋体"/>
          <w:b/>
          <w:color w:val="auto"/>
          <w:highlight w:val="none"/>
        </w:rPr>
      </w:pPr>
      <w:bookmarkStart w:id="69" w:name="_Toc387415160"/>
      <w:bookmarkEnd w:id="69"/>
      <w:r>
        <w:rPr>
          <w:rFonts w:hint="eastAsia" w:ascii="宋体" w:hAnsi="宋体" w:cs="宋体"/>
          <w:b/>
          <w:color w:val="auto"/>
          <w:highlight w:val="none"/>
        </w:rPr>
        <w:t>八、保函的生效</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本保函自我方法定代表人（或其授权代理人）签章并加盖单位章后生效。</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 </w:t>
      </w:r>
    </w:p>
    <w:p>
      <w:pPr>
        <w:spacing w:line="400" w:lineRule="exact"/>
        <w:ind w:firstLine="2975" w:firstLineChars="1417"/>
        <w:rPr>
          <w:rFonts w:ascii="宋体" w:hAnsi="宋体" w:cs="宋体"/>
          <w:color w:val="auto"/>
          <w:highlight w:val="none"/>
        </w:rPr>
      </w:pPr>
      <w:r>
        <w:rPr>
          <w:rFonts w:hint="eastAsia" w:ascii="宋体" w:hAnsi="宋体" w:cs="宋体"/>
          <w:color w:val="auto"/>
          <w:highlight w:val="none"/>
        </w:rPr>
        <w:t>担 保 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400" w:lineRule="exact"/>
        <w:ind w:firstLine="2975" w:firstLineChars="1417"/>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400" w:lineRule="exact"/>
        <w:ind w:firstLine="2975" w:firstLineChars="1417"/>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spacing w:line="400" w:lineRule="exact"/>
        <w:ind w:firstLine="2975" w:firstLineChars="1417"/>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pPr>
        <w:spacing w:line="400" w:lineRule="exact"/>
        <w:ind w:firstLine="2975" w:firstLineChars="1417"/>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p>
    <w:p>
      <w:pPr>
        <w:spacing w:line="400" w:lineRule="exact"/>
        <w:ind w:firstLine="2975" w:firstLineChars="1417"/>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p>
    <w:p>
      <w:pPr>
        <w:spacing w:line="400" w:lineRule="exact"/>
        <w:ind w:firstLine="1860" w:firstLineChars="886"/>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rPr>
          <w:rFonts w:ascii="宋体" w:hAnsi="宋体" w:cs="宋体"/>
          <w:color w:val="auto"/>
          <w:highlight w:val="none"/>
        </w:rPr>
      </w:pPr>
    </w:p>
    <w:p>
      <w:pPr>
        <w:rPr>
          <w:rFonts w:ascii="宋体" w:hAnsi="宋体" w:cs="宋体"/>
          <w:color w:val="auto"/>
          <w:highlight w:val="none"/>
        </w:rPr>
      </w:pPr>
    </w:p>
    <w:p>
      <w:pPr>
        <w:pStyle w:val="67"/>
        <w:rPr>
          <w:rFonts w:ascii="宋体" w:hAnsi="宋体" w:cs="宋体"/>
          <w:color w:val="auto"/>
          <w:szCs w:val="21"/>
          <w:highlight w:val="none"/>
        </w:rPr>
      </w:pPr>
      <w:bookmarkStart w:id="70" w:name="_Toc387415175"/>
      <w:bookmarkEnd w:id="70"/>
      <w:bookmarkStart w:id="71" w:name="_Toc387415172"/>
      <w:bookmarkEnd w:id="71"/>
      <w:bookmarkStart w:id="72" w:name="_Toc387415178"/>
      <w:bookmarkEnd w:id="72"/>
      <w:bookmarkStart w:id="73" w:name="_Toc387415171"/>
      <w:bookmarkEnd w:id="73"/>
      <w:bookmarkStart w:id="74" w:name="_Toc387415173"/>
      <w:bookmarkEnd w:id="74"/>
      <w:bookmarkStart w:id="75" w:name="_Toc387415176"/>
      <w:bookmarkEnd w:id="75"/>
      <w:bookmarkStart w:id="76" w:name="_Toc387415174"/>
      <w:bookmarkEnd w:id="76"/>
      <w:bookmarkStart w:id="77" w:name="_Toc387415177"/>
      <w:bookmarkEnd w:id="77"/>
    </w:p>
    <w:p>
      <w:pPr>
        <w:pStyle w:val="4"/>
        <w:rPr>
          <w:rFonts w:asciiTheme="minorEastAsia" w:hAnsiTheme="minorEastAsia" w:eastAsiaTheme="minorEastAsia"/>
          <w:color w:val="auto"/>
          <w:highlight w:val="none"/>
        </w:rPr>
      </w:pPr>
      <w:r>
        <w:rPr>
          <w:rFonts w:hint="eastAsia" w:hAnsi="宋体" w:cs="宋体"/>
          <w:b w:val="0"/>
          <w:bCs w:val="0"/>
          <w:color w:val="auto"/>
          <w:sz w:val="32"/>
          <w:szCs w:val="32"/>
          <w:highlight w:val="none"/>
        </w:rPr>
        <w:br w:type="page"/>
      </w:r>
      <w:bookmarkStart w:id="78" w:name="_Toc86053876"/>
      <w:bookmarkStart w:id="79" w:name="_Toc34844746"/>
      <w:r>
        <w:rPr>
          <w:rFonts w:hint="eastAsia" w:asciiTheme="minorEastAsia" w:hAnsiTheme="minorEastAsia" w:eastAsiaTheme="minorEastAsia"/>
          <w:color w:val="auto"/>
          <w:highlight w:val="none"/>
        </w:rPr>
        <w:t>第六章  响应文件格式</w:t>
      </w:r>
      <w:bookmarkEnd w:id="78"/>
      <w:bookmarkEnd w:id="79"/>
    </w:p>
    <w:p>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1.资格要求响应文件的有关格式</w:t>
      </w:r>
    </w:p>
    <w:p>
      <w:pPr>
        <w:pStyle w:val="3"/>
        <w:spacing w:line="360" w:lineRule="auto"/>
        <w:ind w:left="0" w:leftChars="0"/>
        <w:jc w:val="center"/>
        <w:rPr>
          <w:rFonts w:cs="宋体" w:asciiTheme="minorEastAsia" w:hAnsiTheme="minorEastAsia" w:eastAsiaTheme="minorEastAsia"/>
          <w:b/>
          <w:color w:val="auto"/>
          <w:kern w:val="1"/>
          <w:szCs w:val="21"/>
          <w:highlight w:val="none"/>
        </w:rPr>
      </w:pPr>
      <w:r>
        <w:rPr>
          <w:rFonts w:hint="eastAsia" w:cs="宋体" w:asciiTheme="minorEastAsia" w:hAnsiTheme="minorEastAsia" w:eastAsiaTheme="minorEastAsia"/>
          <w:b/>
          <w:color w:val="auto"/>
          <w:sz w:val="21"/>
          <w:szCs w:val="21"/>
          <w:highlight w:val="none"/>
        </w:rPr>
        <w:t>（1）</w:t>
      </w:r>
      <w:r>
        <w:rPr>
          <w:rFonts w:cs="宋体" w:asciiTheme="minorEastAsia" w:hAnsiTheme="minorEastAsia" w:eastAsiaTheme="minorEastAsia"/>
          <w:b/>
          <w:color w:val="auto"/>
          <w:sz w:val="21"/>
          <w:szCs w:val="21"/>
          <w:highlight w:val="none"/>
        </w:rPr>
        <w:t>供应商资格声明函</w:t>
      </w:r>
    </w:p>
    <w:p>
      <w:pPr>
        <w:spacing w:line="360" w:lineRule="auto"/>
        <w:rPr>
          <w:rFonts w:cs="宋体" w:asciiTheme="minorEastAsia" w:hAnsiTheme="minorEastAsia" w:eastAsiaTheme="minorEastAsia"/>
          <w:b/>
          <w:color w:val="auto"/>
          <w:kern w:val="1"/>
          <w:szCs w:val="21"/>
          <w:highlight w:val="none"/>
        </w:rPr>
      </w:pPr>
      <w:r>
        <w:rPr>
          <w:rFonts w:hint="eastAsia" w:asciiTheme="minorEastAsia" w:hAnsiTheme="minorEastAsia" w:eastAsiaTheme="minorEastAsia"/>
          <w:bCs/>
          <w:color w:val="auto"/>
          <w:szCs w:val="21"/>
          <w:highlight w:val="none"/>
        </w:rPr>
        <w:t>致：</w:t>
      </w:r>
      <w:r>
        <w:rPr>
          <w:rFonts w:hint="eastAsia" w:asciiTheme="minorEastAsia" w:hAnsiTheme="minorEastAsia" w:eastAsiaTheme="minorEastAsia"/>
          <w:color w:val="auto"/>
          <w:szCs w:val="21"/>
          <w:highlight w:val="none"/>
          <w:u w:val="single"/>
        </w:rPr>
        <w:t>浙江商业技师学院、宁波名诚招标代理有限公司</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我方自愿参与本项目政府采购活动，郑重承诺：</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一、具备《中华人民共和国政府采购法》第二十二条第一款规定的条件：</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6.具有</w:t>
      </w:r>
      <w:r>
        <w:rPr>
          <w:rFonts w:cs="Arial" w:asciiTheme="minorEastAsia" w:hAnsiTheme="minorEastAsia" w:eastAsiaTheme="minorEastAsia"/>
          <w:color w:val="auto"/>
          <w:szCs w:val="21"/>
          <w:highlight w:val="none"/>
        </w:rPr>
        <w:t>法律、行政法规规定的其他条件</w:t>
      </w:r>
      <w:r>
        <w:rPr>
          <w:rFonts w:hint="eastAsia" w:cs="Arial" w:asciiTheme="minorEastAsia" w:hAnsiTheme="minorEastAsia" w:eastAsiaTheme="minorEastAsia"/>
          <w:color w:val="auto"/>
          <w:szCs w:val="21"/>
          <w:highlight w:val="none"/>
        </w:rPr>
        <w:t>。</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二、未被“信用中国”（www.creditchina.gov.cn)、中国政府采购网（www.ccgp.gov.cn）列入失信被执行人、重大税收违法案件当事人名单、政府采购严重违法失信行为记录名单。</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三、不存在以下情况：</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r>
        <w:rPr>
          <w:rFonts w:cs="Arial" w:asciiTheme="minorEastAsia" w:hAnsiTheme="minorEastAsia" w:eastAsiaTheme="minorEastAsia"/>
          <w:color w:val="auto"/>
          <w:szCs w:val="21"/>
          <w:highlight w:val="none"/>
        </w:rPr>
        <w:t>单位负责人为同一人或者存在直接控股、管理关系的不同供应商参加同一合同项下的政府采购活动的；</w:t>
      </w:r>
    </w:p>
    <w:p>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r>
        <w:rPr>
          <w:rFonts w:cs="Arial" w:asciiTheme="minorEastAsia" w:hAnsiTheme="minorEastAsia" w:eastAsiaTheme="minorEastAsia"/>
          <w:color w:val="auto"/>
          <w:szCs w:val="21"/>
          <w:highlight w:val="none"/>
        </w:rPr>
        <w:t>为采购项目提供整体设计、规范编制或者项目管理、监理、检测等服务后再参加该采购项目的其他采购活动的。</w:t>
      </w:r>
    </w:p>
    <w:p>
      <w:pPr>
        <w:spacing w:line="360" w:lineRule="auto"/>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pPr>
        <w:snapToGrid w:val="0"/>
        <w:spacing w:line="360" w:lineRule="auto"/>
        <w:ind w:firstLine="3685" w:firstLineChars="1755"/>
        <w:rPr>
          <w:rFonts w:asciiTheme="minorEastAsia" w:hAnsiTheme="minorEastAsia" w:eastAsiaTheme="minorEastAsia"/>
          <w:color w:val="auto"/>
          <w:szCs w:val="21"/>
          <w:highlight w:val="none"/>
        </w:rPr>
      </w:pPr>
    </w:p>
    <w:p>
      <w:pPr>
        <w:widowControl/>
        <w:spacing w:line="360" w:lineRule="auto"/>
        <w:jc w:val="left"/>
        <w:rPr>
          <w:color w:val="auto"/>
          <w:highlight w:val="none"/>
        </w:rPr>
      </w:pPr>
      <w:r>
        <w:rPr>
          <w:color w:val="auto"/>
          <w:highlight w:val="none"/>
        </w:rPr>
        <w:br w:type="page"/>
      </w:r>
    </w:p>
    <w:p>
      <w:pPr>
        <w:pStyle w:val="3"/>
        <w:spacing w:after="0" w:line="360" w:lineRule="auto"/>
        <w:ind w:left="0" w:leftChars="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2</w:t>
      </w: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中小企业声明函</w:t>
      </w:r>
    </w:p>
    <w:p>
      <w:pPr>
        <w:spacing w:line="360" w:lineRule="auto"/>
        <w:ind w:firstLine="420" w:firstLineChars="200"/>
        <w:rPr>
          <w:rFonts w:cs="仿宋" w:asciiTheme="minorEastAsia" w:hAnsiTheme="minorEastAsia" w:eastAsiaTheme="minorEastAsia"/>
          <w:color w:val="auto"/>
          <w:szCs w:val="21"/>
          <w:highlight w:val="none"/>
        </w:rPr>
      </w:pPr>
      <w:r>
        <w:rPr>
          <w:rFonts w:cs="仿宋" w:asciiTheme="minorEastAsia" w:hAnsiTheme="minorEastAsia" w:eastAsiaTheme="minorEastAsia"/>
          <w:color w:val="auto"/>
          <w:szCs w:val="21"/>
          <w:highlight w:val="none"/>
        </w:rPr>
        <w:t>本公司郑重声明，根据《政府采购促进中小企业发展管理办法》（财库﹝2020﹞46号）的规定，本公司参加</w:t>
      </w:r>
      <w:r>
        <w:rPr>
          <w:rFonts w:hint="eastAsia" w:cs="仿宋" w:asciiTheme="minorEastAsia" w:hAnsiTheme="minorEastAsia" w:eastAsiaTheme="minorEastAsia"/>
          <w:b/>
          <w:color w:val="auto"/>
          <w:szCs w:val="21"/>
          <w:highlight w:val="none"/>
          <w:u w:val="single"/>
        </w:rPr>
        <w:t xml:space="preserve">   浙江商业技师学院</w:t>
      </w:r>
      <w:r>
        <w:rPr>
          <w:rFonts w:cs="仿宋" w:asciiTheme="minorEastAsia" w:hAnsiTheme="minorEastAsia" w:eastAsiaTheme="minorEastAsia"/>
          <w:b/>
          <w:color w:val="auto"/>
          <w:szCs w:val="21"/>
          <w:highlight w:val="none"/>
          <w:u w:val="single"/>
        </w:rPr>
        <w:t xml:space="preserve">  </w:t>
      </w:r>
      <w:r>
        <w:rPr>
          <w:rFonts w:cs="仿宋" w:asciiTheme="minorEastAsia" w:hAnsiTheme="minorEastAsia" w:eastAsiaTheme="minorEastAsia"/>
          <w:color w:val="auto"/>
          <w:szCs w:val="21"/>
          <w:highlight w:val="none"/>
        </w:rPr>
        <w:t>的</w:t>
      </w:r>
      <w:r>
        <w:rPr>
          <w:rFonts w:hint="eastAsia" w:cs="仿宋" w:asciiTheme="minorEastAsia" w:hAnsiTheme="minorEastAsia" w:eastAsiaTheme="minorEastAsia"/>
          <w:b/>
          <w:color w:val="auto"/>
          <w:szCs w:val="21"/>
          <w:highlight w:val="none"/>
          <w:u w:val="single"/>
        </w:rPr>
        <w:t xml:space="preserve">   浙江商业技师学院学生餐厅改造项目    </w:t>
      </w:r>
      <w:r>
        <w:rPr>
          <w:rFonts w:cs="仿宋" w:asciiTheme="minorEastAsia" w:hAnsiTheme="minorEastAsia" w:eastAsiaTheme="minorEastAsia"/>
          <w:color w:val="auto"/>
          <w:szCs w:val="21"/>
          <w:highlight w:val="none"/>
        </w:rPr>
        <w:t>采购活动，工程的施工单位全部为符合政策要求的中小企业。相关企业的具体情况如下：</w:t>
      </w:r>
    </w:p>
    <w:p>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 xml:space="preserve">1. </w:t>
      </w:r>
      <w:r>
        <w:rPr>
          <w:rFonts w:hint="eastAsia" w:cs="仿宋" w:asciiTheme="minorEastAsia" w:hAnsiTheme="minorEastAsia" w:eastAsiaTheme="minorEastAsia"/>
          <w:b/>
          <w:color w:val="auto"/>
          <w:szCs w:val="21"/>
          <w:highlight w:val="none"/>
          <w:u w:val="single"/>
        </w:rPr>
        <w:t xml:space="preserve"> 浙江商业技师学院学生餐厅改造项目   </w:t>
      </w:r>
      <w:r>
        <w:rPr>
          <w:rFonts w:hint="eastAsia" w:cs="仿宋" w:asciiTheme="minorEastAsia" w:hAnsiTheme="minorEastAsia" w:eastAsiaTheme="minorEastAsia"/>
          <w:color w:val="auto"/>
          <w:szCs w:val="21"/>
          <w:highlight w:val="none"/>
        </w:rPr>
        <w:t>，属于</w:t>
      </w:r>
      <w:r>
        <w:rPr>
          <w:rFonts w:hint="eastAsia" w:cs="仿宋" w:asciiTheme="minorEastAsia" w:hAnsiTheme="minorEastAsia" w:eastAsiaTheme="minorEastAsia"/>
          <w:b/>
          <w:color w:val="auto"/>
          <w:szCs w:val="21"/>
          <w:highlight w:val="none"/>
          <w:u w:val="single"/>
        </w:rPr>
        <w:t xml:space="preserve"> </w:t>
      </w:r>
      <w:r>
        <w:rPr>
          <w:rFonts w:cs="仿宋" w:asciiTheme="minorEastAsia" w:hAnsiTheme="minorEastAsia" w:eastAsiaTheme="minorEastAsia"/>
          <w:b/>
          <w:color w:val="auto"/>
          <w:szCs w:val="21"/>
          <w:highlight w:val="none"/>
          <w:u w:val="single"/>
        </w:rPr>
        <w:t xml:space="preserve"> </w:t>
      </w:r>
      <w:r>
        <w:rPr>
          <w:rFonts w:hint="eastAsia" w:cs="仿宋" w:asciiTheme="minorEastAsia" w:hAnsiTheme="minorEastAsia" w:eastAsiaTheme="minorEastAsia"/>
          <w:b/>
          <w:color w:val="auto"/>
          <w:szCs w:val="21"/>
          <w:highlight w:val="none"/>
          <w:u w:val="single"/>
        </w:rPr>
        <w:t>建筑业</w:t>
      </w:r>
      <w:r>
        <w:rPr>
          <w:rFonts w:cs="仿宋" w:asciiTheme="minorEastAsia" w:hAnsiTheme="minorEastAsia" w:eastAsiaTheme="minorEastAsia"/>
          <w:b/>
          <w:color w:val="auto"/>
          <w:szCs w:val="21"/>
          <w:highlight w:val="none"/>
          <w:u w:val="single"/>
        </w:rPr>
        <w:t xml:space="preserve">  </w:t>
      </w:r>
      <w:r>
        <w:rPr>
          <w:rFonts w:hint="eastAsia" w:cs="仿宋" w:asciiTheme="minorEastAsia" w:hAnsiTheme="minorEastAsia" w:eastAsiaTheme="minorEastAsia"/>
          <w:color w:val="auto"/>
          <w:szCs w:val="21"/>
          <w:highlight w:val="none"/>
        </w:rPr>
        <w:t xml:space="preserve">；承建（承接）企业为 </w:t>
      </w:r>
      <w:r>
        <w:rPr>
          <w:rFonts w:hint="eastAsia" w:cs="仿宋" w:asciiTheme="minorEastAsia" w:hAnsiTheme="minorEastAsia" w:eastAsiaTheme="minorEastAsia"/>
          <w:color w:val="auto"/>
          <w:szCs w:val="21"/>
          <w:highlight w:val="none"/>
          <w:u w:val="single"/>
        </w:rPr>
        <w:t xml:space="preserve">  （企业名称）  </w:t>
      </w:r>
      <w:r>
        <w:rPr>
          <w:rFonts w:hint="eastAsia" w:cs="仿宋" w:asciiTheme="minorEastAsia" w:hAnsiTheme="minorEastAsia" w:eastAsiaTheme="minorEastAsia"/>
          <w:color w:val="auto"/>
          <w:szCs w:val="21"/>
          <w:highlight w:val="none"/>
        </w:rPr>
        <w:t xml:space="preserve"> ，从业人员</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人，营业收入为</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万元，资产总额为</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万元，属于</w:t>
      </w:r>
      <w:r>
        <w:rPr>
          <w:rFonts w:hint="eastAsia" w:cs="仿宋" w:asciiTheme="minorEastAsia" w:hAnsiTheme="minorEastAsia" w:eastAsiaTheme="minorEastAsia"/>
          <w:color w:val="auto"/>
          <w:szCs w:val="21"/>
          <w:highlight w:val="none"/>
          <w:u w:val="single"/>
        </w:rPr>
        <w:t xml:space="preserve">   </w:t>
      </w:r>
      <w:r>
        <w:rPr>
          <w:rFonts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rPr>
        <w:t xml:space="preserve"> （中型企业、小型企业、微型企业）   </w:t>
      </w:r>
      <w:r>
        <w:rPr>
          <w:rFonts w:hint="eastAsia" w:cs="仿宋" w:asciiTheme="minorEastAsia" w:hAnsiTheme="minorEastAsia" w:eastAsiaTheme="minorEastAsia"/>
          <w:color w:val="auto"/>
          <w:szCs w:val="21"/>
          <w:highlight w:val="none"/>
        </w:rPr>
        <w:t>；</w:t>
      </w:r>
    </w:p>
    <w:p>
      <w:pPr>
        <w:spacing w:line="360" w:lineRule="auto"/>
        <w:ind w:firstLine="422" w:firstLineChars="200"/>
        <w:rPr>
          <w:rFonts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本企业对上述声明内容的真实性负责。如有虚假，将依法承担相应责任。</w:t>
      </w:r>
    </w:p>
    <w:p>
      <w:pPr>
        <w:spacing w:line="360" w:lineRule="auto"/>
        <w:ind w:right="1760"/>
        <w:jc w:val="right"/>
        <w:rPr>
          <w:rFonts w:cs="仿宋" w:asciiTheme="minorEastAsia" w:hAnsiTheme="minorEastAsia" w:eastAsiaTheme="minorEastAsia"/>
          <w:color w:val="auto"/>
          <w:szCs w:val="21"/>
          <w:highlight w:val="none"/>
        </w:rPr>
      </w:pPr>
    </w:p>
    <w:p>
      <w:pPr>
        <w:spacing w:line="360" w:lineRule="auto"/>
        <w:ind w:right="1760"/>
        <w:jc w:val="right"/>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企业名称（加盖公章）：</w:t>
      </w:r>
    </w:p>
    <w:p>
      <w:pPr>
        <w:spacing w:line="360" w:lineRule="auto"/>
        <w:ind w:right="3147"/>
        <w:jc w:val="right"/>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日 期：</w:t>
      </w:r>
    </w:p>
    <w:p>
      <w:pPr>
        <w:spacing w:line="360" w:lineRule="auto"/>
        <w:ind w:firstLine="310" w:firstLineChars="147"/>
        <w:rPr>
          <w:rFonts w:cs="仿宋" w:asciiTheme="minorEastAsia" w:hAnsiTheme="minorEastAsia" w:eastAsiaTheme="minorEastAsia"/>
          <w:b/>
          <w:color w:val="auto"/>
          <w:szCs w:val="21"/>
          <w:highlight w:val="none"/>
        </w:rPr>
      </w:pPr>
    </w:p>
    <w:p>
      <w:pPr>
        <w:spacing w:line="360" w:lineRule="auto"/>
        <w:ind w:firstLine="310" w:firstLineChars="147"/>
        <w:rPr>
          <w:rFonts w:cs="仿宋" w:asciiTheme="minorEastAsia" w:hAnsiTheme="minorEastAsia" w:eastAsiaTheme="minorEastAsia"/>
          <w:b/>
          <w:color w:val="auto"/>
          <w:szCs w:val="21"/>
          <w:highlight w:val="none"/>
        </w:rPr>
      </w:pP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填写说明：</w:t>
      </w:r>
    </w:p>
    <w:p>
      <w:pPr>
        <w:snapToGrid w:val="0"/>
        <w:spacing w:before="50" w:after="50" w:line="360" w:lineRule="auto"/>
        <w:ind w:right="-214" w:rightChars="-10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2.供应商应当对其出具的《中小企业声明函》真实性负责，出具的《中小企业声明函》内容不实的，属于提供虚假材料。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4.供应商不得修改声明函中加粗的文字。</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cs="仿宋" w:asciiTheme="minorEastAsia" w:hAnsiTheme="minorEastAsia" w:eastAsiaTheme="minorEastAsia"/>
          <w:b/>
          <w:color w:val="auto"/>
          <w:szCs w:val="21"/>
          <w:highlight w:val="none"/>
        </w:rPr>
      </w:pPr>
    </w:p>
    <w:p>
      <w:pPr>
        <w:pStyle w:val="3"/>
        <w:spacing w:line="360" w:lineRule="auto"/>
        <w:ind w:left="0" w:leftChars="0"/>
        <w:jc w:val="center"/>
        <w:rPr>
          <w:rFonts w:asciiTheme="minorEastAsia" w:hAnsiTheme="minorEastAsia" w:eastAsiaTheme="minorEastAsia"/>
          <w:b/>
          <w:color w:val="auto"/>
          <w:spacing w:val="6"/>
          <w:szCs w:val="21"/>
          <w:highlight w:val="none"/>
        </w:rPr>
      </w:pPr>
      <w:bookmarkStart w:id="80" w:name="OLE_LINK13"/>
      <w:bookmarkStart w:id="81" w:name="OLE_LINK14"/>
      <w:r>
        <w:rPr>
          <w:rFonts w:asciiTheme="minorEastAsia" w:hAnsiTheme="minorEastAsia" w:eastAsiaTheme="minorEastAsia"/>
          <w:color w:val="auto"/>
          <w:szCs w:val="21"/>
          <w:highlight w:val="none"/>
        </w:rPr>
        <w:br w:type="page"/>
      </w: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3</w:t>
      </w:r>
      <w:r>
        <w:rPr>
          <w:rFonts w:hint="eastAsia" w:cs="宋体" w:asciiTheme="minorEastAsia" w:hAnsiTheme="minorEastAsia" w:eastAsiaTheme="minorEastAsia"/>
          <w:b/>
          <w:color w:val="auto"/>
          <w:sz w:val="21"/>
          <w:szCs w:val="21"/>
          <w:highlight w:val="none"/>
        </w:rPr>
        <w:t>）残疾人福利性单位声明函</w:t>
      </w:r>
      <w:bookmarkEnd w:id="80"/>
      <w:bookmarkEnd w:id="81"/>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pPr>
        <w:spacing w:line="360" w:lineRule="auto"/>
        <w:ind w:firstLine="444" w:firstLineChars="200"/>
        <w:rPr>
          <w:rFonts w:asciiTheme="minorEastAsia" w:hAnsiTheme="minorEastAsia" w:eastAsiaTheme="minorEastAsia"/>
          <w:color w:val="auto"/>
          <w:spacing w:val="6"/>
          <w:highlight w:val="none"/>
        </w:rPr>
      </w:pPr>
    </w:p>
    <w:p>
      <w:pPr>
        <w:spacing w:line="360" w:lineRule="auto"/>
        <w:ind w:firstLine="444" w:firstLineChars="200"/>
        <w:rPr>
          <w:rFonts w:asciiTheme="minorEastAsia" w:hAnsiTheme="minorEastAsia" w:eastAsiaTheme="minorEastAsia"/>
          <w:color w:val="auto"/>
          <w:spacing w:val="6"/>
          <w:highlight w:val="none"/>
        </w:rPr>
      </w:pP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pPr>
        <w:pStyle w:val="3"/>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pStyle w:val="3"/>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pStyle w:val="3"/>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pStyle w:val="3"/>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spacing w:line="360" w:lineRule="auto"/>
        <w:rPr>
          <w:rFonts w:asciiTheme="minorEastAsia" w:hAnsiTheme="minorEastAsia" w:eastAsiaTheme="minorEastAsia"/>
          <w:b/>
          <w:color w:val="auto"/>
          <w:szCs w:val="21"/>
          <w:highlight w:val="none"/>
        </w:rPr>
      </w:pP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填写说明：</w:t>
      </w:r>
      <w:r>
        <w:rPr>
          <w:rFonts w:hint="eastAsia" w:asciiTheme="minorEastAsia" w:hAnsiTheme="minorEastAsia" w:eastAsiaTheme="minorEastAsia"/>
          <w:b/>
          <w:color w:val="auto"/>
          <w:szCs w:val="21"/>
          <w:highlight w:val="none"/>
        </w:rPr>
        <w:t>供应商不属于残疾人福利性单位无需且不应当提供本声明函，否则自行承担相应的责任。</w:t>
      </w:r>
    </w:p>
    <w:p>
      <w:pPr>
        <w:widowControl/>
        <w:spacing w:line="360" w:lineRule="auto"/>
        <w:jc w:val="left"/>
        <w:rPr>
          <w:rFonts w:asciiTheme="minorEastAsia" w:hAnsiTheme="minorEastAsia" w:eastAsiaTheme="minorEastAsia"/>
          <w:b/>
          <w:color w:val="auto"/>
          <w:szCs w:val="21"/>
          <w:highlight w:val="none"/>
        </w:rPr>
      </w:pPr>
    </w:p>
    <w:p>
      <w:pPr>
        <w:pStyle w:val="3"/>
        <w:spacing w:after="0" w:line="360" w:lineRule="auto"/>
        <w:ind w:left="0" w:leftChars="0" w:firstLine="422"/>
        <w:jc w:val="center"/>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br w:type="page"/>
      </w:r>
    </w:p>
    <w:p>
      <w:pPr>
        <w:spacing w:line="360" w:lineRule="auto"/>
        <w:ind w:right="480"/>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2.商务技术文件的有关格式</w:t>
      </w:r>
    </w:p>
    <w:p>
      <w:pPr>
        <w:pStyle w:val="3"/>
        <w:spacing w:after="0" w:line="360" w:lineRule="auto"/>
        <w:ind w:left="0" w:leftChars="0"/>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（1）响应函</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浙江商业技师学院、宁波名诚招标代理有限公司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根据贵方的采购公告和邀请，我方兹宣布同意如下：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szCs w:val="21"/>
          <w:highlight w:val="none"/>
        </w:rPr>
        <w:t>按磋商文件规定提供的工程及伴随的货物与服务的初次报价见</w:t>
      </w:r>
      <w:r>
        <w:rPr>
          <w:rFonts w:hint="eastAsia" w:asciiTheme="minorEastAsia" w:hAnsiTheme="minorEastAsia" w:eastAsiaTheme="minorEastAsia"/>
          <w:color w:val="auto"/>
          <w:highlight w:val="none"/>
        </w:rPr>
        <w:t>《初次报价表》。</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szCs w:val="21"/>
          <w:highlight w:val="none"/>
        </w:rPr>
        <w:t>我方将根据磋商文件的规定</w:t>
      </w:r>
      <w:r>
        <w:rPr>
          <w:rFonts w:hint="eastAsia" w:asciiTheme="minorEastAsia" w:hAnsiTheme="minorEastAsia" w:eastAsiaTheme="minorEastAsia"/>
          <w:color w:val="auto"/>
          <w:highlight w:val="none"/>
        </w:rPr>
        <w:t>，严格履行合同的责任和义务。</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hint="eastAsia" w:asciiTheme="minorEastAsia" w:hAnsiTheme="minorEastAsia" w:eastAsiaTheme="minorEastAsia"/>
          <w:color w:val="auto"/>
          <w:szCs w:val="21"/>
          <w:highlight w:val="none"/>
        </w:rPr>
        <w:t>我方已详细审核全部磋商文件</w:t>
      </w:r>
      <w:r>
        <w:rPr>
          <w:rFonts w:hint="eastAsia" w:asciiTheme="minorEastAsia" w:hAnsiTheme="minorEastAsia" w:eastAsiaTheme="minorEastAsia"/>
          <w:color w:val="auto"/>
          <w:highlight w:val="none"/>
        </w:rPr>
        <w:t>，包括磋商文件的澄清或修改（如有），参考资料及有关附件，</w:t>
      </w:r>
      <w:r>
        <w:rPr>
          <w:rFonts w:hint="eastAsia" w:asciiTheme="minorEastAsia" w:hAnsiTheme="minorEastAsia" w:eastAsiaTheme="minorEastAsia"/>
          <w:color w:val="auto"/>
          <w:szCs w:val="21"/>
          <w:highlight w:val="none"/>
        </w:rPr>
        <w:t>我方正式认可并遵守本项目磋商文件</w:t>
      </w:r>
      <w:r>
        <w:rPr>
          <w:rFonts w:hint="eastAsia" w:asciiTheme="minorEastAsia" w:hAnsiTheme="minorEastAsia" w:eastAsiaTheme="minorEastAsia"/>
          <w:color w:val="auto"/>
          <w:highlight w:val="none"/>
        </w:rPr>
        <w:t>，并对磋商文件各项条款、规定及要求均无异议。</w:t>
      </w:r>
      <w:r>
        <w:rPr>
          <w:rFonts w:hint="eastAsia" w:asciiTheme="minorEastAsia" w:hAnsiTheme="minorEastAsia" w:eastAsiaTheme="minorEastAsia"/>
          <w:color w:val="auto"/>
          <w:szCs w:val="21"/>
          <w:highlight w:val="none"/>
        </w:rPr>
        <w:t>我方知道必须放弃提出含糊不清或误解问题的权利</w:t>
      </w:r>
      <w:r>
        <w:rPr>
          <w:rFonts w:hint="eastAsia"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szCs w:val="21"/>
          <w:highlight w:val="none"/>
        </w:rPr>
        <w:t>我方的响应文件在磋商文件规定的响应有效期之前均对我方具有约束力</w:t>
      </w:r>
      <w:r>
        <w:rPr>
          <w:rFonts w:hint="eastAsia"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szCs w:val="21"/>
          <w:highlight w:val="none"/>
        </w:rPr>
        <w:t>我方声明响应文件所提供的一切资料均真实无误</w:t>
      </w:r>
      <w:r>
        <w:rPr>
          <w:rFonts w:hint="eastAsia" w:asciiTheme="minorEastAsia" w:hAnsiTheme="minorEastAsia" w:eastAsiaTheme="minorEastAsia"/>
          <w:color w:val="auto"/>
          <w:highlight w:val="none"/>
        </w:rPr>
        <w:t>、及时、有效，企业（单位）运营正常。</w:t>
      </w:r>
      <w:r>
        <w:rPr>
          <w:rFonts w:hint="eastAsia" w:asciiTheme="minorEastAsia" w:hAnsiTheme="minorEastAsia" w:eastAsiaTheme="minorEastAsia"/>
          <w:color w:val="auto"/>
          <w:szCs w:val="21"/>
          <w:highlight w:val="none"/>
        </w:rPr>
        <w:t>由于我方提供资料不实而造成的责任和后果由我方独自承担</w:t>
      </w:r>
      <w:r>
        <w:rPr>
          <w:rFonts w:hint="eastAsia" w:asciiTheme="minorEastAsia" w:hAnsiTheme="minorEastAsia" w:eastAsiaTheme="minorEastAsia"/>
          <w:color w:val="auto"/>
          <w:highlight w:val="none"/>
        </w:rPr>
        <w:t>。我方同意按照贵方提出的要求，提供与本项目磋商有关的任何证据、数据或资料。</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r>
        <w:rPr>
          <w:rFonts w:hint="eastAsia" w:asciiTheme="minorEastAsia" w:hAnsiTheme="minorEastAsia" w:eastAsiaTheme="minorEastAsia"/>
          <w:color w:val="auto"/>
          <w:szCs w:val="21"/>
          <w:highlight w:val="none"/>
        </w:rPr>
        <w:t>我方完全理解最低报价并不是获得成交的唯一标准</w:t>
      </w:r>
      <w:r>
        <w:rPr>
          <w:rFonts w:hint="eastAsia"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szCs w:val="21"/>
          <w:highlight w:val="none"/>
        </w:rPr>
        <w:t>，承诺按照磋商文件规定的金额、时间和方式支付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8.所有有关本次磋商的函电请寄：</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szCs w:val="21"/>
          <w:highlight w:val="none"/>
        </w:rPr>
        <w:t xml:space="preserve">   电子邮箱： </w:t>
      </w:r>
      <w:r>
        <w:rPr>
          <w:rFonts w:hint="eastAsia" w:asciiTheme="minorEastAsia" w:hAnsiTheme="minorEastAsia" w:eastAsiaTheme="minorEastAsia"/>
          <w:color w:val="auto"/>
          <w:highlight w:val="none"/>
          <w:u w:val="single"/>
        </w:rPr>
        <w:t xml:space="preserve">           </w:t>
      </w:r>
    </w:p>
    <w:p>
      <w:pPr>
        <w:snapToGrid w:val="0"/>
        <w:spacing w:line="360" w:lineRule="auto"/>
        <w:rPr>
          <w:rFonts w:asciiTheme="minorEastAsia" w:hAnsiTheme="minorEastAsia" w:eastAsiaTheme="minorEastAsia"/>
          <w:color w:val="auto"/>
          <w:highlight w:val="none"/>
          <w:u w:val="single"/>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szCs w:val="21"/>
          <w:highlight w:val="none"/>
        </w:rPr>
        <w:t xml:space="preserve">   邮编：</w:t>
      </w:r>
      <w:r>
        <w:rPr>
          <w:rFonts w:hint="eastAsia" w:asciiTheme="minorEastAsia" w:hAnsiTheme="minorEastAsia" w:eastAsiaTheme="minorEastAsia"/>
          <w:color w:val="auto"/>
          <w:highlight w:val="none"/>
          <w:u w:val="single"/>
        </w:rPr>
        <w:t xml:space="preserve">           </w:t>
      </w:r>
    </w:p>
    <w:p>
      <w:pPr>
        <w:snapToGrid w:val="0"/>
        <w:spacing w:line="360" w:lineRule="auto"/>
        <w:ind w:right="-214" w:rightChars="-102"/>
        <w:jc w:val="left"/>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pPr>
        <w:widowControl/>
        <w:jc w:val="left"/>
        <w:rPr>
          <w:rFonts w:ascii="Arial" w:hAnsi="Arial" w:eastAsia="黑体"/>
          <w:b/>
          <w:bCs/>
          <w:color w:val="auto"/>
          <w:kern w:val="0"/>
          <w:sz w:val="32"/>
          <w:szCs w:val="32"/>
          <w:highlight w:val="none"/>
        </w:rPr>
      </w:pPr>
      <w:r>
        <w:rPr>
          <w:color w:val="auto"/>
          <w:highlight w:val="none"/>
        </w:rPr>
        <w:br w:type="page"/>
      </w:r>
    </w:p>
    <w:p>
      <w:pPr>
        <w:pStyle w:val="3"/>
        <w:spacing w:line="360" w:lineRule="auto"/>
        <w:ind w:left="0" w:leftChars="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法定代表人授权委托书</w:t>
      </w:r>
    </w:p>
    <w:p>
      <w:pPr>
        <w:pStyle w:val="3"/>
        <w:spacing w:after="0" w:line="360" w:lineRule="auto"/>
        <w:ind w:left="0" w:leftChars="0"/>
        <w:rPr>
          <w:rFonts w:asciiTheme="minorEastAsia" w:hAnsiTheme="minorEastAsia" w:eastAsiaTheme="minorEastAsia"/>
          <w:b/>
          <w:color w:val="auto"/>
          <w:sz w:val="21"/>
          <w:szCs w:val="21"/>
          <w:highlight w:val="none"/>
        </w:rPr>
      </w:pP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浙江商业技师学院、宁波名诚招标代理有限公司</w:t>
      </w:r>
    </w:p>
    <w:p>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（供应商名称）   </w:t>
      </w:r>
      <w:r>
        <w:rPr>
          <w:rFonts w:hint="eastAsia" w:asciiTheme="minorEastAsia" w:hAnsiTheme="minorEastAsia" w:eastAsiaTheme="minorEastAsia"/>
          <w:color w:val="auto"/>
          <w:szCs w:val="21"/>
          <w:highlight w:val="none"/>
        </w:rPr>
        <w:t>的法定代表人，现授权委托</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、身份证号：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以我方的名义参加</w:t>
      </w:r>
      <w:r>
        <w:rPr>
          <w:rFonts w:hint="eastAsia" w:asciiTheme="minorEastAsia" w:hAnsiTheme="minorEastAsia" w:eastAsiaTheme="minorEastAsia"/>
          <w:color w:val="auto"/>
          <w:szCs w:val="21"/>
          <w:highlight w:val="none"/>
          <w:u w:val="single"/>
        </w:rPr>
        <w:t xml:space="preserve">  浙江商业技师学院学生餐厅改造项目（项目编号：NBMC-20249046SJ磋） </w:t>
      </w:r>
      <w:r>
        <w:rPr>
          <w:rFonts w:hint="eastAsia" w:cs="仿宋_GB2312" w:asciiTheme="minorEastAsia" w:hAnsiTheme="minorEastAsia" w:eastAsiaTheme="minorEastAsia"/>
          <w:color w:val="auto"/>
          <w:kern w:val="0"/>
          <w:highlight w:val="none"/>
          <w:lang w:val="zh-CN"/>
        </w:rPr>
        <w:t>政府采购磋商响应的一切事项，其法律后果由我方承担。</w:t>
      </w:r>
    </w:p>
    <w:p>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授权代表无转委托权，特此授权。</w:t>
      </w: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授权委托日期：</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widowControl/>
        <w:jc w:val="left"/>
        <w:rPr>
          <w:rFonts w:asciiTheme="minorEastAsia" w:hAnsiTheme="minorEastAsia" w:eastAsiaTheme="minorEastAsia"/>
          <w:color w:val="auto"/>
          <w:szCs w:val="21"/>
          <w:highlight w:val="none"/>
        </w:rPr>
      </w:pPr>
    </w:p>
    <w:p>
      <w:pPr>
        <w:pStyle w:val="5"/>
        <w:rPr>
          <w:color w:val="auto"/>
          <w:highlight w:val="none"/>
        </w:rPr>
      </w:pPr>
    </w:p>
    <w:p>
      <w:pPr>
        <w:rPr>
          <w:color w:val="auto"/>
          <w:highlight w:val="none"/>
        </w:rPr>
      </w:pPr>
      <w:r>
        <w:rPr>
          <w:rFonts w:hint="eastAsia" w:ascii="宋体" w:hAnsi="宋体"/>
          <w:color w:val="auto"/>
          <w:szCs w:val="21"/>
          <w:highlight w:val="none"/>
        </w:rPr>
        <w:t>注：后附授权代表身份证正反面复印件</w:t>
      </w:r>
    </w:p>
    <w:p>
      <w:pPr>
        <w:snapToGrid w:val="0"/>
        <w:spacing w:line="360" w:lineRule="auto"/>
        <w:jc w:val="left"/>
        <w:rPr>
          <w:rFonts w:asciiTheme="minorEastAsia" w:hAnsiTheme="minorEastAsia" w:eastAsiaTheme="minorEastAsia"/>
          <w:color w:val="auto"/>
          <w:szCs w:val="21"/>
          <w:highlight w:val="none"/>
        </w:rPr>
      </w:pPr>
    </w:p>
    <w:p>
      <w:pPr>
        <w:pStyle w:val="3"/>
        <w:spacing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b/>
          <w:color w:val="auto"/>
          <w:sz w:val="21"/>
          <w:szCs w:val="21"/>
          <w:highlight w:val="none"/>
        </w:rPr>
        <w:t>（3）</w:t>
      </w:r>
      <w:r>
        <w:rPr>
          <w:rFonts w:hint="eastAsia" w:cs="宋体" w:asciiTheme="minorEastAsia" w:hAnsiTheme="minorEastAsia" w:eastAsiaTheme="minorEastAsia"/>
          <w:b/>
          <w:color w:val="auto"/>
          <w:sz w:val="21"/>
          <w:szCs w:val="21"/>
          <w:highlight w:val="none"/>
        </w:rPr>
        <w:t>评委打分</w:t>
      </w:r>
      <w:r>
        <w:rPr>
          <w:rFonts w:hint="eastAsia" w:asciiTheme="minorEastAsia" w:hAnsiTheme="minorEastAsia" w:eastAsiaTheme="minorEastAsia"/>
          <w:b/>
          <w:color w:val="auto"/>
          <w:sz w:val="21"/>
          <w:szCs w:val="21"/>
          <w:highlight w:val="none"/>
        </w:rPr>
        <w:t>索引表</w:t>
      </w:r>
    </w:p>
    <w:tbl>
      <w:tblPr>
        <w:tblStyle w:val="5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742"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评审因素</w:t>
            </w:r>
          </w:p>
        </w:tc>
        <w:tc>
          <w:tcPr>
            <w:tcW w:w="170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文件或证明材料所在页码区间</w:t>
            </w:r>
          </w:p>
        </w:tc>
        <w:tc>
          <w:tcPr>
            <w:tcW w:w="2835"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自评得分（由评委进行主观评审的无需填写自评得分）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742"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742"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742"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742"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3742"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742"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bl>
    <w:p>
      <w:pPr>
        <w:pStyle w:val="3"/>
        <w:spacing w:before="142" w:beforeLines="50" w:line="360" w:lineRule="auto"/>
        <w:ind w:left="141" w:leftChars="6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注：按照评委打分表内容逐项填写，报价部分无需列入。</w:t>
      </w:r>
    </w:p>
    <w:p>
      <w:pPr>
        <w:pStyle w:val="3"/>
        <w:spacing w:line="360" w:lineRule="auto"/>
        <w:rPr>
          <w:rFonts w:asciiTheme="minorEastAsia" w:hAnsiTheme="minorEastAsia" w:eastAsiaTheme="minorEastAsia"/>
          <w:b/>
          <w:color w:val="auto"/>
          <w:sz w:val="21"/>
          <w:szCs w:val="21"/>
          <w:highlight w:val="none"/>
        </w:rPr>
      </w:pPr>
    </w:p>
    <w:p>
      <w:pPr>
        <w:snapToGrid w:val="0"/>
        <w:spacing w:before="50" w:after="50" w:line="360" w:lineRule="auto"/>
        <w:ind w:left="-21" w:leftChars="-72" w:right="-817" w:rightChars="-389" w:hanging="130" w:hangingChars="62"/>
        <w:rPr>
          <w:rFonts w:asciiTheme="minorEastAsia" w:hAnsiTheme="minorEastAsia" w:eastAsiaTheme="minorEastAsia"/>
          <w:color w:val="auto"/>
          <w:szCs w:val="21"/>
          <w:highlight w:val="none"/>
        </w:rPr>
      </w:pPr>
    </w:p>
    <w:p>
      <w:pPr>
        <w:pStyle w:val="3"/>
        <w:spacing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1"/>
          <w:sz w:val="21"/>
          <w:szCs w:val="21"/>
          <w:highlight w:val="none"/>
        </w:rPr>
        <w:br w:type="page"/>
      </w:r>
    </w:p>
    <w:p>
      <w:pPr>
        <w:pStyle w:val="3"/>
        <w:spacing w:line="360" w:lineRule="auto"/>
        <w:ind w:left="0" w:leftChars="0"/>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（4）商务要求响应表</w:t>
      </w:r>
    </w:p>
    <w:tbl>
      <w:tblPr>
        <w:tblStyle w:val="51"/>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4253"/>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1"/>
                <w:szCs w:val="21"/>
                <w:highlight w:val="none"/>
              </w:rPr>
              <w:t>项目</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的商务要求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施工准备时间</w:t>
            </w: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lang w:val="en-US" w:eastAsia="zh-CN"/>
              </w:rPr>
              <w:t>采购结果公告</w:t>
            </w:r>
            <w:r>
              <w:rPr>
                <w:rFonts w:hint="eastAsia" w:ascii="宋体" w:hAnsi="宋体"/>
                <w:color w:val="auto"/>
                <w:szCs w:val="21"/>
                <w:highlight w:val="none"/>
              </w:rPr>
              <w:t>期限届满之日（本公告发布之日后第2个工作日）</w:t>
            </w:r>
            <w:r>
              <w:rPr>
                <w:rFonts w:hint="eastAsia" w:ascii="宋体" w:hAnsi="宋体"/>
                <w:color w:val="auto"/>
                <w:szCs w:val="21"/>
                <w:highlight w:val="none"/>
                <w:lang w:val="en-US" w:eastAsia="zh-CN"/>
              </w:rPr>
              <w:t>起</w:t>
            </w:r>
            <w:r>
              <w:rPr>
                <w:rFonts w:hint="eastAsia" w:ascii="宋体" w:hAnsi="宋体"/>
                <w:color w:val="auto"/>
                <w:szCs w:val="21"/>
                <w:highlight w:val="none"/>
              </w:rPr>
              <w:t>3个工作日内完成</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w:t>
            </w: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lang w:val="en-US" w:eastAsia="zh-CN"/>
              </w:rPr>
              <w:t>40</w:t>
            </w:r>
            <w:r>
              <w:rPr>
                <w:rFonts w:hint="eastAsia" w:ascii="宋体" w:hAnsi="宋体" w:cs="宋体"/>
                <w:color w:val="auto"/>
                <w:szCs w:val="21"/>
                <w:highlight w:val="none"/>
              </w:rPr>
              <w:t>日历天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延误合同工期赔偿标准</w:t>
            </w: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 xml:space="preserve">1000 </w:t>
            </w:r>
            <w:r>
              <w:rPr>
                <w:rFonts w:hint="eastAsia" w:ascii="宋体" w:hAnsi="宋体" w:cs="宋体"/>
                <w:color w:val="auto"/>
                <w:szCs w:val="21"/>
                <w:highlight w:val="none"/>
              </w:rPr>
              <w:t>元/天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履约担保（履约保证金）</w:t>
            </w: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承包人应在签订合同签订时提交合同金额1</w:t>
            </w:r>
            <w:r>
              <w:rPr>
                <w:rFonts w:ascii="宋体" w:hAnsi="宋体" w:cs="宋体"/>
                <w:color w:val="auto"/>
                <w:szCs w:val="21"/>
                <w:highlight w:val="none"/>
              </w:rPr>
              <w:t>%</w:t>
            </w:r>
            <w:r>
              <w:rPr>
                <w:rFonts w:hint="eastAsia" w:ascii="宋体" w:hAnsi="宋体" w:cs="宋体"/>
                <w:color w:val="auto"/>
                <w:szCs w:val="21"/>
                <w:highlight w:val="none"/>
              </w:rPr>
              <w:t>的履约担保（履约保证金），以银行保函或保险保单或保证金形式提交。履约担保在发包人出具工程接收证书后无息退还。</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1843"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民工工资</w:t>
            </w:r>
          </w:p>
        </w:tc>
        <w:tc>
          <w:tcPr>
            <w:tcW w:w="4253"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承诺不拖欠民工工资</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施工地点</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宁波市江北区文教路80号浙江商业技师学院内</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安全要求</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合格。</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质量要求</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按国家施工验收规范一次性验收合格。</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kern w:val="1"/>
                <w:szCs w:val="21"/>
                <w:highlight w:val="none"/>
              </w:rPr>
              <w:t>产品质量保证</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供应商保证应用于本项目的产品必须是全新出厂原装合格产品,如发生所供的产品与合同不符,采购人有权拒收或退货,由此产生的一切责任和后果由供应商承担。</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p>
        </w:tc>
        <w:tc>
          <w:tcPr>
            <w:tcW w:w="1843" w:type="dxa"/>
            <w:tcBorders>
              <w:top w:val="single" w:color="auto" w:sz="4" w:space="0"/>
              <w:left w:val="single" w:color="auto" w:sz="4" w:space="0"/>
              <w:right w:val="single" w:color="auto" w:sz="4" w:space="0"/>
            </w:tcBorders>
            <w:vAlign w:val="center"/>
          </w:tcPr>
          <w:p>
            <w:pPr>
              <w:rPr>
                <w:rFonts w:ascii="宋体" w:hAnsi="宋体" w:cs="宋体"/>
                <w:color w:val="auto"/>
                <w:kern w:val="1"/>
                <w:szCs w:val="21"/>
                <w:highlight w:val="none"/>
              </w:rPr>
            </w:pPr>
            <w:r>
              <w:rPr>
                <w:rFonts w:hint="eastAsia" w:ascii="宋体" w:hAnsi="宋体" w:cs="仿宋"/>
                <w:color w:val="auto"/>
                <w:kern w:val="0"/>
                <w:szCs w:val="21"/>
                <w:highlight w:val="none"/>
              </w:rPr>
              <w:t>质量标准</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s="仿宋"/>
                <w:color w:val="auto"/>
                <w:kern w:val="0"/>
                <w:szCs w:val="21"/>
                <w:highlight w:val="none"/>
              </w:rPr>
              <w:t>项目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宋体" w:hAnsi="宋体" w:cs="仿宋"/>
                <w:color w:val="auto"/>
                <w:kern w:val="0"/>
                <w:szCs w:val="21"/>
                <w:highlight w:val="none"/>
              </w:rPr>
              <w:t>11</w:t>
            </w:r>
          </w:p>
        </w:tc>
        <w:tc>
          <w:tcPr>
            <w:tcW w:w="1843" w:type="dxa"/>
            <w:tcBorders>
              <w:top w:val="single" w:color="auto" w:sz="4" w:space="0"/>
              <w:left w:val="single" w:color="auto" w:sz="4" w:space="0"/>
              <w:right w:val="single" w:color="auto" w:sz="4" w:space="0"/>
            </w:tcBorders>
            <w:vAlign w:val="center"/>
          </w:tcPr>
          <w:p>
            <w:pPr>
              <w:rPr>
                <w:rFonts w:ascii="宋体" w:hAnsi="宋体" w:cs="仿宋"/>
                <w:color w:val="auto"/>
                <w:kern w:val="0"/>
                <w:szCs w:val="21"/>
                <w:highlight w:val="none"/>
              </w:rPr>
            </w:pPr>
            <w:r>
              <w:rPr>
                <w:rFonts w:hint="eastAsia" w:ascii="宋体" w:hAnsi="宋体" w:cs="仿宋"/>
                <w:color w:val="auto"/>
                <w:kern w:val="0"/>
                <w:szCs w:val="21"/>
                <w:highlight w:val="none"/>
              </w:rPr>
              <w:t>工程联系单</w:t>
            </w:r>
          </w:p>
        </w:tc>
        <w:tc>
          <w:tcPr>
            <w:tcW w:w="4253" w:type="dxa"/>
            <w:tcBorders>
              <w:top w:val="single" w:color="auto" w:sz="4" w:space="0"/>
              <w:left w:val="single" w:color="auto" w:sz="4" w:space="0"/>
              <w:right w:val="single" w:color="auto" w:sz="4" w:space="0"/>
            </w:tcBorders>
            <w:vAlign w:val="center"/>
          </w:tcPr>
          <w:p>
            <w:pPr>
              <w:rPr>
                <w:rFonts w:ascii="宋体" w:hAnsi="宋体" w:cs="仿宋"/>
                <w:color w:val="auto"/>
                <w:kern w:val="0"/>
                <w:szCs w:val="21"/>
                <w:highlight w:val="none"/>
              </w:rPr>
            </w:pPr>
            <w:r>
              <w:rPr>
                <w:rFonts w:hint="eastAsia" w:ascii="宋体" w:hAnsi="宋体" w:cs="仿宋"/>
                <w:color w:val="auto"/>
                <w:kern w:val="0"/>
                <w:szCs w:val="21"/>
                <w:highlight w:val="none"/>
              </w:rPr>
              <w:t>因弱电机房与消控中心在同一房间内，消防设施的增加、维修和改造过程中涉及弱电机房改动等工作内容均由供应商自行估算计入到本次磋商响应报价内，在施工过程中不能以此向采购人要求增加工程量和联系单。</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w:t>
            </w:r>
          </w:p>
        </w:tc>
        <w:tc>
          <w:tcPr>
            <w:tcW w:w="1843" w:type="dxa"/>
            <w:tcBorders>
              <w:top w:val="single" w:color="auto" w:sz="4" w:space="0"/>
              <w:left w:val="single" w:color="auto" w:sz="4" w:space="0"/>
              <w:right w:val="single" w:color="auto" w:sz="4" w:space="0"/>
            </w:tcBorders>
            <w:vAlign w:val="center"/>
          </w:tcPr>
          <w:p>
            <w:pPr>
              <w:rPr>
                <w:rFonts w:ascii="宋体" w:hAnsi="宋体"/>
                <w:color w:val="auto"/>
                <w:kern w:val="1"/>
                <w:szCs w:val="21"/>
                <w:highlight w:val="none"/>
              </w:rPr>
            </w:pPr>
            <w:r>
              <w:rPr>
                <w:rFonts w:hint="eastAsia" w:ascii="宋体" w:hAnsi="宋体" w:cs="宋体"/>
                <w:color w:val="auto"/>
                <w:szCs w:val="21"/>
                <w:highlight w:val="none"/>
              </w:rPr>
              <w:t>验收标准</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color w:val="auto"/>
                <w:highlight w:val="none"/>
              </w:rPr>
              <w:t>按国家施工验收规范验收</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3</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签订合同时间</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成交人在领职成交通知书后5个工作日内与采购人签订合同，如未按要求的时限签订合同，视成交人主动放弃成交资格，采购人将选择排序第二的成交候选人成交本项目，以此类推。</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4</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合同款项支付条件及方式</w:t>
            </w:r>
          </w:p>
        </w:tc>
        <w:tc>
          <w:tcPr>
            <w:tcW w:w="4253" w:type="dxa"/>
            <w:tcBorders>
              <w:top w:val="single" w:color="auto" w:sz="4" w:space="0"/>
              <w:left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1.合同签订生效</w:t>
            </w:r>
            <w:r>
              <w:rPr>
                <w:rFonts w:hint="eastAsia" w:ascii="宋体" w:hAnsi="宋体"/>
                <w:color w:val="auto"/>
                <w:szCs w:val="21"/>
                <w:highlight w:val="none"/>
                <w:lang w:eastAsia="zh-CN"/>
              </w:rPr>
              <w:t>，乙方开具发票后</w:t>
            </w:r>
            <w:r>
              <w:rPr>
                <w:rFonts w:hint="eastAsia" w:ascii="宋体" w:hAnsi="宋体"/>
                <w:color w:val="auto"/>
                <w:szCs w:val="21"/>
                <w:highlight w:val="none"/>
              </w:rPr>
              <w:t>7个工作日内支付合同价款的40%作为预付款；</w:t>
            </w:r>
          </w:p>
          <w:p>
            <w:pPr>
              <w:spacing w:line="300" w:lineRule="exact"/>
              <w:rPr>
                <w:rFonts w:ascii="宋体" w:hAnsi="宋体"/>
                <w:color w:val="auto"/>
                <w:szCs w:val="21"/>
                <w:highlight w:val="none"/>
              </w:rPr>
            </w:pPr>
            <w:r>
              <w:rPr>
                <w:rFonts w:hint="eastAsia" w:ascii="宋体" w:hAnsi="宋体"/>
                <w:color w:val="auto"/>
                <w:szCs w:val="21"/>
                <w:highlight w:val="none"/>
              </w:rPr>
              <w:t>2.工程竣工</w:t>
            </w:r>
            <w:r>
              <w:rPr>
                <w:rFonts w:hint="eastAsia" w:ascii="宋体" w:hAnsi="宋体"/>
                <w:color w:val="auto"/>
                <w:szCs w:val="21"/>
                <w:highlight w:val="none"/>
                <w:lang w:eastAsia="zh-CN"/>
              </w:rPr>
              <w:t>，</w:t>
            </w:r>
            <w:r>
              <w:rPr>
                <w:rFonts w:hint="eastAsia" w:ascii="宋体" w:hAnsi="宋体"/>
                <w:color w:val="auto"/>
                <w:szCs w:val="21"/>
                <w:highlight w:val="none"/>
              </w:rPr>
              <w:t>验收合格</w:t>
            </w:r>
            <w:r>
              <w:rPr>
                <w:rFonts w:hint="eastAsia" w:ascii="宋体" w:hAnsi="宋体"/>
                <w:color w:val="auto"/>
                <w:szCs w:val="21"/>
                <w:highlight w:val="none"/>
                <w:lang w:eastAsia="zh-CN"/>
              </w:rPr>
              <w:t>，</w:t>
            </w:r>
            <w:r>
              <w:rPr>
                <w:rFonts w:hint="eastAsia" w:ascii="宋体" w:hAnsi="宋体"/>
                <w:color w:val="auto"/>
                <w:szCs w:val="21"/>
                <w:highlight w:val="none"/>
              </w:rPr>
              <w:t>并在乙方开具发票后7个工作日内支付至合同总价的70%；</w:t>
            </w:r>
          </w:p>
          <w:p>
            <w:pPr>
              <w:rPr>
                <w:color w:val="auto"/>
                <w:highlight w:val="none"/>
              </w:rPr>
            </w:pPr>
            <w:r>
              <w:rPr>
                <w:rFonts w:hint="eastAsia" w:ascii="宋体" w:hAnsi="宋体"/>
                <w:color w:val="auto"/>
                <w:szCs w:val="21"/>
                <w:highlight w:val="none"/>
              </w:rPr>
              <w:t>3.乙方提供结算资料，经第三方审核出具结算报告，并在乙方开具发票后7个工作日内支付至审定价的100%。</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5</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s="仿宋"/>
                <w:color w:val="auto"/>
                <w:kern w:val="0"/>
                <w:szCs w:val="21"/>
                <w:highlight w:val="none"/>
              </w:rPr>
              <w:t>发票要求</w:t>
            </w:r>
          </w:p>
        </w:tc>
        <w:tc>
          <w:tcPr>
            <w:tcW w:w="4253" w:type="dxa"/>
            <w:tcBorders>
              <w:top w:val="single" w:color="auto" w:sz="4" w:space="0"/>
              <w:left w:val="single" w:color="auto" w:sz="4" w:space="0"/>
              <w:right w:val="single" w:color="auto" w:sz="4" w:space="0"/>
            </w:tcBorders>
            <w:vAlign w:val="center"/>
          </w:tcPr>
          <w:p>
            <w:pPr>
              <w:tabs>
                <w:tab w:val="left" w:pos="0"/>
              </w:tabs>
              <w:adjustRightInd w:val="0"/>
              <w:snapToGrid w:val="0"/>
              <w:rPr>
                <w:rFonts w:ascii="宋体" w:hAnsi="宋体" w:cs="仿宋"/>
                <w:color w:val="auto"/>
                <w:kern w:val="0"/>
                <w:szCs w:val="21"/>
                <w:highlight w:val="none"/>
              </w:rPr>
            </w:pPr>
            <w:r>
              <w:rPr>
                <w:rFonts w:hint="eastAsia" w:ascii="宋体" w:hAnsi="宋体" w:cs="仿宋"/>
                <w:color w:val="auto"/>
                <w:kern w:val="0"/>
                <w:szCs w:val="21"/>
                <w:highlight w:val="none"/>
              </w:rPr>
              <w:t>1.成交供应商应在采购人支付费用前，依据相应的金额，先行向采购人提供足额且符合税法规定的发票。采购人在收到成交供应商提供的发票后在合同约定的时间支付相应款项，否则采购人有权延迟支付相应费用而不被视为违约，亦无须承担任何违约责任。</w:t>
            </w:r>
          </w:p>
          <w:p>
            <w:pPr>
              <w:ind w:right="-107" w:rightChars="-51"/>
              <w:rPr>
                <w:rFonts w:ascii="宋体" w:hAnsi="宋体"/>
                <w:color w:val="auto"/>
                <w:szCs w:val="21"/>
                <w:highlight w:val="none"/>
              </w:rPr>
            </w:pPr>
            <w:r>
              <w:rPr>
                <w:rFonts w:hint="eastAsia" w:ascii="宋体" w:hAnsi="宋体" w:cs="仿宋"/>
                <w:color w:val="auto"/>
                <w:kern w:val="0"/>
                <w:szCs w:val="21"/>
                <w:highlight w:val="none"/>
              </w:rPr>
              <w:t>2.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6</w:t>
            </w:r>
          </w:p>
        </w:tc>
        <w:tc>
          <w:tcPr>
            <w:tcW w:w="184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其他</w:t>
            </w:r>
          </w:p>
        </w:tc>
        <w:tc>
          <w:tcPr>
            <w:tcW w:w="425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s="仿宋"/>
                <w:color w:val="auto"/>
                <w:kern w:val="0"/>
                <w:szCs w:val="21"/>
                <w:highlight w:val="none"/>
              </w:rPr>
              <w:t>在合同执行过程中，成交供应商应承担由于其行为所造成的采购人或第三人的人身伤害、财产损失或损坏的责任，无论何种原因造成，与采购人无涉，由此导致的损失由成交供应商承担，无论何种原因采购人先行支付的，采购人有权向供应商进行追偿。</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bl>
    <w:p>
      <w:pPr>
        <w:snapToGrid w:val="0"/>
        <w:spacing w:before="50" w:after="50" w:line="360" w:lineRule="auto"/>
        <w:ind w:left="-23" w:leftChars="-11" w:right="-57" w:rightChars="-27" w:firstLine="21" w:firstLineChars="1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注：磋商响应栏填写“响应”即为满足</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的要求，填写“正偏离”即为优于</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的要求，填写“负偏离”即为不能满足</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的要求，磋商响应有“正偏离”和“负偏离”的应当在“偏离说明”栏进行明确描述，响应情况由磋商小组认定。</w:t>
      </w: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3"/>
        <w:spacing w:line="360" w:lineRule="auto"/>
        <w:ind w:left="0" w:leftChars="0"/>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（5）技术及其他要求响应表</w:t>
      </w:r>
    </w:p>
    <w:tbl>
      <w:tblPr>
        <w:tblStyle w:val="51"/>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3686"/>
        <w:gridCol w:w="1842"/>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1"/>
                <w:szCs w:val="21"/>
                <w:highlight w:val="none"/>
              </w:rPr>
              <w:t>项目</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建设内容</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szCs w:val="21"/>
                <w:highlight w:val="none"/>
              </w:rPr>
              <w:t>工程施工图范围内的餐厅改造工程内容。</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工程量清单</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具体要求详见工程量清单</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图纸</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具体要求详见图纸</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技术要求</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按照国家及地方颁发的现行相关建筑工程施工及验收规范、标准，组织实施本项目工程的施工。</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76" w:type="dxa"/>
            <w:vMerge w:val="restart"/>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其他要求</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拟派本项目的项目经理须具备</w:t>
            </w:r>
            <w:r>
              <w:rPr>
                <w:rFonts w:hint="eastAsia" w:ascii="宋体" w:hAnsi="宋体" w:cs="宋体"/>
                <w:color w:val="auto"/>
                <w:szCs w:val="21"/>
                <w:highlight w:val="none"/>
                <w:u w:val="single"/>
              </w:rPr>
              <w:t>注册建造师贰级及以上执业资格</w:t>
            </w:r>
            <w:r>
              <w:rPr>
                <w:rFonts w:hint="eastAsia" w:ascii="宋体" w:hAnsi="宋体" w:cs="宋体"/>
                <w:color w:val="auto"/>
                <w:szCs w:val="21"/>
                <w:highlight w:val="none"/>
              </w:rPr>
              <w:t>，具有有效的安全生产考核合格证（B证），响应文件中提供项目经理的执业资格证书及安全生产考核合格证书复印件；</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auto"/>
                <w:highlight w:val="none"/>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auto"/>
                <w:szCs w:val="21"/>
                <w:highlight w:val="none"/>
              </w:rPr>
            </w:pPr>
            <w:r>
              <w:rPr>
                <w:rFonts w:hint="eastAsia" w:asciiTheme="minorEastAsia" w:hAnsiTheme="minorEastAsia" w:eastAsiaTheme="minorEastAsia"/>
                <w:color w:val="auto"/>
                <w:highlight w:val="none"/>
              </w:rPr>
              <w:t>供应商响应文件应提供“</w:t>
            </w:r>
            <w:r>
              <w:rPr>
                <w:rFonts w:hint="eastAsia" w:asciiTheme="majorEastAsia" w:hAnsiTheme="majorEastAsia" w:eastAsiaTheme="majorEastAsia"/>
                <w:color w:val="auto"/>
                <w:highlight w:val="none"/>
              </w:rPr>
              <w:t>项目班子及劳动力配备方案</w:t>
            </w:r>
            <w:r>
              <w:rPr>
                <w:rFonts w:hint="eastAsia" w:asciiTheme="minorEastAsia" w:hAnsiTheme="minorEastAsia" w:eastAsiaTheme="minorEastAsia"/>
                <w:color w:val="auto"/>
                <w:highlight w:val="none"/>
              </w:rPr>
              <w:t>”</w:t>
            </w:r>
            <w:r>
              <w:rPr>
                <w:rFonts w:hint="eastAsia" w:ascii="宋体" w:hAnsi="宋体" w:cs="宋体"/>
                <w:bCs/>
                <w:color w:val="auto"/>
                <w:szCs w:val="21"/>
                <w:highlight w:val="none"/>
              </w:rPr>
              <w:t>。</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p>
        </w:tc>
      </w:tr>
    </w:tbl>
    <w:p>
      <w:pPr>
        <w:snapToGrid w:val="0"/>
        <w:spacing w:line="360" w:lineRule="auto"/>
        <w:ind w:left="-23" w:leftChars="-11" w:right="-57" w:rightChars="-27" w:firstLine="21" w:firstLineChars="10"/>
        <w:rPr>
          <w:rFonts w:ascii="宋体" w:hAnsi="宋体"/>
          <w:color w:val="auto"/>
          <w:highlight w:val="none"/>
        </w:rPr>
      </w:pPr>
      <w:r>
        <w:rPr>
          <w:rFonts w:hint="eastAsia" w:ascii="宋体" w:hAnsi="宋体"/>
          <w:color w:val="auto"/>
          <w:highlight w:val="none"/>
        </w:rPr>
        <w:t>注：响应情况栏填写“响应”即为满足磋商</w:t>
      </w:r>
      <w:r>
        <w:rPr>
          <w:rFonts w:ascii="宋体" w:hAnsi="宋体"/>
          <w:color w:val="auto"/>
          <w:highlight w:val="none"/>
        </w:rPr>
        <w:t>文件</w:t>
      </w:r>
      <w:r>
        <w:rPr>
          <w:rFonts w:hint="eastAsia" w:ascii="宋体" w:hAnsi="宋体"/>
          <w:color w:val="auto"/>
          <w:highlight w:val="none"/>
        </w:rPr>
        <w:t>的要求，填写“正偏离”为优于磋商</w:t>
      </w:r>
      <w:r>
        <w:rPr>
          <w:rFonts w:ascii="宋体" w:hAnsi="宋体"/>
          <w:color w:val="auto"/>
          <w:highlight w:val="none"/>
        </w:rPr>
        <w:t>文件</w:t>
      </w:r>
      <w:r>
        <w:rPr>
          <w:rFonts w:hint="eastAsia" w:ascii="宋体" w:hAnsi="宋体"/>
          <w:color w:val="auto"/>
          <w:highlight w:val="none"/>
        </w:rPr>
        <w:t>的要求，填写“负偏离”为不能满足磋商</w:t>
      </w:r>
      <w:r>
        <w:rPr>
          <w:rFonts w:ascii="宋体" w:hAnsi="宋体"/>
          <w:color w:val="auto"/>
          <w:highlight w:val="none"/>
        </w:rPr>
        <w:t>文件</w:t>
      </w:r>
      <w:r>
        <w:rPr>
          <w:rFonts w:hint="eastAsia" w:ascii="宋体" w:hAnsi="宋体"/>
          <w:color w:val="auto"/>
          <w:highlight w:val="none"/>
        </w:rPr>
        <w:t>的要求，响应条款有“正偏离”和“负偏离”的应当在“偏离情况说明”栏进行明确描述，响应情况由磋商小组认定。</w:t>
      </w:r>
    </w:p>
    <w:p>
      <w:pPr>
        <w:snapToGrid w:val="0"/>
        <w:spacing w:before="50" w:after="50" w:line="360" w:lineRule="auto"/>
        <w:ind w:left="-23" w:leftChars="-11" w:right="-57" w:rightChars="-27" w:firstLine="21" w:firstLineChars="10"/>
        <w:rPr>
          <w:rFonts w:asciiTheme="minorEastAsia" w:hAnsiTheme="minorEastAsia" w:eastAsiaTheme="minorEastAsia"/>
          <w:color w:val="auto"/>
          <w:szCs w:val="21"/>
          <w:highlight w:val="none"/>
        </w:rPr>
      </w:pPr>
    </w:p>
    <w:p>
      <w:pPr>
        <w:snapToGrid w:val="0"/>
        <w:spacing w:before="50" w:after="50" w:line="360" w:lineRule="auto"/>
        <w:ind w:right="-57" w:rightChars="-27"/>
        <w:rPr>
          <w:color w:val="auto"/>
          <w:highlight w:val="none"/>
        </w:rPr>
      </w:pPr>
      <w:r>
        <w:rPr>
          <w:rFonts w:asciiTheme="minorEastAsia" w:hAnsiTheme="minorEastAsia" w:eastAsiaTheme="minorEastAsia"/>
          <w:color w:val="auto"/>
          <w:szCs w:val="21"/>
          <w:highlight w:val="none"/>
        </w:rPr>
        <w:br w:type="page"/>
      </w:r>
    </w:p>
    <w:p>
      <w:pPr>
        <w:pStyle w:val="3"/>
        <w:spacing w:line="360" w:lineRule="auto"/>
        <w:ind w:left="0" w:leftChars="0"/>
        <w:jc w:val="center"/>
        <w:rPr>
          <w:rFonts w:cs="宋体" w:asciiTheme="minorEastAsia" w:hAnsiTheme="minorEastAsia" w:eastAsiaTheme="minorEastAsia"/>
          <w:b/>
          <w:color w:val="auto"/>
          <w:sz w:val="21"/>
          <w:szCs w:val="21"/>
          <w:highlight w:val="none"/>
        </w:rPr>
      </w:pPr>
      <w:bookmarkStart w:id="82" w:name="_Toc15852046"/>
      <w:r>
        <w:rPr>
          <w:rFonts w:hint="eastAsia" w:cs="宋体" w:asciiTheme="minorEastAsia" w:hAnsiTheme="minorEastAsia" w:eastAsiaTheme="minorEastAsia"/>
          <w:b/>
          <w:color w:val="auto"/>
          <w:sz w:val="21"/>
          <w:szCs w:val="21"/>
          <w:highlight w:val="none"/>
        </w:rPr>
        <w:t>（6）项目管理机构</w:t>
      </w:r>
      <w:bookmarkEnd w:id="82"/>
    </w:p>
    <w:p>
      <w:pPr>
        <w:keepNext/>
        <w:keepLines/>
        <w:rPr>
          <w:rFonts w:ascii="宋体" w:hAnsi="宋体" w:cs="宋体"/>
          <w:b/>
          <w:color w:val="auto"/>
          <w:highlight w:val="none"/>
        </w:rPr>
      </w:pPr>
      <w:r>
        <w:rPr>
          <w:rFonts w:hint="eastAsia" w:ascii="宋体" w:hAnsi="宋体" w:cs="宋体"/>
          <w:b/>
          <w:color w:val="auto"/>
          <w:highlight w:val="none"/>
        </w:rPr>
        <w:t>1）项目管理机构组成表</w:t>
      </w:r>
    </w:p>
    <w:tbl>
      <w:tblPr>
        <w:tblStyle w:val="51"/>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pPr>
              <w:spacing w:line="360" w:lineRule="auto"/>
              <w:rPr>
                <w:rFonts w:ascii="宋体" w:hAnsi="宋体" w:cs="宋体"/>
                <w:color w:val="auto"/>
                <w:szCs w:val="21"/>
                <w:highlight w:val="none"/>
              </w:rPr>
            </w:pPr>
          </w:p>
        </w:tc>
        <w:tc>
          <w:tcPr>
            <w:tcW w:w="726" w:type="dxa"/>
            <w:vMerge w:val="continue"/>
          </w:tcPr>
          <w:p>
            <w:pPr>
              <w:spacing w:line="360" w:lineRule="auto"/>
              <w:rPr>
                <w:rFonts w:ascii="宋体" w:hAnsi="宋体" w:cs="宋体"/>
                <w:color w:val="auto"/>
                <w:szCs w:val="21"/>
                <w:highlight w:val="none"/>
              </w:rPr>
            </w:pPr>
          </w:p>
        </w:tc>
        <w:tc>
          <w:tcPr>
            <w:tcW w:w="889" w:type="dxa"/>
            <w:vMerge w:val="continue"/>
          </w:tcPr>
          <w:p>
            <w:pPr>
              <w:spacing w:line="360" w:lineRule="auto"/>
              <w:rPr>
                <w:rFonts w:ascii="宋体" w:hAnsi="宋体" w:cs="宋体"/>
                <w:color w:val="auto"/>
                <w:szCs w:val="21"/>
                <w:highlight w:val="none"/>
              </w:rPr>
            </w:pPr>
          </w:p>
        </w:tc>
        <w:tc>
          <w:tcPr>
            <w:tcW w:w="14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ind w:firstLine="420" w:firstLineChars="200"/>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宋体" w:hAnsi="宋体" w:cs="宋体"/>
                <w:color w:val="auto"/>
                <w:szCs w:val="21"/>
                <w:highlight w:val="none"/>
              </w:rPr>
            </w:pPr>
          </w:p>
        </w:tc>
        <w:tc>
          <w:tcPr>
            <w:tcW w:w="726"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451" w:type="dxa"/>
          </w:tcPr>
          <w:p>
            <w:pPr>
              <w:spacing w:line="360" w:lineRule="auto"/>
              <w:rPr>
                <w:rFonts w:ascii="宋体" w:hAnsi="宋体" w:cs="宋体"/>
                <w:color w:val="auto"/>
                <w:szCs w:val="21"/>
                <w:highlight w:val="none"/>
              </w:rPr>
            </w:pPr>
          </w:p>
        </w:tc>
        <w:tc>
          <w:tcPr>
            <w:tcW w:w="900" w:type="dxa"/>
          </w:tcPr>
          <w:p>
            <w:pPr>
              <w:spacing w:line="360" w:lineRule="auto"/>
              <w:rPr>
                <w:rFonts w:ascii="宋体" w:hAnsi="宋体" w:cs="宋体"/>
                <w:color w:val="auto"/>
                <w:szCs w:val="21"/>
                <w:highlight w:val="none"/>
              </w:rPr>
            </w:pPr>
          </w:p>
        </w:tc>
        <w:tc>
          <w:tcPr>
            <w:tcW w:w="1080" w:type="dxa"/>
          </w:tcPr>
          <w:p>
            <w:pPr>
              <w:spacing w:line="360" w:lineRule="auto"/>
              <w:rPr>
                <w:rFonts w:ascii="宋体" w:hAnsi="宋体" w:cs="宋体"/>
                <w:color w:val="auto"/>
                <w:szCs w:val="21"/>
                <w:highlight w:val="none"/>
              </w:rPr>
            </w:pPr>
          </w:p>
        </w:tc>
        <w:tc>
          <w:tcPr>
            <w:tcW w:w="1286" w:type="dxa"/>
          </w:tcPr>
          <w:p>
            <w:pPr>
              <w:spacing w:line="360" w:lineRule="auto"/>
              <w:rPr>
                <w:rFonts w:ascii="宋体" w:hAnsi="宋体" w:cs="宋体"/>
                <w:color w:val="auto"/>
                <w:szCs w:val="21"/>
                <w:highlight w:val="none"/>
              </w:rPr>
            </w:pPr>
          </w:p>
        </w:tc>
        <w:tc>
          <w:tcPr>
            <w:tcW w:w="1328" w:type="dxa"/>
          </w:tcPr>
          <w:p>
            <w:pPr>
              <w:spacing w:line="360" w:lineRule="auto"/>
              <w:rPr>
                <w:rFonts w:ascii="宋体" w:hAnsi="宋体" w:cs="宋体"/>
                <w:color w:val="auto"/>
                <w:szCs w:val="21"/>
                <w:highlight w:val="none"/>
              </w:rPr>
            </w:pPr>
          </w:p>
        </w:tc>
        <w:tc>
          <w:tcPr>
            <w:tcW w:w="1069" w:type="dxa"/>
          </w:tcPr>
          <w:p>
            <w:pPr>
              <w:spacing w:line="360" w:lineRule="auto"/>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本表应包括项目经理、项目技术负责人、施工员、质量员、安全员等关键岗位人员。</w:t>
      </w:r>
    </w:p>
    <w:p>
      <w:pPr>
        <w:spacing w:line="360" w:lineRule="auto"/>
        <w:rPr>
          <w:rFonts w:cs="宋体"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参与评审及实施的人员由供应商在响应文件中提供供应商在响应截止时间当月或前三个月内任意一个月为该人员交纳社保的证明材料，社保证明必须是社保机构出具，可以是政务系统下载文件的复制件。</w:t>
      </w:r>
    </w:p>
    <w:p>
      <w:pPr>
        <w:pStyle w:val="67"/>
        <w:rPr>
          <w:color w:val="auto"/>
          <w:highlight w:val="none"/>
        </w:rPr>
      </w:pPr>
    </w:p>
    <w:p>
      <w:pPr>
        <w:pStyle w:val="67"/>
        <w:rPr>
          <w:color w:val="auto"/>
          <w:highlight w:val="none"/>
        </w:rPr>
      </w:pPr>
    </w:p>
    <w:p>
      <w:pPr>
        <w:pStyle w:val="67"/>
        <w:rPr>
          <w:color w:val="auto"/>
          <w:highlight w:val="none"/>
        </w:rPr>
      </w:pPr>
    </w:p>
    <w:p>
      <w:pPr>
        <w:pStyle w:val="67"/>
        <w:rPr>
          <w:color w:val="auto"/>
          <w:highlight w:val="none"/>
        </w:rPr>
        <w:sectPr>
          <w:headerReference r:id="rId11" w:type="default"/>
          <w:footerReference r:id="rId12" w:type="default"/>
          <w:pgSz w:w="11907" w:h="16840"/>
          <w:pgMar w:top="1440" w:right="1701" w:bottom="1440" w:left="1701" w:header="720" w:footer="720" w:gutter="0"/>
          <w:cols w:space="720" w:num="1"/>
          <w:docGrid w:type="lines" w:linePitch="285" w:charSpace="0"/>
        </w:sectPr>
      </w:pPr>
    </w:p>
    <w:p>
      <w:pPr>
        <w:keepNext/>
        <w:keepLines/>
        <w:rPr>
          <w:rFonts w:ascii="宋体" w:hAnsi="宋体" w:cs="宋体"/>
          <w:b/>
          <w:color w:val="auto"/>
          <w:highlight w:val="none"/>
        </w:rPr>
      </w:pPr>
      <w:r>
        <w:rPr>
          <w:rFonts w:hint="eastAsia" w:ascii="宋体" w:hAnsi="宋体" w:cs="宋体"/>
          <w:b/>
          <w:color w:val="auto"/>
          <w:highlight w:val="none"/>
        </w:rPr>
        <w:t>2）主要人员简历表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25" w:type="dxa"/>
            <w:vAlign w:val="center"/>
          </w:tcPr>
          <w:p>
            <w:pPr>
              <w:rPr>
                <w:rFonts w:ascii="宋体" w:hAnsi="宋体" w:cs="宋体"/>
                <w:color w:val="auto"/>
                <w:szCs w:val="21"/>
                <w:highlight w:val="none"/>
              </w:rPr>
            </w:pPr>
          </w:p>
        </w:tc>
        <w:tc>
          <w:tcPr>
            <w:tcW w:w="10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40" w:type="dxa"/>
            <w:gridSpan w:val="2"/>
            <w:vAlign w:val="center"/>
          </w:tcPr>
          <w:p>
            <w:pPr>
              <w:rPr>
                <w:rFonts w:ascii="宋体" w:hAnsi="宋体" w:cs="宋体"/>
                <w:color w:val="auto"/>
                <w:szCs w:val="21"/>
                <w:highlight w:val="none"/>
              </w:rPr>
            </w:pPr>
          </w:p>
        </w:tc>
        <w:tc>
          <w:tcPr>
            <w:tcW w:w="198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1789"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25" w:type="dxa"/>
            <w:vAlign w:val="center"/>
          </w:tcPr>
          <w:p>
            <w:pPr>
              <w:rPr>
                <w:rFonts w:ascii="宋体" w:hAnsi="宋体" w:cs="宋体"/>
                <w:color w:val="auto"/>
                <w:szCs w:val="21"/>
                <w:highlight w:val="none"/>
              </w:rPr>
            </w:pPr>
          </w:p>
        </w:tc>
        <w:tc>
          <w:tcPr>
            <w:tcW w:w="10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40" w:type="dxa"/>
            <w:gridSpan w:val="2"/>
            <w:vAlign w:val="center"/>
          </w:tcPr>
          <w:p>
            <w:pPr>
              <w:rPr>
                <w:rFonts w:ascii="宋体" w:hAnsi="宋体" w:cs="宋体"/>
                <w:color w:val="auto"/>
                <w:szCs w:val="21"/>
                <w:highlight w:val="none"/>
              </w:rPr>
            </w:pPr>
          </w:p>
        </w:tc>
        <w:tc>
          <w:tcPr>
            <w:tcW w:w="198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89"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914" w:type="dxa"/>
            <w:gridSpan w:val="7"/>
            <w:vAlign w:val="center"/>
          </w:tcPr>
          <w:p>
            <w:pPr>
              <w:ind w:firstLine="525" w:firstLineChars="250"/>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vAlign w:val="center"/>
          </w:tcPr>
          <w:p>
            <w:pPr>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60"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92"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51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0" w:type="dxa"/>
            <w:vAlign w:val="center"/>
          </w:tcPr>
          <w:p>
            <w:pPr>
              <w:rPr>
                <w:rFonts w:ascii="宋体" w:hAnsi="宋体" w:cs="宋体"/>
                <w:color w:val="auto"/>
                <w:szCs w:val="21"/>
                <w:highlight w:val="none"/>
              </w:rPr>
            </w:pPr>
          </w:p>
        </w:tc>
        <w:tc>
          <w:tcPr>
            <w:tcW w:w="3960" w:type="dxa"/>
            <w:gridSpan w:val="4"/>
            <w:vAlign w:val="center"/>
          </w:tcPr>
          <w:p>
            <w:pPr>
              <w:rPr>
                <w:rFonts w:ascii="宋体" w:hAnsi="宋体" w:cs="宋体"/>
                <w:color w:val="auto"/>
                <w:szCs w:val="21"/>
                <w:highlight w:val="none"/>
              </w:rPr>
            </w:pPr>
          </w:p>
        </w:tc>
        <w:tc>
          <w:tcPr>
            <w:tcW w:w="1792" w:type="dxa"/>
            <w:gridSpan w:val="2"/>
            <w:vAlign w:val="center"/>
          </w:tcPr>
          <w:p>
            <w:pPr>
              <w:rPr>
                <w:rFonts w:ascii="宋体" w:hAnsi="宋体" w:cs="宋体"/>
                <w:color w:val="auto"/>
                <w:szCs w:val="21"/>
                <w:highlight w:val="none"/>
              </w:rPr>
            </w:pPr>
          </w:p>
        </w:tc>
        <w:tc>
          <w:tcPr>
            <w:tcW w:w="2517" w:type="dxa"/>
            <w:gridSpan w:val="2"/>
            <w:vAlign w:val="center"/>
          </w:tcPr>
          <w:p>
            <w:pPr>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后附：项目经理的注册执业资格证书、安全生产考核合格证书（B证）等复印件，或其他人员的相关证书复印件。</w:t>
      </w:r>
    </w:p>
    <w:p>
      <w:pPr>
        <w:spacing w:line="360" w:lineRule="auto"/>
        <w:ind w:firstLine="420" w:firstLineChars="200"/>
        <w:rPr>
          <w:rFonts w:cs="宋体"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adjustRightInd w:val="0"/>
        <w:snapToGrid w:val="0"/>
        <w:spacing w:line="480" w:lineRule="auto"/>
        <w:jc w:val="center"/>
        <w:rPr>
          <w:rFonts w:ascii="宋体" w:hAnsi="宋体" w:cs="宋体"/>
          <w:b/>
          <w:color w:val="auto"/>
          <w:highlight w:val="non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val="en-US" w:eastAsia="zh-CN"/>
        </w:rPr>
        <w:t>7</w:t>
      </w:r>
      <w:r>
        <w:rPr>
          <w:rFonts w:hint="eastAsia" w:asciiTheme="minorEastAsia" w:hAnsiTheme="minorEastAsia" w:eastAsiaTheme="minorEastAsia"/>
          <w:b/>
          <w:color w:val="auto"/>
          <w:szCs w:val="21"/>
          <w:highlight w:val="none"/>
        </w:rPr>
        <w:t>）</w:t>
      </w:r>
      <w:r>
        <w:rPr>
          <w:rFonts w:hint="eastAsia" w:ascii="宋体" w:hAnsi="宋体" w:cs="宋体"/>
          <w:b/>
          <w:color w:val="auto"/>
          <w:highlight w:val="none"/>
        </w:rPr>
        <w:t>施工组织设计</w:t>
      </w:r>
    </w:p>
    <w:p>
      <w:pPr>
        <w:adjustRightInd w:val="0"/>
        <w:snapToGrid w:val="0"/>
        <w:spacing w:line="480" w:lineRule="auto"/>
        <w:ind w:firstLine="420" w:firstLineChars="200"/>
        <w:rPr>
          <w:rFonts w:ascii="宋体" w:hAnsi="宋体" w:cs="宋体"/>
          <w:color w:val="auto"/>
          <w:highlight w:val="none"/>
        </w:rPr>
      </w:pPr>
      <w:r>
        <w:rPr>
          <w:rFonts w:hint="eastAsia" w:ascii="宋体" w:hAnsi="宋体" w:cs="宋体"/>
          <w:color w:val="auto"/>
          <w:highlight w:val="none"/>
        </w:rPr>
        <w:t>应包括但</w:t>
      </w:r>
      <w:r>
        <w:rPr>
          <w:rFonts w:hint="eastAsia" w:ascii="宋体" w:hAnsi="宋体" w:cs="宋体"/>
          <w:color w:val="auto"/>
          <w:szCs w:val="21"/>
          <w:highlight w:val="none"/>
        </w:rPr>
        <w:t>不限于</w:t>
      </w:r>
      <w:r>
        <w:rPr>
          <w:rFonts w:hint="eastAsia" w:ascii="宋体" w:hAnsi="宋体" w:cs="宋体"/>
          <w:color w:val="auto"/>
          <w:highlight w:val="none"/>
        </w:rPr>
        <w:t>施工方案及现场总平面布置</w:t>
      </w:r>
      <w:r>
        <w:rPr>
          <w:rFonts w:hint="eastAsia" w:ascii="宋体" w:hAnsi="宋体" w:cs="宋体"/>
          <w:color w:val="auto"/>
          <w:szCs w:val="21"/>
          <w:highlight w:val="none"/>
        </w:rPr>
        <w:t>、</w:t>
      </w:r>
      <w:r>
        <w:rPr>
          <w:rFonts w:hint="eastAsia" w:ascii="宋体" w:hAnsi="宋体" w:cs="宋体"/>
          <w:color w:val="auto"/>
          <w:highlight w:val="none"/>
        </w:rPr>
        <w:t>确保工程质量的保证措施</w:t>
      </w:r>
      <w:r>
        <w:rPr>
          <w:rFonts w:hint="eastAsia" w:ascii="宋体" w:hAnsi="宋体" w:cs="宋体"/>
          <w:color w:val="auto"/>
          <w:szCs w:val="21"/>
          <w:highlight w:val="none"/>
        </w:rPr>
        <w:t>、</w:t>
      </w:r>
      <w:r>
        <w:rPr>
          <w:rFonts w:hint="eastAsia" w:ascii="宋体" w:hAnsi="宋体" w:cs="宋体"/>
          <w:color w:val="auto"/>
          <w:highlight w:val="none"/>
        </w:rPr>
        <w:t>确保工期的保证措施</w:t>
      </w:r>
      <w:r>
        <w:rPr>
          <w:rFonts w:hint="eastAsia" w:ascii="宋体" w:hAnsi="宋体" w:cs="宋体"/>
          <w:color w:val="auto"/>
          <w:szCs w:val="21"/>
          <w:highlight w:val="none"/>
        </w:rPr>
        <w:t>、</w:t>
      </w:r>
      <w:r>
        <w:rPr>
          <w:rFonts w:hint="eastAsia" w:ascii="宋体" w:hAnsi="宋体" w:cs="宋体"/>
          <w:color w:val="auto"/>
          <w:highlight w:val="none"/>
        </w:rPr>
        <w:t>确保文明及安全施工的保证措施</w:t>
      </w:r>
      <w:r>
        <w:rPr>
          <w:rFonts w:hint="eastAsia" w:ascii="宋体" w:hAnsi="宋体" w:cs="宋体"/>
          <w:color w:val="auto"/>
          <w:szCs w:val="21"/>
          <w:highlight w:val="none"/>
        </w:rPr>
        <w:t>、</w:t>
      </w:r>
      <w:r>
        <w:rPr>
          <w:rFonts w:hint="eastAsia" w:ascii="宋体" w:hAnsi="宋体" w:cs="宋体"/>
          <w:color w:val="auto"/>
          <w:highlight w:val="none"/>
        </w:rPr>
        <w:t>现场施工组织机构</w:t>
      </w:r>
      <w:r>
        <w:rPr>
          <w:rFonts w:hint="eastAsia" w:ascii="宋体" w:hAnsi="宋体" w:cs="宋体"/>
          <w:color w:val="auto"/>
          <w:szCs w:val="21"/>
          <w:highlight w:val="none"/>
        </w:rPr>
        <w:t>、</w:t>
      </w:r>
      <w:r>
        <w:rPr>
          <w:rFonts w:hint="eastAsia" w:ascii="宋体" w:hAnsi="宋体" w:cs="宋体"/>
          <w:color w:val="auto"/>
          <w:highlight w:val="none"/>
        </w:rPr>
        <w:t>工程重点、难点分析及应对措施、有必要说明的其他内容。</w:t>
      </w:r>
    </w:p>
    <w:p>
      <w:pPr>
        <w:pStyle w:val="67"/>
        <w:rPr>
          <w:color w:val="auto"/>
          <w:highlight w:val="none"/>
        </w:rPr>
      </w:pPr>
    </w:p>
    <w:p>
      <w:pPr>
        <w:pStyle w:val="67"/>
        <w:rPr>
          <w:color w:val="auto"/>
          <w:highlight w:val="none"/>
        </w:rPr>
        <w:sectPr>
          <w:headerReference r:id="rId13" w:type="default"/>
          <w:footerReference r:id="rId14" w:type="default"/>
          <w:footerReference r:id="rId15" w:type="even"/>
          <w:pgSz w:w="11906" w:h="16838"/>
          <w:pgMar w:top="1276" w:right="1983" w:bottom="1276" w:left="1610" w:header="851" w:footer="851" w:gutter="0"/>
          <w:cols w:space="720" w:num="1"/>
          <w:docGrid w:linePitch="312" w:charSpace="0"/>
        </w:sectPr>
      </w:pPr>
    </w:p>
    <w:p>
      <w:pPr>
        <w:adjustRightInd w:val="0"/>
        <w:snapToGrid w:val="0"/>
        <w:spacing w:line="480" w:lineRule="auto"/>
        <w:jc w:val="center"/>
        <w:rPr>
          <w:rFonts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eastAsia="zh-CN"/>
        </w:rPr>
        <w:t>8</w:t>
      </w:r>
      <w:r>
        <w:rPr>
          <w:rFonts w:hint="eastAsia" w:ascii="宋体" w:hAnsi="宋体" w:cs="宋体"/>
          <w:b/>
          <w:color w:val="auto"/>
          <w:highlight w:val="none"/>
        </w:rPr>
        <w:t>）拟应用于本项目的主要材料情况表</w:t>
      </w:r>
    </w:p>
    <w:tbl>
      <w:tblPr>
        <w:tblStyle w:val="5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46"/>
        <w:gridCol w:w="1773"/>
        <w:gridCol w:w="1276"/>
        <w:gridCol w:w="992"/>
        <w:gridCol w:w="2835"/>
        <w:gridCol w:w="1134"/>
        <w:gridCol w:w="1152"/>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序号</w:t>
            </w:r>
          </w:p>
        </w:tc>
        <w:tc>
          <w:tcPr>
            <w:tcW w:w="1346"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材料名称</w:t>
            </w:r>
          </w:p>
        </w:tc>
        <w:tc>
          <w:tcPr>
            <w:tcW w:w="1773"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拟使用产品品牌</w:t>
            </w:r>
          </w:p>
        </w:tc>
        <w:tc>
          <w:tcPr>
            <w:tcW w:w="1276" w:type="dxa"/>
            <w:vAlign w:val="center"/>
          </w:tcPr>
          <w:p>
            <w:pPr>
              <w:widowControl/>
              <w:tabs>
                <w:tab w:val="right" w:pos="3144"/>
                <w:tab w:val="left" w:pos="9180"/>
              </w:tabs>
              <w:jc w:val="center"/>
              <w:outlineLvl w:val="0"/>
              <w:rPr>
                <w:rFonts w:ascii="宋体" w:hAnsi="宋体" w:cs="宋体"/>
                <w:color w:val="auto"/>
                <w:szCs w:val="21"/>
                <w:highlight w:val="none"/>
              </w:rPr>
            </w:pPr>
            <w:r>
              <w:rPr>
                <w:rFonts w:hint="eastAsia" w:ascii="宋体" w:hAnsi="宋体" w:cs="宋体"/>
                <w:color w:val="auto"/>
                <w:szCs w:val="21"/>
                <w:highlight w:val="none"/>
              </w:rPr>
              <w:t>规格</w:t>
            </w:r>
          </w:p>
        </w:tc>
        <w:tc>
          <w:tcPr>
            <w:tcW w:w="992" w:type="dxa"/>
            <w:vAlign w:val="center"/>
          </w:tcPr>
          <w:p>
            <w:pPr>
              <w:widowControl/>
              <w:tabs>
                <w:tab w:val="right" w:pos="3144"/>
                <w:tab w:val="left" w:pos="9180"/>
              </w:tabs>
              <w:jc w:val="center"/>
              <w:outlineLvl w:val="0"/>
              <w:rPr>
                <w:rFonts w:ascii="宋体" w:hAnsi="宋体" w:cs="宋体"/>
                <w:color w:val="auto"/>
                <w:szCs w:val="21"/>
                <w:highlight w:val="none"/>
              </w:rPr>
            </w:pPr>
            <w:r>
              <w:rPr>
                <w:rFonts w:hint="eastAsia" w:ascii="宋体" w:hAnsi="宋体" w:cs="宋体"/>
                <w:color w:val="auto"/>
                <w:szCs w:val="21"/>
                <w:highlight w:val="none"/>
              </w:rPr>
              <w:t>型号</w:t>
            </w:r>
          </w:p>
        </w:tc>
        <w:tc>
          <w:tcPr>
            <w:tcW w:w="283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产品的技术指标情况</w:t>
            </w:r>
          </w:p>
        </w:tc>
        <w:tc>
          <w:tcPr>
            <w:tcW w:w="1134" w:type="dxa"/>
            <w:vAlign w:val="center"/>
          </w:tcPr>
          <w:p>
            <w:pPr>
              <w:widowControl/>
              <w:tabs>
                <w:tab w:val="right" w:pos="3144"/>
                <w:tab w:val="left" w:pos="9180"/>
              </w:tabs>
              <w:jc w:val="center"/>
              <w:outlineLvl w:val="0"/>
              <w:rPr>
                <w:rFonts w:ascii="宋体" w:hAnsi="宋体" w:cs="宋体"/>
                <w:color w:val="auto"/>
                <w:szCs w:val="21"/>
                <w:highlight w:val="none"/>
              </w:rPr>
            </w:pPr>
            <w:r>
              <w:rPr>
                <w:rFonts w:hint="eastAsia" w:ascii="宋体" w:hAnsi="宋体" w:cs="宋体"/>
                <w:color w:val="auto"/>
                <w:szCs w:val="21"/>
                <w:highlight w:val="none"/>
              </w:rPr>
              <w:t>采购单价（元）</w:t>
            </w:r>
          </w:p>
        </w:tc>
        <w:tc>
          <w:tcPr>
            <w:tcW w:w="1152" w:type="dxa"/>
            <w:vAlign w:val="center"/>
          </w:tcPr>
          <w:p>
            <w:pPr>
              <w:widowControl/>
              <w:tabs>
                <w:tab w:val="right" w:pos="3144"/>
                <w:tab w:val="left" w:pos="9180"/>
              </w:tabs>
              <w:jc w:val="center"/>
              <w:outlineLvl w:val="0"/>
              <w:rPr>
                <w:rFonts w:ascii="宋体" w:hAnsi="宋体" w:cs="宋体"/>
                <w:color w:val="auto"/>
                <w:szCs w:val="21"/>
                <w:highlight w:val="none"/>
              </w:rPr>
            </w:pPr>
            <w:r>
              <w:rPr>
                <w:rFonts w:hint="eastAsia" w:ascii="宋体" w:hAnsi="宋体" w:cs="宋体"/>
                <w:color w:val="auto"/>
                <w:szCs w:val="21"/>
                <w:highlight w:val="none"/>
              </w:rPr>
              <w:t>采购总价（元）</w:t>
            </w:r>
          </w:p>
        </w:tc>
        <w:tc>
          <w:tcPr>
            <w:tcW w:w="3100" w:type="dxa"/>
            <w:vAlign w:val="center"/>
          </w:tcPr>
          <w:p>
            <w:pPr>
              <w:widowControl/>
              <w:tabs>
                <w:tab w:val="right" w:pos="3144"/>
                <w:tab w:val="left" w:pos="9180"/>
              </w:tabs>
              <w:jc w:val="center"/>
              <w:outlineLvl w:val="0"/>
              <w:rPr>
                <w:rFonts w:ascii="宋体" w:hAnsi="宋体" w:cs="宋体"/>
                <w:color w:val="auto"/>
                <w:szCs w:val="21"/>
                <w:highlight w:val="none"/>
              </w:rPr>
            </w:pPr>
            <w:r>
              <w:rPr>
                <w:rFonts w:hint="eastAsia" w:ascii="宋体" w:hAnsi="宋体" w:cs="宋体"/>
                <w:color w:val="auto"/>
                <w:szCs w:val="21"/>
                <w:highlight w:val="none"/>
              </w:rPr>
              <w:t>采购人推荐品牌（厂家）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1</w:t>
            </w:r>
          </w:p>
        </w:tc>
        <w:tc>
          <w:tcPr>
            <w:tcW w:w="1346" w:type="dxa"/>
            <w:vAlign w:val="center"/>
          </w:tcPr>
          <w:p>
            <w:pPr>
              <w:jc w:val="center"/>
              <w:rPr>
                <w:color w:val="auto"/>
                <w:szCs w:val="21"/>
                <w:highlight w:val="none"/>
              </w:rPr>
            </w:pPr>
          </w:p>
        </w:tc>
        <w:tc>
          <w:tcPr>
            <w:tcW w:w="1773" w:type="dxa"/>
            <w:vAlign w:val="center"/>
          </w:tcPr>
          <w:p>
            <w:pPr>
              <w:adjustRightInd w:val="0"/>
              <w:snapToGrid w:val="0"/>
              <w:jc w:val="center"/>
              <w:rPr>
                <w:rFonts w:ascii="宋体" w:hAnsi="宋体" w:cs="宋体"/>
                <w:color w:val="auto"/>
                <w:szCs w:val="21"/>
                <w:highlight w:val="none"/>
              </w:rPr>
            </w:pPr>
          </w:p>
        </w:tc>
        <w:tc>
          <w:tcPr>
            <w:tcW w:w="1276"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99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283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34"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5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3100" w:type="dxa"/>
            <w:vAlign w:val="center"/>
          </w:tcPr>
          <w:p>
            <w:pPr>
              <w:widowControl/>
              <w:tabs>
                <w:tab w:val="right" w:pos="3144"/>
                <w:tab w:val="left" w:pos="9180"/>
              </w:tabs>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2</w:t>
            </w:r>
          </w:p>
        </w:tc>
        <w:tc>
          <w:tcPr>
            <w:tcW w:w="1346" w:type="dxa"/>
            <w:vAlign w:val="center"/>
          </w:tcPr>
          <w:p>
            <w:pPr>
              <w:jc w:val="center"/>
              <w:rPr>
                <w:color w:val="auto"/>
                <w:szCs w:val="21"/>
                <w:highlight w:val="none"/>
              </w:rPr>
            </w:pPr>
          </w:p>
        </w:tc>
        <w:tc>
          <w:tcPr>
            <w:tcW w:w="1773"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276"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99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283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34"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5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3100" w:type="dxa"/>
            <w:vAlign w:val="center"/>
          </w:tcPr>
          <w:p>
            <w:pPr>
              <w:widowControl/>
              <w:tabs>
                <w:tab w:val="right" w:pos="3144"/>
                <w:tab w:val="left" w:pos="9180"/>
              </w:tabs>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3</w:t>
            </w:r>
          </w:p>
        </w:tc>
        <w:tc>
          <w:tcPr>
            <w:tcW w:w="1346" w:type="dxa"/>
            <w:vAlign w:val="center"/>
          </w:tcPr>
          <w:p>
            <w:pPr>
              <w:jc w:val="center"/>
              <w:rPr>
                <w:color w:val="auto"/>
                <w:szCs w:val="21"/>
                <w:highlight w:val="none"/>
              </w:rPr>
            </w:pPr>
          </w:p>
        </w:tc>
        <w:tc>
          <w:tcPr>
            <w:tcW w:w="1773"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276"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99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283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34"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5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3100" w:type="dxa"/>
            <w:vAlign w:val="center"/>
          </w:tcPr>
          <w:p>
            <w:pPr>
              <w:widowControl/>
              <w:tabs>
                <w:tab w:val="right" w:pos="3144"/>
                <w:tab w:val="left" w:pos="9180"/>
              </w:tabs>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4</w:t>
            </w:r>
          </w:p>
        </w:tc>
        <w:tc>
          <w:tcPr>
            <w:tcW w:w="1346" w:type="dxa"/>
            <w:vAlign w:val="center"/>
          </w:tcPr>
          <w:p>
            <w:pPr>
              <w:jc w:val="center"/>
              <w:rPr>
                <w:color w:val="auto"/>
                <w:szCs w:val="21"/>
                <w:highlight w:val="none"/>
              </w:rPr>
            </w:pPr>
          </w:p>
        </w:tc>
        <w:tc>
          <w:tcPr>
            <w:tcW w:w="1773"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276"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99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283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34"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5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3100" w:type="dxa"/>
            <w:vAlign w:val="center"/>
          </w:tcPr>
          <w:p>
            <w:pPr>
              <w:widowControl/>
              <w:tabs>
                <w:tab w:val="right" w:pos="3144"/>
                <w:tab w:val="left" w:pos="9180"/>
              </w:tabs>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r>
              <w:rPr>
                <w:rFonts w:hint="eastAsia" w:ascii="宋体" w:hAnsi="宋体" w:cs="宋体"/>
                <w:color w:val="auto"/>
                <w:szCs w:val="21"/>
                <w:highlight w:val="none"/>
              </w:rPr>
              <w:t>5</w:t>
            </w:r>
          </w:p>
        </w:tc>
        <w:tc>
          <w:tcPr>
            <w:tcW w:w="1346" w:type="dxa"/>
            <w:vAlign w:val="center"/>
          </w:tcPr>
          <w:p>
            <w:pPr>
              <w:jc w:val="center"/>
              <w:rPr>
                <w:color w:val="auto"/>
                <w:szCs w:val="21"/>
                <w:highlight w:val="none"/>
              </w:rPr>
            </w:pPr>
          </w:p>
        </w:tc>
        <w:tc>
          <w:tcPr>
            <w:tcW w:w="1773"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276"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99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2835"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34"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1152" w:type="dxa"/>
            <w:vAlign w:val="center"/>
          </w:tcPr>
          <w:p>
            <w:pPr>
              <w:widowControl/>
              <w:tabs>
                <w:tab w:val="left" w:pos="3060"/>
                <w:tab w:val="left" w:pos="9180"/>
                <w:tab w:val="left" w:pos="9360"/>
              </w:tabs>
              <w:jc w:val="center"/>
              <w:outlineLvl w:val="0"/>
              <w:rPr>
                <w:rFonts w:ascii="宋体" w:hAnsi="宋体" w:cs="宋体"/>
                <w:color w:val="auto"/>
                <w:szCs w:val="21"/>
                <w:highlight w:val="none"/>
              </w:rPr>
            </w:pPr>
          </w:p>
        </w:tc>
        <w:tc>
          <w:tcPr>
            <w:tcW w:w="3100" w:type="dxa"/>
            <w:vAlign w:val="center"/>
          </w:tcPr>
          <w:p>
            <w:pPr>
              <w:widowControl/>
              <w:tabs>
                <w:tab w:val="right" w:pos="3144"/>
                <w:tab w:val="left" w:pos="9180"/>
              </w:tabs>
              <w:jc w:val="center"/>
              <w:outlineLvl w:val="0"/>
              <w:rPr>
                <w:rFonts w:ascii="宋体" w:hAnsi="宋体" w:cs="宋体"/>
                <w:color w:val="auto"/>
                <w:szCs w:val="21"/>
                <w:highlight w:val="none"/>
              </w:rPr>
            </w:pPr>
          </w:p>
        </w:tc>
      </w:tr>
    </w:tbl>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注：</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1.供应商将拟应用于本项目的产品详细信息填写在本表，并且后附产品的宣传彩页或产品技术资料供磋商小组评审，上述内容亦是采购需求的组成，为保障项目质量，供应商应当选择质量可靠、性能优越的产品应用于本项目。</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2.采购总价按照采购单价结合控制价清单所示数量进行测算并填写。</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ascii="宋体" w:hAnsi="宋体" w:cs="宋体"/>
          <w:bCs/>
          <w:color w:val="auto"/>
          <w:szCs w:val="21"/>
          <w:highlight w:val="none"/>
        </w:rPr>
        <w:t>未在本表列明的产品供应商可以自行添加。</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4.供应商可以在本表的基础上扩展。</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5.供应商如需采用上表所列品牌以外或自行推荐的品牌，必须事先上报并经得采购人认可并同意后才可使用。</w:t>
      </w:r>
    </w:p>
    <w:p>
      <w:pPr>
        <w:pStyle w:val="67"/>
        <w:rPr>
          <w:color w:val="auto"/>
          <w:highlight w:val="none"/>
        </w:rPr>
        <w:sectPr>
          <w:pgSz w:w="16838" w:h="11906" w:orient="landscape"/>
          <w:pgMar w:top="1610" w:right="1276" w:bottom="1983" w:left="1276" w:header="851" w:footer="851" w:gutter="0"/>
          <w:cols w:space="720" w:num="1"/>
          <w:docGrid w:linePitch="312" w:charSpace="0"/>
        </w:sectPr>
      </w:pPr>
    </w:p>
    <w:p>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3.报价要求响应文件的有关格式</w:t>
      </w:r>
    </w:p>
    <w:p>
      <w:pPr>
        <w:pStyle w:val="3"/>
        <w:spacing w:after="0" w:line="360" w:lineRule="auto"/>
        <w:ind w:left="0" w:leftChars="0"/>
        <w:jc w:val="center"/>
        <w:rPr>
          <w:rFonts w:asciiTheme="minorEastAsia" w:hAnsiTheme="minorEastAsia" w:eastAsiaTheme="minorEastAsia"/>
          <w:color w:val="auto"/>
          <w:kern w:val="1"/>
          <w:szCs w:val="21"/>
          <w:highlight w:val="none"/>
        </w:rPr>
      </w:pPr>
      <w:r>
        <w:rPr>
          <w:rFonts w:hint="eastAsia" w:cs="宋体" w:asciiTheme="minorEastAsia" w:hAnsiTheme="minorEastAsia" w:eastAsiaTheme="minorEastAsia"/>
          <w:b/>
          <w:color w:val="auto"/>
          <w:sz w:val="21"/>
          <w:szCs w:val="21"/>
          <w:highlight w:val="none"/>
        </w:rPr>
        <w:t>（1）初次报价表</w:t>
      </w:r>
    </w:p>
    <w:tbl>
      <w:tblPr>
        <w:tblStyle w:val="5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pPr>
              <w:jc w:val="center"/>
              <w:rPr>
                <w:rFonts w:ascii="宋体" w:hAnsi="宋体" w:cs="宋体"/>
                <w:color w:val="auto"/>
                <w:szCs w:val="21"/>
                <w:highlight w:val="none"/>
              </w:rPr>
            </w:pPr>
            <w:r>
              <w:rPr>
                <w:rFonts w:asciiTheme="minorEastAsia" w:hAnsiTheme="minorEastAsia" w:eastAsiaTheme="minorEastAsia"/>
                <w:color w:val="auto"/>
                <w:szCs w:val="21"/>
                <w:highlight w:val="none"/>
              </w:rPr>
              <w:t>项目名称</w:t>
            </w:r>
          </w:p>
        </w:tc>
        <w:tc>
          <w:tcPr>
            <w:tcW w:w="6983" w:type="dxa"/>
            <w:vAlign w:val="center"/>
          </w:tcPr>
          <w:p>
            <w:pPr>
              <w:jc w:val="center"/>
              <w:rPr>
                <w:rFonts w:ascii="宋体" w:hAnsi="宋体" w:cs="宋体"/>
                <w:color w:val="auto"/>
                <w:szCs w:val="21"/>
                <w:highlight w:val="none"/>
              </w:rPr>
            </w:pPr>
            <w:r>
              <w:rPr>
                <w:rFonts w:hint="eastAsia" w:asciiTheme="minorEastAsia" w:hAnsiTheme="minorEastAsia" w:eastAsiaTheme="minorEastAsia"/>
                <w:color w:val="auto"/>
                <w:szCs w:val="21"/>
                <w:highlight w:val="none"/>
              </w:rPr>
              <w:t>浙江商业技师学院学生餐厅改造项目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pPr>
              <w:jc w:val="center"/>
              <w:rPr>
                <w:rFonts w:ascii="宋体" w:hAnsi="宋体" w:cs="宋体"/>
                <w:color w:val="auto"/>
                <w:szCs w:val="21"/>
                <w:highlight w:val="none"/>
              </w:rPr>
            </w:pPr>
            <w:r>
              <w:rPr>
                <w:rFonts w:hint="eastAsia" w:asciiTheme="minorEastAsia" w:hAnsiTheme="minorEastAsia" w:eastAsiaTheme="minorEastAsia"/>
                <w:color w:val="auto"/>
                <w:szCs w:val="21"/>
                <w:highlight w:val="none"/>
              </w:rPr>
              <w:t>项目编号</w:t>
            </w:r>
          </w:p>
        </w:tc>
        <w:tc>
          <w:tcPr>
            <w:tcW w:w="6983" w:type="dxa"/>
            <w:vAlign w:val="center"/>
          </w:tcPr>
          <w:p>
            <w:pPr>
              <w:jc w:val="center"/>
              <w:rPr>
                <w:rFonts w:ascii="宋体" w:hAnsi="宋体" w:cs="宋体"/>
                <w:color w:val="auto"/>
                <w:szCs w:val="21"/>
                <w:highlight w:val="none"/>
              </w:rPr>
            </w:pPr>
            <w:r>
              <w:rPr>
                <w:rFonts w:hint="eastAsia" w:asciiTheme="minorEastAsia" w:hAnsiTheme="minorEastAsia" w:eastAsiaTheme="minorEastAsia"/>
                <w:color w:val="auto"/>
                <w:szCs w:val="21"/>
                <w:highlight w:val="none"/>
              </w:rPr>
              <w:t>NBMC-20249046SJ磋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772"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磋商报价</w:t>
            </w:r>
          </w:p>
        </w:tc>
        <w:tc>
          <w:tcPr>
            <w:tcW w:w="6983" w:type="dxa"/>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小写：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w:t>
            </w:r>
          </w:p>
          <w:p>
            <w:pPr>
              <w:pStyle w:val="2"/>
              <w:rPr>
                <w:rFonts w:hint="eastAsia"/>
                <w:color w:val="auto"/>
                <w:highlight w:val="none"/>
              </w:rPr>
            </w:pPr>
          </w:p>
          <w:p>
            <w:pPr>
              <w:jc w:val="both"/>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72"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w:t>
            </w:r>
          </w:p>
        </w:tc>
        <w:tc>
          <w:tcPr>
            <w:tcW w:w="6983" w:type="dxa"/>
            <w:vAlign w:val="center"/>
          </w:tcPr>
          <w:p>
            <w:pPr>
              <w:jc w:val="both"/>
              <w:rPr>
                <w:rFonts w:hint="eastAsia" w:ascii="宋体" w:hAnsi="宋体" w:cs="宋体"/>
                <w:color w:val="auto"/>
                <w:szCs w:val="21"/>
                <w:highlight w:val="none"/>
                <w:lang w:val="en-US" w:eastAsia="zh-CN"/>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响应文件中《初次报价表》内容与响应文件其它内容不一致的，以《初次报价表》为准。表中大写金额和小写金额不一致的，以大写金额为准。</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工程按施工图和工程量清单，以总价形式进行报价。投标人在编制投标文件时，应根据施工图纸和核准的工程量清单进行报价，如发现工程量清单有漏项、错项及数量有差异等情况时，则须在附件“工程量清单补充说明表”中列出，该部分造价核定后计入投标总价中，投标时须递交“工程量清单补充说明表”；如投标人未列出，则相关费用视为已分摊在工程量清单中其他相关分部分项的单价和价格之中，不另行计量结算与支付（设计变更和双方确认的签证内容除外）。</w:t>
      </w: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pPr>
        <w:widowControl/>
        <w:jc w:val="left"/>
        <w:rPr>
          <w:color w:val="auto"/>
          <w:highlight w:val="none"/>
        </w:rPr>
      </w:pPr>
      <w:r>
        <w:rPr>
          <w:color w:val="auto"/>
          <w:highlight w:val="none"/>
        </w:rPr>
        <w:br w:type="page"/>
      </w:r>
    </w:p>
    <w:p>
      <w:pPr>
        <w:widowControl/>
        <w:jc w:val="left"/>
        <w:rPr>
          <w:rFonts w:asciiTheme="minorEastAsia" w:hAnsiTheme="minorEastAsia" w:eastAsiaTheme="minorEastAsia"/>
          <w:b/>
          <w:color w:val="auto"/>
          <w:szCs w:val="21"/>
          <w:highlight w:val="none"/>
        </w:rPr>
      </w:pPr>
    </w:p>
    <w:p>
      <w:pPr>
        <w:jc w:val="center"/>
        <w:rPr>
          <w:rFonts w:hint="default" w:asciiTheme="minorEastAsia" w:hAnsiTheme="minorEastAsia" w:eastAsiaTheme="minorEastAsia"/>
          <w:b/>
          <w:bCs/>
          <w:color w:val="auto"/>
          <w:highlight w:val="none"/>
          <w:lang w:val="en-US" w:eastAsia="zh-CN"/>
        </w:rPr>
      </w:pPr>
      <w:bookmarkStart w:id="83" w:name="_Toc60582631"/>
      <w:bookmarkStart w:id="84" w:name="_Toc86053877"/>
      <w:r>
        <w:rPr>
          <w:rFonts w:hint="eastAsia" w:asciiTheme="minorEastAsia" w:hAnsiTheme="minorEastAsia" w:eastAsiaTheme="minorEastAsia"/>
          <w:b/>
          <w:bCs/>
          <w:color w:val="auto"/>
          <w:highlight w:val="none"/>
          <w:lang w:eastAsia="zh-CN"/>
        </w:rPr>
        <w:t>（</w:t>
      </w:r>
      <w:r>
        <w:rPr>
          <w:rFonts w:hint="eastAsia" w:asciiTheme="minorEastAsia" w:hAnsiTheme="minorEastAsia" w:eastAsiaTheme="minorEastAsia"/>
          <w:b/>
          <w:bCs/>
          <w:color w:val="auto"/>
          <w:highlight w:val="none"/>
          <w:lang w:val="en-US" w:eastAsia="zh-CN"/>
        </w:rPr>
        <w:t>2</w:t>
      </w:r>
      <w:r>
        <w:rPr>
          <w:rFonts w:hint="eastAsia" w:asciiTheme="minorEastAsia" w:hAnsiTheme="minorEastAsia" w:eastAsiaTheme="minorEastAsia"/>
          <w:b/>
          <w:bCs/>
          <w:color w:val="auto"/>
          <w:highlight w:val="none"/>
          <w:lang w:eastAsia="zh-CN"/>
        </w:rPr>
        <w:t>）</w:t>
      </w:r>
      <w:r>
        <w:rPr>
          <w:rFonts w:hint="eastAsia" w:asciiTheme="minorEastAsia" w:hAnsiTheme="minorEastAsia" w:eastAsiaTheme="minorEastAsia"/>
          <w:b/>
          <w:bCs/>
          <w:color w:val="auto"/>
          <w:highlight w:val="none"/>
          <w:lang w:val="en-US" w:eastAsia="zh-CN"/>
        </w:rPr>
        <w:t>工程量报价表（工程量表格见采购公告附件）</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4"/>
        <w:rPr>
          <w:rFonts w:asciiTheme="minorEastAsia" w:hAnsiTheme="minorEastAsia" w:eastAsiaTheme="minorEastAsia"/>
          <w:color w:val="auto"/>
          <w:sz w:val="44"/>
          <w:highlight w:val="none"/>
        </w:rPr>
      </w:pPr>
      <w:r>
        <w:rPr>
          <w:rFonts w:hint="eastAsia" w:asciiTheme="minorEastAsia" w:hAnsiTheme="minorEastAsia" w:eastAsiaTheme="minorEastAsia"/>
          <w:color w:val="auto"/>
          <w:highlight w:val="none"/>
        </w:rPr>
        <w:t>第七章  政府采购供应商质疑函及投诉书</w:t>
      </w:r>
      <w:bookmarkEnd w:id="83"/>
      <w:r>
        <w:rPr>
          <w:rFonts w:hint="eastAsia" w:asciiTheme="minorEastAsia" w:hAnsiTheme="minorEastAsia" w:eastAsiaTheme="minorEastAsia"/>
          <w:color w:val="auto"/>
          <w:highlight w:val="none"/>
        </w:rPr>
        <w:t>范本</w:t>
      </w:r>
      <w:bookmarkEnd w:id="84"/>
    </w:p>
    <w:p>
      <w:pPr>
        <w:jc w:val="center"/>
        <w:rPr>
          <w:rFonts w:cs="宋体" w:asciiTheme="minorEastAsia" w:hAnsiTheme="minorEastAsia" w:eastAsiaTheme="minorEastAsia"/>
          <w:b/>
          <w:bCs/>
          <w:color w:val="auto"/>
          <w:sz w:val="28"/>
          <w:szCs w:val="44"/>
          <w:highlight w:val="none"/>
        </w:rPr>
      </w:pPr>
      <w:r>
        <w:rPr>
          <w:rFonts w:hint="eastAsia" w:cs="宋体" w:asciiTheme="minorEastAsia" w:hAnsiTheme="minorEastAsia" w:eastAsiaTheme="minorEastAsia"/>
          <w:b/>
          <w:bCs/>
          <w:color w:val="auto"/>
          <w:sz w:val="28"/>
          <w:szCs w:val="44"/>
          <w:highlight w:val="none"/>
        </w:rPr>
        <w:t>质疑函</w:t>
      </w:r>
    </w:p>
    <w:p>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一、质疑供应商基本信息</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质疑供应商：</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地址：</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联系人：</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授权代表：</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r>
        <w:rPr>
          <w:rFonts w:cs="仿宋" w:asciiTheme="minorEastAsia" w:hAnsiTheme="minorEastAsia" w:eastAsiaTheme="minorEastAsia"/>
          <w:color w:val="auto"/>
          <w:sz w:val="22"/>
          <w:highlight w:val="none"/>
        </w:rPr>
        <w:t xml:space="preserve"> </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地址：</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b/>
          <w:color w:val="auto"/>
          <w:sz w:val="22"/>
          <w:highlight w:val="none"/>
        </w:rPr>
      </w:pPr>
      <w:r>
        <w:rPr>
          <w:rFonts w:hint="eastAsia" w:cs="仿宋" w:asciiTheme="minorEastAsia" w:hAnsiTheme="minorEastAsia" w:eastAsiaTheme="minorEastAsia"/>
          <w:b/>
          <w:color w:val="auto"/>
          <w:sz w:val="22"/>
          <w:highlight w:val="none"/>
        </w:rPr>
        <w:t>质疑函补正文书、质疑回复送达方式确认，按质疑供应商确认的送达方式进行文书送达视同送达。</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二、质疑项目基本情况</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质疑项目的名称：</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质疑项目的编号：</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包号：</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采购人名称：</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采购文件获取日期：</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三、质疑事项具体内容</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质疑事项1：</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事实依据：</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法律依据：</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质疑事项2</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w:t>
      </w:r>
    </w:p>
    <w:p>
      <w:pPr>
        <w:adjustRightInd w:val="0"/>
        <w:snapToGrid w:val="0"/>
        <w:spacing w:line="360" w:lineRule="auto"/>
        <w:rPr>
          <w:rFonts w:cs="仿宋" w:asciiTheme="minorEastAsia" w:hAnsiTheme="minorEastAsia" w:eastAsiaTheme="minorEastAsia"/>
          <w:bCs/>
          <w:color w:val="auto"/>
          <w:sz w:val="22"/>
          <w:highlight w:val="none"/>
        </w:rPr>
      </w:pPr>
    </w:p>
    <w:p>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四、与质疑事项相关的质疑请求</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请求：</w:t>
      </w:r>
      <w:r>
        <w:rPr>
          <w:rFonts w:hint="eastAsia" w:cs="仿宋" w:asciiTheme="minorEastAsia" w:hAnsiTheme="minorEastAsia" w:eastAsiaTheme="minorEastAsia"/>
          <w:color w:val="auto"/>
          <w:sz w:val="22"/>
          <w:highlight w:val="none"/>
          <w:u w:val="dotted"/>
        </w:rPr>
        <w:t xml:space="preserve">                                               </w:t>
      </w:r>
    </w:p>
    <w:p>
      <w:pPr>
        <w:spacing w:line="360" w:lineRule="auto"/>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签字(签章)：                   公章：                      </w:t>
      </w:r>
    </w:p>
    <w:p>
      <w:pPr>
        <w:spacing w:line="360" w:lineRule="auto"/>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日期：    </w:t>
      </w:r>
    </w:p>
    <w:p>
      <w:pPr>
        <w:adjustRightInd w:val="0"/>
        <w:snapToGrid w:val="0"/>
        <w:spacing w:line="360" w:lineRule="auto"/>
        <w:rPr>
          <w:rFonts w:cs="仿宋" w:asciiTheme="minorEastAsia" w:hAnsiTheme="minorEastAsia" w:eastAsiaTheme="minorEastAsia"/>
          <w:color w:val="auto"/>
          <w:sz w:val="24"/>
          <w:highlight w:val="none"/>
        </w:rPr>
      </w:pP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质疑函制作说明：</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1.供应商提出质疑时，应提交质疑函及质疑函电子文档和必要的证明材料。</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3.质疑供应商若对项目的某一分包进行质疑，质疑函中应列明具体分包号。</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4.质疑函的质疑事项应具体、明确，并有必要的事实依据和法律依据。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5.质疑函的质疑请求应与质疑事项相关。</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widowControl/>
        <w:jc w:val="center"/>
        <w:rPr>
          <w:rFonts w:cs="宋体" w:asciiTheme="minorEastAsia" w:hAnsiTheme="minorEastAsia" w:eastAsiaTheme="minorEastAsia"/>
          <w:b/>
          <w:bCs/>
          <w:color w:val="auto"/>
          <w:sz w:val="28"/>
          <w:szCs w:val="44"/>
          <w:highlight w:val="none"/>
        </w:rPr>
      </w:pPr>
      <w:r>
        <w:rPr>
          <w:rFonts w:asciiTheme="minorEastAsia" w:hAnsiTheme="minorEastAsia" w:eastAsiaTheme="minorEastAsia"/>
          <w:b/>
          <w:color w:val="auto"/>
          <w:szCs w:val="21"/>
          <w:highlight w:val="none"/>
        </w:rPr>
        <w:br w:type="page"/>
      </w:r>
      <w:r>
        <w:rPr>
          <w:rFonts w:hint="eastAsia" w:cs="宋体" w:asciiTheme="minorEastAsia" w:hAnsiTheme="minorEastAsia" w:eastAsiaTheme="minorEastAsia"/>
          <w:b/>
          <w:bCs/>
          <w:color w:val="auto"/>
          <w:sz w:val="28"/>
          <w:szCs w:val="44"/>
          <w:highlight w:val="none"/>
        </w:rPr>
        <w:t>投诉书</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一、投诉相关主体基本情况</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tabs>
          <w:tab w:val="left" w:pos="6510"/>
        </w:tabs>
        <w:jc w:val="lef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法定代表人/主要负责人：</w:t>
      </w:r>
      <w:r>
        <w:rPr>
          <w:rFonts w:hint="eastAsia" w:asciiTheme="minorEastAsia" w:hAnsiTheme="minorEastAsia" w:eastAsiaTheme="minorEastAsia"/>
          <w:color w:val="auto"/>
          <w:sz w:val="22"/>
          <w:highlight w:val="none"/>
          <w:u w:val="dotted"/>
        </w:rPr>
        <w:t xml:space="preserve">                               </w:t>
      </w:r>
    </w:p>
    <w:p>
      <w:pPr>
        <w:tabs>
          <w:tab w:val="left" w:pos="6510"/>
        </w:tabs>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授权代表：</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u w:val="single"/>
        </w:rPr>
        <w:t xml:space="preserve"> </w:t>
      </w:r>
      <w:r>
        <w:rPr>
          <w:rFonts w:hint="eastAsia" w:asciiTheme="minorEastAsia" w:hAnsiTheme="minorEastAsia" w:eastAsiaTheme="minorEastAsia"/>
          <w:color w:val="auto"/>
          <w:sz w:val="22"/>
          <w:highlight w:val="none"/>
          <w:u w:val="dotted"/>
        </w:rPr>
        <w:t xml:space="preserve">      </w:t>
      </w:r>
    </w:p>
    <w:p>
      <w:pPr>
        <w:rPr>
          <w:rFonts w:cs="仿宋" w:asciiTheme="minorEastAsia" w:hAnsiTheme="minorEastAsia" w:eastAsiaTheme="minorEastAsia"/>
          <w:b/>
          <w:color w:val="auto"/>
          <w:sz w:val="22"/>
          <w:highlight w:val="none"/>
        </w:rPr>
      </w:pPr>
      <w:r>
        <w:rPr>
          <w:rFonts w:hint="eastAsia" w:asciiTheme="minorEastAsia" w:hAnsiTheme="minorEastAsia" w:eastAsiaTheme="minorEastAsia"/>
          <w:b/>
          <w:color w:val="auto"/>
          <w:sz w:val="22"/>
          <w:highlight w:val="none"/>
        </w:rPr>
        <w:t>投诉补正通知书、投诉受理通知书、投诉不予受理通知书、投诉调查函的送达方式确认，</w:t>
      </w:r>
      <w:r>
        <w:rPr>
          <w:rFonts w:hint="eastAsia" w:cs="仿宋" w:asciiTheme="minorEastAsia" w:hAnsiTheme="minorEastAsia" w:eastAsiaTheme="minorEastAsia"/>
          <w:b/>
          <w:color w:val="auto"/>
          <w:sz w:val="22"/>
          <w:highlight w:val="none"/>
        </w:rPr>
        <w:t>按投诉供应商确认的送达方式进行上述文书送达视同送达。</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rPr>
      </w:pP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被投诉人1：</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被投诉人2</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相关供应商（或其他第三人）：</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二、投诉项目基本情况</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采购项目名称：</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采购项目编号：</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包号：</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采购人名称：</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代理机构名称：</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采购文件公告: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采购结果公告: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三、质疑基本情况</w:t>
      </w:r>
    </w:p>
    <w:p>
      <w:pPr>
        <w:ind w:firstLine="440" w:firstLineChars="20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日,向</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提出质疑，质疑事项为：</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pPr>
        <w:ind w:firstLine="330" w:firstLineChars="1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u w:val="dotted"/>
        </w:rPr>
        <w:t>采购人/代理机构</w:t>
      </w:r>
      <w:r>
        <w:rPr>
          <w:rFonts w:hint="eastAsia" w:asciiTheme="minorEastAsia" w:hAnsiTheme="minorEastAsia" w:eastAsiaTheme="minorEastAsia"/>
          <w:color w:val="auto"/>
          <w:sz w:val="22"/>
          <w:highlight w:val="none"/>
        </w:rPr>
        <w:t>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日,就质疑事项作出了答复/没有在法定期限内作出答复。</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四、投诉事项具体内容</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投诉事项 1：</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事实依据：</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法律依据：</w:t>
      </w: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投诉事项2</w:t>
      </w:r>
    </w:p>
    <w:p>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五、与投诉事项相关的投诉请求</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请求：</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 xml:space="preserve">                                                   </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签字(签章)：                   公章：</w:t>
      </w:r>
    </w:p>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日期：</w:t>
      </w:r>
    </w:p>
    <w:p>
      <w:pPr>
        <w:rPr>
          <w:rFonts w:asciiTheme="minorEastAsia" w:hAnsiTheme="minorEastAsia" w:eastAsiaTheme="minorEastAsia"/>
          <w:b/>
          <w:color w:val="auto"/>
          <w:sz w:val="24"/>
          <w:highlight w:val="none"/>
        </w:rPr>
      </w:pP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投诉书制作说明：</w:t>
      </w:r>
    </w:p>
    <w:p>
      <w:pPr>
        <w:widowControl/>
        <w:spacing w:line="360" w:lineRule="auto"/>
        <w:ind w:firstLine="420" w:firstLineChars="200"/>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3.投诉人若对项目的某一分包进行投诉，投诉书应列明具体分包号。</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4.投诉书应简要列明质疑事项，质疑函、质疑答复等作为附件材料提供。</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5.投诉书的投诉事项应具体、明确，并有必要的事实依据和法律依据。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6.投诉书的投诉请求应与投诉事项相关。</w:t>
      </w:r>
    </w:p>
    <w:p>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7.投诉人为自然人的，投诉书应当由本人签字；投诉人为法人或者其他组织的，投诉书应当由法定代表人、主要负责人，或者其授权代表签字或者盖章，并加盖公章。</w:t>
      </w:r>
    </w:p>
    <w:p>
      <w:pPr>
        <w:jc w:val="center"/>
        <w:rPr>
          <w:rFonts w:asciiTheme="minorEastAsia" w:hAnsiTheme="minorEastAsia" w:eastAsiaTheme="minorEastAsia"/>
          <w:b/>
          <w:color w:val="auto"/>
          <w:szCs w:val="21"/>
          <w:highlight w:val="none"/>
        </w:rPr>
      </w:pPr>
    </w:p>
    <w:p>
      <w:pPr>
        <w:jc w:val="center"/>
        <w:rPr>
          <w:rFonts w:asciiTheme="minorEastAsia" w:hAnsiTheme="minorEastAsia" w:eastAsiaTheme="minorEastAsia"/>
          <w:b/>
          <w:color w:val="auto"/>
          <w:szCs w:val="21"/>
          <w:highlight w:val="none"/>
        </w:rPr>
      </w:pPr>
    </w:p>
    <w:sectPr>
      <w:pgSz w:w="11906" w:h="16838"/>
      <w:pgMar w:top="1276" w:right="1983"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0000000000000000000"/>
    <w:charset w:val="86"/>
    <w:family w:val="modern"/>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ontAwesom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XgmQKyAEAAJ0DAAAOAAAAAAAAAAEAIAAAAB8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2</w:t>
    </w:r>
    <w:r>
      <w:fldChar w:fldCharType="end"/>
    </w:r>
  </w:p>
  <w:p>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03749"/>
    </w:sdtPr>
    <w:sdtContent>
      <w:p>
        <w:pPr>
          <w:pStyle w:val="33"/>
          <w:jc w:val="center"/>
        </w:pPr>
        <w:r>
          <w:fldChar w:fldCharType="begin"/>
        </w:r>
        <w:r>
          <w:instrText xml:space="preserve">PAGE   \* MERGEFORMAT</w:instrText>
        </w:r>
        <w:r>
          <w:fldChar w:fldCharType="separate"/>
        </w:r>
        <w:r>
          <w:rPr>
            <w:lang w:val="zh-CN"/>
          </w:rPr>
          <w:t>83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5"/>
      </w:rPr>
    </w:pPr>
    <w:r>
      <w:fldChar w:fldCharType="begin"/>
    </w:r>
    <w:r>
      <w:rPr>
        <w:rStyle w:val="55"/>
      </w:rPr>
      <w:instrText xml:space="preserve">PAGE  </w:instrText>
    </w:r>
    <w: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NjFkNDc0NTJiZTI2MTFkNWVjMWVkNzhlOTBjYjMifQ=="/>
  </w:docVars>
  <w:rsids>
    <w:rsidRoot w:val="003E2D88"/>
    <w:rsid w:val="00000E14"/>
    <w:rsid w:val="00002418"/>
    <w:rsid w:val="000024AD"/>
    <w:rsid w:val="000024D7"/>
    <w:rsid w:val="00002568"/>
    <w:rsid w:val="00002B40"/>
    <w:rsid w:val="00002C85"/>
    <w:rsid w:val="00002CF3"/>
    <w:rsid w:val="0000314B"/>
    <w:rsid w:val="000038D7"/>
    <w:rsid w:val="00003DB1"/>
    <w:rsid w:val="00004164"/>
    <w:rsid w:val="00004246"/>
    <w:rsid w:val="0000438A"/>
    <w:rsid w:val="000048CD"/>
    <w:rsid w:val="00004BCB"/>
    <w:rsid w:val="00004CE3"/>
    <w:rsid w:val="000052C6"/>
    <w:rsid w:val="00005429"/>
    <w:rsid w:val="00005489"/>
    <w:rsid w:val="0000559C"/>
    <w:rsid w:val="000057E6"/>
    <w:rsid w:val="00005BE1"/>
    <w:rsid w:val="00005C9B"/>
    <w:rsid w:val="00005F49"/>
    <w:rsid w:val="00007484"/>
    <w:rsid w:val="000074FE"/>
    <w:rsid w:val="0000759C"/>
    <w:rsid w:val="00007797"/>
    <w:rsid w:val="00007C4B"/>
    <w:rsid w:val="00007C90"/>
    <w:rsid w:val="0001041F"/>
    <w:rsid w:val="00010A88"/>
    <w:rsid w:val="00010B0E"/>
    <w:rsid w:val="0001103F"/>
    <w:rsid w:val="000112D9"/>
    <w:rsid w:val="0001181A"/>
    <w:rsid w:val="0001189F"/>
    <w:rsid w:val="00011950"/>
    <w:rsid w:val="00011B55"/>
    <w:rsid w:val="00011C6A"/>
    <w:rsid w:val="0001221F"/>
    <w:rsid w:val="000122CD"/>
    <w:rsid w:val="0001279E"/>
    <w:rsid w:val="00012AAB"/>
    <w:rsid w:val="00012BD8"/>
    <w:rsid w:val="00012E59"/>
    <w:rsid w:val="00013026"/>
    <w:rsid w:val="00013295"/>
    <w:rsid w:val="00013641"/>
    <w:rsid w:val="00013A4B"/>
    <w:rsid w:val="00013F38"/>
    <w:rsid w:val="0001460A"/>
    <w:rsid w:val="00014AED"/>
    <w:rsid w:val="00014D66"/>
    <w:rsid w:val="000158D4"/>
    <w:rsid w:val="00015DE4"/>
    <w:rsid w:val="0001617A"/>
    <w:rsid w:val="000164CB"/>
    <w:rsid w:val="00016639"/>
    <w:rsid w:val="00016726"/>
    <w:rsid w:val="00016976"/>
    <w:rsid w:val="00016D6A"/>
    <w:rsid w:val="000171CD"/>
    <w:rsid w:val="000175A2"/>
    <w:rsid w:val="00017683"/>
    <w:rsid w:val="0001783E"/>
    <w:rsid w:val="0001796D"/>
    <w:rsid w:val="00020600"/>
    <w:rsid w:val="00020A4E"/>
    <w:rsid w:val="00020BCF"/>
    <w:rsid w:val="00020D9F"/>
    <w:rsid w:val="00020FCE"/>
    <w:rsid w:val="000210F3"/>
    <w:rsid w:val="000218F7"/>
    <w:rsid w:val="00021D18"/>
    <w:rsid w:val="00021DE9"/>
    <w:rsid w:val="00021F87"/>
    <w:rsid w:val="0002223C"/>
    <w:rsid w:val="00022352"/>
    <w:rsid w:val="0002283E"/>
    <w:rsid w:val="00022B6E"/>
    <w:rsid w:val="00022D22"/>
    <w:rsid w:val="000230F0"/>
    <w:rsid w:val="0002338A"/>
    <w:rsid w:val="000241FA"/>
    <w:rsid w:val="00024721"/>
    <w:rsid w:val="00024D3F"/>
    <w:rsid w:val="0002554D"/>
    <w:rsid w:val="0002586E"/>
    <w:rsid w:val="00025C33"/>
    <w:rsid w:val="00026323"/>
    <w:rsid w:val="00026336"/>
    <w:rsid w:val="0002647F"/>
    <w:rsid w:val="00026E94"/>
    <w:rsid w:val="00027309"/>
    <w:rsid w:val="0002731E"/>
    <w:rsid w:val="00027B65"/>
    <w:rsid w:val="00027E82"/>
    <w:rsid w:val="00030ADE"/>
    <w:rsid w:val="00030CC1"/>
    <w:rsid w:val="00030DF0"/>
    <w:rsid w:val="000311B2"/>
    <w:rsid w:val="000314AF"/>
    <w:rsid w:val="00032794"/>
    <w:rsid w:val="00032C55"/>
    <w:rsid w:val="000332DB"/>
    <w:rsid w:val="000336CA"/>
    <w:rsid w:val="0003381B"/>
    <w:rsid w:val="0003382F"/>
    <w:rsid w:val="00033928"/>
    <w:rsid w:val="00033959"/>
    <w:rsid w:val="00033F95"/>
    <w:rsid w:val="0003402B"/>
    <w:rsid w:val="0003445D"/>
    <w:rsid w:val="000347D7"/>
    <w:rsid w:val="00034928"/>
    <w:rsid w:val="00034934"/>
    <w:rsid w:val="00034A7D"/>
    <w:rsid w:val="00034DFC"/>
    <w:rsid w:val="00035113"/>
    <w:rsid w:val="00035409"/>
    <w:rsid w:val="00035B8D"/>
    <w:rsid w:val="000361E5"/>
    <w:rsid w:val="00036408"/>
    <w:rsid w:val="00036774"/>
    <w:rsid w:val="00036809"/>
    <w:rsid w:val="00036FA2"/>
    <w:rsid w:val="000379AA"/>
    <w:rsid w:val="00037A9B"/>
    <w:rsid w:val="00037F4C"/>
    <w:rsid w:val="000400FE"/>
    <w:rsid w:val="00040AD2"/>
    <w:rsid w:val="00040D82"/>
    <w:rsid w:val="000414F8"/>
    <w:rsid w:val="00041947"/>
    <w:rsid w:val="00041A73"/>
    <w:rsid w:val="00042534"/>
    <w:rsid w:val="00042DCA"/>
    <w:rsid w:val="00043323"/>
    <w:rsid w:val="0004365B"/>
    <w:rsid w:val="00043809"/>
    <w:rsid w:val="00043CE0"/>
    <w:rsid w:val="00043D09"/>
    <w:rsid w:val="00043F87"/>
    <w:rsid w:val="00044102"/>
    <w:rsid w:val="00044681"/>
    <w:rsid w:val="00044921"/>
    <w:rsid w:val="00044F0D"/>
    <w:rsid w:val="00044F64"/>
    <w:rsid w:val="00044FBE"/>
    <w:rsid w:val="000451BE"/>
    <w:rsid w:val="000453DF"/>
    <w:rsid w:val="00045822"/>
    <w:rsid w:val="000459CA"/>
    <w:rsid w:val="00045AAB"/>
    <w:rsid w:val="00046FF0"/>
    <w:rsid w:val="0004704A"/>
    <w:rsid w:val="000471BB"/>
    <w:rsid w:val="000473F9"/>
    <w:rsid w:val="00047B97"/>
    <w:rsid w:val="00047DCF"/>
    <w:rsid w:val="00047E20"/>
    <w:rsid w:val="0005037C"/>
    <w:rsid w:val="000506F5"/>
    <w:rsid w:val="000508F4"/>
    <w:rsid w:val="00051340"/>
    <w:rsid w:val="000519D3"/>
    <w:rsid w:val="00051C25"/>
    <w:rsid w:val="000525AF"/>
    <w:rsid w:val="00052A16"/>
    <w:rsid w:val="000531C5"/>
    <w:rsid w:val="000532EE"/>
    <w:rsid w:val="000534CF"/>
    <w:rsid w:val="0005351A"/>
    <w:rsid w:val="0005356D"/>
    <w:rsid w:val="00053642"/>
    <w:rsid w:val="000537CA"/>
    <w:rsid w:val="00053A47"/>
    <w:rsid w:val="00053B0C"/>
    <w:rsid w:val="0005427E"/>
    <w:rsid w:val="00054668"/>
    <w:rsid w:val="00054A34"/>
    <w:rsid w:val="00054CE9"/>
    <w:rsid w:val="00054EA9"/>
    <w:rsid w:val="00054EEA"/>
    <w:rsid w:val="000559D4"/>
    <w:rsid w:val="00055BE8"/>
    <w:rsid w:val="00055DE5"/>
    <w:rsid w:val="0005605F"/>
    <w:rsid w:val="0005609E"/>
    <w:rsid w:val="00056188"/>
    <w:rsid w:val="000569A5"/>
    <w:rsid w:val="000569B8"/>
    <w:rsid w:val="00056FB6"/>
    <w:rsid w:val="000572B7"/>
    <w:rsid w:val="0005776A"/>
    <w:rsid w:val="0005799B"/>
    <w:rsid w:val="00057C3C"/>
    <w:rsid w:val="00057C60"/>
    <w:rsid w:val="00057FBB"/>
    <w:rsid w:val="000602AB"/>
    <w:rsid w:val="0006060B"/>
    <w:rsid w:val="00060E4F"/>
    <w:rsid w:val="000610AA"/>
    <w:rsid w:val="0006115E"/>
    <w:rsid w:val="000616C0"/>
    <w:rsid w:val="00061BB5"/>
    <w:rsid w:val="00061BF2"/>
    <w:rsid w:val="00061D60"/>
    <w:rsid w:val="000629A5"/>
    <w:rsid w:val="00062CD4"/>
    <w:rsid w:val="0006329E"/>
    <w:rsid w:val="000634D9"/>
    <w:rsid w:val="00063DD8"/>
    <w:rsid w:val="000640AB"/>
    <w:rsid w:val="00064380"/>
    <w:rsid w:val="000646CB"/>
    <w:rsid w:val="00064D97"/>
    <w:rsid w:val="000656CA"/>
    <w:rsid w:val="000657A0"/>
    <w:rsid w:val="000659BE"/>
    <w:rsid w:val="00065A9E"/>
    <w:rsid w:val="00065D43"/>
    <w:rsid w:val="00066056"/>
    <w:rsid w:val="00066348"/>
    <w:rsid w:val="000668F7"/>
    <w:rsid w:val="00066ADE"/>
    <w:rsid w:val="00066BF8"/>
    <w:rsid w:val="00066D44"/>
    <w:rsid w:val="00067419"/>
    <w:rsid w:val="00067A2C"/>
    <w:rsid w:val="00067DA1"/>
    <w:rsid w:val="000701A1"/>
    <w:rsid w:val="00070595"/>
    <w:rsid w:val="0007082C"/>
    <w:rsid w:val="00070B7E"/>
    <w:rsid w:val="00070D34"/>
    <w:rsid w:val="000711DD"/>
    <w:rsid w:val="00071302"/>
    <w:rsid w:val="00071B75"/>
    <w:rsid w:val="00071DCE"/>
    <w:rsid w:val="000721AA"/>
    <w:rsid w:val="00072F07"/>
    <w:rsid w:val="00073083"/>
    <w:rsid w:val="0007335C"/>
    <w:rsid w:val="000735D1"/>
    <w:rsid w:val="00073C5B"/>
    <w:rsid w:val="00073F78"/>
    <w:rsid w:val="0007412D"/>
    <w:rsid w:val="00074207"/>
    <w:rsid w:val="00074328"/>
    <w:rsid w:val="000744A6"/>
    <w:rsid w:val="00074A24"/>
    <w:rsid w:val="00074BF8"/>
    <w:rsid w:val="00074CF2"/>
    <w:rsid w:val="00074F96"/>
    <w:rsid w:val="00074FF8"/>
    <w:rsid w:val="000750F1"/>
    <w:rsid w:val="00075595"/>
    <w:rsid w:val="00075C42"/>
    <w:rsid w:val="00075D07"/>
    <w:rsid w:val="00076320"/>
    <w:rsid w:val="0007652A"/>
    <w:rsid w:val="00076547"/>
    <w:rsid w:val="000765C6"/>
    <w:rsid w:val="000766D5"/>
    <w:rsid w:val="000769A7"/>
    <w:rsid w:val="00076CAE"/>
    <w:rsid w:val="00077193"/>
    <w:rsid w:val="000772D0"/>
    <w:rsid w:val="00077678"/>
    <w:rsid w:val="00077C51"/>
    <w:rsid w:val="00077F94"/>
    <w:rsid w:val="0008036E"/>
    <w:rsid w:val="00080A38"/>
    <w:rsid w:val="00080B80"/>
    <w:rsid w:val="00080E0F"/>
    <w:rsid w:val="00080EE8"/>
    <w:rsid w:val="00080F99"/>
    <w:rsid w:val="00081822"/>
    <w:rsid w:val="00081B32"/>
    <w:rsid w:val="00081F9E"/>
    <w:rsid w:val="00082003"/>
    <w:rsid w:val="0008213B"/>
    <w:rsid w:val="00082170"/>
    <w:rsid w:val="000822C5"/>
    <w:rsid w:val="00082405"/>
    <w:rsid w:val="00082476"/>
    <w:rsid w:val="0008254B"/>
    <w:rsid w:val="00082617"/>
    <w:rsid w:val="00082799"/>
    <w:rsid w:val="00082B8F"/>
    <w:rsid w:val="00082CF4"/>
    <w:rsid w:val="00082FC2"/>
    <w:rsid w:val="0008310B"/>
    <w:rsid w:val="00083624"/>
    <w:rsid w:val="00083773"/>
    <w:rsid w:val="000839F7"/>
    <w:rsid w:val="00083A44"/>
    <w:rsid w:val="00084E52"/>
    <w:rsid w:val="000852C3"/>
    <w:rsid w:val="00085B26"/>
    <w:rsid w:val="00085BE6"/>
    <w:rsid w:val="000863B8"/>
    <w:rsid w:val="0008682A"/>
    <w:rsid w:val="00086C65"/>
    <w:rsid w:val="00086D66"/>
    <w:rsid w:val="00090224"/>
    <w:rsid w:val="000905A4"/>
    <w:rsid w:val="000906B1"/>
    <w:rsid w:val="00090A04"/>
    <w:rsid w:val="00090C82"/>
    <w:rsid w:val="0009111D"/>
    <w:rsid w:val="000917BA"/>
    <w:rsid w:val="00091AF7"/>
    <w:rsid w:val="00091B98"/>
    <w:rsid w:val="00091BFF"/>
    <w:rsid w:val="00091D00"/>
    <w:rsid w:val="00092233"/>
    <w:rsid w:val="000926B0"/>
    <w:rsid w:val="00092893"/>
    <w:rsid w:val="000928C4"/>
    <w:rsid w:val="000930CC"/>
    <w:rsid w:val="0009369B"/>
    <w:rsid w:val="00093A70"/>
    <w:rsid w:val="00093C95"/>
    <w:rsid w:val="00093DD1"/>
    <w:rsid w:val="00094109"/>
    <w:rsid w:val="00094A2D"/>
    <w:rsid w:val="000950BB"/>
    <w:rsid w:val="0009556C"/>
    <w:rsid w:val="00095BBE"/>
    <w:rsid w:val="00096034"/>
    <w:rsid w:val="00096667"/>
    <w:rsid w:val="00096A47"/>
    <w:rsid w:val="00096CEF"/>
    <w:rsid w:val="00097827"/>
    <w:rsid w:val="00097B9A"/>
    <w:rsid w:val="00097F09"/>
    <w:rsid w:val="000A00E6"/>
    <w:rsid w:val="000A0882"/>
    <w:rsid w:val="000A0B15"/>
    <w:rsid w:val="000A113B"/>
    <w:rsid w:val="000A12BF"/>
    <w:rsid w:val="000A1749"/>
    <w:rsid w:val="000A1822"/>
    <w:rsid w:val="000A1BB3"/>
    <w:rsid w:val="000A1F06"/>
    <w:rsid w:val="000A1FB1"/>
    <w:rsid w:val="000A2114"/>
    <w:rsid w:val="000A2717"/>
    <w:rsid w:val="000A2AD9"/>
    <w:rsid w:val="000A2D2A"/>
    <w:rsid w:val="000A2EAF"/>
    <w:rsid w:val="000A2EC7"/>
    <w:rsid w:val="000A2FA0"/>
    <w:rsid w:val="000A3497"/>
    <w:rsid w:val="000A3946"/>
    <w:rsid w:val="000A3AEC"/>
    <w:rsid w:val="000A3D8C"/>
    <w:rsid w:val="000A4857"/>
    <w:rsid w:val="000A53BD"/>
    <w:rsid w:val="000A5474"/>
    <w:rsid w:val="000A5491"/>
    <w:rsid w:val="000A56D1"/>
    <w:rsid w:val="000A613D"/>
    <w:rsid w:val="000A61B5"/>
    <w:rsid w:val="000A659D"/>
    <w:rsid w:val="000A6661"/>
    <w:rsid w:val="000A7129"/>
    <w:rsid w:val="000A73AE"/>
    <w:rsid w:val="000A7CDA"/>
    <w:rsid w:val="000A7CE9"/>
    <w:rsid w:val="000B04DD"/>
    <w:rsid w:val="000B09B7"/>
    <w:rsid w:val="000B09F4"/>
    <w:rsid w:val="000B17C7"/>
    <w:rsid w:val="000B1983"/>
    <w:rsid w:val="000B1C02"/>
    <w:rsid w:val="000B1F90"/>
    <w:rsid w:val="000B2161"/>
    <w:rsid w:val="000B23D8"/>
    <w:rsid w:val="000B2EFC"/>
    <w:rsid w:val="000B2F8A"/>
    <w:rsid w:val="000B2FCA"/>
    <w:rsid w:val="000B32F2"/>
    <w:rsid w:val="000B3666"/>
    <w:rsid w:val="000B36A1"/>
    <w:rsid w:val="000B3948"/>
    <w:rsid w:val="000B3B45"/>
    <w:rsid w:val="000B3F4C"/>
    <w:rsid w:val="000B3FA8"/>
    <w:rsid w:val="000B405E"/>
    <w:rsid w:val="000B4314"/>
    <w:rsid w:val="000B43CC"/>
    <w:rsid w:val="000B448D"/>
    <w:rsid w:val="000B4705"/>
    <w:rsid w:val="000B4BA7"/>
    <w:rsid w:val="000B51AE"/>
    <w:rsid w:val="000B5760"/>
    <w:rsid w:val="000B5B1A"/>
    <w:rsid w:val="000B5BA9"/>
    <w:rsid w:val="000B5F00"/>
    <w:rsid w:val="000B621D"/>
    <w:rsid w:val="000B6A99"/>
    <w:rsid w:val="000B72E4"/>
    <w:rsid w:val="000B7A82"/>
    <w:rsid w:val="000C09F0"/>
    <w:rsid w:val="000C0A82"/>
    <w:rsid w:val="000C0C33"/>
    <w:rsid w:val="000C139B"/>
    <w:rsid w:val="000C17E3"/>
    <w:rsid w:val="000C1844"/>
    <w:rsid w:val="000C1921"/>
    <w:rsid w:val="000C2512"/>
    <w:rsid w:val="000C2591"/>
    <w:rsid w:val="000C2FDF"/>
    <w:rsid w:val="000C3344"/>
    <w:rsid w:val="000C3668"/>
    <w:rsid w:val="000C3826"/>
    <w:rsid w:val="000C3D43"/>
    <w:rsid w:val="000C427F"/>
    <w:rsid w:val="000C451A"/>
    <w:rsid w:val="000C47D4"/>
    <w:rsid w:val="000C4A60"/>
    <w:rsid w:val="000C4F3A"/>
    <w:rsid w:val="000C5050"/>
    <w:rsid w:val="000C56F9"/>
    <w:rsid w:val="000C59EF"/>
    <w:rsid w:val="000C5C76"/>
    <w:rsid w:val="000C5E0C"/>
    <w:rsid w:val="000C6491"/>
    <w:rsid w:val="000C67AF"/>
    <w:rsid w:val="000C74C3"/>
    <w:rsid w:val="000C76EA"/>
    <w:rsid w:val="000C773F"/>
    <w:rsid w:val="000C7820"/>
    <w:rsid w:val="000C7B0B"/>
    <w:rsid w:val="000C7E5C"/>
    <w:rsid w:val="000D04AD"/>
    <w:rsid w:val="000D0BEC"/>
    <w:rsid w:val="000D0D65"/>
    <w:rsid w:val="000D0FF5"/>
    <w:rsid w:val="000D12B4"/>
    <w:rsid w:val="000D166C"/>
    <w:rsid w:val="000D1F65"/>
    <w:rsid w:val="000D2483"/>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594"/>
    <w:rsid w:val="000D5647"/>
    <w:rsid w:val="000D5F21"/>
    <w:rsid w:val="000D650D"/>
    <w:rsid w:val="000D68E1"/>
    <w:rsid w:val="000D6A50"/>
    <w:rsid w:val="000D6B5A"/>
    <w:rsid w:val="000D6C5A"/>
    <w:rsid w:val="000D6E89"/>
    <w:rsid w:val="000D6F04"/>
    <w:rsid w:val="000D71B8"/>
    <w:rsid w:val="000D7745"/>
    <w:rsid w:val="000D7BBF"/>
    <w:rsid w:val="000D7FFC"/>
    <w:rsid w:val="000E07A7"/>
    <w:rsid w:val="000E09AF"/>
    <w:rsid w:val="000E0CAC"/>
    <w:rsid w:val="000E1178"/>
    <w:rsid w:val="000E148F"/>
    <w:rsid w:val="000E2128"/>
    <w:rsid w:val="000E30E9"/>
    <w:rsid w:val="000E3701"/>
    <w:rsid w:val="000E3844"/>
    <w:rsid w:val="000E3C89"/>
    <w:rsid w:val="000E3F8B"/>
    <w:rsid w:val="000E42A1"/>
    <w:rsid w:val="000E4307"/>
    <w:rsid w:val="000E499C"/>
    <w:rsid w:val="000E4DEF"/>
    <w:rsid w:val="000E52CA"/>
    <w:rsid w:val="000E55D7"/>
    <w:rsid w:val="000E5A4B"/>
    <w:rsid w:val="000E5B4F"/>
    <w:rsid w:val="000E5C77"/>
    <w:rsid w:val="000E5EAC"/>
    <w:rsid w:val="000E5ED1"/>
    <w:rsid w:val="000E5F40"/>
    <w:rsid w:val="000E62EF"/>
    <w:rsid w:val="000E6DC8"/>
    <w:rsid w:val="000E764A"/>
    <w:rsid w:val="000E77C4"/>
    <w:rsid w:val="000E7E17"/>
    <w:rsid w:val="000F0491"/>
    <w:rsid w:val="000F0C8A"/>
    <w:rsid w:val="000F0D29"/>
    <w:rsid w:val="000F1527"/>
    <w:rsid w:val="000F1690"/>
    <w:rsid w:val="000F196D"/>
    <w:rsid w:val="000F1B15"/>
    <w:rsid w:val="000F1B94"/>
    <w:rsid w:val="000F22F9"/>
    <w:rsid w:val="000F314A"/>
    <w:rsid w:val="000F399B"/>
    <w:rsid w:val="000F3D24"/>
    <w:rsid w:val="000F41F3"/>
    <w:rsid w:val="000F44BB"/>
    <w:rsid w:val="000F4628"/>
    <w:rsid w:val="000F52B9"/>
    <w:rsid w:val="000F52CA"/>
    <w:rsid w:val="000F54EA"/>
    <w:rsid w:val="000F579B"/>
    <w:rsid w:val="000F6178"/>
    <w:rsid w:val="000F6243"/>
    <w:rsid w:val="000F6555"/>
    <w:rsid w:val="000F6E0C"/>
    <w:rsid w:val="000F765B"/>
    <w:rsid w:val="000F7AEE"/>
    <w:rsid w:val="000F7AF4"/>
    <w:rsid w:val="000F7CB5"/>
    <w:rsid w:val="000F7CFA"/>
    <w:rsid w:val="001002B4"/>
    <w:rsid w:val="001004D4"/>
    <w:rsid w:val="001006BC"/>
    <w:rsid w:val="0010084B"/>
    <w:rsid w:val="001009B9"/>
    <w:rsid w:val="00100AE5"/>
    <w:rsid w:val="00100F95"/>
    <w:rsid w:val="0010115A"/>
    <w:rsid w:val="0010201E"/>
    <w:rsid w:val="0010258C"/>
    <w:rsid w:val="00102796"/>
    <w:rsid w:val="001029AE"/>
    <w:rsid w:val="001030C8"/>
    <w:rsid w:val="001035DF"/>
    <w:rsid w:val="00103A5F"/>
    <w:rsid w:val="00103A7C"/>
    <w:rsid w:val="0010425B"/>
    <w:rsid w:val="0010500C"/>
    <w:rsid w:val="00105764"/>
    <w:rsid w:val="00105B77"/>
    <w:rsid w:val="00105C46"/>
    <w:rsid w:val="00105CE0"/>
    <w:rsid w:val="001066B9"/>
    <w:rsid w:val="001067DC"/>
    <w:rsid w:val="0010797E"/>
    <w:rsid w:val="0010799E"/>
    <w:rsid w:val="00107B7A"/>
    <w:rsid w:val="00107DB5"/>
    <w:rsid w:val="00110F1E"/>
    <w:rsid w:val="00110FDA"/>
    <w:rsid w:val="001119A8"/>
    <w:rsid w:val="00111A94"/>
    <w:rsid w:val="00111BBA"/>
    <w:rsid w:val="001123E9"/>
    <w:rsid w:val="00112FEC"/>
    <w:rsid w:val="00113560"/>
    <w:rsid w:val="001150EB"/>
    <w:rsid w:val="001151E1"/>
    <w:rsid w:val="0011530A"/>
    <w:rsid w:val="00115456"/>
    <w:rsid w:val="001154FB"/>
    <w:rsid w:val="00115DD3"/>
    <w:rsid w:val="00115EA9"/>
    <w:rsid w:val="00115F74"/>
    <w:rsid w:val="00116493"/>
    <w:rsid w:val="00116511"/>
    <w:rsid w:val="001166BE"/>
    <w:rsid w:val="00116802"/>
    <w:rsid w:val="001168E5"/>
    <w:rsid w:val="0011700D"/>
    <w:rsid w:val="00117330"/>
    <w:rsid w:val="00117D03"/>
    <w:rsid w:val="00117D8F"/>
    <w:rsid w:val="0012025A"/>
    <w:rsid w:val="00120580"/>
    <w:rsid w:val="00120791"/>
    <w:rsid w:val="00120A21"/>
    <w:rsid w:val="00120FDF"/>
    <w:rsid w:val="0012160E"/>
    <w:rsid w:val="0012161C"/>
    <w:rsid w:val="00121E8A"/>
    <w:rsid w:val="00122161"/>
    <w:rsid w:val="0012217C"/>
    <w:rsid w:val="00122ABD"/>
    <w:rsid w:val="00122DEB"/>
    <w:rsid w:val="001233CA"/>
    <w:rsid w:val="0012396B"/>
    <w:rsid w:val="0012454C"/>
    <w:rsid w:val="001247AF"/>
    <w:rsid w:val="001256E6"/>
    <w:rsid w:val="00125800"/>
    <w:rsid w:val="001258FC"/>
    <w:rsid w:val="00125FD5"/>
    <w:rsid w:val="001260F6"/>
    <w:rsid w:val="001264C2"/>
    <w:rsid w:val="00127B1F"/>
    <w:rsid w:val="00127D62"/>
    <w:rsid w:val="0013061F"/>
    <w:rsid w:val="00130BC0"/>
    <w:rsid w:val="0013102D"/>
    <w:rsid w:val="00131096"/>
    <w:rsid w:val="001311D7"/>
    <w:rsid w:val="0013137F"/>
    <w:rsid w:val="001315D9"/>
    <w:rsid w:val="00131D99"/>
    <w:rsid w:val="0013232C"/>
    <w:rsid w:val="00132461"/>
    <w:rsid w:val="00132B74"/>
    <w:rsid w:val="00132DFF"/>
    <w:rsid w:val="00133371"/>
    <w:rsid w:val="00133AE9"/>
    <w:rsid w:val="00133BC9"/>
    <w:rsid w:val="001341D6"/>
    <w:rsid w:val="00134856"/>
    <w:rsid w:val="00134DF0"/>
    <w:rsid w:val="0013587D"/>
    <w:rsid w:val="0013630C"/>
    <w:rsid w:val="00136423"/>
    <w:rsid w:val="001366DA"/>
    <w:rsid w:val="0013692D"/>
    <w:rsid w:val="00136C20"/>
    <w:rsid w:val="00136C4B"/>
    <w:rsid w:val="00136D06"/>
    <w:rsid w:val="00136D70"/>
    <w:rsid w:val="00137562"/>
    <w:rsid w:val="00137969"/>
    <w:rsid w:val="00137EDD"/>
    <w:rsid w:val="00140197"/>
    <w:rsid w:val="00140458"/>
    <w:rsid w:val="001404E9"/>
    <w:rsid w:val="00140597"/>
    <w:rsid w:val="00140814"/>
    <w:rsid w:val="001408BC"/>
    <w:rsid w:val="00140F53"/>
    <w:rsid w:val="00141335"/>
    <w:rsid w:val="00141A27"/>
    <w:rsid w:val="00141A79"/>
    <w:rsid w:val="00141F49"/>
    <w:rsid w:val="001422E2"/>
    <w:rsid w:val="0014243A"/>
    <w:rsid w:val="001426CC"/>
    <w:rsid w:val="001427D6"/>
    <w:rsid w:val="0014297F"/>
    <w:rsid w:val="00142A3C"/>
    <w:rsid w:val="00142C4F"/>
    <w:rsid w:val="001430CF"/>
    <w:rsid w:val="0014322F"/>
    <w:rsid w:val="0014391D"/>
    <w:rsid w:val="00143ED1"/>
    <w:rsid w:val="00143F4F"/>
    <w:rsid w:val="00143FCF"/>
    <w:rsid w:val="00144557"/>
    <w:rsid w:val="001445E0"/>
    <w:rsid w:val="001445F7"/>
    <w:rsid w:val="0014523C"/>
    <w:rsid w:val="0014548E"/>
    <w:rsid w:val="0014571F"/>
    <w:rsid w:val="00146050"/>
    <w:rsid w:val="001467E1"/>
    <w:rsid w:val="00146925"/>
    <w:rsid w:val="001469A5"/>
    <w:rsid w:val="00146EDB"/>
    <w:rsid w:val="00146F2A"/>
    <w:rsid w:val="0014715D"/>
    <w:rsid w:val="001476FE"/>
    <w:rsid w:val="00147A02"/>
    <w:rsid w:val="00147B0A"/>
    <w:rsid w:val="00147CA9"/>
    <w:rsid w:val="00147EB5"/>
    <w:rsid w:val="0015144D"/>
    <w:rsid w:val="00151C0E"/>
    <w:rsid w:val="00151CCB"/>
    <w:rsid w:val="001528B0"/>
    <w:rsid w:val="00153384"/>
    <w:rsid w:val="001534DD"/>
    <w:rsid w:val="00153B15"/>
    <w:rsid w:val="00153BE7"/>
    <w:rsid w:val="00153CD3"/>
    <w:rsid w:val="00153E36"/>
    <w:rsid w:val="00153FD2"/>
    <w:rsid w:val="0015447A"/>
    <w:rsid w:val="001547C3"/>
    <w:rsid w:val="00154E53"/>
    <w:rsid w:val="00155526"/>
    <w:rsid w:val="00155A1D"/>
    <w:rsid w:val="00155AA1"/>
    <w:rsid w:val="0015693D"/>
    <w:rsid w:val="0015699D"/>
    <w:rsid w:val="00156D02"/>
    <w:rsid w:val="0015769A"/>
    <w:rsid w:val="001578F8"/>
    <w:rsid w:val="00157973"/>
    <w:rsid w:val="00160B87"/>
    <w:rsid w:val="001610AF"/>
    <w:rsid w:val="00161664"/>
    <w:rsid w:val="00161721"/>
    <w:rsid w:val="0016179A"/>
    <w:rsid w:val="001617B4"/>
    <w:rsid w:val="001617F7"/>
    <w:rsid w:val="00161801"/>
    <w:rsid w:val="00161889"/>
    <w:rsid w:val="00162601"/>
    <w:rsid w:val="00162871"/>
    <w:rsid w:val="00163116"/>
    <w:rsid w:val="001636FC"/>
    <w:rsid w:val="00164040"/>
    <w:rsid w:val="0016421D"/>
    <w:rsid w:val="00164318"/>
    <w:rsid w:val="001645FC"/>
    <w:rsid w:val="00164CCD"/>
    <w:rsid w:val="00164E1F"/>
    <w:rsid w:val="0016513D"/>
    <w:rsid w:val="0016522B"/>
    <w:rsid w:val="001652AB"/>
    <w:rsid w:val="00165651"/>
    <w:rsid w:val="00165980"/>
    <w:rsid w:val="0016603F"/>
    <w:rsid w:val="0016609B"/>
    <w:rsid w:val="00166369"/>
    <w:rsid w:val="0016640A"/>
    <w:rsid w:val="0016689C"/>
    <w:rsid w:val="00166908"/>
    <w:rsid w:val="00166D40"/>
    <w:rsid w:val="00166DF5"/>
    <w:rsid w:val="00167652"/>
    <w:rsid w:val="001676FB"/>
    <w:rsid w:val="0016777F"/>
    <w:rsid w:val="00167983"/>
    <w:rsid w:val="00170192"/>
    <w:rsid w:val="001703EC"/>
    <w:rsid w:val="00170558"/>
    <w:rsid w:val="0017055E"/>
    <w:rsid w:val="00170B47"/>
    <w:rsid w:val="0017109C"/>
    <w:rsid w:val="001717DF"/>
    <w:rsid w:val="0017256B"/>
    <w:rsid w:val="00172763"/>
    <w:rsid w:val="00172B40"/>
    <w:rsid w:val="00172B4B"/>
    <w:rsid w:val="00172C1D"/>
    <w:rsid w:val="00172D34"/>
    <w:rsid w:val="00172D45"/>
    <w:rsid w:val="00173244"/>
    <w:rsid w:val="00173501"/>
    <w:rsid w:val="001735C5"/>
    <w:rsid w:val="001736A3"/>
    <w:rsid w:val="0017376A"/>
    <w:rsid w:val="001739F2"/>
    <w:rsid w:val="00174281"/>
    <w:rsid w:val="001743B0"/>
    <w:rsid w:val="00174B4A"/>
    <w:rsid w:val="00174D55"/>
    <w:rsid w:val="00175016"/>
    <w:rsid w:val="00175049"/>
    <w:rsid w:val="001753F1"/>
    <w:rsid w:val="0017559F"/>
    <w:rsid w:val="001756FA"/>
    <w:rsid w:val="00175882"/>
    <w:rsid w:val="00175C1C"/>
    <w:rsid w:val="00176017"/>
    <w:rsid w:val="00176572"/>
    <w:rsid w:val="00176BD8"/>
    <w:rsid w:val="001773A1"/>
    <w:rsid w:val="00177950"/>
    <w:rsid w:val="00177AB3"/>
    <w:rsid w:val="00177C0A"/>
    <w:rsid w:val="00180189"/>
    <w:rsid w:val="00180AE4"/>
    <w:rsid w:val="00180C55"/>
    <w:rsid w:val="00180D3A"/>
    <w:rsid w:val="00180EAC"/>
    <w:rsid w:val="00180F3E"/>
    <w:rsid w:val="001816BA"/>
    <w:rsid w:val="00181A61"/>
    <w:rsid w:val="00181B2D"/>
    <w:rsid w:val="00181D43"/>
    <w:rsid w:val="00182082"/>
    <w:rsid w:val="001820DB"/>
    <w:rsid w:val="00182613"/>
    <w:rsid w:val="00182977"/>
    <w:rsid w:val="001840EB"/>
    <w:rsid w:val="00184147"/>
    <w:rsid w:val="00184771"/>
    <w:rsid w:val="00184CD1"/>
    <w:rsid w:val="00184CD7"/>
    <w:rsid w:val="00185CD4"/>
    <w:rsid w:val="001862DF"/>
    <w:rsid w:val="00186DEE"/>
    <w:rsid w:val="00186E43"/>
    <w:rsid w:val="001873C0"/>
    <w:rsid w:val="0018755D"/>
    <w:rsid w:val="00187F26"/>
    <w:rsid w:val="00187F7E"/>
    <w:rsid w:val="001901D2"/>
    <w:rsid w:val="00190498"/>
    <w:rsid w:val="001904BF"/>
    <w:rsid w:val="00190FFE"/>
    <w:rsid w:val="001918F3"/>
    <w:rsid w:val="00191CF6"/>
    <w:rsid w:val="00191E38"/>
    <w:rsid w:val="00192313"/>
    <w:rsid w:val="001925BD"/>
    <w:rsid w:val="00192EC1"/>
    <w:rsid w:val="00193072"/>
    <w:rsid w:val="0019394B"/>
    <w:rsid w:val="00193988"/>
    <w:rsid w:val="0019413A"/>
    <w:rsid w:val="00194142"/>
    <w:rsid w:val="001942A0"/>
    <w:rsid w:val="001948BD"/>
    <w:rsid w:val="00195149"/>
    <w:rsid w:val="00195B64"/>
    <w:rsid w:val="00195DF2"/>
    <w:rsid w:val="00195E4C"/>
    <w:rsid w:val="00196D9B"/>
    <w:rsid w:val="00197467"/>
    <w:rsid w:val="0019759D"/>
    <w:rsid w:val="00197C4C"/>
    <w:rsid w:val="00197EE0"/>
    <w:rsid w:val="001A0317"/>
    <w:rsid w:val="001A0524"/>
    <w:rsid w:val="001A0618"/>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DEA"/>
    <w:rsid w:val="001A2EAE"/>
    <w:rsid w:val="001A2F99"/>
    <w:rsid w:val="001A2FCE"/>
    <w:rsid w:val="001A32F7"/>
    <w:rsid w:val="001A3512"/>
    <w:rsid w:val="001A370F"/>
    <w:rsid w:val="001A3874"/>
    <w:rsid w:val="001A3E4C"/>
    <w:rsid w:val="001A403A"/>
    <w:rsid w:val="001A4233"/>
    <w:rsid w:val="001A43E5"/>
    <w:rsid w:val="001A4ADF"/>
    <w:rsid w:val="001A4B0F"/>
    <w:rsid w:val="001A59A9"/>
    <w:rsid w:val="001A5A5D"/>
    <w:rsid w:val="001A5E33"/>
    <w:rsid w:val="001A6481"/>
    <w:rsid w:val="001A6EF0"/>
    <w:rsid w:val="001A758F"/>
    <w:rsid w:val="001A7873"/>
    <w:rsid w:val="001A7D73"/>
    <w:rsid w:val="001B0237"/>
    <w:rsid w:val="001B1727"/>
    <w:rsid w:val="001B1A32"/>
    <w:rsid w:val="001B22A7"/>
    <w:rsid w:val="001B256C"/>
    <w:rsid w:val="001B25BA"/>
    <w:rsid w:val="001B2973"/>
    <w:rsid w:val="001B29CC"/>
    <w:rsid w:val="001B2C10"/>
    <w:rsid w:val="001B3104"/>
    <w:rsid w:val="001B32FD"/>
    <w:rsid w:val="001B36BC"/>
    <w:rsid w:val="001B3EBC"/>
    <w:rsid w:val="001B3F6D"/>
    <w:rsid w:val="001B40C3"/>
    <w:rsid w:val="001B498E"/>
    <w:rsid w:val="001B4AF7"/>
    <w:rsid w:val="001B4D51"/>
    <w:rsid w:val="001B5292"/>
    <w:rsid w:val="001B529F"/>
    <w:rsid w:val="001B566F"/>
    <w:rsid w:val="001B5C5C"/>
    <w:rsid w:val="001B5F7B"/>
    <w:rsid w:val="001B61DF"/>
    <w:rsid w:val="001B626A"/>
    <w:rsid w:val="001B6295"/>
    <w:rsid w:val="001B6C3E"/>
    <w:rsid w:val="001B74F4"/>
    <w:rsid w:val="001B76EA"/>
    <w:rsid w:val="001B7872"/>
    <w:rsid w:val="001B7DDA"/>
    <w:rsid w:val="001C0E0F"/>
    <w:rsid w:val="001C189B"/>
    <w:rsid w:val="001C1FB5"/>
    <w:rsid w:val="001C1FD6"/>
    <w:rsid w:val="001C2893"/>
    <w:rsid w:val="001C36BE"/>
    <w:rsid w:val="001C3D26"/>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6F96"/>
    <w:rsid w:val="001C7BA9"/>
    <w:rsid w:val="001D0B76"/>
    <w:rsid w:val="001D0CBA"/>
    <w:rsid w:val="001D0DFB"/>
    <w:rsid w:val="001D0F90"/>
    <w:rsid w:val="001D1A6C"/>
    <w:rsid w:val="001D1A91"/>
    <w:rsid w:val="001D1B9A"/>
    <w:rsid w:val="001D24EA"/>
    <w:rsid w:val="001D2B75"/>
    <w:rsid w:val="001D2D69"/>
    <w:rsid w:val="001D3099"/>
    <w:rsid w:val="001D3450"/>
    <w:rsid w:val="001D35BD"/>
    <w:rsid w:val="001D3B2C"/>
    <w:rsid w:val="001D4239"/>
    <w:rsid w:val="001D43FF"/>
    <w:rsid w:val="001D46E7"/>
    <w:rsid w:val="001D4944"/>
    <w:rsid w:val="001D4BC2"/>
    <w:rsid w:val="001D5309"/>
    <w:rsid w:val="001D56F0"/>
    <w:rsid w:val="001D5811"/>
    <w:rsid w:val="001D5872"/>
    <w:rsid w:val="001D5ABB"/>
    <w:rsid w:val="001D5DE9"/>
    <w:rsid w:val="001D6446"/>
    <w:rsid w:val="001D646B"/>
    <w:rsid w:val="001D6A6C"/>
    <w:rsid w:val="001D7496"/>
    <w:rsid w:val="001D7AAC"/>
    <w:rsid w:val="001D7C7B"/>
    <w:rsid w:val="001D7CF0"/>
    <w:rsid w:val="001E03D1"/>
    <w:rsid w:val="001E0B6F"/>
    <w:rsid w:val="001E0FDC"/>
    <w:rsid w:val="001E16C8"/>
    <w:rsid w:val="001E1C82"/>
    <w:rsid w:val="001E1D50"/>
    <w:rsid w:val="001E2056"/>
    <w:rsid w:val="001E283A"/>
    <w:rsid w:val="001E2C1B"/>
    <w:rsid w:val="001E2FDA"/>
    <w:rsid w:val="001E3343"/>
    <w:rsid w:val="001E3634"/>
    <w:rsid w:val="001E3740"/>
    <w:rsid w:val="001E3FE2"/>
    <w:rsid w:val="001E4772"/>
    <w:rsid w:val="001E4C84"/>
    <w:rsid w:val="001E4DF4"/>
    <w:rsid w:val="001E4F64"/>
    <w:rsid w:val="001E5A6B"/>
    <w:rsid w:val="001E5C40"/>
    <w:rsid w:val="001E5E33"/>
    <w:rsid w:val="001E6287"/>
    <w:rsid w:val="001E6499"/>
    <w:rsid w:val="001E64EA"/>
    <w:rsid w:val="001E6C06"/>
    <w:rsid w:val="001E6EC9"/>
    <w:rsid w:val="001E72CA"/>
    <w:rsid w:val="001E7554"/>
    <w:rsid w:val="001E7B49"/>
    <w:rsid w:val="001E7E64"/>
    <w:rsid w:val="001F025A"/>
    <w:rsid w:val="001F0501"/>
    <w:rsid w:val="001F0634"/>
    <w:rsid w:val="001F0B7C"/>
    <w:rsid w:val="001F1042"/>
    <w:rsid w:val="001F1139"/>
    <w:rsid w:val="001F13D9"/>
    <w:rsid w:val="001F1976"/>
    <w:rsid w:val="001F19E5"/>
    <w:rsid w:val="001F1CE6"/>
    <w:rsid w:val="001F1CFE"/>
    <w:rsid w:val="001F20DC"/>
    <w:rsid w:val="001F222E"/>
    <w:rsid w:val="001F24C0"/>
    <w:rsid w:val="001F2802"/>
    <w:rsid w:val="001F3053"/>
    <w:rsid w:val="001F3524"/>
    <w:rsid w:val="001F38AB"/>
    <w:rsid w:val="001F3B9A"/>
    <w:rsid w:val="001F3BC6"/>
    <w:rsid w:val="001F4699"/>
    <w:rsid w:val="001F4F64"/>
    <w:rsid w:val="001F59CB"/>
    <w:rsid w:val="001F6635"/>
    <w:rsid w:val="001F67A3"/>
    <w:rsid w:val="001F693A"/>
    <w:rsid w:val="001F738D"/>
    <w:rsid w:val="002005BD"/>
    <w:rsid w:val="00200681"/>
    <w:rsid w:val="00201982"/>
    <w:rsid w:val="002019A0"/>
    <w:rsid w:val="00201E7D"/>
    <w:rsid w:val="0020268B"/>
    <w:rsid w:val="00202741"/>
    <w:rsid w:val="00202DE9"/>
    <w:rsid w:val="00202E1D"/>
    <w:rsid w:val="00202F65"/>
    <w:rsid w:val="00203467"/>
    <w:rsid w:val="0020352B"/>
    <w:rsid w:val="00203C69"/>
    <w:rsid w:val="00204E72"/>
    <w:rsid w:val="0020557D"/>
    <w:rsid w:val="00205978"/>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07AD0"/>
    <w:rsid w:val="00210662"/>
    <w:rsid w:val="002106E3"/>
    <w:rsid w:val="00212063"/>
    <w:rsid w:val="00212441"/>
    <w:rsid w:val="002125B7"/>
    <w:rsid w:val="0021292A"/>
    <w:rsid w:val="00212D12"/>
    <w:rsid w:val="00213401"/>
    <w:rsid w:val="00213B2F"/>
    <w:rsid w:val="00213FD3"/>
    <w:rsid w:val="002145DA"/>
    <w:rsid w:val="00214758"/>
    <w:rsid w:val="002153C5"/>
    <w:rsid w:val="00215C60"/>
    <w:rsid w:val="00215F91"/>
    <w:rsid w:val="002165D9"/>
    <w:rsid w:val="0021699A"/>
    <w:rsid w:val="00216B4E"/>
    <w:rsid w:val="00216F86"/>
    <w:rsid w:val="002170E1"/>
    <w:rsid w:val="0021732A"/>
    <w:rsid w:val="002176A4"/>
    <w:rsid w:val="0021793A"/>
    <w:rsid w:val="00217C0C"/>
    <w:rsid w:val="0022038D"/>
    <w:rsid w:val="002207F7"/>
    <w:rsid w:val="00220EE2"/>
    <w:rsid w:val="002210B2"/>
    <w:rsid w:val="002214AF"/>
    <w:rsid w:val="00221651"/>
    <w:rsid w:val="002216BE"/>
    <w:rsid w:val="00222076"/>
    <w:rsid w:val="00222868"/>
    <w:rsid w:val="0022299B"/>
    <w:rsid w:val="00223518"/>
    <w:rsid w:val="00223767"/>
    <w:rsid w:val="00224281"/>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6F45"/>
    <w:rsid w:val="00227154"/>
    <w:rsid w:val="00227555"/>
    <w:rsid w:val="00227571"/>
    <w:rsid w:val="00227580"/>
    <w:rsid w:val="00230CE4"/>
    <w:rsid w:val="00230F0A"/>
    <w:rsid w:val="00230F70"/>
    <w:rsid w:val="0023164C"/>
    <w:rsid w:val="002317BA"/>
    <w:rsid w:val="00231EF8"/>
    <w:rsid w:val="0023212B"/>
    <w:rsid w:val="0023222A"/>
    <w:rsid w:val="002322B6"/>
    <w:rsid w:val="00232CDE"/>
    <w:rsid w:val="00233365"/>
    <w:rsid w:val="002335E3"/>
    <w:rsid w:val="00233C0A"/>
    <w:rsid w:val="00233C46"/>
    <w:rsid w:val="0023415D"/>
    <w:rsid w:val="00234A80"/>
    <w:rsid w:val="00234B3C"/>
    <w:rsid w:val="002353B3"/>
    <w:rsid w:val="002356CE"/>
    <w:rsid w:val="00235911"/>
    <w:rsid w:val="00235D2B"/>
    <w:rsid w:val="0023638B"/>
    <w:rsid w:val="00236601"/>
    <w:rsid w:val="00236EFD"/>
    <w:rsid w:val="002372D8"/>
    <w:rsid w:val="002375AD"/>
    <w:rsid w:val="00237B09"/>
    <w:rsid w:val="00237CED"/>
    <w:rsid w:val="002400B5"/>
    <w:rsid w:val="0024049A"/>
    <w:rsid w:val="00240756"/>
    <w:rsid w:val="00240866"/>
    <w:rsid w:val="00240DA7"/>
    <w:rsid w:val="002410C2"/>
    <w:rsid w:val="002411C4"/>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301"/>
    <w:rsid w:val="00245CC3"/>
    <w:rsid w:val="002462D4"/>
    <w:rsid w:val="002463B6"/>
    <w:rsid w:val="002463EA"/>
    <w:rsid w:val="00246773"/>
    <w:rsid w:val="00246E5E"/>
    <w:rsid w:val="00247071"/>
    <w:rsid w:val="002470E1"/>
    <w:rsid w:val="002471E8"/>
    <w:rsid w:val="00247512"/>
    <w:rsid w:val="002476BE"/>
    <w:rsid w:val="00247772"/>
    <w:rsid w:val="00247A04"/>
    <w:rsid w:val="00247D04"/>
    <w:rsid w:val="00247D96"/>
    <w:rsid w:val="002500A0"/>
    <w:rsid w:val="0025014D"/>
    <w:rsid w:val="00250841"/>
    <w:rsid w:val="00250EEC"/>
    <w:rsid w:val="002514D2"/>
    <w:rsid w:val="002516E6"/>
    <w:rsid w:val="00251968"/>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64E"/>
    <w:rsid w:val="0026196E"/>
    <w:rsid w:val="00262BF3"/>
    <w:rsid w:val="002632B8"/>
    <w:rsid w:val="0026350D"/>
    <w:rsid w:val="00263B0D"/>
    <w:rsid w:val="00263ED7"/>
    <w:rsid w:val="00263F78"/>
    <w:rsid w:val="0026429B"/>
    <w:rsid w:val="002643E7"/>
    <w:rsid w:val="00264F2F"/>
    <w:rsid w:val="0026504D"/>
    <w:rsid w:val="002659E3"/>
    <w:rsid w:val="00265B27"/>
    <w:rsid w:val="00265EA4"/>
    <w:rsid w:val="00266B8D"/>
    <w:rsid w:val="00266C70"/>
    <w:rsid w:val="00267102"/>
    <w:rsid w:val="002671EF"/>
    <w:rsid w:val="002679B5"/>
    <w:rsid w:val="00267CE3"/>
    <w:rsid w:val="00267E75"/>
    <w:rsid w:val="002700EE"/>
    <w:rsid w:val="00270D1A"/>
    <w:rsid w:val="002711A8"/>
    <w:rsid w:val="002712DD"/>
    <w:rsid w:val="00271674"/>
    <w:rsid w:val="0027207F"/>
    <w:rsid w:val="00272384"/>
    <w:rsid w:val="0027319B"/>
    <w:rsid w:val="00273626"/>
    <w:rsid w:val="00273680"/>
    <w:rsid w:val="002737AA"/>
    <w:rsid w:val="00273EF7"/>
    <w:rsid w:val="00273F1F"/>
    <w:rsid w:val="00274A78"/>
    <w:rsid w:val="00274E24"/>
    <w:rsid w:val="0027512C"/>
    <w:rsid w:val="00275AE7"/>
    <w:rsid w:val="00275DCF"/>
    <w:rsid w:val="00275E51"/>
    <w:rsid w:val="00275E97"/>
    <w:rsid w:val="002761F2"/>
    <w:rsid w:val="002762D8"/>
    <w:rsid w:val="00276589"/>
    <w:rsid w:val="00276939"/>
    <w:rsid w:val="00276DA1"/>
    <w:rsid w:val="00276DB8"/>
    <w:rsid w:val="002772ED"/>
    <w:rsid w:val="00277345"/>
    <w:rsid w:val="00277385"/>
    <w:rsid w:val="0027766B"/>
    <w:rsid w:val="002776EA"/>
    <w:rsid w:val="002802CE"/>
    <w:rsid w:val="0028071A"/>
    <w:rsid w:val="00280859"/>
    <w:rsid w:val="00280C12"/>
    <w:rsid w:val="00280DEE"/>
    <w:rsid w:val="00280E0D"/>
    <w:rsid w:val="00280EF4"/>
    <w:rsid w:val="00280FC7"/>
    <w:rsid w:val="002810F7"/>
    <w:rsid w:val="00281127"/>
    <w:rsid w:val="00281FC5"/>
    <w:rsid w:val="00282273"/>
    <w:rsid w:val="00282346"/>
    <w:rsid w:val="002823BF"/>
    <w:rsid w:val="00282657"/>
    <w:rsid w:val="002827D2"/>
    <w:rsid w:val="00282DD9"/>
    <w:rsid w:val="00283101"/>
    <w:rsid w:val="00283696"/>
    <w:rsid w:val="002836C0"/>
    <w:rsid w:val="00283722"/>
    <w:rsid w:val="00283735"/>
    <w:rsid w:val="002838F8"/>
    <w:rsid w:val="00283DF1"/>
    <w:rsid w:val="00283E25"/>
    <w:rsid w:val="00284291"/>
    <w:rsid w:val="00284374"/>
    <w:rsid w:val="00285478"/>
    <w:rsid w:val="00285A50"/>
    <w:rsid w:val="0028618C"/>
    <w:rsid w:val="002864EF"/>
    <w:rsid w:val="00286CCF"/>
    <w:rsid w:val="00286D94"/>
    <w:rsid w:val="00286DE3"/>
    <w:rsid w:val="00287406"/>
    <w:rsid w:val="002874C3"/>
    <w:rsid w:val="002877AC"/>
    <w:rsid w:val="00287CB2"/>
    <w:rsid w:val="00287DCC"/>
    <w:rsid w:val="00290339"/>
    <w:rsid w:val="002903A5"/>
    <w:rsid w:val="00290701"/>
    <w:rsid w:val="00290778"/>
    <w:rsid w:val="00290F7F"/>
    <w:rsid w:val="00290FF2"/>
    <w:rsid w:val="00291BF6"/>
    <w:rsid w:val="00292114"/>
    <w:rsid w:val="002921C9"/>
    <w:rsid w:val="00292287"/>
    <w:rsid w:val="002924F4"/>
    <w:rsid w:val="00292B6D"/>
    <w:rsid w:val="00292FFA"/>
    <w:rsid w:val="00293422"/>
    <w:rsid w:val="002936CB"/>
    <w:rsid w:val="002937DE"/>
    <w:rsid w:val="0029380C"/>
    <w:rsid w:val="00293A38"/>
    <w:rsid w:val="00293E89"/>
    <w:rsid w:val="00293E97"/>
    <w:rsid w:val="00294289"/>
    <w:rsid w:val="0029435E"/>
    <w:rsid w:val="00294AFE"/>
    <w:rsid w:val="0029526A"/>
    <w:rsid w:val="002952A7"/>
    <w:rsid w:val="0029622C"/>
    <w:rsid w:val="0029690F"/>
    <w:rsid w:val="00296F04"/>
    <w:rsid w:val="00297543"/>
    <w:rsid w:val="002978AB"/>
    <w:rsid w:val="00297E71"/>
    <w:rsid w:val="002A005F"/>
    <w:rsid w:val="002A05BB"/>
    <w:rsid w:val="002A0B43"/>
    <w:rsid w:val="002A0ED0"/>
    <w:rsid w:val="002A0F74"/>
    <w:rsid w:val="002A1362"/>
    <w:rsid w:val="002A1591"/>
    <w:rsid w:val="002A19B4"/>
    <w:rsid w:val="002A2088"/>
    <w:rsid w:val="002A20D2"/>
    <w:rsid w:val="002A26EB"/>
    <w:rsid w:val="002A2752"/>
    <w:rsid w:val="002A280F"/>
    <w:rsid w:val="002A2C17"/>
    <w:rsid w:val="002A33A0"/>
    <w:rsid w:val="002A3447"/>
    <w:rsid w:val="002A3640"/>
    <w:rsid w:val="002A37B3"/>
    <w:rsid w:val="002A37C1"/>
    <w:rsid w:val="002A3D9B"/>
    <w:rsid w:val="002A405B"/>
    <w:rsid w:val="002A4430"/>
    <w:rsid w:val="002A4633"/>
    <w:rsid w:val="002A468D"/>
    <w:rsid w:val="002A4A1C"/>
    <w:rsid w:val="002A4E00"/>
    <w:rsid w:val="002A521C"/>
    <w:rsid w:val="002A55AD"/>
    <w:rsid w:val="002A56E7"/>
    <w:rsid w:val="002A5701"/>
    <w:rsid w:val="002A5B1A"/>
    <w:rsid w:val="002A63ED"/>
    <w:rsid w:val="002A6BF5"/>
    <w:rsid w:val="002A6F15"/>
    <w:rsid w:val="002A7A49"/>
    <w:rsid w:val="002A7D73"/>
    <w:rsid w:val="002B01AB"/>
    <w:rsid w:val="002B05FD"/>
    <w:rsid w:val="002B0883"/>
    <w:rsid w:val="002B09EE"/>
    <w:rsid w:val="002B0CDC"/>
    <w:rsid w:val="002B0E6C"/>
    <w:rsid w:val="002B130B"/>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385"/>
    <w:rsid w:val="002B74CE"/>
    <w:rsid w:val="002B7933"/>
    <w:rsid w:val="002B7BA3"/>
    <w:rsid w:val="002B7DEB"/>
    <w:rsid w:val="002C0000"/>
    <w:rsid w:val="002C0385"/>
    <w:rsid w:val="002C046A"/>
    <w:rsid w:val="002C0B1D"/>
    <w:rsid w:val="002C117E"/>
    <w:rsid w:val="002C163B"/>
    <w:rsid w:val="002C163E"/>
    <w:rsid w:val="002C1963"/>
    <w:rsid w:val="002C1CF1"/>
    <w:rsid w:val="002C2100"/>
    <w:rsid w:val="002C217D"/>
    <w:rsid w:val="002C2406"/>
    <w:rsid w:val="002C2A74"/>
    <w:rsid w:val="002C2E95"/>
    <w:rsid w:val="002C3515"/>
    <w:rsid w:val="002C3B6E"/>
    <w:rsid w:val="002C3BAA"/>
    <w:rsid w:val="002C3D43"/>
    <w:rsid w:val="002C3D83"/>
    <w:rsid w:val="002C4373"/>
    <w:rsid w:val="002C4406"/>
    <w:rsid w:val="002C451A"/>
    <w:rsid w:val="002C471E"/>
    <w:rsid w:val="002C5210"/>
    <w:rsid w:val="002C53E7"/>
    <w:rsid w:val="002C6B00"/>
    <w:rsid w:val="002C6D78"/>
    <w:rsid w:val="002C6DCB"/>
    <w:rsid w:val="002C6E13"/>
    <w:rsid w:val="002C712E"/>
    <w:rsid w:val="002C7560"/>
    <w:rsid w:val="002C7D3D"/>
    <w:rsid w:val="002D0343"/>
    <w:rsid w:val="002D05D5"/>
    <w:rsid w:val="002D14DF"/>
    <w:rsid w:val="002D1985"/>
    <w:rsid w:val="002D1AC2"/>
    <w:rsid w:val="002D222F"/>
    <w:rsid w:val="002D2538"/>
    <w:rsid w:val="002D2A85"/>
    <w:rsid w:val="002D2B23"/>
    <w:rsid w:val="002D2E76"/>
    <w:rsid w:val="002D3347"/>
    <w:rsid w:val="002D336C"/>
    <w:rsid w:val="002D37A8"/>
    <w:rsid w:val="002D3CA0"/>
    <w:rsid w:val="002D4CA0"/>
    <w:rsid w:val="002D4D51"/>
    <w:rsid w:val="002D4E64"/>
    <w:rsid w:val="002D5326"/>
    <w:rsid w:val="002D5410"/>
    <w:rsid w:val="002D5C6E"/>
    <w:rsid w:val="002D6335"/>
    <w:rsid w:val="002D6B16"/>
    <w:rsid w:val="002D6E20"/>
    <w:rsid w:val="002D6F6B"/>
    <w:rsid w:val="002D723B"/>
    <w:rsid w:val="002D76BD"/>
    <w:rsid w:val="002D774E"/>
    <w:rsid w:val="002D7791"/>
    <w:rsid w:val="002D7DB5"/>
    <w:rsid w:val="002E0AB3"/>
    <w:rsid w:val="002E1065"/>
    <w:rsid w:val="002E11F2"/>
    <w:rsid w:val="002E1CEE"/>
    <w:rsid w:val="002E2727"/>
    <w:rsid w:val="002E2946"/>
    <w:rsid w:val="002E29BA"/>
    <w:rsid w:val="002E39CF"/>
    <w:rsid w:val="002E3DB4"/>
    <w:rsid w:val="002E440F"/>
    <w:rsid w:val="002E45AF"/>
    <w:rsid w:val="002E466C"/>
    <w:rsid w:val="002E4AA7"/>
    <w:rsid w:val="002E4D33"/>
    <w:rsid w:val="002E4F85"/>
    <w:rsid w:val="002E5231"/>
    <w:rsid w:val="002E532A"/>
    <w:rsid w:val="002E5CAF"/>
    <w:rsid w:val="002E6261"/>
    <w:rsid w:val="002E62AB"/>
    <w:rsid w:val="002E6616"/>
    <w:rsid w:val="002E66A6"/>
    <w:rsid w:val="002E6928"/>
    <w:rsid w:val="002E6CE5"/>
    <w:rsid w:val="002E6E53"/>
    <w:rsid w:val="002E72D8"/>
    <w:rsid w:val="002E7680"/>
    <w:rsid w:val="002E7704"/>
    <w:rsid w:val="002E7820"/>
    <w:rsid w:val="002F048A"/>
    <w:rsid w:val="002F04C9"/>
    <w:rsid w:val="002F0BA3"/>
    <w:rsid w:val="002F102D"/>
    <w:rsid w:val="002F104A"/>
    <w:rsid w:val="002F1D4F"/>
    <w:rsid w:val="002F1DE2"/>
    <w:rsid w:val="002F20E5"/>
    <w:rsid w:val="002F2131"/>
    <w:rsid w:val="002F22B1"/>
    <w:rsid w:val="002F2583"/>
    <w:rsid w:val="002F2C6C"/>
    <w:rsid w:val="002F3215"/>
    <w:rsid w:val="002F33E1"/>
    <w:rsid w:val="002F3598"/>
    <w:rsid w:val="002F4120"/>
    <w:rsid w:val="002F4142"/>
    <w:rsid w:val="002F4538"/>
    <w:rsid w:val="002F4860"/>
    <w:rsid w:val="002F4BD3"/>
    <w:rsid w:val="002F4C84"/>
    <w:rsid w:val="002F50DC"/>
    <w:rsid w:val="002F556D"/>
    <w:rsid w:val="002F56E2"/>
    <w:rsid w:val="002F5852"/>
    <w:rsid w:val="002F5A3A"/>
    <w:rsid w:val="002F5B94"/>
    <w:rsid w:val="002F66AE"/>
    <w:rsid w:val="002F67EE"/>
    <w:rsid w:val="002F6DF7"/>
    <w:rsid w:val="002F6F34"/>
    <w:rsid w:val="002F7883"/>
    <w:rsid w:val="002F7B51"/>
    <w:rsid w:val="002F7C11"/>
    <w:rsid w:val="00300459"/>
    <w:rsid w:val="00300807"/>
    <w:rsid w:val="00300AD7"/>
    <w:rsid w:val="0030256A"/>
    <w:rsid w:val="0030258D"/>
    <w:rsid w:val="00302EFB"/>
    <w:rsid w:val="003038BC"/>
    <w:rsid w:val="00303B0B"/>
    <w:rsid w:val="00303FD9"/>
    <w:rsid w:val="003041CF"/>
    <w:rsid w:val="003042B0"/>
    <w:rsid w:val="00304D6F"/>
    <w:rsid w:val="00304EC1"/>
    <w:rsid w:val="003058CC"/>
    <w:rsid w:val="00305B6F"/>
    <w:rsid w:val="00305EC3"/>
    <w:rsid w:val="003063D9"/>
    <w:rsid w:val="003070F8"/>
    <w:rsid w:val="00307484"/>
    <w:rsid w:val="00307730"/>
    <w:rsid w:val="00307903"/>
    <w:rsid w:val="00307BBE"/>
    <w:rsid w:val="00307C62"/>
    <w:rsid w:val="0031002F"/>
    <w:rsid w:val="003101B3"/>
    <w:rsid w:val="003102E9"/>
    <w:rsid w:val="003105D4"/>
    <w:rsid w:val="00310773"/>
    <w:rsid w:val="003107CF"/>
    <w:rsid w:val="00310BD0"/>
    <w:rsid w:val="00310DE9"/>
    <w:rsid w:val="00310F45"/>
    <w:rsid w:val="0031117B"/>
    <w:rsid w:val="00311606"/>
    <w:rsid w:val="00311CB3"/>
    <w:rsid w:val="00311FCB"/>
    <w:rsid w:val="00312BA1"/>
    <w:rsid w:val="00312FB3"/>
    <w:rsid w:val="00313678"/>
    <w:rsid w:val="003136C6"/>
    <w:rsid w:val="00313943"/>
    <w:rsid w:val="0031497E"/>
    <w:rsid w:val="00314D13"/>
    <w:rsid w:val="00315019"/>
    <w:rsid w:val="00315414"/>
    <w:rsid w:val="00315615"/>
    <w:rsid w:val="00316081"/>
    <w:rsid w:val="003161C0"/>
    <w:rsid w:val="00316279"/>
    <w:rsid w:val="0031678D"/>
    <w:rsid w:val="00316D20"/>
    <w:rsid w:val="00316D4B"/>
    <w:rsid w:val="003173B5"/>
    <w:rsid w:val="003176DC"/>
    <w:rsid w:val="00317760"/>
    <w:rsid w:val="003177E2"/>
    <w:rsid w:val="00317CFB"/>
    <w:rsid w:val="00317E72"/>
    <w:rsid w:val="003204C9"/>
    <w:rsid w:val="00320549"/>
    <w:rsid w:val="0032068B"/>
    <w:rsid w:val="00320916"/>
    <w:rsid w:val="003211A2"/>
    <w:rsid w:val="00321620"/>
    <w:rsid w:val="00321911"/>
    <w:rsid w:val="003221B3"/>
    <w:rsid w:val="003223AF"/>
    <w:rsid w:val="00322E8E"/>
    <w:rsid w:val="00323450"/>
    <w:rsid w:val="003236F0"/>
    <w:rsid w:val="00323B41"/>
    <w:rsid w:val="00323CB0"/>
    <w:rsid w:val="003246DB"/>
    <w:rsid w:val="003248B2"/>
    <w:rsid w:val="00325057"/>
    <w:rsid w:val="003250DA"/>
    <w:rsid w:val="003253AF"/>
    <w:rsid w:val="003255FC"/>
    <w:rsid w:val="00325649"/>
    <w:rsid w:val="003258FB"/>
    <w:rsid w:val="0032594F"/>
    <w:rsid w:val="00325C0F"/>
    <w:rsid w:val="00325CC9"/>
    <w:rsid w:val="003263BC"/>
    <w:rsid w:val="00326763"/>
    <w:rsid w:val="00326A10"/>
    <w:rsid w:val="00326B24"/>
    <w:rsid w:val="00326B89"/>
    <w:rsid w:val="0032705A"/>
    <w:rsid w:val="0032742D"/>
    <w:rsid w:val="00327DD9"/>
    <w:rsid w:val="00330041"/>
    <w:rsid w:val="003300DC"/>
    <w:rsid w:val="003303A7"/>
    <w:rsid w:val="0033084C"/>
    <w:rsid w:val="00330909"/>
    <w:rsid w:val="00330965"/>
    <w:rsid w:val="00330B2A"/>
    <w:rsid w:val="00330F35"/>
    <w:rsid w:val="0033165B"/>
    <w:rsid w:val="003319F4"/>
    <w:rsid w:val="00331A7B"/>
    <w:rsid w:val="00331FE0"/>
    <w:rsid w:val="00332461"/>
    <w:rsid w:val="0033273C"/>
    <w:rsid w:val="00332849"/>
    <w:rsid w:val="00332A8A"/>
    <w:rsid w:val="00332FA6"/>
    <w:rsid w:val="003331E9"/>
    <w:rsid w:val="0033320A"/>
    <w:rsid w:val="003334AE"/>
    <w:rsid w:val="00333927"/>
    <w:rsid w:val="00333940"/>
    <w:rsid w:val="00333FB1"/>
    <w:rsid w:val="003341A0"/>
    <w:rsid w:val="003341C5"/>
    <w:rsid w:val="0033428F"/>
    <w:rsid w:val="00334461"/>
    <w:rsid w:val="00334584"/>
    <w:rsid w:val="00334D5C"/>
    <w:rsid w:val="00334DF2"/>
    <w:rsid w:val="0033566C"/>
    <w:rsid w:val="003358AA"/>
    <w:rsid w:val="00335C53"/>
    <w:rsid w:val="00335CCA"/>
    <w:rsid w:val="00336316"/>
    <w:rsid w:val="003364B5"/>
    <w:rsid w:val="00336523"/>
    <w:rsid w:val="003366FE"/>
    <w:rsid w:val="003367E1"/>
    <w:rsid w:val="003370C2"/>
    <w:rsid w:val="003378B7"/>
    <w:rsid w:val="0034001C"/>
    <w:rsid w:val="00340A7C"/>
    <w:rsid w:val="003416F2"/>
    <w:rsid w:val="0034186C"/>
    <w:rsid w:val="003418DA"/>
    <w:rsid w:val="003418F2"/>
    <w:rsid w:val="0034193B"/>
    <w:rsid w:val="00341DB1"/>
    <w:rsid w:val="00342278"/>
    <w:rsid w:val="003425EA"/>
    <w:rsid w:val="0034322E"/>
    <w:rsid w:val="003433AE"/>
    <w:rsid w:val="003437D2"/>
    <w:rsid w:val="00343FAF"/>
    <w:rsid w:val="00344599"/>
    <w:rsid w:val="00344E9A"/>
    <w:rsid w:val="00344ED0"/>
    <w:rsid w:val="00345657"/>
    <w:rsid w:val="00345952"/>
    <w:rsid w:val="00345B68"/>
    <w:rsid w:val="00345BE2"/>
    <w:rsid w:val="0034628E"/>
    <w:rsid w:val="003469F7"/>
    <w:rsid w:val="0034704C"/>
    <w:rsid w:val="00347371"/>
    <w:rsid w:val="00347B30"/>
    <w:rsid w:val="00347B8F"/>
    <w:rsid w:val="00347BFD"/>
    <w:rsid w:val="00347DE3"/>
    <w:rsid w:val="003504B3"/>
    <w:rsid w:val="00350B26"/>
    <w:rsid w:val="00350D11"/>
    <w:rsid w:val="00350E19"/>
    <w:rsid w:val="00351433"/>
    <w:rsid w:val="00351438"/>
    <w:rsid w:val="00351622"/>
    <w:rsid w:val="0035172F"/>
    <w:rsid w:val="00352048"/>
    <w:rsid w:val="00352267"/>
    <w:rsid w:val="003522C0"/>
    <w:rsid w:val="00352721"/>
    <w:rsid w:val="00352727"/>
    <w:rsid w:val="00353C63"/>
    <w:rsid w:val="003544F0"/>
    <w:rsid w:val="00354809"/>
    <w:rsid w:val="00354A37"/>
    <w:rsid w:val="00354B3C"/>
    <w:rsid w:val="00354B91"/>
    <w:rsid w:val="00354BC9"/>
    <w:rsid w:val="00354C8A"/>
    <w:rsid w:val="0035573E"/>
    <w:rsid w:val="00356339"/>
    <w:rsid w:val="00356569"/>
    <w:rsid w:val="00356CB7"/>
    <w:rsid w:val="00357403"/>
    <w:rsid w:val="00357481"/>
    <w:rsid w:val="00357682"/>
    <w:rsid w:val="0035773B"/>
    <w:rsid w:val="003601B6"/>
    <w:rsid w:val="00360326"/>
    <w:rsid w:val="00360560"/>
    <w:rsid w:val="00360669"/>
    <w:rsid w:val="00360A11"/>
    <w:rsid w:val="00360BB8"/>
    <w:rsid w:val="00360E00"/>
    <w:rsid w:val="003610DA"/>
    <w:rsid w:val="0036185C"/>
    <w:rsid w:val="00361E52"/>
    <w:rsid w:val="00361E5C"/>
    <w:rsid w:val="0036200D"/>
    <w:rsid w:val="00362DAF"/>
    <w:rsid w:val="00362ECC"/>
    <w:rsid w:val="00363102"/>
    <w:rsid w:val="00363253"/>
    <w:rsid w:val="00363BB0"/>
    <w:rsid w:val="00363EAD"/>
    <w:rsid w:val="00363F88"/>
    <w:rsid w:val="0036425D"/>
    <w:rsid w:val="0036452E"/>
    <w:rsid w:val="0036462E"/>
    <w:rsid w:val="003647B2"/>
    <w:rsid w:val="00364DA4"/>
    <w:rsid w:val="00365549"/>
    <w:rsid w:val="00365682"/>
    <w:rsid w:val="00365795"/>
    <w:rsid w:val="00365892"/>
    <w:rsid w:val="00365AFD"/>
    <w:rsid w:val="00365B26"/>
    <w:rsid w:val="00365D13"/>
    <w:rsid w:val="00365F60"/>
    <w:rsid w:val="00366088"/>
    <w:rsid w:val="00366948"/>
    <w:rsid w:val="00366A1C"/>
    <w:rsid w:val="0036702E"/>
    <w:rsid w:val="003673DB"/>
    <w:rsid w:val="003674AC"/>
    <w:rsid w:val="00367DDA"/>
    <w:rsid w:val="003700C6"/>
    <w:rsid w:val="0037012F"/>
    <w:rsid w:val="003704D2"/>
    <w:rsid w:val="00370D33"/>
    <w:rsid w:val="003710D1"/>
    <w:rsid w:val="003713EA"/>
    <w:rsid w:val="003714D6"/>
    <w:rsid w:val="003715BA"/>
    <w:rsid w:val="00371629"/>
    <w:rsid w:val="00371A3A"/>
    <w:rsid w:val="00371A97"/>
    <w:rsid w:val="00372A3C"/>
    <w:rsid w:val="00372CE6"/>
    <w:rsid w:val="00372D16"/>
    <w:rsid w:val="003734EC"/>
    <w:rsid w:val="00373518"/>
    <w:rsid w:val="00373CB3"/>
    <w:rsid w:val="00374548"/>
    <w:rsid w:val="00374833"/>
    <w:rsid w:val="00374BC9"/>
    <w:rsid w:val="00374C8B"/>
    <w:rsid w:val="00374D98"/>
    <w:rsid w:val="00374F8A"/>
    <w:rsid w:val="00375331"/>
    <w:rsid w:val="003763C4"/>
    <w:rsid w:val="003767DF"/>
    <w:rsid w:val="00376AA5"/>
    <w:rsid w:val="00376EC9"/>
    <w:rsid w:val="0037719F"/>
    <w:rsid w:val="003778C5"/>
    <w:rsid w:val="00377A4C"/>
    <w:rsid w:val="00377A61"/>
    <w:rsid w:val="00380370"/>
    <w:rsid w:val="00380C81"/>
    <w:rsid w:val="00380F6B"/>
    <w:rsid w:val="0038141F"/>
    <w:rsid w:val="0038186A"/>
    <w:rsid w:val="00381B47"/>
    <w:rsid w:val="00381B66"/>
    <w:rsid w:val="00381DC6"/>
    <w:rsid w:val="00381E84"/>
    <w:rsid w:val="0038222E"/>
    <w:rsid w:val="00382288"/>
    <w:rsid w:val="003823C2"/>
    <w:rsid w:val="00382A03"/>
    <w:rsid w:val="00382B53"/>
    <w:rsid w:val="00382DF2"/>
    <w:rsid w:val="00382E1B"/>
    <w:rsid w:val="00383A1E"/>
    <w:rsid w:val="00383E21"/>
    <w:rsid w:val="00383F04"/>
    <w:rsid w:val="00383FF6"/>
    <w:rsid w:val="003843E9"/>
    <w:rsid w:val="0038497E"/>
    <w:rsid w:val="00384DD1"/>
    <w:rsid w:val="00384E82"/>
    <w:rsid w:val="00384FDB"/>
    <w:rsid w:val="00385285"/>
    <w:rsid w:val="00385318"/>
    <w:rsid w:val="00385B10"/>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0FDD"/>
    <w:rsid w:val="0039127E"/>
    <w:rsid w:val="0039226F"/>
    <w:rsid w:val="00392339"/>
    <w:rsid w:val="00392A19"/>
    <w:rsid w:val="00392A55"/>
    <w:rsid w:val="0039305A"/>
    <w:rsid w:val="003930C5"/>
    <w:rsid w:val="0039320B"/>
    <w:rsid w:val="00393261"/>
    <w:rsid w:val="003933CE"/>
    <w:rsid w:val="00393DB8"/>
    <w:rsid w:val="003943A2"/>
    <w:rsid w:val="00394A56"/>
    <w:rsid w:val="00394E22"/>
    <w:rsid w:val="00395009"/>
    <w:rsid w:val="0039528B"/>
    <w:rsid w:val="00395A2E"/>
    <w:rsid w:val="00395B5B"/>
    <w:rsid w:val="00395FF4"/>
    <w:rsid w:val="00396E8F"/>
    <w:rsid w:val="00396F26"/>
    <w:rsid w:val="003970C4"/>
    <w:rsid w:val="00397135"/>
    <w:rsid w:val="003971BA"/>
    <w:rsid w:val="00397723"/>
    <w:rsid w:val="003A000F"/>
    <w:rsid w:val="003A051B"/>
    <w:rsid w:val="003A07AC"/>
    <w:rsid w:val="003A0914"/>
    <w:rsid w:val="003A0D5E"/>
    <w:rsid w:val="003A182C"/>
    <w:rsid w:val="003A19C6"/>
    <w:rsid w:val="003A1B6E"/>
    <w:rsid w:val="003A2017"/>
    <w:rsid w:val="003A2048"/>
    <w:rsid w:val="003A20F9"/>
    <w:rsid w:val="003A25AC"/>
    <w:rsid w:val="003A2972"/>
    <w:rsid w:val="003A2CFE"/>
    <w:rsid w:val="003A2DDF"/>
    <w:rsid w:val="003A348B"/>
    <w:rsid w:val="003A39B6"/>
    <w:rsid w:val="003A3CCD"/>
    <w:rsid w:val="003A4549"/>
    <w:rsid w:val="003A49C0"/>
    <w:rsid w:val="003A4F77"/>
    <w:rsid w:val="003A4FC3"/>
    <w:rsid w:val="003A575B"/>
    <w:rsid w:val="003A5820"/>
    <w:rsid w:val="003A5858"/>
    <w:rsid w:val="003A5B0B"/>
    <w:rsid w:val="003A5FA3"/>
    <w:rsid w:val="003A6055"/>
    <w:rsid w:val="003A62C0"/>
    <w:rsid w:val="003A69D2"/>
    <w:rsid w:val="003A7154"/>
    <w:rsid w:val="003A749D"/>
    <w:rsid w:val="003A76ED"/>
    <w:rsid w:val="003A784E"/>
    <w:rsid w:val="003B074D"/>
    <w:rsid w:val="003B095B"/>
    <w:rsid w:val="003B0DBA"/>
    <w:rsid w:val="003B116F"/>
    <w:rsid w:val="003B147A"/>
    <w:rsid w:val="003B1666"/>
    <w:rsid w:val="003B17BB"/>
    <w:rsid w:val="003B1A3E"/>
    <w:rsid w:val="003B1B30"/>
    <w:rsid w:val="003B1F20"/>
    <w:rsid w:val="003B1FFB"/>
    <w:rsid w:val="003B2003"/>
    <w:rsid w:val="003B2202"/>
    <w:rsid w:val="003B28CE"/>
    <w:rsid w:val="003B32C8"/>
    <w:rsid w:val="003B3C44"/>
    <w:rsid w:val="003B3D63"/>
    <w:rsid w:val="003B3D69"/>
    <w:rsid w:val="003B41E7"/>
    <w:rsid w:val="003B42DA"/>
    <w:rsid w:val="003B43BC"/>
    <w:rsid w:val="003B44C0"/>
    <w:rsid w:val="003B48D7"/>
    <w:rsid w:val="003B48D9"/>
    <w:rsid w:val="003B52BE"/>
    <w:rsid w:val="003B581C"/>
    <w:rsid w:val="003B5855"/>
    <w:rsid w:val="003B5A75"/>
    <w:rsid w:val="003B6087"/>
    <w:rsid w:val="003B60B1"/>
    <w:rsid w:val="003B6A76"/>
    <w:rsid w:val="003B6C52"/>
    <w:rsid w:val="003B6F60"/>
    <w:rsid w:val="003C065C"/>
    <w:rsid w:val="003C0E55"/>
    <w:rsid w:val="003C142F"/>
    <w:rsid w:val="003C1B2A"/>
    <w:rsid w:val="003C1CC6"/>
    <w:rsid w:val="003C207F"/>
    <w:rsid w:val="003C216B"/>
    <w:rsid w:val="003C22E0"/>
    <w:rsid w:val="003C2384"/>
    <w:rsid w:val="003C2561"/>
    <w:rsid w:val="003C290E"/>
    <w:rsid w:val="003C2C29"/>
    <w:rsid w:val="003C2E9C"/>
    <w:rsid w:val="003C37C1"/>
    <w:rsid w:val="003C40F9"/>
    <w:rsid w:val="003C4848"/>
    <w:rsid w:val="003C5AAD"/>
    <w:rsid w:val="003C6276"/>
    <w:rsid w:val="003C6DD6"/>
    <w:rsid w:val="003C73DD"/>
    <w:rsid w:val="003D01BA"/>
    <w:rsid w:val="003D0409"/>
    <w:rsid w:val="003D0C53"/>
    <w:rsid w:val="003D0FB1"/>
    <w:rsid w:val="003D1014"/>
    <w:rsid w:val="003D1306"/>
    <w:rsid w:val="003D1545"/>
    <w:rsid w:val="003D213E"/>
    <w:rsid w:val="003D2B0F"/>
    <w:rsid w:val="003D3060"/>
    <w:rsid w:val="003D3061"/>
    <w:rsid w:val="003D3114"/>
    <w:rsid w:val="003D3EBD"/>
    <w:rsid w:val="003D3F37"/>
    <w:rsid w:val="003D449B"/>
    <w:rsid w:val="003D4E49"/>
    <w:rsid w:val="003D525A"/>
    <w:rsid w:val="003D581F"/>
    <w:rsid w:val="003D6026"/>
    <w:rsid w:val="003D652B"/>
    <w:rsid w:val="003D677D"/>
    <w:rsid w:val="003D68AD"/>
    <w:rsid w:val="003D6BD7"/>
    <w:rsid w:val="003D6BE6"/>
    <w:rsid w:val="003D6D57"/>
    <w:rsid w:val="003D6ECD"/>
    <w:rsid w:val="003D74DF"/>
    <w:rsid w:val="003D7534"/>
    <w:rsid w:val="003D7B11"/>
    <w:rsid w:val="003D7E27"/>
    <w:rsid w:val="003E0751"/>
    <w:rsid w:val="003E0812"/>
    <w:rsid w:val="003E08CD"/>
    <w:rsid w:val="003E147D"/>
    <w:rsid w:val="003E1980"/>
    <w:rsid w:val="003E1AA1"/>
    <w:rsid w:val="003E20A8"/>
    <w:rsid w:val="003E2D88"/>
    <w:rsid w:val="003E3662"/>
    <w:rsid w:val="003E38B8"/>
    <w:rsid w:val="003E3BE8"/>
    <w:rsid w:val="003E3CB6"/>
    <w:rsid w:val="003E431C"/>
    <w:rsid w:val="003E435D"/>
    <w:rsid w:val="003E4392"/>
    <w:rsid w:val="003E52DD"/>
    <w:rsid w:val="003E5660"/>
    <w:rsid w:val="003E5CF9"/>
    <w:rsid w:val="003E6006"/>
    <w:rsid w:val="003E610A"/>
    <w:rsid w:val="003E6B06"/>
    <w:rsid w:val="003E6CFE"/>
    <w:rsid w:val="003E6DC5"/>
    <w:rsid w:val="003E6E57"/>
    <w:rsid w:val="003E70B8"/>
    <w:rsid w:val="003E7509"/>
    <w:rsid w:val="003E7966"/>
    <w:rsid w:val="003E7B1F"/>
    <w:rsid w:val="003E7C24"/>
    <w:rsid w:val="003F009C"/>
    <w:rsid w:val="003F0739"/>
    <w:rsid w:val="003F07EB"/>
    <w:rsid w:val="003F0872"/>
    <w:rsid w:val="003F090C"/>
    <w:rsid w:val="003F10D6"/>
    <w:rsid w:val="003F18BC"/>
    <w:rsid w:val="003F1E1D"/>
    <w:rsid w:val="003F2AB1"/>
    <w:rsid w:val="003F2C91"/>
    <w:rsid w:val="003F3178"/>
    <w:rsid w:val="003F31F5"/>
    <w:rsid w:val="003F3627"/>
    <w:rsid w:val="003F397F"/>
    <w:rsid w:val="003F3A34"/>
    <w:rsid w:val="003F3D02"/>
    <w:rsid w:val="003F3F00"/>
    <w:rsid w:val="003F4523"/>
    <w:rsid w:val="003F4639"/>
    <w:rsid w:val="003F46A0"/>
    <w:rsid w:val="003F48D2"/>
    <w:rsid w:val="003F4996"/>
    <w:rsid w:val="003F4D30"/>
    <w:rsid w:val="003F51ED"/>
    <w:rsid w:val="003F56A5"/>
    <w:rsid w:val="003F5D06"/>
    <w:rsid w:val="003F605C"/>
    <w:rsid w:val="003F616F"/>
    <w:rsid w:val="003F6520"/>
    <w:rsid w:val="003F697E"/>
    <w:rsid w:val="003F704F"/>
    <w:rsid w:val="003F7114"/>
    <w:rsid w:val="003F7285"/>
    <w:rsid w:val="003F74BD"/>
    <w:rsid w:val="003F74F9"/>
    <w:rsid w:val="003F7772"/>
    <w:rsid w:val="003F77DD"/>
    <w:rsid w:val="003F78B9"/>
    <w:rsid w:val="003F7C1C"/>
    <w:rsid w:val="003F7EB1"/>
    <w:rsid w:val="004003F7"/>
    <w:rsid w:val="00400431"/>
    <w:rsid w:val="0040048F"/>
    <w:rsid w:val="004007B4"/>
    <w:rsid w:val="004010DD"/>
    <w:rsid w:val="00401269"/>
    <w:rsid w:val="00401A4D"/>
    <w:rsid w:val="00401F27"/>
    <w:rsid w:val="004025E6"/>
    <w:rsid w:val="00402769"/>
    <w:rsid w:val="0040284A"/>
    <w:rsid w:val="00402A9E"/>
    <w:rsid w:val="004033A6"/>
    <w:rsid w:val="0040397F"/>
    <w:rsid w:val="00403A00"/>
    <w:rsid w:val="00403A4A"/>
    <w:rsid w:val="00403CEE"/>
    <w:rsid w:val="0040438E"/>
    <w:rsid w:val="00404765"/>
    <w:rsid w:val="00404BE9"/>
    <w:rsid w:val="00404E26"/>
    <w:rsid w:val="0040535F"/>
    <w:rsid w:val="00405B2B"/>
    <w:rsid w:val="00405BD4"/>
    <w:rsid w:val="0040646C"/>
    <w:rsid w:val="0040654E"/>
    <w:rsid w:val="00406C9C"/>
    <w:rsid w:val="00406EDB"/>
    <w:rsid w:val="0040724B"/>
    <w:rsid w:val="004074D9"/>
    <w:rsid w:val="0040790B"/>
    <w:rsid w:val="0040795B"/>
    <w:rsid w:val="00407B77"/>
    <w:rsid w:val="004104CC"/>
    <w:rsid w:val="00410A27"/>
    <w:rsid w:val="00410D4E"/>
    <w:rsid w:val="004117B5"/>
    <w:rsid w:val="00411A28"/>
    <w:rsid w:val="00411B9E"/>
    <w:rsid w:val="00411D87"/>
    <w:rsid w:val="00411E75"/>
    <w:rsid w:val="004125F9"/>
    <w:rsid w:val="00412AF8"/>
    <w:rsid w:val="00412DF6"/>
    <w:rsid w:val="00412FFF"/>
    <w:rsid w:val="004134EB"/>
    <w:rsid w:val="00413501"/>
    <w:rsid w:val="00413FBF"/>
    <w:rsid w:val="0041426C"/>
    <w:rsid w:val="00414960"/>
    <w:rsid w:val="00414A90"/>
    <w:rsid w:val="00414E83"/>
    <w:rsid w:val="00415585"/>
    <w:rsid w:val="00415914"/>
    <w:rsid w:val="004159D7"/>
    <w:rsid w:val="00415A41"/>
    <w:rsid w:val="00415D56"/>
    <w:rsid w:val="0041614D"/>
    <w:rsid w:val="00416668"/>
    <w:rsid w:val="004168CD"/>
    <w:rsid w:val="00416D6F"/>
    <w:rsid w:val="00416D88"/>
    <w:rsid w:val="00416EBB"/>
    <w:rsid w:val="004173B9"/>
    <w:rsid w:val="00417576"/>
    <w:rsid w:val="00417670"/>
    <w:rsid w:val="00417AB5"/>
    <w:rsid w:val="004202C8"/>
    <w:rsid w:val="00420D8F"/>
    <w:rsid w:val="004213F1"/>
    <w:rsid w:val="00421CFF"/>
    <w:rsid w:val="00421D66"/>
    <w:rsid w:val="004220DA"/>
    <w:rsid w:val="004224BD"/>
    <w:rsid w:val="00422ABC"/>
    <w:rsid w:val="004233A9"/>
    <w:rsid w:val="004233AD"/>
    <w:rsid w:val="004234F5"/>
    <w:rsid w:val="00423BCB"/>
    <w:rsid w:val="00423E12"/>
    <w:rsid w:val="00424A04"/>
    <w:rsid w:val="00424F42"/>
    <w:rsid w:val="0042531A"/>
    <w:rsid w:val="00425509"/>
    <w:rsid w:val="004256AC"/>
    <w:rsid w:val="00426023"/>
    <w:rsid w:val="00426C78"/>
    <w:rsid w:val="00426DFD"/>
    <w:rsid w:val="00427A8C"/>
    <w:rsid w:val="00427B8C"/>
    <w:rsid w:val="00427BEA"/>
    <w:rsid w:val="0043047C"/>
    <w:rsid w:val="004306D1"/>
    <w:rsid w:val="00430A8D"/>
    <w:rsid w:val="00430D2A"/>
    <w:rsid w:val="004312C0"/>
    <w:rsid w:val="0043132E"/>
    <w:rsid w:val="00431364"/>
    <w:rsid w:val="0043179B"/>
    <w:rsid w:val="00431817"/>
    <w:rsid w:val="004318BE"/>
    <w:rsid w:val="0043223A"/>
    <w:rsid w:val="00432850"/>
    <w:rsid w:val="00432E94"/>
    <w:rsid w:val="004330F6"/>
    <w:rsid w:val="00433394"/>
    <w:rsid w:val="004339DD"/>
    <w:rsid w:val="00433AB2"/>
    <w:rsid w:val="004343C3"/>
    <w:rsid w:val="00434799"/>
    <w:rsid w:val="00435E6E"/>
    <w:rsid w:val="004365A5"/>
    <w:rsid w:val="00437316"/>
    <w:rsid w:val="00437691"/>
    <w:rsid w:val="00437DB2"/>
    <w:rsid w:val="00437FCB"/>
    <w:rsid w:val="004400C4"/>
    <w:rsid w:val="00440140"/>
    <w:rsid w:val="00440441"/>
    <w:rsid w:val="004408DD"/>
    <w:rsid w:val="00440B1B"/>
    <w:rsid w:val="00440C38"/>
    <w:rsid w:val="0044116D"/>
    <w:rsid w:val="004412CB"/>
    <w:rsid w:val="00441824"/>
    <w:rsid w:val="00441A5F"/>
    <w:rsid w:val="00441AD2"/>
    <w:rsid w:val="00441B71"/>
    <w:rsid w:val="00441F23"/>
    <w:rsid w:val="00442561"/>
    <w:rsid w:val="00442809"/>
    <w:rsid w:val="00442C45"/>
    <w:rsid w:val="00442D6E"/>
    <w:rsid w:val="00443286"/>
    <w:rsid w:val="004436C1"/>
    <w:rsid w:val="004445C9"/>
    <w:rsid w:val="0044461C"/>
    <w:rsid w:val="00444692"/>
    <w:rsid w:val="00444EA7"/>
    <w:rsid w:val="004454D3"/>
    <w:rsid w:val="0044568E"/>
    <w:rsid w:val="004458E0"/>
    <w:rsid w:val="00445DA0"/>
    <w:rsid w:val="004462F8"/>
    <w:rsid w:val="0044669C"/>
    <w:rsid w:val="00446A72"/>
    <w:rsid w:val="00446C25"/>
    <w:rsid w:val="00446C6D"/>
    <w:rsid w:val="00446FB2"/>
    <w:rsid w:val="004470B0"/>
    <w:rsid w:val="0044714E"/>
    <w:rsid w:val="004477C3"/>
    <w:rsid w:val="00447B0F"/>
    <w:rsid w:val="00450267"/>
    <w:rsid w:val="0045031D"/>
    <w:rsid w:val="00450365"/>
    <w:rsid w:val="00450463"/>
    <w:rsid w:val="004509A8"/>
    <w:rsid w:val="00450D48"/>
    <w:rsid w:val="00451059"/>
    <w:rsid w:val="0045118B"/>
    <w:rsid w:val="00451435"/>
    <w:rsid w:val="0045180D"/>
    <w:rsid w:val="00451A2D"/>
    <w:rsid w:val="00451E18"/>
    <w:rsid w:val="00451E40"/>
    <w:rsid w:val="00451EE5"/>
    <w:rsid w:val="004525CB"/>
    <w:rsid w:val="00452833"/>
    <w:rsid w:val="004529F5"/>
    <w:rsid w:val="00452AB7"/>
    <w:rsid w:val="0045325A"/>
    <w:rsid w:val="004540BB"/>
    <w:rsid w:val="0045446D"/>
    <w:rsid w:val="0045459A"/>
    <w:rsid w:val="004545A6"/>
    <w:rsid w:val="004546DB"/>
    <w:rsid w:val="00454742"/>
    <w:rsid w:val="004548F4"/>
    <w:rsid w:val="00454BC7"/>
    <w:rsid w:val="00454C4C"/>
    <w:rsid w:val="00455A52"/>
    <w:rsid w:val="00456402"/>
    <w:rsid w:val="004564E6"/>
    <w:rsid w:val="00456E0E"/>
    <w:rsid w:val="00456F7C"/>
    <w:rsid w:val="00457217"/>
    <w:rsid w:val="00457512"/>
    <w:rsid w:val="00457D19"/>
    <w:rsid w:val="00457E3D"/>
    <w:rsid w:val="0046044E"/>
    <w:rsid w:val="00460D0C"/>
    <w:rsid w:val="00461123"/>
    <w:rsid w:val="004611F0"/>
    <w:rsid w:val="0046120D"/>
    <w:rsid w:val="00461335"/>
    <w:rsid w:val="00461C63"/>
    <w:rsid w:val="00461CC4"/>
    <w:rsid w:val="00461E0E"/>
    <w:rsid w:val="00461E50"/>
    <w:rsid w:val="004622FC"/>
    <w:rsid w:val="004638E8"/>
    <w:rsid w:val="00463B31"/>
    <w:rsid w:val="00463FE5"/>
    <w:rsid w:val="00464448"/>
    <w:rsid w:val="00464A44"/>
    <w:rsid w:val="00465286"/>
    <w:rsid w:val="00465510"/>
    <w:rsid w:val="00465BC9"/>
    <w:rsid w:val="0046605A"/>
    <w:rsid w:val="004660F7"/>
    <w:rsid w:val="00466709"/>
    <w:rsid w:val="0046676F"/>
    <w:rsid w:val="00466878"/>
    <w:rsid w:val="004668AD"/>
    <w:rsid w:val="0046695A"/>
    <w:rsid w:val="00467697"/>
    <w:rsid w:val="00467702"/>
    <w:rsid w:val="004677A6"/>
    <w:rsid w:val="00467829"/>
    <w:rsid w:val="004679DC"/>
    <w:rsid w:val="00467C6E"/>
    <w:rsid w:val="00467DDD"/>
    <w:rsid w:val="004701C6"/>
    <w:rsid w:val="00470A34"/>
    <w:rsid w:val="00470CAB"/>
    <w:rsid w:val="00470E97"/>
    <w:rsid w:val="004722C1"/>
    <w:rsid w:val="00472455"/>
    <w:rsid w:val="00472B5B"/>
    <w:rsid w:val="0047302F"/>
    <w:rsid w:val="0047336B"/>
    <w:rsid w:val="00473E7D"/>
    <w:rsid w:val="004747B4"/>
    <w:rsid w:val="00474A1A"/>
    <w:rsid w:val="00474E5F"/>
    <w:rsid w:val="00474EBB"/>
    <w:rsid w:val="004753F7"/>
    <w:rsid w:val="004758FF"/>
    <w:rsid w:val="0047643E"/>
    <w:rsid w:val="004766FE"/>
    <w:rsid w:val="00476832"/>
    <w:rsid w:val="00476879"/>
    <w:rsid w:val="00476D4F"/>
    <w:rsid w:val="004774B9"/>
    <w:rsid w:val="0047750C"/>
    <w:rsid w:val="0048007F"/>
    <w:rsid w:val="00480134"/>
    <w:rsid w:val="00481399"/>
    <w:rsid w:val="00481EBC"/>
    <w:rsid w:val="004822D6"/>
    <w:rsid w:val="00482DA6"/>
    <w:rsid w:val="00482FD9"/>
    <w:rsid w:val="00483480"/>
    <w:rsid w:val="004836BC"/>
    <w:rsid w:val="00483B54"/>
    <w:rsid w:val="00483E4C"/>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0BD7"/>
    <w:rsid w:val="00491018"/>
    <w:rsid w:val="004917B6"/>
    <w:rsid w:val="00491967"/>
    <w:rsid w:val="00492998"/>
    <w:rsid w:val="00492D77"/>
    <w:rsid w:val="00492D96"/>
    <w:rsid w:val="00493867"/>
    <w:rsid w:val="00493C19"/>
    <w:rsid w:val="004949FD"/>
    <w:rsid w:val="00494D1B"/>
    <w:rsid w:val="00495019"/>
    <w:rsid w:val="00495033"/>
    <w:rsid w:val="004952A4"/>
    <w:rsid w:val="00495815"/>
    <w:rsid w:val="0049591A"/>
    <w:rsid w:val="00495AED"/>
    <w:rsid w:val="00495B2D"/>
    <w:rsid w:val="00496475"/>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224"/>
    <w:rsid w:val="004A2B68"/>
    <w:rsid w:val="004A3024"/>
    <w:rsid w:val="004A31CA"/>
    <w:rsid w:val="004A3375"/>
    <w:rsid w:val="004A395C"/>
    <w:rsid w:val="004A39BD"/>
    <w:rsid w:val="004A3AAA"/>
    <w:rsid w:val="004A4329"/>
    <w:rsid w:val="004A435E"/>
    <w:rsid w:val="004A520F"/>
    <w:rsid w:val="004A54D4"/>
    <w:rsid w:val="004A57F9"/>
    <w:rsid w:val="004A5CB1"/>
    <w:rsid w:val="004A5E01"/>
    <w:rsid w:val="004A62AA"/>
    <w:rsid w:val="004A630E"/>
    <w:rsid w:val="004A64AB"/>
    <w:rsid w:val="004A66BC"/>
    <w:rsid w:val="004A6967"/>
    <w:rsid w:val="004A6A95"/>
    <w:rsid w:val="004A71F7"/>
    <w:rsid w:val="004A7BAD"/>
    <w:rsid w:val="004B02D9"/>
    <w:rsid w:val="004B041D"/>
    <w:rsid w:val="004B0A9B"/>
    <w:rsid w:val="004B1218"/>
    <w:rsid w:val="004B12F4"/>
    <w:rsid w:val="004B1360"/>
    <w:rsid w:val="004B1488"/>
    <w:rsid w:val="004B1844"/>
    <w:rsid w:val="004B1862"/>
    <w:rsid w:val="004B1C71"/>
    <w:rsid w:val="004B1E74"/>
    <w:rsid w:val="004B242E"/>
    <w:rsid w:val="004B27E4"/>
    <w:rsid w:val="004B2A03"/>
    <w:rsid w:val="004B2D7D"/>
    <w:rsid w:val="004B3AA2"/>
    <w:rsid w:val="004B3AC7"/>
    <w:rsid w:val="004B3D85"/>
    <w:rsid w:val="004B3EFA"/>
    <w:rsid w:val="004B3FA3"/>
    <w:rsid w:val="004B40C8"/>
    <w:rsid w:val="004B482E"/>
    <w:rsid w:val="004B4FAB"/>
    <w:rsid w:val="004B4FF7"/>
    <w:rsid w:val="004B572A"/>
    <w:rsid w:val="004B578A"/>
    <w:rsid w:val="004B5BF8"/>
    <w:rsid w:val="004B5D00"/>
    <w:rsid w:val="004B5D02"/>
    <w:rsid w:val="004B60F0"/>
    <w:rsid w:val="004B64CC"/>
    <w:rsid w:val="004B68EE"/>
    <w:rsid w:val="004B6D9A"/>
    <w:rsid w:val="004B6EA0"/>
    <w:rsid w:val="004B74BD"/>
    <w:rsid w:val="004B75A2"/>
    <w:rsid w:val="004B7F3D"/>
    <w:rsid w:val="004B7F68"/>
    <w:rsid w:val="004C0264"/>
    <w:rsid w:val="004C038E"/>
    <w:rsid w:val="004C046B"/>
    <w:rsid w:val="004C0E43"/>
    <w:rsid w:val="004C0FF4"/>
    <w:rsid w:val="004C13FC"/>
    <w:rsid w:val="004C1717"/>
    <w:rsid w:val="004C206B"/>
    <w:rsid w:val="004C250C"/>
    <w:rsid w:val="004C2871"/>
    <w:rsid w:val="004C37B4"/>
    <w:rsid w:val="004C3904"/>
    <w:rsid w:val="004C497F"/>
    <w:rsid w:val="004C4CFE"/>
    <w:rsid w:val="004C4E7C"/>
    <w:rsid w:val="004C539C"/>
    <w:rsid w:val="004C53F5"/>
    <w:rsid w:val="004C53F6"/>
    <w:rsid w:val="004C5BBE"/>
    <w:rsid w:val="004C6785"/>
    <w:rsid w:val="004C6B35"/>
    <w:rsid w:val="004C6DCA"/>
    <w:rsid w:val="004C6EF5"/>
    <w:rsid w:val="004C70DD"/>
    <w:rsid w:val="004C77A8"/>
    <w:rsid w:val="004C7EAC"/>
    <w:rsid w:val="004D022A"/>
    <w:rsid w:val="004D04B2"/>
    <w:rsid w:val="004D133F"/>
    <w:rsid w:val="004D14F2"/>
    <w:rsid w:val="004D1842"/>
    <w:rsid w:val="004D1EDB"/>
    <w:rsid w:val="004D24B3"/>
    <w:rsid w:val="004D295D"/>
    <w:rsid w:val="004D2B7E"/>
    <w:rsid w:val="004D3100"/>
    <w:rsid w:val="004D3513"/>
    <w:rsid w:val="004D378D"/>
    <w:rsid w:val="004D3EAA"/>
    <w:rsid w:val="004D45A4"/>
    <w:rsid w:val="004D4C79"/>
    <w:rsid w:val="004D5070"/>
    <w:rsid w:val="004D50FF"/>
    <w:rsid w:val="004D6025"/>
    <w:rsid w:val="004D60D1"/>
    <w:rsid w:val="004D6D1F"/>
    <w:rsid w:val="004D7229"/>
    <w:rsid w:val="004D7961"/>
    <w:rsid w:val="004D7E2A"/>
    <w:rsid w:val="004D7E80"/>
    <w:rsid w:val="004E04DB"/>
    <w:rsid w:val="004E055A"/>
    <w:rsid w:val="004E0831"/>
    <w:rsid w:val="004E08A7"/>
    <w:rsid w:val="004E0A2E"/>
    <w:rsid w:val="004E0B12"/>
    <w:rsid w:val="004E1038"/>
    <w:rsid w:val="004E1196"/>
    <w:rsid w:val="004E1B27"/>
    <w:rsid w:val="004E1C4E"/>
    <w:rsid w:val="004E218B"/>
    <w:rsid w:val="004E2234"/>
    <w:rsid w:val="004E25D0"/>
    <w:rsid w:val="004E299D"/>
    <w:rsid w:val="004E2B01"/>
    <w:rsid w:val="004E2BD0"/>
    <w:rsid w:val="004E34D3"/>
    <w:rsid w:val="004E3B0A"/>
    <w:rsid w:val="004E3C20"/>
    <w:rsid w:val="004E42F1"/>
    <w:rsid w:val="004E435E"/>
    <w:rsid w:val="004E43D7"/>
    <w:rsid w:val="004E462D"/>
    <w:rsid w:val="004E4A87"/>
    <w:rsid w:val="004E4B20"/>
    <w:rsid w:val="004E4B4E"/>
    <w:rsid w:val="004E4F08"/>
    <w:rsid w:val="004E5005"/>
    <w:rsid w:val="004E5033"/>
    <w:rsid w:val="004E548B"/>
    <w:rsid w:val="004E5DA5"/>
    <w:rsid w:val="004E6E3A"/>
    <w:rsid w:val="004E6E9C"/>
    <w:rsid w:val="004E6F29"/>
    <w:rsid w:val="004E72E9"/>
    <w:rsid w:val="004E7615"/>
    <w:rsid w:val="004E7A65"/>
    <w:rsid w:val="004E7C14"/>
    <w:rsid w:val="004F08A1"/>
    <w:rsid w:val="004F08F5"/>
    <w:rsid w:val="004F12B7"/>
    <w:rsid w:val="004F1AAE"/>
    <w:rsid w:val="004F1C50"/>
    <w:rsid w:val="004F1D62"/>
    <w:rsid w:val="004F1D75"/>
    <w:rsid w:val="004F26ED"/>
    <w:rsid w:val="004F2A58"/>
    <w:rsid w:val="004F328F"/>
    <w:rsid w:val="004F352B"/>
    <w:rsid w:val="004F371F"/>
    <w:rsid w:val="004F375E"/>
    <w:rsid w:val="004F40EF"/>
    <w:rsid w:val="004F4180"/>
    <w:rsid w:val="004F44AB"/>
    <w:rsid w:val="004F453C"/>
    <w:rsid w:val="004F46EC"/>
    <w:rsid w:val="004F47BE"/>
    <w:rsid w:val="004F48B6"/>
    <w:rsid w:val="004F4918"/>
    <w:rsid w:val="004F4B0C"/>
    <w:rsid w:val="004F4C20"/>
    <w:rsid w:val="004F59B6"/>
    <w:rsid w:val="004F5AED"/>
    <w:rsid w:val="004F5AF5"/>
    <w:rsid w:val="004F6159"/>
    <w:rsid w:val="004F6355"/>
    <w:rsid w:val="004F67EF"/>
    <w:rsid w:val="004F6D1C"/>
    <w:rsid w:val="004F6DD1"/>
    <w:rsid w:val="004F7C15"/>
    <w:rsid w:val="00500218"/>
    <w:rsid w:val="00500828"/>
    <w:rsid w:val="00500A2D"/>
    <w:rsid w:val="005011D7"/>
    <w:rsid w:val="00501216"/>
    <w:rsid w:val="005013C8"/>
    <w:rsid w:val="00501517"/>
    <w:rsid w:val="00501906"/>
    <w:rsid w:val="005019E1"/>
    <w:rsid w:val="00501D63"/>
    <w:rsid w:val="00502256"/>
    <w:rsid w:val="005024D1"/>
    <w:rsid w:val="005026AA"/>
    <w:rsid w:val="00502D20"/>
    <w:rsid w:val="0050323E"/>
    <w:rsid w:val="005033D1"/>
    <w:rsid w:val="00503707"/>
    <w:rsid w:val="00503964"/>
    <w:rsid w:val="005039EB"/>
    <w:rsid w:val="00503DD7"/>
    <w:rsid w:val="00503F46"/>
    <w:rsid w:val="005046D8"/>
    <w:rsid w:val="00504715"/>
    <w:rsid w:val="00504C8A"/>
    <w:rsid w:val="005059C7"/>
    <w:rsid w:val="00505BD5"/>
    <w:rsid w:val="00506372"/>
    <w:rsid w:val="0050687F"/>
    <w:rsid w:val="00506B1E"/>
    <w:rsid w:val="00506D1E"/>
    <w:rsid w:val="00506E4E"/>
    <w:rsid w:val="005071AE"/>
    <w:rsid w:val="00507915"/>
    <w:rsid w:val="00507A70"/>
    <w:rsid w:val="00510491"/>
    <w:rsid w:val="00510712"/>
    <w:rsid w:val="00511275"/>
    <w:rsid w:val="00511696"/>
    <w:rsid w:val="00512027"/>
    <w:rsid w:val="00513CE2"/>
    <w:rsid w:val="00513D01"/>
    <w:rsid w:val="00513F8F"/>
    <w:rsid w:val="00513FAA"/>
    <w:rsid w:val="00514B87"/>
    <w:rsid w:val="00514DEF"/>
    <w:rsid w:val="00515330"/>
    <w:rsid w:val="00515C14"/>
    <w:rsid w:val="00515CAE"/>
    <w:rsid w:val="005162B6"/>
    <w:rsid w:val="00516715"/>
    <w:rsid w:val="00516A66"/>
    <w:rsid w:val="00516B5A"/>
    <w:rsid w:val="00517018"/>
    <w:rsid w:val="00517199"/>
    <w:rsid w:val="005172B9"/>
    <w:rsid w:val="005178FB"/>
    <w:rsid w:val="00517CB5"/>
    <w:rsid w:val="005207CF"/>
    <w:rsid w:val="00520C63"/>
    <w:rsid w:val="00520FDA"/>
    <w:rsid w:val="00521246"/>
    <w:rsid w:val="00521370"/>
    <w:rsid w:val="00521C0A"/>
    <w:rsid w:val="00522041"/>
    <w:rsid w:val="0052240F"/>
    <w:rsid w:val="005227D8"/>
    <w:rsid w:val="00522905"/>
    <w:rsid w:val="00522A7D"/>
    <w:rsid w:val="005230F8"/>
    <w:rsid w:val="00523398"/>
    <w:rsid w:val="0052391E"/>
    <w:rsid w:val="00523EAC"/>
    <w:rsid w:val="00523FFF"/>
    <w:rsid w:val="00524020"/>
    <w:rsid w:val="005249F1"/>
    <w:rsid w:val="005254BD"/>
    <w:rsid w:val="005257EB"/>
    <w:rsid w:val="005263B7"/>
    <w:rsid w:val="005268C2"/>
    <w:rsid w:val="00526E42"/>
    <w:rsid w:val="00527367"/>
    <w:rsid w:val="005273F2"/>
    <w:rsid w:val="00527677"/>
    <w:rsid w:val="00527907"/>
    <w:rsid w:val="00527CD2"/>
    <w:rsid w:val="00530665"/>
    <w:rsid w:val="0053085F"/>
    <w:rsid w:val="005308A8"/>
    <w:rsid w:val="00530CC2"/>
    <w:rsid w:val="00530EBC"/>
    <w:rsid w:val="00531090"/>
    <w:rsid w:val="005315CD"/>
    <w:rsid w:val="00531B29"/>
    <w:rsid w:val="00531B71"/>
    <w:rsid w:val="00531EBC"/>
    <w:rsid w:val="0053204C"/>
    <w:rsid w:val="005322A8"/>
    <w:rsid w:val="005322A9"/>
    <w:rsid w:val="005324AB"/>
    <w:rsid w:val="00532AF3"/>
    <w:rsid w:val="00532E75"/>
    <w:rsid w:val="00532E9B"/>
    <w:rsid w:val="005339B2"/>
    <w:rsid w:val="00533F1B"/>
    <w:rsid w:val="00534091"/>
    <w:rsid w:val="0053435B"/>
    <w:rsid w:val="0053437D"/>
    <w:rsid w:val="00534592"/>
    <w:rsid w:val="005345A8"/>
    <w:rsid w:val="0053498B"/>
    <w:rsid w:val="00534B48"/>
    <w:rsid w:val="0053502F"/>
    <w:rsid w:val="00535707"/>
    <w:rsid w:val="005363CE"/>
    <w:rsid w:val="0053646E"/>
    <w:rsid w:val="00536496"/>
    <w:rsid w:val="00536620"/>
    <w:rsid w:val="005367D3"/>
    <w:rsid w:val="00536C65"/>
    <w:rsid w:val="00536F5E"/>
    <w:rsid w:val="0053732B"/>
    <w:rsid w:val="00537370"/>
    <w:rsid w:val="0053794E"/>
    <w:rsid w:val="00537A8E"/>
    <w:rsid w:val="005400A5"/>
    <w:rsid w:val="005400D1"/>
    <w:rsid w:val="00540BC7"/>
    <w:rsid w:val="0054111C"/>
    <w:rsid w:val="005413B6"/>
    <w:rsid w:val="0054152A"/>
    <w:rsid w:val="0054153C"/>
    <w:rsid w:val="00541741"/>
    <w:rsid w:val="00542106"/>
    <w:rsid w:val="00542DFC"/>
    <w:rsid w:val="00542EE4"/>
    <w:rsid w:val="0054330D"/>
    <w:rsid w:val="00543572"/>
    <w:rsid w:val="0054375B"/>
    <w:rsid w:val="0054395D"/>
    <w:rsid w:val="005439BE"/>
    <w:rsid w:val="00543CF3"/>
    <w:rsid w:val="00544018"/>
    <w:rsid w:val="0054409A"/>
    <w:rsid w:val="005441E2"/>
    <w:rsid w:val="00544D28"/>
    <w:rsid w:val="005456EB"/>
    <w:rsid w:val="00545763"/>
    <w:rsid w:val="00545E1C"/>
    <w:rsid w:val="00545FF2"/>
    <w:rsid w:val="005465E4"/>
    <w:rsid w:val="005469F9"/>
    <w:rsid w:val="005474BB"/>
    <w:rsid w:val="00547BA4"/>
    <w:rsid w:val="00547BF3"/>
    <w:rsid w:val="0055013F"/>
    <w:rsid w:val="00550541"/>
    <w:rsid w:val="005506C9"/>
    <w:rsid w:val="0055098F"/>
    <w:rsid w:val="00550CFC"/>
    <w:rsid w:val="005510D6"/>
    <w:rsid w:val="00551AD3"/>
    <w:rsid w:val="005520E3"/>
    <w:rsid w:val="005525D1"/>
    <w:rsid w:val="005531EE"/>
    <w:rsid w:val="00553794"/>
    <w:rsid w:val="0055390A"/>
    <w:rsid w:val="00553FAD"/>
    <w:rsid w:val="00554034"/>
    <w:rsid w:val="00554310"/>
    <w:rsid w:val="0055443D"/>
    <w:rsid w:val="0055559B"/>
    <w:rsid w:val="00555BE1"/>
    <w:rsid w:val="00555C1E"/>
    <w:rsid w:val="00556183"/>
    <w:rsid w:val="00556211"/>
    <w:rsid w:val="00556AAC"/>
    <w:rsid w:val="00556AFD"/>
    <w:rsid w:val="00556C61"/>
    <w:rsid w:val="00560116"/>
    <w:rsid w:val="005601E5"/>
    <w:rsid w:val="005602CD"/>
    <w:rsid w:val="00560CF5"/>
    <w:rsid w:val="00561997"/>
    <w:rsid w:val="00561A06"/>
    <w:rsid w:val="0056236A"/>
    <w:rsid w:val="005623D1"/>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69B2"/>
    <w:rsid w:val="005673B1"/>
    <w:rsid w:val="00567832"/>
    <w:rsid w:val="0057005D"/>
    <w:rsid w:val="00570293"/>
    <w:rsid w:val="00570C34"/>
    <w:rsid w:val="00571707"/>
    <w:rsid w:val="0057174C"/>
    <w:rsid w:val="00571D92"/>
    <w:rsid w:val="00571E71"/>
    <w:rsid w:val="00571E8C"/>
    <w:rsid w:val="005721E0"/>
    <w:rsid w:val="00572406"/>
    <w:rsid w:val="00572D5B"/>
    <w:rsid w:val="00572F79"/>
    <w:rsid w:val="00573D26"/>
    <w:rsid w:val="00574125"/>
    <w:rsid w:val="00574AE5"/>
    <w:rsid w:val="00574E03"/>
    <w:rsid w:val="00575114"/>
    <w:rsid w:val="005753E6"/>
    <w:rsid w:val="005758A7"/>
    <w:rsid w:val="0057649E"/>
    <w:rsid w:val="00576557"/>
    <w:rsid w:val="00576845"/>
    <w:rsid w:val="005769A8"/>
    <w:rsid w:val="005771B7"/>
    <w:rsid w:val="00577340"/>
    <w:rsid w:val="00580107"/>
    <w:rsid w:val="00580533"/>
    <w:rsid w:val="00580A27"/>
    <w:rsid w:val="00580A7B"/>
    <w:rsid w:val="00580B9C"/>
    <w:rsid w:val="00581530"/>
    <w:rsid w:val="00581CBE"/>
    <w:rsid w:val="005825C9"/>
    <w:rsid w:val="00582A47"/>
    <w:rsid w:val="00582BC3"/>
    <w:rsid w:val="00583877"/>
    <w:rsid w:val="00583A49"/>
    <w:rsid w:val="005846E4"/>
    <w:rsid w:val="00584EDA"/>
    <w:rsid w:val="005855E9"/>
    <w:rsid w:val="005856DC"/>
    <w:rsid w:val="00585A08"/>
    <w:rsid w:val="00585F9B"/>
    <w:rsid w:val="00586095"/>
    <w:rsid w:val="00586531"/>
    <w:rsid w:val="00590512"/>
    <w:rsid w:val="005908A4"/>
    <w:rsid w:val="005908FE"/>
    <w:rsid w:val="00590D9C"/>
    <w:rsid w:val="0059123B"/>
    <w:rsid w:val="00591304"/>
    <w:rsid w:val="005918AA"/>
    <w:rsid w:val="00591A02"/>
    <w:rsid w:val="00592068"/>
    <w:rsid w:val="005924DD"/>
    <w:rsid w:val="00592733"/>
    <w:rsid w:val="00593341"/>
    <w:rsid w:val="00593504"/>
    <w:rsid w:val="0059368D"/>
    <w:rsid w:val="00593CCC"/>
    <w:rsid w:val="005948BF"/>
    <w:rsid w:val="005949A6"/>
    <w:rsid w:val="005949B9"/>
    <w:rsid w:val="00594D56"/>
    <w:rsid w:val="00594F24"/>
    <w:rsid w:val="005951F0"/>
    <w:rsid w:val="00595530"/>
    <w:rsid w:val="00595F8C"/>
    <w:rsid w:val="00596156"/>
    <w:rsid w:val="0059624C"/>
    <w:rsid w:val="0059638F"/>
    <w:rsid w:val="005965FA"/>
    <w:rsid w:val="005966F6"/>
    <w:rsid w:val="00596AB9"/>
    <w:rsid w:val="00596E3C"/>
    <w:rsid w:val="00597228"/>
    <w:rsid w:val="00597262"/>
    <w:rsid w:val="0059730D"/>
    <w:rsid w:val="0059748A"/>
    <w:rsid w:val="00597C8E"/>
    <w:rsid w:val="00597CE9"/>
    <w:rsid w:val="00597F89"/>
    <w:rsid w:val="005A05A0"/>
    <w:rsid w:val="005A0784"/>
    <w:rsid w:val="005A0786"/>
    <w:rsid w:val="005A0A4A"/>
    <w:rsid w:val="005A0C40"/>
    <w:rsid w:val="005A0D05"/>
    <w:rsid w:val="005A13F2"/>
    <w:rsid w:val="005A163B"/>
    <w:rsid w:val="005A1D71"/>
    <w:rsid w:val="005A1EE8"/>
    <w:rsid w:val="005A1FA0"/>
    <w:rsid w:val="005A26EC"/>
    <w:rsid w:val="005A28C0"/>
    <w:rsid w:val="005A2994"/>
    <w:rsid w:val="005A2C11"/>
    <w:rsid w:val="005A3528"/>
    <w:rsid w:val="005A3813"/>
    <w:rsid w:val="005A3E99"/>
    <w:rsid w:val="005A46C5"/>
    <w:rsid w:val="005A4A02"/>
    <w:rsid w:val="005A4ECC"/>
    <w:rsid w:val="005A5399"/>
    <w:rsid w:val="005A5A46"/>
    <w:rsid w:val="005A5E1C"/>
    <w:rsid w:val="005A6030"/>
    <w:rsid w:val="005A66E2"/>
    <w:rsid w:val="005A67FD"/>
    <w:rsid w:val="005A6BE9"/>
    <w:rsid w:val="005A6E50"/>
    <w:rsid w:val="005A72A1"/>
    <w:rsid w:val="005A7384"/>
    <w:rsid w:val="005A760B"/>
    <w:rsid w:val="005A7B4B"/>
    <w:rsid w:val="005A7BDC"/>
    <w:rsid w:val="005A7CDA"/>
    <w:rsid w:val="005A7D27"/>
    <w:rsid w:val="005A7D9B"/>
    <w:rsid w:val="005B0059"/>
    <w:rsid w:val="005B008D"/>
    <w:rsid w:val="005B0181"/>
    <w:rsid w:val="005B06D1"/>
    <w:rsid w:val="005B0D7C"/>
    <w:rsid w:val="005B1084"/>
    <w:rsid w:val="005B14CA"/>
    <w:rsid w:val="005B1B30"/>
    <w:rsid w:val="005B1B76"/>
    <w:rsid w:val="005B1E49"/>
    <w:rsid w:val="005B1ECF"/>
    <w:rsid w:val="005B2D42"/>
    <w:rsid w:val="005B2DED"/>
    <w:rsid w:val="005B34A4"/>
    <w:rsid w:val="005B3CBB"/>
    <w:rsid w:val="005B3EAF"/>
    <w:rsid w:val="005B3FAA"/>
    <w:rsid w:val="005B4387"/>
    <w:rsid w:val="005B4624"/>
    <w:rsid w:val="005B4912"/>
    <w:rsid w:val="005B591D"/>
    <w:rsid w:val="005B65AA"/>
    <w:rsid w:val="005B671E"/>
    <w:rsid w:val="005B6B60"/>
    <w:rsid w:val="005B6ECB"/>
    <w:rsid w:val="005B6F71"/>
    <w:rsid w:val="005B73B6"/>
    <w:rsid w:val="005B751A"/>
    <w:rsid w:val="005B7552"/>
    <w:rsid w:val="005B76DC"/>
    <w:rsid w:val="005B7816"/>
    <w:rsid w:val="005B7968"/>
    <w:rsid w:val="005B7CC2"/>
    <w:rsid w:val="005B7F7D"/>
    <w:rsid w:val="005C0270"/>
    <w:rsid w:val="005C04E2"/>
    <w:rsid w:val="005C0A8F"/>
    <w:rsid w:val="005C0FAE"/>
    <w:rsid w:val="005C114F"/>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5C7"/>
    <w:rsid w:val="005C667E"/>
    <w:rsid w:val="005C66E0"/>
    <w:rsid w:val="005C6A9B"/>
    <w:rsid w:val="005C7129"/>
    <w:rsid w:val="005C797F"/>
    <w:rsid w:val="005D002C"/>
    <w:rsid w:val="005D02F8"/>
    <w:rsid w:val="005D03C0"/>
    <w:rsid w:val="005D0889"/>
    <w:rsid w:val="005D1E58"/>
    <w:rsid w:val="005D1E5C"/>
    <w:rsid w:val="005D2CC0"/>
    <w:rsid w:val="005D35FC"/>
    <w:rsid w:val="005D3E85"/>
    <w:rsid w:val="005D3F1A"/>
    <w:rsid w:val="005D3FDB"/>
    <w:rsid w:val="005D40DA"/>
    <w:rsid w:val="005D430E"/>
    <w:rsid w:val="005D471B"/>
    <w:rsid w:val="005D4C66"/>
    <w:rsid w:val="005D4D7B"/>
    <w:rsid w:val="005D502D"/>
    <w:rsid w:val="005D5198"/>
    <w:rsid w:val="005D59DC"/>
    <w:rsid w:val="005D5B9B"/>
    <w:rsid w:val="005D6290"/>
    <w:rsid w:val="005D696F"/>
    <w:rsid w:val="005D6F77"/>
    <w:rsid w:val="005D763F"/>
    <w:rsid w:val="005D76DE"/>
    <w:rsid w:val="005D7856"/>
    <w:rsid w:val="005D7E20"/>
    <w:rsid w:val="005D7E95"/>
    <w:rsid w:val="005D7F64"/>
    <w:rsid w:val="005E0082"/>
    <w:rsid w:val="005E011F"/>
    <w:rsid w:val="005E01E6"/>
    <w:rsid w:val="005E0292"/>
    <w:rsid w:val="005E06A5"/>
    <w:rsid w:val="005E09DB"/>
    <w:rsid w:val="005E12E8"/>
    <w:rsid w:val="005E13FF"/>
    <w:rsid w:val="005E14FD"/>
    <w:rsid w:val="005E1631"/>
    <w:rsid w:val="005E1C9A"/>
    <w:rsid w:val="005E1DD5"/>
    <w:rsid w:val="005E201F"/>
    <w:rsid w:val="005E214D"/>
    <w:rsid w:val="005E23FB"/>
    <w:rsid w:val="005E24F3"/>
    <w:rsid w:val="005E2533"/>
    <w:rsid w:val="005E2B3A"/>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0ED"/>
    <w:rsid w:val="005E720F"/>
    <w:rsid w:val="005E73E0"/>
    <w:rsid w:val="005E78FB"/>
    <w:rsid w:val="005E7C74"/>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C7A"/>
    <w:rsid w:val="005F3EDE"/>
    <w:rsid w:val="005F4213"/>
    <w:rsid w:val="005F42E4"/>
    <w:rsid w:val="005F4A7E"/>
    <w:rsid w:val="005F4A9B"/>
    <w:rsid w:val="005F4F9E"/>
    <w:rsid w:val="005F53D6"/>
    <w:rsid w:val="005F5823"/>
    <w:rsid w:val="005F58E9"/>
    <w:rsid w:val="005F5ACD"/>
    <w:rsid w:val="005F6382"/>
    <w:rsid w:val="005F64C8"/>
    <w:rsid w:val="005F65EC"/>
    <w:rsid w:val="005F6677"/>
    <w:rsid w:val="005F68DC"/>
    <w:rsid w:val="005F6E4E"/>
    <w:rsid w:val="005F719D"/>
    <w:rsid w:val="005F7515"/>
    <w:rsid w:val="005F769B"/>
    <w:rsid w:val="005F7AC2"/>
    <w:rsid w:val="005F7EC0"/>
    <w:rsid w:val="00600062"/>
    <w:rsid w:val="006001EA"/>
    <w:rsid w:val="0060034A"/>
    <w:rsid w:val="00600590"/>
    <w:rsid w:val="00600858"/>
    <w:rsid w:val="0060114F"/>
    <w:rsid w:val="00601320"/>
    <w:rsid w:val="00601370"/>
    <w:rsid w:val="00601640"/>
    <w:rsid w:val="00601764"/>
    <w:rsid w:val="006018F3"/>
    <w:rsid w:val="00601CF8"/>
    <w:rsid w:val="00602350"/>
    <w:rsid w:val="0060271F"/>
    <w:rsid w:val="0060298C"/>
    <w:rsid w:val="00602AC6"/>
    <w:rsid w:val="00602C49"/>
    <w:rsid w:val="00603A80"/>
    <w:rsid w:val="00603AB9"/>
    <w:rsid w:val="00603EDA"/>
    <w:rsid w:val="00604766"/>
    <w:rsid w:val="006047A1"/>
    <w:rsid w:val="006047FB"/>
    <w:rsid w:val="00604E21"/>
    <w:rsid w:val="00604EE9"/>
    <w:rsid w:val="00605635"/>
    <w:rsid w:val="006056ED"/>
    <w:rsid w:val="00605B5D"/>
    <w:rsid w:val="00605CDB"/>
    <w:rsid w:val="00605DC2"/>
    <w:rsid w:val="00605EAE"/>
    <w:rsid w:val="006060E0"/>
    <w:rsid w:val="00606282"/>
    <w:rsid w:val="00606324"/>
    <w:rsid w:val="0060646D"/>
    <w:rsid w:val="00606493"/>
    <w:rsid w:val="006064E5"/>
    <w:rsid w:val="00606834"/>
    <w:rsid w:val="00606BE7"/>
    <w:rsid w:val="00606DC9"/>
    <w:rsid w:val="0060714F"/>
    <w:rsid w:val="00607178"/>
    <w:rsid w:val="00607BD6"/>
    <w:rsid w:val="0061006D"/>
    <w:rsid w:val="00610474"/>
    <w:rsid w:val="006106CD"/>
    <w:rsid w:val="00610A4F"/>
    <w:rsid w:val="00610BCD"/>
    <w:rsid w:val="00611D08"/>
    <w:rsid w:val="00611ECD"/>
    <w:rsid w:val="00611FE3"/>
    <w:rsid w:val="00612284"/>
    <w:rsid w:val="00612561"/>
    <w:rsid w:val="006125DA"/>
    <w:rsid w:val="00612720"/>
    <w:rsid w:val="00612736"/>
    <w:rsid w:val="00612C69"/>
    <w:rsid w:val="006133E0"/>
    <w:rsid w:val="00613600"/>
    <w:rsid w:val="00613AE4"/>
    <w:rsid w:val="00614126"/>
    <w:rsid w:val="00614303"/>
    <w:rsid w:val="00614617"/>
    <w:rsid w:val="00614795"/>
    <w:rsid w:val="0061523B"/>
    <w:rsid w:val="00615255"/>
    <w:rsid w:val="006157B8"/>
    <w:rsid w:val="00615833"/>
    <w:rsid w:val="006158AE"/>
    <w:rsid w:val="00615AC4"/>
    <w:rsid w:val="00615BCF"/>
    <w:rsid w:val="00615CF5"/>
    <w:rsid w:val="00615F18"/>
    <w:rsid w:val="00616155"/>
    <w:rsid w:val="00616309"/>
    <w:rsid w:val="0061637E"/>
    <w:rsid w:val="00616553"/>
    <w:rsid w:val="0061720E"/>
    <w:rsid w:val="0061787C"/>
    <w:rsid w:val="00617894"/>
    <w:rsid w:val="00617BF6"/>
    <w:rsid w:val="00617C2F"/>
    <w:rsid w:val="00617E07"/>
    <w:rsid w:val="00617ED3"/>
    <w:rsid w:val="00620047"/>
    <w:rsid w:val="006207DA"/>
    <w:rsid w:val="00620AA7"/>
    <w:rsid w:val="00621C76"/>
    <w:rsid w:val="00622061"/>
    <w:rsid w:val="006222EF"/>
    <w:rsid w:val="0062248A"/>
    <w:rsid w:val="00622D41"/>
    <w:rsid w:val="00622DB5"/>
    <w:rsid w:val="00622ED6"/>
    <w:rsid w:val="00622EFE"/>
    <w:rsid w:val="006230A6"/>
    <w:rsid w:val="00623717"/>
    <w:rsid w:val="00623A0F"/>
    <w:rsid w:val="00623B78"/>
    <w:rsid w:val="00624368"/>
    <w:rsid w:val="006244B4"/>
    <w:rsid w:val="006245A0"/>
    <w:rsid w:val="006249FB"/>
    <w:rsid w:val="00624F29"/>
    <w:rsid w:val="006254D5"/>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5C9"/>
    <w:rsid w:val="006339F5"/>
    <w:rsid w:val="0063427A"/>
    <w:rsid w:val="006344AB"/>
    <w:rsid w:val="00634D5D"/>
    <w:rsid w:val="00634EA2"/>
    <w:rsid w:val="006357E3"/>
    <w:rsid w:val="006358D2"/>
    <w:rsid w:val="00635DCE"/>
    <w:rsid w:val="00636087"/>
    <w:rsid w:val="00636947"/>
    <w:rsid w:val="00636C1E"/>
    <w:rsid w:val="00637790"/>
    <w:rsid w:val="006402DC"/>
    <w:rsid w:val="00640B7B"/>
    <w:rsid w:val="006412C6"/>
    <w:rsid w:val="006414E1"/>
    <w:rsid w:val="0064153D"/>
    <w:rsid w:val="00641554"/>
    <w:rsid w:val="006417B9"/>
    <w:rsid w:val="00642264"/>
    <w:rsid w:val="006427C0"/>
    <w:rsid w:val="00643825"/>
    <w:rsid w:val="0064395F"/>
    <w:rsid w:val="00643DE3"/>
    <w:rsid w:val="00643F91"/>
    <w:rsid w:val="0064478E"/>
    <w:rsid w:val="00644AD9"/>
    <w:rsid w:val="006452A7"/>
    <w:rsid w:val="006455FF"/>
    <w:rsid w:val="00645B44"/>
    <w:rsid w:val="00645B4C"/>
    <w:rsid w:val="006460B9"/>
    <w:rsid w:val="006460FE"/>
    <w:rsid w:val="0064707F"/>
    <w:rsid w:val="006474D9"/>
    <w:rsid w:val="006479C1"/>
    <w:rsid w:val="00647C60"/>
    <w:rsid w:val="00647F8B"/>
    <w:rsid w:val="0065002E"/>
    <w:rsid w:val="00650308"/>
    <w:rsid w:val="00650627"/>
    <w:rsid w:val="00650CD2"/>
    <w:rsid w:val="00651637"/>
    <w:rsid w:val="00651754"/>
    <w:rsid w:val="00651CC5"/>
    <w:rsid w:val="00651E1B"/>
    <w:rsid w:val="00651E35"/>
    <w:rsid w:val="00652036"/>
    <w:rsid w:val="006520A5"/>
    <w:rsid w:val="0065221B"/>
    <w:rsid w:val="00652336"/>
    <w:rsid w:val="00652956"/>
    <w:rsid w:val="00652A46"/>
    <w:rsid w:val="00652F6F"/>
    <w:rsid w:val="0065325A"/>
    <w:rsid w:val="00654041"/>
    <w:rsid w:val="00654257"/>
    <w:rsid w:val="0065427E"/>
    <w:rsid w:val="006542F1"/>
    <w:rsid w:val="006545CE"/>
    <w:rsid w:val="0065462C"/>
    <w:rsid w:val="006546DB"/>
    <w:rsid w:val="0065492C"/>
    <w:rsid w:val="00654BDA"/>
    <w:rsid w:val="00654C17"/>
    <w:rsid w:val="00654DE3"/>
    <w:rsid w:val="00654F12"/>
    <w:rsid w:val="00654FD3"/>
    <w:rsid w:val="00655462"/>
    <w:rsid w:val="00655613"/>
    <w:rsid w:val="00655747"/>
    <w:rsid w:val="00655972"/>
    <w:rsid w:val="00656320"/>
    <w:rsid w:val="0065664E"/>
    <w:rsid w:val="00656EC2"/>
    <w:rsid w:val="00657120"/>
    <w:rsid w:val="0065736C"/>
    <w:rsid w:val="0065755D"/>
    <w:rsid w:val="00657BA7"/>
    <w:rsid w:val="00657D0F"/>
    <w:rsid w:val="00657E32"/>
    <w:rsid w:val="00657E49"/>
    <w:rsid w:val="006602BE"/>
    <w:rsid w:val="00660B78"/>
    <w:rsid w:val="00661188"/>
    <w:rsid w:val="0066153E"/>
    <w:rsid w:val="00661BF7"/>
    <w:rsid w:val="006620F9"/>
    <w:rsid w:val="0066241D"/>
    <w:rsid w:val="00662EF1"/>
    <w:rsid w:val="006632F8"/>
    <w:rsid w:val="00663332"/>
    <w:rsid w:val="00663B27"/>
    <w:rsid w:val="00663B87"/>
    <w:rsid w:val="00663C5B"/>
    <w:rsid w:val="00663F01"/>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8C"/>
    <w:rsid w:val="00666FD1"/>
    <w:rsid w:val="006679E7"/>
    <w:rsid w:val="00667B61"/>
    <w:rsid w:val="00667B92"/>
    <w:rsid w:val="00667D97"/>
    <w:rsid w:val="00667FD0"/>
    <w:rsid w:val="006700E6"/>
    <w:rsid w:val="006702BF"/>
    <w:rsid w:val="0067065B"/>
    <w:rsid w:val="00670A62"/>
    <w:rsid w:val="00670CDD"/>
    <w:rsid w:val="00670EF5"/>
    <w:rsid w:val="006713DC"/>
    <w:rsid w:val="0067146E"/>
    <w:rsid w:val="00671F55"/>
    <w:rsid w:val="0067231C"/>
    <w:rsid w:val="00672615"/>
    <w:rsid w:val="00672735"/>
    <w:rsid w:val="006727B4"/>
    <w:rsid w:val="00672907"/>
    <w:rsid w:val="00672C7C"/>
    <w:rsid w:val="00672EC9"/>
    <w:rsid w:val="00673B06"/>
    <w:rsid w:val="00674406"/>
    <w:rsid w:val="006745C7"/>
    <w:rsid w:val="00674D4F"/>
    <w:rsid w:val="0067530E"/>
    <w:rsid w:val="006753AC"/>
    <w:rsid w:val="006757D4"/>
    <w:rsid w:val="00675952"/>
    <w:rsid w:val="00675DFF"/>
    <w:rsid w:val="00675FA4"/>
    <w:rsid w:val="006764AF"/>
    <w:rsid w:val="00676F6A"/>
    <w:rsid w:val="006770E6"/>
    <w:rsid w:val="0067715A"/>
    <w:rsid w:val="0067726F"/>
    <w:rsid w:val="006775E8"/>
    <w:rsid w:val="00677825"/>
    <w:rsid w:val="00677938"/>
    <w:rsid w:val="006802FC"/>
    <w:rsid w:val="00680749"/>
    <w:rsid w:val="0068077A"/>
    <w:rsid w:val="00680F9E"/>
    <w:rsid w:val="00681463"/>
    <w:rsid w:val="0068195E"/>
    <w:rsid w:val="00681D5A"/>
    <w:rsid w:val="00682763"/>
    <w:rsid w:val="006827B0"/>
    <w:rsid w:val="00682B80"/>
    <w:rsid w:val="00683239"/>
    <w:rsid w:val="0068349A"/>
    <w:rsid w:val="006836CA"/>
    <w:rsid w:val="00683F1D"/>
    <w:rsid w:val="006841F7"/>
    <w:rsid w:val="006843D6"/>
    <w:rsid w:val="00685026"/>
    <w:rsid w:val="00685CC8"/>
    <w:rsid w:val="0068609E"/>
    <w:rsid w:val="006860B6"/>
    <w:rsid w:val="00686442"/>
    <w:rsid w:val="00686EE4"/>
    <w:rsid w:val="006877DB"/>
    <w:rsid w:val="006878B7"/>
    <w:rsid w:val="00687DA6"/>
    <w:rsid w:val="00687E10"/>
    <w:rsid w:val="006900C6"/>
    <w:rsid w:val="00690295"/>
    <w:rsid w:val="006904E4"/>
    <w:rsid w:val="00690854"/>
    <w:rsid w:val="006909AC"/>
    <w:rsid w:val="00690BAC"/>
    <w:rsid w:val="00690C3A"/>
    <w:rsid w:val="00690D90"/>
    <w:rsid w:val="00690FB1"/>
    <w:rsid w:val="006913AF"/>
    <w:rsid w:val="006916B9"/>
    <w:rsid w:val="0069183F"/>
    <w:rsid w:val="00691859"/>
    <w:rsid w:val="00691DF8"/>
    <w:rsid w:val="0069243A"/>
    <w:rsid w:val="00692AFE"/>
    <w:rsid w:val="00692C32"/>
    <w:rsid w:val="00693179"/>
    <w:rsid w:val="0069339B"/>
    <w:rsid w:val="00693469"/>
    <w:rsid w:val="00693921"/>
    <w:rsid w:val="00693B45"/>
    <w:rsid w:val="00693C72"/>
    <w:rsid w:val="0069439F"/>
    <w:rsid w:val="00694621"/>
    <w:rsid w:val="0069476C"/>
    <w:rsid w:val="00694770"/>
    <w:rsid w:val="0069493F"/>
    <w:rsid w:val="00694AAE"/>
    <w:rsid w:val="006951B3"/>
    <w:rsid w:val="0069539D"/>
    <w:rsid w:val="00695817"/>
    <w:rsid w:val="00695D7F"/>
    <w:rsid w:val="00695F91"/>
    <w:rsid w:val="0069644E"/>
    <w:rsid w:val="006964B5"/>
    <w:rsid w:val="00696685"/>
    <w:rsid w:val="006971F7"/>
    <w:rsid w:val="00697691"/>
    <w:rsid w:val="006A0BAC"/>
    <w:rsid w:val="006A1402"/>
    <w:rsid w:val="006A1894"/>
    <w:rsid w:val="006A195E"/>
    <w:rsid w:val="006A1E75"/>
    <w:rsid w:val="006A1ED3"/>
    <w:rsid w:val="006A1F8F"/>
    <w:rsid w:val="006A218C"/>
    <w:rsid w:val="006A21B9"/>
    <w:rsid w:val="006A23AC"/>
    <w:rsid w:val="006A2873"/>
    <w:rsid w:val="006A30E2"/>
    <w:rsid w:val="006A3160"/>
    <w:rsid w:val="006A3588"/>
    <w:rsid w:val="006A3BFD"/>
    <w:rsid w:val="006A3C43"/>
    <w:rsid w:val="006A3D35"/>
    <w:rsid w:val="006A41CB"/>
    <w:rsid w:val="006A45A1"/>
    <w:rsid w:val="006A46D3"/>
    <w:rsid w:val="006A49E5"/>
    <w:rsid w:val="006A4C03"/>
    <w:rsid w:val="006A4D71"/>
    <w:rsid w:val="006A4E05"/>
    <w:rsid w:val="006A4FD5"/>
    <w:rsid w:val="006A5330"/>
    <w:rsid w:val="006A576D"/>
    <w:rsid w:val="006A6062"/>
    <w:rsid w:val="006A6488"/>
    <w:rsid w:val="006A65E3"/>
    <w:rsid w:val="006A6EAE"/>
    <w:rsid w:val="006A6F77"/>
    <w:rsid w:val="006A6FD3"/>
    <w:rsid w:val="006A729B"/>
    <w:rsid w:val="006A7455"/>
    <w:rsid w:val="006A74FC"/>
    <w:rsid w:val="006A76F0"/>
    <w:rsid w:val="006A7792"/>
    <w:rsid w:val="006A7AC3"/>
    <w:rsid w:val="006B01FD"/>
    <w:rsid w:val="006B045F"/>
    <w:rsid w:val="006B0487"/>
    <w:rsid w:val="006B06B8"/>
    <w:rsid w:val="006B0948"/>
    <w:rsid w:val="006B09A5"/>
    <w:rsid w:val="006B0B9C"/>
    <w:rsid w:val="006B0E6C"/>
    <w:rsid w:val="006B11C4"/>
    <w:rsid w:val="006B14DC"/>
    <w:rsid w:val="006B1687"/>
    <w:rsid w:val="006B1F61"/>
    <w:rsid w:val="006B2033"/>
    <w:rsid w:val="006B309D"/>
    <w:rsid w:val="006B32F7"/>
    <w:rsid w:val="006B37BB"/>
    <w:rsid w:val="006B3883"/>
    <w:rsid w:val="006B39DA"/>
    <w:rsid w:val="006B3C80"/>
    <w:rsid w:val="006B3E2F"/>
    <w:rsid w:val="006B3E56"/>
    <w:rsid w:val="006B4219"/>
    <w:rsid w:val="006B4356"/>
    <w:rsid w:val="006B4856"/>
    <w:rsid w:val="006B50B9"/>
    <w:rsid w:val="006B515E"/>
    <w:rsid w:val="006B53CE"/>
    <w:rsid w:val="006B5767"/>
    <w:rsid w:val="006B6139"/>
    <w:rsid w:val="006B651A"/>
    <w:rsid w:val="006B68F8"/>
    <w:rsid w:val="006B69E9"/>
    <w:rsid w:val="006B6A3D"/>
    <w:rsid w:val="006B7056"/>
    <w:rsid w:val="006B73C5"/>
    <w:rsid w:val="006B7D03"/>
    <w:rsid w:val="006C01F9"/>
    <w:rsid w:val="006C02F1"/>
    <w:rsid w:val="006C0759"/>
    <w:rsid w:val="006C0E9D"/>
    <w:rsid w:val="006C1456"/>
    <w:rsid w:val="006C173D"/>
    <w:rsid w:val="006C1A9F"/>
    <w:rsid w:val="006C1F1E"/>
    <w:rsid w:val="006C22A1"/>
    <w:rsid w:val="006C2741"/>
    <w:rsid w:val="006C2881"/>
    <w:rsid w:val="006C29E9"/>
    <w:rsid w:val="006C2A63"/>
    <w:rsid w:val="006C3159"/>
    <w:rsid w:val="006C3208"/>
    <w:rsid w:val="006C3994"/>
    <w:rsid w:val="006C42EB"/>
    <w:rsid w:val="006C49BD"/>
    <w:rsid w:val="006C4CD0"/>
    <w:rsid w:val="006C5151"/>
    <w:rsid w:val="006C529C"/>
    <w:rsid w:val="006C5966"/>
    <w:rsid w:val="006C5A09"/>
    <w:rsid w:val="006C5B67"/>
    <w:rsid w:val="006C5DA2"/>
    <w:rsid w:val="006C6616"/>
    <w:rsid w:val="006C68DB"/>
    <w:rsid w:val="006C6BBA"/>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9C4"/>
    <w:rsid w:val="006D2B46"/>
    <w:rsid w:val="006D2FDE"/>
    <w:rsid w:val="006D3655"/>
    <w:rsid w:val="006D421B"/>
    <w:rsid w:val="006D50A2"/>
    <w:rsid w:val="006D5D52"/>
    <w:rsid w:val="006D6796"/>
    <w:rsid w:val="006D696A"/>
    <w:rsid w:val="006D716F"/>
    <w:rsid w:val="006D728F"/>
    <w:rsid w:val="006D791B"/>
    <w:rsid w:val="006D7B7B"/>
    <w:rsid w:val="006D7C97"/>
    <w:rsid w:val="006D7FF1"/>
    <w:rsid w:val="006E0770"/>
    <w:rsid w:val="006E07BF"/>
    <w:rsid w:val="006E0CED"/>
    <w:rsid w:val="006E119B"/>
    <w:rsid w:val="006E1B49"/>
    <w:rsid w:val="006E20E2"/>
    <w:rsid w:val="006E214F"/>
    <w:rsid w:val="006E21B6"/>
    <w:rsid w:val="006E22B1"/>
    <w:rsid w:val="006E23E8"/>
    <w:rsid w:val="006E305E"/>
    <w:rsid w:val="006E339C"/>
    <w:rsid w:val="006E33E3"/>
    <w:rsid w:val="006E344F"/>
    <w:rsid w:val="006E346E"/>
    <w:rsid w:val="006E3835"/>
    <w:rsid w:val="006E3E0E"/>
    <w:rsid w:val="006E3E9B"/>
    <w:rsid w:val="006E4151"/>
    <w:rsid w:val="006E4978"/>
    <w:rsid w:val="006E4D40"/>
    <w:rsid w:val="006E4E65"/>
    <w:rsid w:val="006E513A"/>
    <w:rsid w:val="006E5384"/>
    <w:rsid w:val="006E588D"/>
    <w:rsid w:val="006E5951"/>
    <w:rsid w:val="006E5971"/>
    <w:rsid w:val="006E5AFB"/>
    <w:rsid w:val="006E63D9"/>
    <w:rsid w:val="006E65FD"/>
    <w:rsid w:val="006E6E69"/>
    <w:rsid w:val="006E6F07"/>
    <w:rsid w:val="006E6F89"/>
    <w:rsid w:val="006E7482"/>
    <w:rsid w:val="006E7A5B"/>
    <w:rsid w:val="006E7D74"/>
    <w:rsid w:val="006F03BB"/>
    <w:rsid w:val="006F06CB"/>
    <w:rsid w:val="006F0F53"/>
    <w:rsid w:val="006F1200"/>
    <w:rsid w:val="006F19D4"/>
    <w:rsid w:val="006F1E31"/>
    <w:rsid w:val="006F1E36"/>
    <w:rsid w:val="006F21F3"/>
    <w:rsid w:val="006F22E6"/>
    <w:rsid w:val="006F241B"/>
    <w:rsid w:val="006F26C1"/>
    <w:rsid w:val="006F28C4"/>
    <w:rsid w:val="006F2FFF"/>
    <w:rsid w:val="006F3353"/>
    <w:rsid w:val="006F3DA4"/>
    <w:rsid w:val="006F3E9B"/>
    <w:rsid w:val="006F3F8D"/>
    <w:rsid w:val="006F41E8"/>
    <w:rsid w:val="006F4249"/>
    <w:rsid w:val="006F4524"/>
    <w:rsid w:val="006F478E"/>
    <w:rsid w:val="006F4AE2"/>
    <w:rsid w:val="006F52B0"/>
    <w:rsid w:val="006F5399"/>
    <w:rsid w:val="006F5B5C"/>
    <w:rsid w:val="006F5DCD"/>
    <w:rsid w:val="006F6730"/>
    <w:rsid w:val="006F6801"/>
    <w:rsid w:val="006F76FC"/>
    <w:rsid w:val="006F782C"/>
    <w:rsid w:val="006F7940"/>
    <w:rsid w:val="006F7F8A"/>
    <w:rsid w:val="00700327"/>
    <w:rsid w:val="0070056E"/>
    <w:rsid w:val="00700B32"/>
    <w:rsid w:val="00701037"/>
    <w:rsid w:val="007017C0"/>
    <w:rsid w:val="00701FD7"/>
    <w:rsid w:val="007024A0"/>
    <w:rsid w:val="00702BB2"/>
    <w:rsid w:val="00702D19"/>
    <w:rsid w:val="00702F90"/>
    <w:rsid w:val="007039DF"/>
    <w:rsid w:val="00703C81"/>
    <w:rsid w:val="007043A4"/>
    <w:rsid w:val="00704AE7"/>
    <w:rsid w:val="00704E98"/>
    <w:rsid w:val="00704F63"/>
    <w:rsid w:val="007055F1"/>
    <w:rsid w:val="00705600"/>
    <w:rsid w:val="00705AD4"/>
    <w:rsid w:val="00705C5B"/>
    <w:rsid w:val="00705DE3"/>
    <w:rsid w:val="00705DEB"/>
    <w:rsid w:val="00705ED6"/>
    <w:rsid w:val="00705FD0"/>
    <w:rsid w:val="0070688F"/>
    <w:rsid w:val="00706D8E"/>
    <w:rsid w:val="00707043"/>
    <w:rsid w:val="007073B8"/>
    <w:rsid w:val="007074A0"/>
    <w:rsid w:val="00707754"/>
    <w:rsid w:val="00707C4D"/>
    <w:rsid w:val="00710727"/>
    <w:rsid w:val="00710A02"/>
    <w:rsid w:val="00711496"/>
    <w:rsid w:val="00711662"/>
    <w:rsid w:val="00711925"/>
    <w:rsid w:val="00711928"/>
    <w:rsid w:val="00711DB3"/>
    <w:rsid w:val="00711FAA"/>
    <w:rsid w:val="0071204A"/>
    <w:rsid w:val="00712060"/>
    <w:rsid w:val="007120CC"/>
    <w:rsid w:val="0071212C"/>
    <w:rsid w:val="00712311"/>
    <w:rsid w:val="00712673"/>
    <w:rsid w:val="00712B6E"/>
    <w:rsid w:val="00712E87"/>
    <w:rsid w:val="0071308E"/>
    <w:rsid w:val="00713140"/>
    <w:rsid w:val="00713285"/>
    <w:rsid w:val="00714555"/>
    <w:rsid w:val="007149B5"/>
    <w:rsid w:val="00714D25"/>
    <w:rsid w:val="00714DC8"/>
    <w:rsid w:val="00714DE2"/>
    <w:rsid w:val="00714FD8"/>
    <w:rsid w:val="007152D6"/>
    <w:rsid w:val="00715A5D"/>
    <w:rsid w:val="00715C3B"/>
    <w:rsid w:val="00715D16"/>
    <w:rsid w:val="00716190"/>
    <w:rsid w:val="00716479"/>
    <w:rsid w:val="0071693C"/>
    <w:rsid w:val="00717442"/>
    <w:rsid w:val="00717493"/>
    <w:rsid w:val="007175DB"/>
    <w:rsid w:val="00717711"/>
    <w:rsid w:val="007200D6"/>
    <w:rsid w:val="007209B5"/>
    <w:rsid w:val="007214D0"/>
    <w:rsid w:val="007215F1"/>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3F88"/>
    <w:rsid w:val="007241D3"/>
    <w:rsid w:val="007249A9"/>
    <w:rsid w:val="00724A40"/>
    <w:rsid w:val="00725293"/>
    <w:rsid w:val="00725D2C"/>
    <w:rsid w:val="00725DAA"/>
    <w:rsid w:val="0072606F"/>
    <w:rsid w:val="007260AC"/>
    <w:rsid w:val="00726212"/>
    <w:rsid w:val="00726419"/>
    <w:rsid w:val="007264C0"/>
    <w:rsid w:val="00726AD8"/>
    <w:rsid w:val="0072703C"/>
    <w:rsid w:val="0072789A"/>
    <w:rsid w:val="00727D3C"/>
    <w:rsid w:val="00730947"/>
    <w:rsid w:val="00730CA3"/>
    <w:rsid w:val="00730CB9"/>
    <w:rsid w:val="00731D00"/>
    <w:rsid w:val="00731F17"/>
    <w:rsid w:val="00732B37"/>
    <w:rsid w:val="00732C3F"/>
    <w:rsid w:val="00732C82"/>
    <w:rsid w:val="0073316F"/>
    <w:rsid w:val="00733325"/>
    <w:rsid w:val="00733516"/>
    <w:rsid w:val="0073358B"/>
    <w:rsid w:val="00733966"/>
    <w:rsid w:val="00733DD3"/>
    <w:rsid w:val="00733E50"/>
    <w:rsid w:val="007343E1"/>
    <w:rsid w:val="00734599"/>
    <w:rsid w:val="00734754"/>
    <w:rsid w:val="00734912"/>
    <w:rsid w:val="00734A7B"/>
    <w:rsid w:val="00735088"/>
    <w:rsid w:val="007358DB"/>
    <w:rsid w:val="007358FB"/>
    <w:rsid w:val="007367A7"/>
    <w:rsid w:val="007367E0"/>
    <w:rsid w:val="00736B69"/>
    <w:rsid w:val="00736E6A"/>
    <w:rsid w:val="00736EB1"/>
    <w:rsid w:val="0073700F"/>
    <w:rsid w:val="0073740F"/>
    <w:rsid w:val="00737A2E"/>
    <w:rsid w:val="00740FAD"/>
    <w:rsid w:val="0074102F"/>
    <w:rsid w:val="00741306"/>
    <w:rsid w:val="00741467"/>
    <w:rsid w:val="007422AB"/>
    <w:rsid w:val="0074260F"/>
    <w:rsid w:val="007428D8"/>
    <w:rsid w:val="00742A00"/>
    <w:rsid w:val="00743E05"/>
    <w:rsid w:val="00743EAF"/>
    <w:rsid w:val="0074443A"/>
    <w:rsid w:val="00744620"/>
    <w:rsid w:val="00744AD3"/>
    <w:rsid w:val="00744D3F"/>
    <w:rsid w:val="00745227"/>
    <w:rsid w:val="00745B47"/>
    <w:rsid w:val="00745FA5"/>
    <w:rsid w:val="00746507"/>
    <w:rsid w:val="00746744"/>
    <w:rsid w:val="00746790"/>
    <w:rsid w:val="007467AB"/>
    <w:rsid w:val="00746FF0"/>
    <w:rsid w:val="007476BB"/>
    <w:rsid w:val="00747D0E"/>
    <w:rsid w:val="00750291"/>
    <w:rsid w:val="00750346"/>
    <w:rsid w:val="007508BD"/>
    <w:rsid w:val="007509E9"/>
    <w:rsid w:val="00750DEA"/>
    <w:rsid w:val="00750E21"/>
    <w:rsid w:val="00750E99"/>
    <w:rsid w:val="007513C5"/>
    <w:rsid w:val="007513DA"/>
    <w:rsid w:val="00751AD1"/>
    <w:rsid w:val="00751B95"/>
    <w:rsid w:val="00751E47"/>
    <w:rsid w:val="00751ECF"/>
    <w:rsid w:val="00752151"/>
    <w:rsid w:val="007525F0"/>
    <w:rsid w:val="00752816"/>
    <w:rsid w:val="00752BAC"/>
    <w:rsid w:val="00752BAF"/>
    <w:rsid w:val="00752D67"/>
    <w:rsid w:val="00753026"/>
    <w:rsid w:val="00753362"/>
    <w:rsid w:val="00753D58"/>
    <w:rsid w:val="00754169"/>
    <w:rsid w:val="007544A4"/>
    <w:rsid w:val="00754568"/>
    <w:rsid w:val="00754693"/>
    <w:rsid w:val="007547E5"/>
    <w:rsid w:val="00754EF7"/>
    <w:rsid w:val="00754FEA"/>
    <w:rsid w:val="00755435"/>
    <w:rsid w:val="0075568F"/>
    <w:rsid w:val="00756013"/>
    <w:rsid w:val="00756456"/>
    <w:rsid w:val="007568FC"/>
    <w:rsid w:val="00756E5D"/>
    <w:rsid w:val="00756FE3"/>
    <w:rsid w:val="00757373"/>
    <w:rsid w:val="0075752F"/>
    <w:rsid w:val="007576E2"/>
    <w:rsid w:val="00757D68"/>
    <w:rsid w:val="007605C0"/>
    <w:rsid w:val="007605D9"/>
    <w:rsid w:val="00761568"/>
    <w:rsid w:val="007615EB"/>
    <w:rsid w:val="00761C23"/>
    <w:rsid w:val="007622CE"/>
    <w:rsid w:val="00762628"/>
    <w:rsid w:val="00762D09"/>
    <w:rsid w:val="0076312B"/>
    <w:rsid w:val="0076354E"/>
    <w:rsid w:val="00763C5A"/>
    <w:rsid w:val="00763D31"/>
    <w:rsid w:val="00763D3C"/>
    <w:rsid w:val="00764552"/>
    <w:rsid w:val="00764681"/>
    <w:rsid w:val="007653EC"/>
    <w:rsid w:val="00765417"/>
    <w:rsid w:val="00765860"/>
    <w:rsid w:val="00765D32"/>
    <w:rsid w:val="00765EA7"/>
    <w:rsid w:val="00766048"/>
    <w:rsid w:val="007661C6"/>
    <w:rsid w:val="00766C84"/>
    <w:rsid w:val="00766DAF"/>
    <w:rsid w:val="00766DD8"/>
    <w:rsid w:val="00766E0E"/>
    <w:rsid w:val="00767221"/>
    <w:rsid w:val="0076767F"/>
    <w:rsid w:val="007676CE"/>
    <w:rsid w:val="00767758"/>
    <w:rsid w:val="00767ABC"/>
    <w:rsid w:val="00767BD0"/>
    <w:rsid w:val="00767C06"/>
    <w:rsid w:val="00767DBA"/>
    <w:rsid w:val="00770530"/>
    <w:rsid w:val="00770F27"/>
    <w:rsid w:val="00771088"/>
    <w:rsid w:val="007710A1"/>
    <w:rsid w:val="00771572"/>
    <w:rsid w:val="0077183D"/>
    <w:rsid w:val="007724D0"/>
    <w:rsid w:val="007725AB"/>
    <w:rsid w:val="0077275F"/>
    <w:rsid w:val="00772C78"/>
    <w:rsid w:val="00772CC9"/>
    <w:rsid w:val="00772D04"/>
    <w:rsid w:val="00773615"/>
    <w:rsid w:val="007736D4"/>
    <w:rsid w:val="0077388C"/>
    <w:rsid w:val="00774095"/>
    <w:rsid w:val="00774263"/>
    <w:rsid w:val="00774B7D"/>
    <w:rsid w:val="00774F9A"/>
    <w:rsid w:val="00775062"/>
    <w:rsid w:val="0077631B"/>
    <w:rsid w:val="00776364"/>
    <w:rsid w:val="007763C1"/>
    <w:rsid w:val="0077679F"/>
    <w:rsid w:val="007768CA"/>
    <w:rsid w:val="00776A7D"/>
    <w:rsid w:val="00776DEC"/>
    <w:rsid w:val="00777053"/>
    <w:rsid w:val="007772F6"/>
    <w:rsid w:val="00777336"/>
    <w:rsid w:val="00777408"/>
    <w:rsid w:val="007774AE"/>
    <w:rsid w:val="007776A9"/>
    <w:rsid w:val="00777827"/>
    <w:rsid w:val="007778B9"/>
    <w:rsid w:val="00777AE5"/>
    <w:rsid w:val="00780516"/>
    <w:rsid w:val="007814D5"/>
    <w:rsid w:val="00781AB5"/>
    <w:rsid w:val="00781F37"/>
    <w:rsid w:val="0078262B"/>
    <w:rsid w:val="007828BD"/>
    <w:rsid w:val="00782A17"/>
    <w:rsid w:val="00782D09"/>
    <w:rsid w:val="00782D84"/>
    <w:rsid w:val="00782E0D"/>
    <w:rsid w:val="0078312B"/>
    <w:rsid w:val="007832C1"/>
    <w:rsid w:val="00783BD4"/>
    <w:rsid w:val="00783BED"/>
    <w:rsid w:val="00783C73"/>
    <w:rsid w:val="00783DD7"/>
    <w:rsid w:val="00784161"/>
    <w:rsid w:val="00784517"/>
    <w:rsid w:val="00784709"/>
    <w:rsid w:val="007855A5"/>
    <w:rsid w:val="007855F3"/>
    <w:rsid w:val="00785D09"/>
    <w:rsid w:val="0078609C"/>
    <w:rsid w:val="00786218"/>
    <w:rsid w:val="0078687D"/>
    <w:rsid w:val="007869BA"/>
    <w:rsid w:val="007870D2"/>
    <w:rsid w:val="00787674"/>
    <w:rsid w:val="007876C0"/>
    <w:rsid w:val="007877A4"/>
    <w:rsid w:val="00787805"/>
    <w:rsid w:val="00787BBA"/>
    <w:rsid w:val="007900F0"/>
    <w:rsid w:val="007901DD"/>
    <w:rsid w:val="007904E2"/>
    <w:rsid w:val="00790CA9"/>
    <w:rsid w:val="0079118C"/>
    <w:rsid w:val="00791272"/>
    <w:rsid w:val="00791282"/>
    <w:rsid w:val="007915AE"/>
    <w:rsid w:val="007917AE"/>
    <w:rsid w:val="007918AA"/>
    <w:rsid w:val="00791E92"/>
    <w:rsid w:val="00792141"/>
    <w:rsid w:val="0079293E"/>
    <w:rsid w:val="007929B2"/>
    <w:rsid w:val="00792A0D"/>
    <w:rsid w:val="00792A35"/>
    <w:rsid w:val="00792D84"/>
    <w:rsid w:val="007931F7"/>
    <w:rsid w:val="007933FB"/>
    <w:rsid w:val="007935D9"/>
    <w:rsid w:val="00793A17"/>
    <w:rsid w:val="00793A2B"/>
    <w:rsid w:val="00793FF6"/>
    <w:rsid w:val="00794389"/>
    <w:rsid w:val="00794DDC"/>
    <w:rsid w:val="00794DEB"/>
    <w:rsid w:val="00794E61"/>
    <w:rsid w:val="00794FF0"/>
    <w:rsid w:val="0079511D"/>
    <w:rsid w:val="0079512F"/>
    <w:rsid w:val="007955FF"/>
    <w:rsid w:val="00795810"/>
    <w:rsid w:val="00795A7F"/>
    <w:rsid w:val="00795DA7"/>
    <w:rsid w:val="007964F6"/>
    <w:rsid w:val="00796908"/>
    <w:rsid w:val="00796CF1"/>
    <w:rsid w:val="007976FB"/>
    <w:rsid w:val="007978F6"/>
    <w:rsid w:val="007A06C8"/>
    <w:rsid w:val="007A086A"/>
    <w:rsid w:val="007A0956"/>
    <w:rsid w:val="007A09EF"/>
    <w:rsid w:val="007A0AE5"/>
    <w:rsid w:val="007A125C"/>
    <w:rsid w:val="007A1594"/>
    <w:rsid w:val="007A15D5"/>
    <w:rsid w:val="007A1675"/>
    <w:rsid w:val="007A1B68"/>
    <w:rsid w:val="007A1E35"/>
    <w:rsid w:val="007A2234"/>
    <w:rsid w:val="007A27E9"/>
    <w:rsid w:val="007A2C34"/>
    <w:rsid w:val="007A31FF"/>
    <w:rsid w:val="007A36A3"/>
    <w:rsid w:val="007A38D3"/>
    <w:rsid w:val="007A3EAE"/>
    <w:rsid w:val="007A42B2"/>
    <w:rsid w:val="007A42E2"/>
    <w:rsid w:val="007A5249"/>
    <w:rsid w:val="007A570A"/>
    <w:rsid w:val="007A57C4"/>
    <w:rsid w:val="007A5941"/>
    <w:rsid w:val="007A5F61"/>
    <w:rsid w:val="007A680F"/>
    <w:rsid w:val="007A6AB6"/>
    <w:rsid w:val="007A78FD"/>
    <w:rsid w:val="007A7B6B"/>
    <w:rsid w:val="007A7E1C"/>
    <w:rsid w:val="007B04C4"/>
    <w:rsid w:val="007B06A0"/>
    <w:rsid w:val="007B09F2"/>
    <w:rsid w:val="007B0CE9"/>
    <w:rsid w:val="007B0E38"/>
    <w:rsid w:val="007B0E79"/>
    <w:rsid w:val="007B2089"/>
    <w:rsid w:val="007B2CB4"/>
    <w:rsid w:val="007B300E"/>
    <w:rsid w:val="007B3028"/>
    <w:rsid w:val="007B32FC"/>
    <w:rsid w:val="007B34D8"/>
    <w:rsid w:val="007B3683"/>
    <w:rsid w:val="007B3D3A"/>
    <w:rsid w:val="007B3E10"/>
    <w:rsid w:val="007B45E5"/>
    <w:rsid w:val="007B469D"/>
    <w:rsid w:val="007B53A4"/>
    <w:rsid w:val="007B56E9"/>
    <w:rsid w:val="007B5783"/>
    <w:rsid w:val="007B587B"/>
    <w:rsid w:val="007B5957"/>
    <w:rsid w:val="007B5F92"/>
    <w:rsid w:val="007B6144"/>
    <w:rsid w:val="007B61B7"/>
    <w:rsid w:val="007B64DA"/>
    <w:rsid w:val="007B663F"/>
    <w:rsid w:val="007B6798"/>
    <w:rsid w:val="007B68E7"/>
    <w:rsid w:val="007B6BB5"/>
    <w:rsid w:val="007B6CAC"/>
    <w:rsid w:val="007B6DA9"/>
    <w:rsid w:val="007B6FDD"/>
    <w:rsid w:val="007B7243"/>
    <w:rsid w:val="007B76F4"/>
    <w:rsid w:val="007B78BD"/>
    <w:rsid w:val="007B7A5C"/>
    <w:rsid w:val="007B7EF0"/>
    <w:rsid w:val="007B7FBC"/>
    <w:rsid w:val="007C0020"/>
    <w:rsid w:val="007C1172"/>
    <w:rsid w:val="007C11CB"/>
    <w:rsid w:val="007C11EC"/>
    <w:rsid w:val="007C138B"/>
    <w:rsid w:val="007C1561"/>
    <w:rsid w:val="007C16FD"/>
    <w:rsid w:val="007C2125"/>
    <w:rsid w:val="007C217A"/>
    <w:rsid w:val="007C2CC2"/>
    <w:rsid w:val="007C3F7D"/>
    <w:rsid w:val="007C404B"/>
    <w:rsid w:val="007C420B"/>
    <w:rsid w:val="007C42F8"/>
    <w:rsid w:val="007C43CA"/>
    <w:rsid w:val="007C462D"/>
    <w:rsid w:val="007C505B"/>
    <w:rsid w:val="007C50D6"/>
    <w:rsid w:val="007C5397"/>
    <w:rsid w:val="007C5D59"/>
    <w:rsid w:val="007C5DFE"/>
    <w:rsid w:val="007C5FD4"/>
    <w:rsid w:val="007C64CF"/>
    <w:rsid w:val="007C6AB6"/>
    <w:rsid w:val="007C720F"/>
    <w:rsid w:val="007C7C6E"/>
    <w:rsid w:val="007C7F2D"/>
    <w:rsid w:val="007D0817"/>
    <w:rsid w:val="007D0996"/>
    <w:rsid w:val="007D0AE2"/>
    <w:rsid w:val="007D123A"/>
    <w:rsid w:val="007D1C6A"/>
    <w:rsid w:val="007D1C90"/>
    <w:rsid w:val="007D1C91"/>
    <w:rsid w:val="007D1F2A"/>
    <w:rsid w:val="007D20C7"/>
    <w:rsid w:val="007D21FA"/>
    <w:rsid w:val="007D269E"/>
    <w:rsid w:val="007D27F6"/>
    <w:rsid w:val="007D303A"/>
    <w:rsid w:val="007D35AB"/>
    <w:rsid w:val="007D36A0"/>
    <w:rsid w:val="007D391E"/>
    <w:rsid w:val="007D42D7"/>
    <w:rsid w:val="007D4946"/>
    <w:rsid w:val="007D4B50"/>
    <w:rsid w:val="007D4BCD"/>
    <w:rsid w:val="007D5BDC"/>
    <w:rsid w:val="007D5F6C"/>
    <w:rsid w:val="007D687B"/>
    <w:rsid w:val="007D6B89"/>
    <w:rsid w:val="007D6FE1"/>
    <w:rsid w:val="007D7180"/>
    <w:rsid w:val="007D75F0"/>
    <w:rsid w:val="007D7C1C"/>
    <w:rsid w:val="007D7F23"/>
    <w:rsid w:val="007E0451"/>
    <w:rsid w:val="007E05BF"/>
    <w:rsid w:val="007E05E0"/>
    <w:rsid w:val="007E0BB1"/>
    <w:rsid w:val="007E1B8C"/>
    <w:rsid w:val="007E22E3"/>
    <w:rsid w:val="007E23DC"/>
    <w:rsid w:val="007E2F1D"/>
    <w:rsid w:val="007E32E8"/>
    <w:rsid w:val="007E35C1"/>
    <w:rsid w:val="007E367E"/>
    <w:rsid w:val="007E37E9"/>
    <w:rsid w:val="007E3876"/>
    <w:rsid w:val="007E3989"/>
    <w:rsid w:val="007E3B0F"/>
    <w:rsid w:val="007E3C39"/>
    <w:rsid w:val="007E4523"/>
    <w:rsid w:val="007E45A7"/>
    <w:rsid w:val="007E4787"/>
    <w:rsid w:val="007E57C9"/>
    <w:rsid w:val="007E5CD1"/>
    <w:rsid w:val="007E5D2E"/>
    <w:rsid w:val="007E613C"/>
    <w:rsid w:val="007E6149"/>
    <w:rsid w:val="007E63CF"/>
    <w:rsid w:val="007E6AB6"/>
    <w:rsid w:val="007E6AD5"/>
    <w:rsid w:val="007E72C5"/>
    <w:rsid w:val="007E76AD"/>
    <w:rsid w:val="007E7E19"/>
    <w:rsid w:val="007E7ED4"/>
    <w:rsid w:val="007E7F90"/>
    <w:rsid w:val="007F0237"/>
    <w:rsid w:val="007F0268"/>
    <w:rsid w:val="007F03D8"/>
    <w:rsid w:val="007F03F1"/>
    <w:rsid w:val="007F08F2"/>
    <w:rsid w:val="007F0977"/>
    <w:rsid w:val="007F0DBA"/>
    <w:rsid w:val="007F0E93"/>
    <w:rsid w:val="007F0FD5"/>
    <w:rsid w:val="007F104B"/>
    <w:rsid w:val="007F127C"/>
    <w:rsid w:val="007F17A8"/>
    <w:rsid w:val="007F1E4B"/>
    <w:rsid w:val="007F1EB9"/>
    <w:rsid w:val="007F2594"/>
    <w:rsid w:val="007F25AB"/>
    <w:rsid w:val="007F3543"/>
    <w:rsid w:val="007F35F6"/>
    <w:rsid w:val="007F363C"/>
    <w:rsid w:val="007F3705"/>
    <w:rsid w:val="007F40EC"/>
    <w:rsid w:val="007F425B"/>
    <w:rsid w:val="007F4D47"/>
    <w:rsid w:val="007F5799"/>
    <w:rsid w:val="007F61B1"/>
    <w:rsid w:val="007F64AE"/>
    <w:rsid w:val="007F666D"/>
    <w:rsid w:val="007F6725"/>
    <w:rsid w:val="007F6839"/>
    <w:rsid w:val="007F6BD1"/>
    <w:rsid w:val="007F71AE"/>
    <w:rsid w:val="007F7A72"/>
    <w:rsid w:val="007F7CA4"/>
    <w:rsid w:val="007F7CE7"/>
    <w:rsid w:val="007F7DC3"/>
    <w:rsid w:val="007F7EB8"/>
    <w:rsid w:val="00800171"/>
    <w:rsid w:val="00800263"/>
    <w:rsid w:val="008006C9"/>
    <w:rsid w:val="00800926"/>
    <w:rsid w:val="00800E91"/>
    <w:rsid w:val="0080141F"/>
    <w:rsid w:val="008016F6"/>
    <w:rsid w:val="00801E4E"/>
    <w:rsid w:val="00801F3C"/>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088"/>
    <w:rsid w:val="008074A2"/>
    <w:rsid w:val="008100A9"/>
    <w:rsid w:val="00810489"/>
    <w:rsid w:val="00810A3F"/>
    <w:rsid w:val="00810B43"/>
    <w:rsid w:val="00810D37"/>
    <w:rsid w:val="00810D71"/>
    <w:rsid w:val="00810F81"/>
    <w:rsid w:val="0081148E"/>
    <w:rsid w:val="00811895"/>
    <w:rsid w:val="00811B37"/>
    <w:rsid w:val="0081272C"/>
    <w:rsid w:val="00812897"/>
    <w:rsid w:val="008128D9"/>
    <w:rsid w:val="00812934"/>
    <w:rsid w:val="00812973"/>
    <w:rsid w:val="00812B5B"/>
    <w:rsid w:val="00812BFF"/>
    <w:rsid w:val="00813085"/>
    <w:rsid w:val="008131A7"/>
    <w:rsid w:val="008131D7"/>
    <w:rsid w:val="0081339B"/>
    <w:rsid w:val="008134E3"/>
    <w:rsid w:val="008136E3"/>
    <w:rsid w:val="008138EB"/>
    <w:rsid w:val="00813CC4"/>
    <w:rsid w:val="00814658"/>
    <w:rsid w:val="008148F7"/>
    <w:rsid w:val="00814A62"/>
    <w:rsid w:val="00815721"/>
    <w:rsid w:val="0081582A"/>
    <w:rsid w:val="0081595F"/>
    <w:rsid w:val="00815A3B"/>
    <w:rsid w:val="00815B2E"/>
    <w:rsid w:val="00815DB1"/>
    <w:rsid w:val="00816F44"/>
    <w:rsid w:val="00820946"/>
    <w:rsid w:val="0082095C"/>
    <w:rsid w:val="00820F7C"/>
    <w:rsid w:val="008215D6"/>
    <w:rsid w:val="00821751"/>
    <w:rsid w:val="00821755"/>
    <w:rsid w:val="00821D20"/>
    <w:rsid w:val="00821F3C"/>
    <w:rsid w:val="00822069"/>
    <w:rsid w:val="008221B5"/>
    <w:rsid w:val="008225DB"/>
    <w:rsid w:val="00822833"/>
    <w:rsid w:val="00822879"/>
    <w:rsid w:val="008229F8"/>
    <w:rsid w:val="00822E77"/>
    <w:rsid w:val="00822FE6"/>
    <w:rsid w:val="0082330C"/>
    <w:rsid w:val="00823894"/>
    <w:rsid w:val="008238C3"/>
    <w:rsid w:val="00823D1C"/>
    <w:rsid w:val="00823D5D"/>
    <w:rsid w:val="00823EEC"/>
    <w:rsid w:val="0082416E"/>
    <w:rsid w:val="008244AD"/>
    <w:rsid w:val="008245EA"/>
    <w:rsid w:val="00824AF4"/>
    <w:rsid w:val="00824C97"/>
    <w:rsid w:val="00824E15"/>
    <w:rsid w:val="00825233"/>
    <w:rsid w:val="0082566A"/>
    <w:rsid w:val="00825760"/>
    <w:rsid w:val="00825C9A"/>
    <w:rsid w:val="00825EE2"/>
    <w:rsid w:val="00826281"/>
    <w:rsid w:val="008265EC"/>
    <w:rsid w:val="00826608"/>
    <w:rsid w:val="00827143"/>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77C"/>
    <w:rsid w:val="00833A86"/>
    <w:rsid w:val="00833E4B"/>
    <w:rsid w:val="00833E93"/>
    <w:rsid w:val="008345AD"/>
    <w:rsid w:val="008347E8"/>
    <w:rsid w:val="00834C6F"/>
    <w:rsid w:val="008353DE"/>
    <w:rsid w:val="00835468"/>
    <w:rsid w:val="0083566E"/>
    <w:rsid w:val="00835881"/>
    <w:rsid w:val="00835A0D"/>
    <w:rsid w:val="008360B8"/>
    <w:rsid w:val="00836103"/>
    <w:rsid w:val="00836137"/>
    <w:rsid w:val="00836654"/>
    <w:rsid w:val="00836CA9"/>
    <w:rsid w:val="008376EA"/>
    <w:rsid w:val="0083790D"/>
    <w:rsid w:val="00837C4B"/>
    <w:rsid w:val="00837F29"/>
    <w:rsid w:val="008401CA"/>
    <w:rsid w:val="0084026B"/>
    <w:rsid w:val="00841640"/>
    <w:rsid w:val="008423D1"/>
    <w:rsid w:val="008423EE"/>
    <w:rsid w:val="008429E3"/>
    <w:rsid w:val="00842EDD"/>
    <w:rsid w:val="008436AD"/>
    <w:rsid w:val="008437A0"/>
    <w:rsid w:val="008439A9"/>
    <w:rsid w:val="00844210"/>
    <w:rsid w:val="0084431D"/>
    <w:rsid w:val="0084478C"/>
    <w:rsid w:val="008447AC"/>
    <w:rsid w:val="0084526E"/>
    <w:rsid w:val="0084564F"/>
    <w:rsid w:val="00845827"/>
    <w:rsid w:val="008458A4"/>
    <w:rsid w:val="00845B4C"/>
    <w:rsid w:val="00845C55"/>
    <w:rsid w:val="00845D3F"/>
    <w:rsid w:val="008460F6"/>
    <w:rsid w:val="008469A3"/>
    <w:rsid w:val="00846A86"/>
    <w:rsid w:val="00850089"/>
    <w:rsid w:val="008504B8"/>
    <w:rsid w:val="00850781"/>
    <w:rsid w:val="008508D0"/>
    <w:rsid w:val="00850920"/>
    <w:rsid w:val="00850ED9"/>
    <w:rsid w:val="00851552"/>
    <w:rsid w:val="0085171E"/>
    <w:rsid w:val="00851968"/>
    <w:rsid w:val="00851B7B"/>
    <w:rsid w:val="00851C80"/>
    <w:rsid w:val="00852009"/>
    <w:rsid w:val="00852719"/>
    <w:rsid w:val="008528AE"/>
    <w:rsid w:val="00852BC5"/>
    <w:rsid w:val="00852BF7"/>
    <w:rsid w:val="008530B0"/>
    <w:rsid w:val="008533A9"/>
    <w:rsid w:val="008533CE"/>
    <w:rsid w:val="00853A9E"/>
    <w:rsid w:val="00853E9B"/>
    <w:rsid w:val="00854A1A"/>
    <w:rsid w:val="00854CCA"/>
    <w:rsid w:val="0085566E"/>
    <w:rsid w:val="00855E85"/>
    <w:rsid w:val="00856189"/>
    <w:rsid w:val="00856A34"/>
    <w:rsid w:val="00856A88"/>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74E"/>
    <w:rsid w:val="00864AC0"/>
    <w:rsid w:val="0086508C"/>
    <w:rsid w:val="008656A1"/>
    <w:rsid w:val="00865839"/>
    <w:rsid w:val="00865840"/>
    <w:rsid w:val="00865AD6"/>
    <w:rsid w:val="00865B75"/>
    <w:rsid w:val="00865CC5"/>
    <w:rsid w:val="00865D01"/>
    <w:rsid w:val="00865D26"/>
    <w:rsid w:val="0086654D"/>
    <w:rsid w:val="0086720C"/>
    <w:rsid w:val="0086733B"/>
    <w:rsid w:val="00867B51"/>
    <w:rsid w:val="00867C15"/>
    <w:rsid w:val="00867C33"/>
    <w:rsid w:val="00867CD2"/>
    <w:rsid w:val="00867F7C"/>
    <w:rsid w:val="00870136"/>
    <w:rsid w:val="008706AD"/>
    <w:rsid w:val="00870B5C"/>
    <w:rsid w:val="00870D75"/>
    <w:rsid w:val="00871207"/>
    <w:rsid w:val="00871599"/>
    <w:rsid w:val="0087176D"/>
    <w:rsid w:val="008722B4"/>
    <w:rsid w:val="008722B8"/>
    <w:rsid w:val="008722E6"/>
    <w:rsid w:val="0087275F"/>
    <w:rsid w:val="00872D80"/>
    <w:rsid w:val="00872EE6"/>
    <w:rsid w:val="0087356D"/>
    <w:rsid w:val="008740E3"/>
    <w:rsid w:val="008743F3"/>
    <w:rsid w:val="008746B5"/>
    <w:rsid w:val="008748D9"/>
    <w:rsid w:val="00874A6A"/>
    <w:rsid w:val="00874C01"/>
    <w:rsid w:val="00874EB2"/>
    <w:rsid w:val="0087505D"/>
    <w:rsid w:val="008752A4"/>
    <w:rsid w:val="008756FA"/>
    <w:rsid w:val="00875CEC"/>
    <w:rsid w:val="00875DDB"/>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CE"/>
    <w:rsid w:val="00883AFC"/>
    <w:rsid w:val="00883DB4"/>
    <w:rsid w:val="00883F48"/>
    <w:rsid w:val="008840E2"/>
    <w:rsid w:val="00884671"/>
    <w:rsid w:val="0088484B"/>
    <w:rsid w:val="0088512D"/>
    <w:rsid w:val="0088515F"/>
    <w:rsid w:val="008856AB"/>
    <w:rsid w:val="00885B61"/>
    <w:rsid w:val="00885D7C"/>
    <w:rsid w:val="00886039"/>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12"/>
    <w:rsid w:val="00891250"/>
    <w:rsid w:val="00891743"/>
    <w:rsid w:val="00891A2F"/>
    <w:rsid w:val="00891B6F"/>
    <w:rsid w:val="0089253A"/>
    <w:rsid w:val="00892982"/>
    <w:rsid w:val="00892993"/>
    <w:rsid w:val="008934EF"/>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2DF"/>
    <w:rsid w:val="00897322"/>
    <w:rsid w:val="00897893"/>
    <w:rsid w:val="00897C41"/>
    <w:rsid w:val="00897D9A"/>
    <w:rsid w:val="008A003C"/>
    <w:rsid w:val="008A0148"/>
    <w:rsid w:val="008A03BE"/>
    <w:rsid w:val="008A06F1"/>
    <w:rsid w:val="008A0C28"/>
    <w:rsid w:val="008A12BA"/>
    <w:rsid w:val="008A1444"/>
    <w:rsid w:val="008A17CB"/>
    <w:rsid w:val="008A192B"/>
    <w:rsid w:val="008A1AD7"/>
    <w:rsid w:val="008A2118"/>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5E6E"/>
    <w:rsid w:val="008A65CE"/>
    <w:rsid w:val="008A734D"/>
    <w:rsid w:val="008A7794"/>
    <w:rsid w:val="008A7C88"/>
    <w:rsid w:val="008A7D28"/>
    <w:rsid w:val="008A7D3F"/>
    <w:rsid w:val="008B003B"/>
    <w:rsid w:val="008B00B6"/>
    <w:rsid w:val="008B044B"/>
    <w:rsid w:val="008B0532"/>
    <w:rsid w:val="008B06B6"/>
    <w:rsid w:val="008B0736"/>
    <w:rsid w:val="008B076C"/>
    <w:rsid w:val="008B0B24"/>
    <w:rsid w:val="008B0B4D"/>
    <w:rsid w:val="008B10BC"/>
    <w:rsid w:val="008B137C"/>
    <w:rsid w:val="008B18C6"/>
    <w:rsid w:val="008B1CE2"/>
    <w:rsid w:val="008B3B8C"/>
    <w:rsid w:val="008B3D57"/>
    <w:rsid w:val="008B427D"/>
    <w:rsid w:val="008B4565"/>
    <w:rsid w:val="008B4AE6"/>
    <w:rsid w:val="008B504A"/>
    <w:rsid w:val="008B523F"/>
    <w:rsid w:val="008B61DD"/>
    <w:rsid w:val="008B6493"/>
    <w:rsid w:val="008B6CF3"/>
    <w:rsid w:val="008B6E61"/>
    <w:rsid w:val="008B73B5"/>
    <w:rsid w:val="008B771D"/>
    <w:rsid w:val="008B7AEF"/>
    <w:rsid w:val="008C00D0"/>
    <w:rsid w:val="008C0473"/>
    <w:rsid w:val="008C04A2"/>
    <w:rsid w:val="008C05EB"/>
    <w:rsid w:val="008C09AD"/>
    <w:rsid w:val="008C0B1E"/>
    <w:rsid w:val="008C0B54"/>
    <w:rsid w:val="008C0D7D"/>
    <w:rsid w:val="008C0E95"/>
    <w:rsid w:val="008C103B"/>
    <w:rsid w:val="008C1421"/>
    <w:rsid w:val="008C1596"/>
    <w:rsid w:val="008C1679"/>
    <w:rsid w:val="008C1824"/>
    <w:rsid w:val="008C1A6E"/>
    <w:rsid w:val="008C2804"/>
    <w:rsid w:val="008C2B0D"/>
    <w:rsid w:val="008C311D"/>
    <w:rsid w:val="008C3428"/>
    <w:rsid w:val="008C3B22"/>
    <w:rsid w:val="008C4531"/>
    <w:rsid w:val="008C4BB3"/>
    <w:rsid w:val="008C50BB"/>
    <w:rsid w:val="008C5740"/>
    <w:rsid w:val="008C5D89"/>
    <w:rsid w:val="008C63FE"/>
    <w:rsid w:val="008C7001"/>
    <w:rsid w:val="008C738B"/>
    <w:rsid w:val="008C7898"/>
    <w:rsid w:val="008C7945"/>
    <w:rsid w:val="008C7C1A"/>
    <w:rsid w:val="008D0C63"/>
    <w:rsid w:val="008D0E04"/>
    <w:rsid w:val="008D0F58"/>
    <w:rsid w:val="008D1092"/>
    <w:rsid w:val="008D128F"/>
    <w:rsid w:val="008D145D"/>
    <w:rsid w:val="008D14A3"/>
    <w:rsid w:val="008D1BF1"/>
    <w:rsid w:val="008D24CE"/>
    <w:rsid w:val="008D27DF"/>
    <w:rsid w:val="008D28C4"/>
    <w:rsid w:val="008D2A29"/>
    <w:rsid w:val="008D2CDC"/>
    <w:rsid w:val="008D36F3"/>
    <w:rsid w:val="008D38EE"/>
    <w:rsid w:val="008D3D93"/>
    <w:rsid w:val="008D40A2"/>
    <w:rsid w:val="008D4B7C"/>
    <w:rsid w:val="008D52E3"/>
    <w:rsid w:val="008D535D"/>
    <w:rsid w:val="008D53DA"/>
    <w:rsid w:val="008D562E"/>
    <w:rsid w:val="008D5B9F"/>
    <w:rsid w:val="008D5C05"/>
    <w:rsid w:val="008D5E46"/>
    <w:rsid w:val="008D67B4"/>
    <w:rsid w:val="008D6C36"/>
    <w:rsid w:val="008D6D7B"/>
    <w:rsid w:val="008D71F5"/>
    <w:rsid w:val="008D7255"/>
    <w:rsid w:val="008D73C7"/>
    <w:rsid w:val="008D7980"/>
    <w:rsid w:val="008D79CD"/>
    <w:rsid w:val="008D7DB7"/>
    <w:rsid w:val="008D7EF7"/>
    <w:rsid w:val="008D7FAA"/>
    <w:rsid w:val="008E0723"/>
    <w:rsid w:val="008E083F"/>
    <w:rsid w:val="008E0C34"/>
    <w:rsid w:val="008E1904"/>
    <w:rsid w:val="008E2762"/>
    <w:rsid w:val="008E29A8"/>
    <w:rsid w:val="008E3819"/>
    <w:rsid w:val="008E3836"/>
    <w:rsid w:val="008E478D"/>
    <w:rsid w:val="008E480B"/>
    <w:rsid w:val="008E49C8"/>
    <w:rsid w:val="008E4A44"/>
    <w:rsid w:val="008E4AD8"/>
    <w:rsid w:val="008E4B3E"/>
    <w:rsid w:val="008E4D2B"/>
    <w:rsid w:val="008E565F"/>
    <w:rsid w:val="008E5C39"/>
    <w:rsid w:val="008E6065"/>
    <w:rsid w:val="008E638A"/>
    <w:rsid w:val="008E6610"/>
    <w:rsid w:val="008E718A"/>
    <w:rsid w:val="008E757C"/>
    <w:rsid w:val="008E7D08"/>
    <w:rsid w:val="008E7D8A"/>
    <w:rsid w:val="008F06F5"/>
    <w:rsid w:val="008F0A4D"/>
    <w:rsid w:val="008F0C05"/>
    <w:rsid w:val="008F0C25"/>
    <w:rsid w:val="008F145D"/>
    <w:rsid w:val="008F1704"/>
    <w:rsid w:val="008F182F"/>
    <w:rsid w:val="008F1936"/>
    <w:rsid w:val="008F1CF7"/>
    <w:rsid w:val="008F1D39"/>
    <w:rsid w:val="008F1D64"/>
    <w:rsid w:val="008F1E7E"/>
    <w:rsid w:val="008F1F1D"/>
    <w:rsid w:val="008F1F67"/>
    <w:rsid w:val="008F2531"/>
    <w:rsid w:val="008F25B3"/>
    <w:rsid w:val="008F273D"/>
    <w:rsid w:val="008F2A69"/>
    <w:rsid w:val="008F2ED1"/>
    <w:rsid w:val="008F3037"/>
    <w:rsid w:val="008F308F"/>
    <w:rsid w:val="008F30D5"/>
    <w:rsid w:val="008F3172"/>
    <w:rsid w:val="008F32ED"/>
    <w:rsid w:val="008F3C73"/>
    <w:rsid w:val="008F3CA0"/>
    <w:rsid w:val="008F3D25"/>
    <w:rsid w:val="008F4556"/>
    <w:rsid w:val="008F521A"/>
    <w:rsid w:val="008F590C"/>
    <w:rsid w:val="008F5BFB"/>
    <w:rsid w:val="008F5EB9"/>
    <w:rsid w:val="008F62B1"/>
    <w:rsid w:val="008F6409"/>
    <w:rsid w:val="008F641D"/>
    <w:rsid w:val="008F64ED"/>
    <w:rsid w:val="008F6E15"/>
    <w:rsid w:val="008F6FAF"/>
    <w:rsid w:val="008F718F"/>
    <w:rsid w:val="008F7202"/>
    <w:rsid w:val="008F738F"/>
    <w:rsid w:val="008F73CA"/>
    <w:rsid w:val="008F7791"/>
    <w:rsid w:val="008F7868"/>
    <w:rsid w:val="008F79B6"/>
    <w:rsid w:val="008F7C7E"/>
    <w:rsid w:val="00900DCE"/>
    <w:rsid w:val="00900E17"/>
    <w:rsid w:val="00900EF6"/>
    <w:rsid w:val="00901067"/>
    <w:rsid w:val="009011F1"/>
    <w:rsid w:val="00901CDC"/>
    <w:rsid w:val="009021FA"/>
    <w:rsid w:val="009024BC"/>
    <w:rsid w:val="0090253C"/>
    <w:rsid w:val="0090276A"/>
    <w:rsid w:val="00902B6D"/>
    <w:rsid w:val="00902CFB"/>
    <w:rsid w:val="009030BA"/>
    <w:rsid w:val="00903260"/>
    <w:rsid w:val="009033E6"/>
    <w:rsid w:val="009035D7"/>
    <w:rsid w:val="009035E6"/>
    <w:rsid w:val="00903C18"/>
    <w:rsid w:val="00903ECD"/>
    <w:rsid w:val="0090420E"/>
    <w:rsid w:val="009047B6"/>
    <w:rsid w:val="00904907"/>
    <w:rsid w:val="0090510E"/>
    <w:rsid w:val="00905320"/>
    <w:rsid w:val="00905839"/>
    <w:rsid w:val="00905AD0"/>
    <w:rsid w:val="00906573"/>
    <w:rsid w:val="009066AE"/>
    <w:rsid w:val="009068B8"/>
    <w:rsid w:val="00906A80"/>
    <w:rsid w:val="00906F05"/>
    <w:rsid w:val="00907137"/>
    <w:rsid w:val="00907A19"/>
    <w:rsid w:val="00907BA8"/>
    <w:rsid w:val="00907C49"/>
    <w:rsid w:val="00907DEE"/>
    <w:rsid w:val="009106DB"/>
    <w:rsid w:val="00910975"/>
    <w:rsid w:val="009109AF"/>
    <w:rsid w:val="00910D9D"/>
    <w:rsid w:val="00910E46"/>
    <w:rsid w:val="00910EB6"/>
    <w:rsid w:val="009112F7"/>
    <w:rsid w:val="00911750"/>
    <w:rsid w:val="00911837"/>
    <w:rsid w:val="009118FF"/>
    <w:rsid w:val="00911C54"/>
    <w:rsid w:val="00912159"/>
    <w:rsid w:val="009121EF"/>
    <w:rsid w:val="009122BE"/>
    <w:rsid w:val="00912AB5"/>
    <w:rsid w:val="00912BAC"/>
    <w:rsid w:val="00912EA4"/>
    <w:rsid w:val="009130A3"/>
    <w:rsid w:val="00913368"/>
    <w:rsid w:val="00913424"/>
    <w:rsid w:val="009134B0"/>
    <w:rsid w:val="00913650"/>
    <w:rsid w:val="009140DD"/>
    <w:rsid w:val="00914428"/>
    <w:rsid w:val="00914673"/>
    <w:rsid w:val="00914DCB"/>
    <w:rsid w:val="00915738"/>
    <w:rsid w:val="00915A7B"/>
    <w:rsid w:val="009162B8"/>
    <w:rsid w:val="009163C4"/>
    <w:rsid w:val="009164CB"/>
    <w:rsid w:val="00917137"/>
    <w:rsid w:val="009175A0"/>
    <w:rsid w:val="00917A0C"/>
    <w:rsid w:val="00917A73"/>
    <w:rsid w:val="00917A7A"/>
    <w:rsid w:val="00917D49"/>
    <w:rsid w:val="00920549"/>
    <w:rsid w:val="009207B3"/>
    <w:rsid w:val="00920855"/>
    <w:rsid w:val="009209F3"/>
    <w:rsid w:val="00920CFD"/>
    <w:rsid w:val="0092172C"/>
    <w:rsid w:val="00921C04"/>
    <w:rsid w:val="00921CDB"/>
    <w:rsid w:val="00922CA4"/>
    <w:rsid w:val="00922DDB"/>
    <w:rsid w:val="00922ED3"/>
    <w:rsid w:val="009230BC"/>
    <w:rsid w:val="009230C1"/>
    <w:rsid w:val="00923162"/>
    <w:rsid w:val="009231F9"/>
    <w:rsid w:val="00923233"/>
    <w:rsid w:val="0092331C"/>
    <w:rsid w:val="0092361B"/>
    <w:rsid w:val="00923D6E"/>
    <w:rsid w:val="00923EAC"/>
    <w:rsid w:val="0092482D"/>
    <w:rsid w:val="00924A88"/>
    <w:rsid w:val="00924AA1"/>
    <w:rsid w:val="00924AD4"/>
    <w:rsid w:val="00924C55"/>
    <w:rsid w:val="0092550C"/>
    <w:rsid w:val="0092591D"/>
    <w:rsid w:val="0092696D"/>
    <w:rsid w:val="00927826"/>
    <w:rsid w:val="0092786D"/>
    <w:rsid w:val="00927E2B"/>
    <w:rsid w:val="00927E34"/>
    <w:rsid w:val="00930468"/>
    <w:rsid w:val="009306E9"/>
    <w:rsid w:val="009307F9"/>
    <w:rsid w:val="00930884"/>
    <w:rsid w:val="009308EF"/>
    <w:rsid w:val="00930B5E"/>
    <w:rsid w:val="00931412"/>
    <w:rsid w:val="0093156D"/>
    <w:rsid w:val="009315F4"/>
    <w:rsid w:val="0093171D"/>
    <w:rsid w:val="00931A61"/>
    <w:rsid w:val="00931C8E"/>
    <w:rsid w:val="00931DD9"/>
    <w:rsid w:val="00931E19"/>
    <w:rsid w:val="00932731"/>
    <w:rsid w:val="00932A10"/>
    <w:rsid w:val="00932C8C"/>
    <w:rsid w:val="00933A53"/>
    <w:rsid w:val="009341B1"/>
    <w:rsid w:val="0093428A"/>
    <w:rsid w:val="009349AA"/>
    <w:rsid w:val="00934A3F"/>
    <w:rsid w:val="0093510B"/>
    <w:rsid w:val="009359B2"/>
    <w:rsid w:val="00935A52"/>
    <w:rsid w:val="009361CA"/>
    <w:rsid w:val="00936373"/>
    <w:rsid w:val="00937368"/>
    <w:rsid w:val="009373CB"/>
    <w:rsid w:val="009376C9"/>
    <w:rsid w:val="00937C6B"/>
    <w:rsid w:val="0094038B"/>
    <w:rsid w:val="009403B5"/>
    <w:rsid w:val="009403FD"/>
    <w:rsid w:val="009404D7"/>
    <w:rsid w:val="00940979"/>
    <w:rsid w:val="00940E87"/>
    <w:rsid w:val="00941336"/>
    <w:rsid w:val="00941498"/>
    <w:rsid w:val="00941919"/>
    <w:rsid w:val="009419BC"/>
    <w:rsid w:val="00942153"/>
    <w:rsid w:val="0094275C"/>
    <w:rsid w:val="00942B0B"/>
    <w:rsid w:val="00942E70"/>
    <w:rsid w:val="00943423"/>
    <w:rsid w:val="0094376D"/>
    <w:rsid w:val="00943C15"/>
    <w:rsid w:val="00943D33"/>
    <w:rsid w:val="00943E7A"/>
    <w:rsid w:val="0094438F"/>
    <w:rsid w:val="009443F1"/>
    <w:rsid w:val="0094462F"/>
    <w:rsid w:val="009446AC"/>
    <w:rsid w:val="009446F8"/>
    <w:rsid w:val="00944AFF"/>
    <w:rsid w:val="009450D1"/>
    <w:rsid w:val="0094531E"/>
    <w:rsid w:val="00945768"/>
    <w:rsid w:val="009457A6"/>
    <w:rsid w:val="0094581C"/>
    <w:rsid w:val="00945911"/>
    <w:rsid w:val="00945A65"/>
    <w:rsid w:val="00945C8A"/>
    <w:rsid w:val="00945CD6"/>
    <w:rsid w:val="00946058"/>
    <w:rsid w:val="0094621C"/>
    <w:rsid w:val="009462AD"/>
    <w:rsid w:val="009462FD"/>
    <w:rsid w:val="00946450"/>
    <w:rsid w:val="00946789"/>
    <w:rsid w:val="00947641"/>
    <w:rsid w:val="00947AF7"/>
    <w:rsid w:val="00947B1B"/>
    <w:rsid w:val="00947E6D"/>
    <w:rsid w:val="00947F5C"/>
    <w:rsid w:val="009508D2"/>
    <w:rsid w:val="00950902"/>
    <w:rsid w:val="00950B06"/>
    <w:rsid w:val="00950B7D"/>
    <w:rsid w:val="00950DB7"/>
    <w:rsid w:val="00951998"/>
    <w:rsid w:val="00952074"/>
    <w:rsid w:val="00952138"/>
    <w:rsid w:val="00952404"/>
    <w:rsid w:val="009527AE"/>
    <w:rsid w:val="00952C1C"/>
    <w:rsid w:val="00952D9C"/>
    <w:rsid w:val="00952DDB"/>
    <w:rsid w:val="00952DF2"/>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3DE"/>
    <w:rsid w:val="0095564E"/>
    <w:rsid w:val="009561CF"/>
    <w:rsid w:val="00956513"/>
    <w:rsid w:val="009568CE"/>
    <w:rsid w:val="00956D8C"/>
    <w:rsid w:val="00956F50"/>
    <w:rsid w:val="00957483"/>
    <w:rsid w:val="00957E10"/>
    <w:rsid w:val="00957E3E"/>
    <w:rsid w:val="00960513"/>
    <w:rsid w:val="0096054A"/>
    <w:rsid w:val="0096058F"/>
    <w:rsid w:val="009610F2"/>
    <w:rsid w:val="00961315"/>
    <w:rsid w:val="00961883"/>
    <w:rsid w:val="00961943"/>
    <w:rsid w:val="0096236B"/>
    <w:rsid w:val="0096263E"/>
    <w:rsid w:val="0096267C"/>
    <w:rsid w:val="00962B32"/>
    <w:rsid w:val="00962C16"/>
    <w:rsid w:val="00963058"/>
    <w:rsid w:val="009630FF"/>
    <w:rsid w:val="009637EC"/>
    <w:rsid w:val="00963A9D"/>
    <w:rsid w:val="00964002"/>
    <w:rsid w:val="00964427"/>
    <w:rsid w:val="009647E4"/>
    <w:rsid w:val="009648B2"/>
    <w:rsid w:val="00964AFC"/>
    <w:rsid w:val="00964C61"/>
    <w:rsid w:val="00964D10"/>
    <w:rsid w:val="0096547C"/>
    <w:rsid w:val="00965F01"/>
    <w:rsid w:val="009661A5"/>
    <w:rsid w:val="00966259"/>
    <w:rsid w:val="00966745"/>
    <w:rsid w:val="00966DFF"/>
    <w:rsid w:val="00967C62"/>
    <w:rsid w:val="00967FC8"/>
    <w:rsid w:val="00970072"/>
    <w:rsid w:val="00971287"/>
    <w:rsid w:val="0097177C"/>
    <w:rsid w:val="00971BDF"/>
    <w:rsid w:val="009721E6"/>
    <w:rsid w:val="009726D1"/>
    <w:rsid w:val="00972CB0"/>
    <w:rsid w:val="00972EF0"/>
    <w:rsid w:val="009735A8"/>
    <w:rsid w:val="009737A5"/>
    <w:rsid w:val="00973971"/>
    <w:rsid w:val="009740E9"/>
    <w:rsid w:val="00974536"/>
    <w:rsid w:val="009745A1"/>
    <w:rsid w:val="0097479B"/>
    <w:rsid w:val="00974967"/>
    <w:rsid w:val="00974DA7"/>
    <w:rsid w:val="009752D1"/>
    <w:rsid w:val="00975B6B"/>
    <w:rsid w:val="00976079"/>
    <w:rsid w:val="00976D58"/>
    <w:rsid w:val="00976FAC"/>
    <w:rsid w:val="00977126"/>
    <w:rsid w:val="009801CA"/>
    <w:rsid w:val="009807D5"/>
    <w:rsid w:val="00980925"/>
    <w:rsid w:val="00981518"/>
    <w:rsid w:val="00981AF5"/>
    <w:rsid w:val="00981B4E"/>
    <w:rsid w:val="0098242E"/>
    <w:rsid w:val="00982E1A"/>
    <w:rsid w:val="00983368"/>
    <w:rsid w:val="009833E0"/>
    <w:rsid w:val="00983693"/>
    <w:rsid w:val="00983839"/>
    <w:rsid w:val="00983A6E"/>
    <w:rsid w:val="00983B03"/>
    <w:rsid w:val="00983BA0"/>
    <w:rsid w:val="0098405A"/>
    <w:rsid w:val="00984C59"/>
    <w:rsid w:val="00984F2B"/>
    <w:rsid w:val="00985C3E"/>
    <w:rsid w:val="00985C90"/>
    <w:rsid w:val="00985D78"/>
    <w:rsid w:val="009863B2"/>
    <w:rsid w:val="009864AB"/>
    <w:rsid w:val="00986833"/>
    <w:rsid w:val="00986894"/>
    <w:rsid w:val="00986CBD"/>
    <w:rsid w:val="00986CEC"/>
    <w:rsid w:val="009870CF"/>
    <w:rsid w:val="00987240"/>
    <w:rsid w:val="009874CB"/>
    <w:rsid w:val="009876A5"/>
    <w:rsid w:val="009879D9"/>
    <w:rsid w:val="00987C30"/>
    <w:rsid w:val="009903BE"/>
    <w:rsid w:val="00990667"/>
    <w:rsid w:val="00990703"/>
    <w:rsid w:val="00990A82"/>
    <w:rsid w:val="00991252"/>
    <w:rsid w:val="009912BE"/>
    <w:rsid w:val="0099143D"/>
    <w:rsid w:val="00991907"/>
    <w:rsid w:val="00991919"/>
    <w:rsid w:val="00991D66"/>
    <w:rsid w:val="00992078"/>
    <w:rsid w:val="00992176"/>
    <w:rsid w:val="00992883"/>
    <w:rsid w:val="00992FD4"/>
    <w:rsid w:val="0099308D"/>
    <w:rsid w:val="009934A4"/>
    <w:rsid w:val="00993507"/>
    <w:rsid w:val="00993534"/>
    <w:rsid w:val="009938D3"/>
    <w:rsid w:val="00993B17"/>
    <w:rsid w:val="00993B37"/>
    <w:rsid w:val="009944F8"/>
    <w:rsid w:val="0099465F"/>
    <w:rsid w:val="009949DD"/>
    <w:rsid w:val="00994B3B"/>
    <w:rsid w:val="00994C06"/>
    <w:rsid w:val="00995584"/>
    <w:rsid w:val="009959B8"/>
    <w:rsid w:val="00995A38"/>
    <w:rsid w:val="00995AA3"/>
    <w:rsid w:val="00996691"/>
    <w:rsid w:val="009969CC"/>
    <w:rsid w:val="00996CCE"/>
    <w:rsid w:val="00996EBF"/>
    <w:rsid w:val="00997248"/>
    <w:rsid w:val="0099732B"/>
    <w:rsid w:val="009976DF"/>
    <w:rsid w:val="009977A8"/>
    <w:rsid w:val="00997A59"/>
    <w:rsid w:val="009A000F"/>
    <w:rsid w:val="009A02A3"/>
    <w:rsid w:val="009A0BDC"/>
    <w:rsid w:val="009A0CD9"/>
    <w:rsid w:val="009A1075"/>
    <w:rsid w:val="009A1364"/>
    <w:rsid w:val="009A179C"/>
    <w:rsid w:val="009A1BF4"/>
    <w:rsid w:val="009A1C25"/>
    <w:rsid w:val="009A1D2E"/>
    <w:rsid w:val="009A1D6A"/>
    <w:rsid w:val="009A1EB9"/>
    <w:rsid w:val="009A29E9"/>
    <w:rsid w:val="009A2EDF"/>
    <w:rsid w:val="009A38B9"/>
    <w:rsid w:val="009A39B3"/>
    <w:rsid w:val="009A39DF"/>
    <w:rsid w:val="009A4430"/>
    <w:rsid w:val="009A467E"/>
    <w:rsid w:val="009A47D2"/>
    <w:rsid w:val="009A487F"/>
    <w:rsid w:val="009A48EC"/>
    <w:rsid w:val="009A4A38"/>
    <w:rsid w:val="009A52D1"/>
    <w:rsid w:val="009A5342"/>
    <w:rsid w:val="009A5916"/>
    <w:rsid w:val="009A5A4F"/>
    <w:rsid w:val="009A5BEC"/>
    <w:rsid w:val="009A5C10"/>
    <w:rsid w:val="009A72AD"/>
    <w:rsid w:val="009A7827"/>
    <w:rsid w:val="009A7E6A"/>
    <w:rsid w:val="009B028C"/>
    <w:rsid w:val="009B06CB"/>
    <w:rsid w:val="009B080D"/>
    <w:rsid w:val="009B0DFA"/>
    <w:rsid w:val="009B104E"/>
    <w:rsid w:val="009B17EE"/>
    <w:rsid w:val="009B1991"/>
    <w:rsid w:val="009B1A49"/>
    <w:rsid w:val="009B1E22"/>
    <w:rsid w:val="009B2959"/>
    <w:rsid w:val="009B3260"/>
    <w:rsid w:val="009B3877"/>
    <w:rsid w:val="009B3969"/>
    <w:rsid w:val="009B3B2E"/>
    <w:rsid w:val="009B3C7A"/>
    <w:rsid w:val="009B401A"/>
    <w:rsid w:val="009B419A"/>
    <w:rsid w:val="009B42C1"/>
    <w:rsid w:val="009B4350"/>
    <w:rsid w:val="009B442D"/>
    <w:rsid w:val="009B4F27"/>
    <w:rsid w:val="009B50BC"/>
    <w:rsid w:val="009B5BF1"/>
    <w:rsid w:val="009B5D12"/>
    <w:rsid w:val="009B5EE9"/>
    <w:rsid w:val="009B60A5"/>
    <w:rsid w:val="009B6880"/>
    <w:rsid w:val="009B69C3"/>
    <w:rsid w:val="009B6B2E"/>
    <w:rsid w:val="009B6E38"/>
    <w:rsid w:val="009B7589"/>
    <w:rsid w:val="009B7D11"/>
    <w:rsid w:val="009C008D"/>
    <w:rsid w:val="009C0893"/>
    <w:rsid w:val="009C08B0"/>
    <w:rsid w:val="009C09F8"/>
    <w:rsid w:val="009C0E80"/>
    <w:rsid w:val="009C11E3"/>
    <w:rsid w:val="009C13E5"/>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BEF"/>
    <w:rsid w:val="009C6880"/>
    <w:rsid w:val="009C72A4"/>
    <w:rsid w:val="009C7AC7"/>
    <w:rsid w:val="009C7DF4"/>
    <w:rsid w:val="009D03E2"/>
    <w:rsid w:val="009D059E"/>
    <w:rsid w:val="009D07C0"/>
    <w:rsid w:val="009D0E04"/>
    <w:rsid w:val="009D0F96"/>
    <w:rsid w:val="009D1085"/>
    <w:rsid w:val="009D1212"/>
    <w:rsid w:val="009D1551"/>
    <w:rsid w:val="009D16C7"/>
    <w:rsid w:val="009D186F"/>
    <w:rsid w:val="009D1A18"/>
    <w:rsid w:val="009D228B"/>
    <w:rsid w:val="009D2414"/>
    <w:rsid w:val="009D25B2"/>
    <w:rsid w:val="009D2AFB"/>
    <w:rsid w:val="009D3158"/>
    <w:rsid w:val="009D347A"/>
    <w:rsid w:val="009D3E87"/>
    <w:rsid w:val="009D4061"/>
    <w:rsid w:val="009D4918"/>
    <w:rsid w:val="009D4C84"/>
    <w:rsid w:val="009D5519"/>
    <w:rsid w:val="009D570C"/>
    <w:rsid w:val="009D5759"/>
    <w:rsid w:val="009D576F"/>
    <w:rsid w:val="009D5AFB"/>
    <w:rsid w:val="009D5EF8"/>
    <w:rsid w:val="009D61F7"/>
    <w:rsid w:val="009D6395"/>
    <w:rsid w:val="009D66C2"/>
    <w:rsid w:val="009D7162"/>
    <w:rsid w:val="009D71A0"/>
    <w:rsid w:val="009E007A"/>
    <w:rsid w:val="009E0455"/>
    <w:rsid w:val="009E066F"/>
    <w:rsid w:val="009E0B47"/>
    <w:rsid w:val="009E1017"/>
    <w:rsid w:val="009E168E"/>
    <w:rsid w:val="009E1994"/>
    <w:rsid w:val="009E1AE4"/>
    <w:rsid w:val="009E2105"/>
    <w:rsid w:val="009E2322"/>
    <w:rsid w:val="009E2420"/>
    <w:rsid w:val="009E26B5"/>
    <w:rsid w:val="009E3949"/>
    <w:rsid w:val="009E4E29"/>
    <w:rsid w:val="009E4F01"/>
    <w:rsid w:val="009E5403"/>
    <w:rsid w:val="009E5579"/>
    <w:rsid w:val="009E55C1"/>
    <w:rsid w:val="009E584E"/>
    <w:rsid w:val="009E5C6D"/>
    <w:rsid w:val="009E5CA9"/>
    <w:rsid w:val="009E5D0A"/>
    <w:rsid w:val="009E5E23"/>
    <w:rsid w:val="009E5F0A"/>
    <w:rsid w:val="009E6153"/>
    <w:rsid w:val="009E666A"/>
    <w:rsid w:val="009E66CC"/>
    <w:rsid w:val="009E67FD"/>
    <w:rsid w:val="009E687E"/>
    <w:rsid w:val="009E6B02"/>
    <w:rsid w:val="009E71E6"/>
    <w:rsid w:val="009E7ADD"/>
    <w:rsid w:val="009E7B35"/>
    <w:rsid w:val="009E7F1E"/>
    <w:rsid w:val="009F04AC"/>
    <w:rsid w:val="009F0A3F"/>
    <w:rsid w:val="009F0E3E"/>
    <w:rsid w:val="009F1564"/>
    <w:rsid w:val="009F1D9D"/>
    <w:rsid w:val="009F1DB3"/>
    <w:rsid w:val="009F207E"/>
    <w:rsid w:val="009F2177"/>
    <w:rsid w:val="009F2B33"/>
    <w:rsid w:val="009F2EA2"/>
    <w:rsid w:val="009F313D"/>
    <w:rsid w:val="009F3156"/>
    <w:rsid w:val="009F328C"/>
    <w:rsid w:val="009F3915"/>
    <w:rsid w:val="009F3DA7"/>
    <w:rsid w:val="009F4473"/>
    <w:rsid w:val="009F44DC"/>
    <w:rsid w:val="009F4721"/>
    <w:rsid w:val="009F4C1B"/>
    <w:rsid w:val="009F4D68"/>
    <w:rsid w:val="009F4DEB"/>
    <w:rsid w:val="009F50A4"/>
    <w:rsid w:val="009F50E3"/>
    <w:rsid w:val="009F552C"/>
    <w:rsid w:val="009F58BA"/>
    <w:rsid w:val="009F5A9E"/>
    <w:rsid w:val="009F5C25"/>
    <w:rsid w:val="009F5F3A"/>
    <w:rsid w:val="009F678E"/>
    <w:rsid w:val="009F67F6"/>
    <w:rsid w:val="009F69C5"/>
    <w:rsid w:val="009F7C63"/>
    <w:rsid w:val="009F7EEA"/>
    <w:rsid w:val="00A002AD"/>
    <w:rsid w:val="00A0045F"/>
    <w:rsid w:val="00A0049F"/>
    <w:rsid w:val="00A00BA7"/>
    <w:rsid w:val="00A00CFD"/>
    <w:rsid w:val="00A01260"/>
    <w:rsid w:val="00A01324"/>
    <w:rsid w:val="00A01396"/>
    <w:rsid w:val="00A01CF7"/>
    <w:rsid w:val="00A02648"/>
    <w:rsid w:val="00A02B93"/>
    <w:rsid w:val="00A02F80"/>
    <w:rsid w:val="00A03186"/>
    <w:rsid w:val="00A033AC"/>
    <w:rsid w:val="00A03F51"/>
    <w:rsid w:val="00A0405F"/>
    <w:rsid w:val="00A045F3"/>
    <w:rsid w:val="00A047A2"/>
    <w:rsid w:val="00A049AE"/>
    <w:rsid w:val="00A04BB2"/>
    <w:rsid w:val="00A04F2D"/>
    <w:rsid w:val="00A05F56"/>
    <w:rsid w:val="00A06019"/>
    <w:rsid w:val="00A061AC"/>
    <w:rsid w:val="00A061C6"/>
    <w:rsid w:val="00A06681"/>
    <w:rsid w:val="00A068D4"/>
    <w:rsid w:val="00A07917"/>
    <w:rsid w:val="00A07FCE"/>
    <w:rsid w:val="00A10AA0"/>
    <w:rsid w:val="00A10C85"/>
    <w:rsid w:val="00A1128A"/>
    <w:rsid w:val="00A11349"/>
    <w:rsid w:val="00A11500"/>
    <w:rsid w:val="00A11782"/>
    <w:rsid w:val="00A11A4D"/>
    <w:rsid w:val="00A11C4E"/>
    <w:rsid w:val="00A11D92"/>
    <w:rsid w:val="00A11E55"/>
    <w:rsid w:val="00A120CD"/>
    <w:rsid w:val="00A1279C"/>
    <w:rsid w:val="00A13624"/>
    <w:rsid w:val="00A1385B"/>
    <w:rsid w:val="00A13B2A"/>
    <w:rsid w:val="00A13FB1"/>
    <w:rsid w:val="00A1450C"/>
    <w:rsid w:val="00A14C68"/>
    <w:rsid w:val="00A15308"/>
    <w:rsid w:val="00A1596F"/>
    <w:rsid w:val="00A15D8F"/>
    <w:rsid w:val="00A16A8A"/>
    <w:rsid w:val="00A16EE9"/>
    <w:rsid w:val="00A1710A"/>
    <w:rsid w:val="00A17DD1"/>
    <w:rsid w:val="00A17E0D"/>
    <w:rsid w:val="00A20306"/>
    <w:rsid w:val="00A20580"/>
    <w:rsid w:val="00A20643"/>
    <w:rsid w:val="00A20690"/>
    <w:rsid w:val="00A20861"/>
    <w:rsid w:val="00A20929"/>
    <w:rsid w:val="00A20C25"/>
    <w:rsid w:val="00A212EE"/>
    <w:rsid w:val="00A215DA"/>
    <w:rsid w:val="00A217D0"/>
    <w:rsid w:val="00A2182F"/>
    <w:rsid w:val="00A22018"/>
    <w:rsid w:val="00A22244"/>
    <w:rsid w:val="00A2274D"/>
    <w:rsid w:val="00A22D72"/>
    <w:rsid w:val="00A231C5"/>
    <w:rsid w:val="00A23716"/>
    <w:rsid w:val="00A23784"/>
    <w:rsid w:val="00A23A1D"/>
    <w:rsid w:val="00A23C10"/>
    <w:rsid w:val="00A23EDC"/>
    <w:rsid w:val="00A24455"/>
    <w:rsid w:val="00A2470A"/>
    <w:rsid w:val="00A249EB"/>
    <w:rsid w:val="00A24A6C"/>
    <w:rsid w:val="00A2525B"/>
    <w:rsid w:val="00A2618D"/>
    <w:rsid w:val="00A266E7"/>
    <w:rsid w:val="00A2726E"/>
    <w:rsid w:val="00A272C3"/>
    <w:rsid w:val="00A2763B"/>
    <w:rsid w:val="00A27960"/>
    <w:rsid w:val="00A300FB"/>
    <w:rsid w:val="00A301E2"/>
    <w:rsid w:val="00A30720"/>
    <w:rsid w:val="00A30761"/>
    <w:rsid w:val="00A30801"/>
    <w:rsid w:val="00A308E5"/>
    <w:rsid w:val="00A30ABE"/>
    <w:rsid w:val="00A31281"/>
    <w:rsid w:val="00A314BF"/>
    <w:rsid w:val="00A31BFD"/>
    <w:rsid w:val="00A31CAD"/>
    <w:rsid w:val="00A31D6A"/>
    <w:rsid w:val="00A31ED6"/>
    <w:rsid w:val="00A320B4"/>
    <w:rsid w:val="00A32563"/>
    <w:rsid w:val="00A32841"/>
    <w:rsid w:val="00A32A84"/>
    <w:rsid w:val="00A32CA9"/>
    <w:rsid w:val="00A32D8E"/>
    <w:rsid w:val="00A32F46"/>
    <w:rsid w:val="00A3308B"/>
    <w:rsid w:val="00A33107"/>
    <w:rsid w:val="00A33284"/>
    <w:rsid w:val="00A3332D"/>
    <w:rsid w:val="00A334CD"/>
    <w:rsid w:val="00A33724"/>
    <w:rsid w:val="00A353BD"/>
    <w:rsid w:val="00A35A1B"/>
    <w:rsid w:val="00A35A41"/>
    <w:rsid w:val="00A35C50"/>
    <w:rsid w:val="00A360EF"/>
    <w:rsid w:val="00A365FB"/>
    <w:rsid w:val="00A3677A"/>
    <w:rsid w:val="00A367B1"/>
    <w:rsid w:val="00A36827"/>
    <w:rsid w:val="00A36F35"/>
    <w:rsid w:val="00A370BF"/>
    <w:rsid w:val="00A370F3"/>
    <w:rsid w:val="00A371C7"/>
    <w:rsid w:val="00A3738D"/>
    <w:rsid w:val="00A3769A"/>
    <w:rsid w:val="00A37BE6"/>
    <w:rsid w:val="00A37DCB"/>
    <w:rsid w:val="00A40219"/>
    <w:rsid w:val="00A4065B"/>
    <w:rsid w:val="00A41991"/>
    <w:rsid w:val="00A41995"/>
    <w:rsid w:val="00A41A3E"/>
    <w:rsid w:val="00A42138"/>
    <w:rsid w:val="00A4218D"/>
    <w:rsid w:val="00A423D4"/>
    <w:rsid w:val="00A426C2"/>
    <w:rsid w:val="00A42837"/>
    <w:rsid w:val="00A4299E"/>
    <w:rsid w:val="00A43193"/>
    <w:rsid w:val="00A431A4"/>
    <w:rsid w:val="00A434A0"/>
    <w:rsid w:val="00A437DC"/>
    <w:rsid w:val="00A43A87"/>
    <w:rsid w:val="00A44558"/>
    <w:rsid w:val="00A448AD"/>
    <w:rsid w:val="00A459DE"/>
    <w:rsid w:val="00A459DF"/>
    <w:rsid w:val="00A45D6A"/>
    <w:rsid w:val="00A45F21"/>
    <w:rsid w:val="00A4602D"/>
    <w:rsid w:val="00A463C3"/>
    <w:rsid w:val="00A464A8"/>
    <w:rsid w:val="00A4668C"/>
    <w:rsid w:val="00A466CF"/>
    <w:rsid w:val="00A46890"/>
    <w:rsid w:val="00A46E25"/>
    <w:rsid w:val="00A46F00"/>
    <w:rsid w:val="00A4794D"/>
    <w:rsid w:val="00A47A0D"/>
    <w:rsid w:val="00A47C6E"/>
    <w:rsid w:val="00A47D24"/>
    <w:rsid w:val="00A47E8F"/>
    <w:rsid w:val="00A50246"/>
    <w:rsid w:val="00A5039E"/>
    <w:rsid w:val="00A50944"/>
    <w:rsid w:val="00A50C96"/>
    <w:rsid w:val="00A50E0A"/>
    <w:rsid w:val="00A50FDF"/>
    <w:rsid w:val="00A51137"/>
    <w:rsid w:val="00A51D7A"/>
    <w:rsid w:val="00A51EF1"/>
    <w:rsid w:val="00A523EB"/>
    <w:rsid w:val="00A52CFC"/>
    <w:rsid w:val="00A52E01"/>
    <w:rsid w:val="00A53729"/>
    <w:rsid w:val="00A53CCE"/>
    <w:rsid w:val="00A543AD"/>
    <w:rsid w:val="00A543BF"/>
    <w:rsid w:val="00A54795"/>
    <w:rsid w:val="00A549C5"/>
    <w:rsid w:val="00A54CC6"/>
    <w:rsid w:val="00A54D22"/>
    <w:rsid w:val="00A5522E"/>
    <w:rsid w:val="00A56320"/>
    <w:rsid w:val="00A564D0"/>
    <w:rsid w:val="00A569E6"/>
    <w:rsid w:val="00A56F6E"/>
    <w:rsid w:val="00A56F73"/>
    <w:rsid w:val="00A570ED"/>
    <w:rsid w:val="00A5734F"/>
    <w:rsid w:val="00A602F3"/>
    <w:rsid w:val="00A605C9"/>
    <w:rsid w:val="00A60D5D"/>
    <w:rsid w:val="00A611D9"/>
    <w:rsid w:val="00A61368"/>
    <w:rsid w:val="00A61445"/>
    <w:rsid w:val="00A6159C"/>
    <w:rsid w:val="00A61B21"/>
    <w:rsid w:val="00A620C1"/>
    <w:rsid w:val="00A625E4"/>
    <w:rsid w:val="00A626B6"/>
    <w:rsid w:val="00A63488"/>
    <w:rsid w:val="00A63676"/>
    <w:rsid w:val="00A63B93"/>
    <w:rsid w:val="00A64085"/>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0C5"/>
    <w:rsid w:val="00A67274"/>
    <w:rsid w:val="00A67AA1"/>
    <w:rsid w:val="00A704D5"/>
    <w:rsid w:val="00A70F22"/>
    <w:rsid w:val="00A713DB"/>
    <w:rsid w:val="00A7140B"/>
    <w:rsid w:val="00A71833"/>
    <w:rsid w:val="00A7190B"/>
    <w:rsid w:val="00A71E95"/>
    <w:rsid w:val="00A720D8"/>
    <w:rsid w:val="00A7218E"/>
    <w:rsid w:val="00A721F3"/>
    <w:rsid w:val="00A725E3"/>
    <w:rsid w:val="00A72729"/>
    <w:rsid w:val="00A7282E"/>
    <w:rsid w:val="00A72927"/>
    <w:rsid w:val="00A72A57"/>
    <w:rsid w:val="00A72BB8"/>
    <w:rsid w:val="00A72D4B"/>
    <w:rsid w:val="00A73C7D"/>
    <w:rsid w:val="00A73E47"/>
    <w:rsid w:val="00A7468C"/>
    <w:rsid w:val="00A74E89"/>
    <w:rsid w:val="00A7509E"/>
    <w:rsid w:val="00A75C9A"/>
    <w:rsid w:val="00A7609E"/>
    <w:rsid w:val="00A76209"/>
    <w:rsid w:val="00A765E0"/>
    <w:rsid w:val="00A76BAF"/>
    <w:rsid w:val="00A77316"/>
    <w:rsid w:val="00A7737B"/>
    <w:rsid w:val="00A800AE"/>
    <w:rsid w:val="00A80140"/>
    <w:rsid w:val="00A806E1"/>
    <w:rsid w:val="00A80D67"/>
    <w:rsid w:val="00A811DF"/>
    <w:rsid w:val="00A812D8"/>
    <w:rsid w:val="00A8141A"/>
    <w:rsid w:val="00A81B47"/>
    <w:rsid w:val="00A81E7B"/>
    <w:rsid w:val="00A82457"/>
    <w:rsid w:val="00A8335F"/>
    <w:rsid w:val="00A8365B"/>
    <w:rsid w:val="00A8371A"/>
    <w:rsid w:val="00A83B84"/>
    <w:rsid w:val="00A83B98"/>
    <w:rsid w:val="00A83C03"/>
    <w:rsid w:val="00A83EAF"/>
    <w:rsid w:val="00A84AD3"/>
    <w:rsid w:val="00A8541E"/>
    <w:rsid w:val="00A85764"/>
    <w:rsid w:val="00A85AA8"/>
    <w:rsid w:val="00A85ABC"/>
    <w:rsid w:val="00A86062"/>
    <w:rsid w:val="00A86132"/>
    <w:rsid w:val="00A86281"/>
    <w:rsid w:val="00A86455"/>
    <w:rsid w:val="00A86789"/>
    <w:rsid w:val="00A86940"/>
    <w:rsid w:val="00A86AEF"/>
    <w:rsid w:val="00A87936"/>
    <w:rsid w:val="00A879DD"/>
    <w:rsid w:val="00A87D2B"/>
    <w:rsid w:val="00A87FB9"/>
    <w:rsid w:val="00A90CE8"/>
    <w:rsid w:val="00A91137"/>
    <w:rsid w:val="00A911D1"/>
    <w:rsid w:val="00A912E6"/>
    <w:rsid w:val="00A913C7"/>
    <w:rsid w:val="00A913E2"/>
    <w:rsid w:val="00A917C9"/>
    <w:rsid w:val="00A91CB4"/>
    <w:rsid w:val="00A91FE8"/>
    <w:rsid w:val="00A920A8"/>
    <w:rsid w:val="00A920CC"/>
    <w:rsid w:val="00A92F1C"/>
    <w:rsid w:val="00A931A8"/>
    <w:rsid w:val="00A937CE"/>
    <w:rsid w:val="00A938B0"/>
    <w:rsid w:val="00A944D5"/>
    <w:rsid w:val="00A948EA"/>
    <w:rsid w:val="00A94D36"/>
    <w:rsid w:val="00A94E07"/>
    <w:rsid w:val="00A94E2C"/>
    <w:rsid w:val="00A94F81"/>
    <w:rsid w:val="00A9503C"/>
    <w:rsid w:val="00A953E6"/>
    <w:rsid w:val="00A959CC"/>
    <w:rsid w:val="00A95EE2"/>
    <w:rsid w:val="00A961C5"/>
    <w:rsid w:val="00A969F6"/>
    <w:rsid w:val="00A96B7E"/>
    <w:rsid w:val="00A96D58"/>
    <w:rsid w:val="00A96D8D"/>
    <w:rsid w:val="00A972B8"/>
    <w:rsid w:val="00A9735B"/>
    <w:rsid w:val="00A97381"/>
    <w:rsid w:val="00A9791C"/>
    <w:rsid w:val="00AA083F"/>
    <w:rsid w:val="00AA0F74"/>
    <w:rsid w:val="00AA120E"/>
    <w:rsid w:val="00AA1279"/>
    <w:rsid w:val="00AA17F2"/>
    <w:rsid w:val="00AA1C19"/>
    <w:rsid w:val="00AA1ECB"/>
    <w:rsid w:val="00AA1F6C"/>
    <w:rsid w:val="00AA216A"/>
    <w:rsid w:val="00AA23E0"/>
    <w:rsid w:val="00AA2B8B"/>
    <w:rsid w:val="00AA39DB"/>
    <w:rsid w:val="00AA4332"/>
    <w:rsid w:val="00AA45B1"/>
    <w:rsid w:val="00AA48CC"/>
    <w:rsid w:val="00AA4C63"/>
    <w:rsid w:val="00AA4E79"/>
    <w:rsid w:val="00AA4F62"/>
    <w:rsid w:val="00AA52BF"/>
    <w:rsid w:val="00AA55B0"/>
    <w:rsid w:val="00AA58CE"/>
    <w:rsid w:val="00AA5B84"/>
    <w:rsid w:val="00AA5D1D"/>
    <w:rsid w:val="00AA60DC"/>
    <w:rsid w:val="00AA6787"/>
    <w:rsid w:val="00AA696B"/>
    <w:rsid w:val="00AA7008"/>
    <w:rsid w:val="00AA783A"/>
    <w:rsid w:val="00AA7C35"/>
    <w:rsid w:val="00AA7D4C"/>
    <w:rsid w:val="00AB014C"/>
    <w:rsid w:val="00AB01ED"/>
    <w:rsid w:val="00AB0204"/>
    <w:rsid w:val="00AB023F"/>
    <w:rsid w:val="00AB02AE"/>
    <w:rsid w:val="00AB06C7"/>
    <w:rsid w:val="00AB06FE"/>
    <w:rsid w:val="00AB08C9"/>
    <w:rsid w:val="00AB0AB3"/>
    <w:rsid w:val="00AB0B05"/>
    <w:rsid w:val="00AB0B65"/>
    <w:rsid w:val="00AB0E83"/>
    <w:rsid w:val="00AB0F38"/>
    <w:rsid w:val="00AB12EA"/>
    <w:rsid w:val="00AB1404"/>
    <w:rsid w:val="00AB1B01"/>
    <w:rsid w:val="00AB1E65"/>
    <w:rsid w:val="00AB23CC"/>
    <w:rsid w:val="00AB26D9"/>
    <w:rsid w:val="00AB27C7"/>
    <w:rsid w:val="00AB300D"/>
    <w:rsid w:val="00AB31B3"/>
    <w:rsid w:val="00AB356C"/>
    <w:rsid w:val="00AB398A"/>
    <w:rsid w:val="00AB3ED9"/>
    <w:rsid w:val="00AB473C"/>
    <w:rsid w:val="00AB4C35"/>
    <w:rsid w:val="00AB504B"/>
    <w:rsid w:val="00AB560F"/>
    <w:rsid w:val="00AB5765"/>
    <w:rsid w:val="00AB5893"/>
    <w:rsid w:val="00AB6117"/>
    <w:rsid w:val="00AB6376"/>
    <w:rsid w:val="00AB6671"/>
    <w:rsid w:val="00AB68CA"/>
    <w:rsid w:val="00AB6937"/>
    <w:rsid w:val="00AB69BB"/>
    <w:rsid w:val="00AB6E2F"/>
    <w:rsid w:val="00AB7023"/>
    <w:rsid w:val="00AB772F"/>
    <w:rsid w:val="00AB7AA6"/>
    <w:rsid w:val="00AB7C9F"/>
    <w:rsid w:val="00AC0897"/>
    <w:rsid w:val="00AC0C78"/>
    <w:rsid w:val="00AC0FFA"/>
    <w:rsid w:val="00AC107C"/>
    <w:rsid w:val="00AC1EBC"/>
    <w:rsid w:val="00AC21C0"/>
    <w:rsid w:val="00AC23A0"/>
    <w:rsid w:val="00AC24F8"/>
    <w:rsid w:val="00AC26CD"/>
    <w:rsid w:val="00AC2E9D"/>
    <w:rsid w:val="00AC31B0"/>
    <w:rsid w:val="00AC3496"/>
    <w:rsid w:val="00AC34E2"/>
    <w:rsid w:val="00AC360D"/>
    <w:rsid w:val="00AC364E"/>
    <w:rsid w:val="00AC392C"/>
    <w:rsid w:val="00AC3961"/>
    <w:rsid w:val="00AC3F37"/>
    <w:rsid w:val="00AC42FB"/>
    <w:rsid w:val="00AC4817"/>
    <w:rsid w:val="00AC4908"/>
    <w:rsid w:val="00AC4B4D"/>
    <w:rsid w:val="00AC4D0A"/>
    <w:rsid w:val="00AC4E92"/>
    <w:rsid w:val="00AC4F28"/>
    <w:rsid w:val="00AC53DB"/>
    <w:rsid w:val="00AC5473"/>
    <w:rsid w:val="00AC5641"/>
    <w:rsid w:val="00AC5E98"/>
    <w:rsid w:val="00AC67E2"/>
    <w:rsid w:val="00AC6C5F"/>
    <w:rsid w:val="00AC73D4"/>
    <w:rsid w:val="00AC794E"/>
    <w:rsid w:val="00AC7CD1"/>
    <w:rsid w:val="00AD0080"/>
    <w:rsid w:val="00AD0D16"/>
    <w:rsid w:val="00AD10D7"/>
    <w:rsid w:val="00AD115B"/>
    <w:rsid w:val="00AD1196"/>
    <w:rsid w:val="00AD12DA"/>
    <w:rsid w:val="00AD14C9"/>
    <w:rsid w:val="00AD1F6D"/>
    <w:rsid w:val="00AD2466"/>
    <w:rsid w:val="00AD2C78"/>
    <w:rsid w:val="00AD3BDF"/>
    <w:rsid w:val="00AD3D6C"/>
    <w:rsid w:val="00AD40C0"/>
    <w:rsid w:val="00AD49E0"/>
    <w:rsid w:val="00AD57B9"/>
    <w:rsid w:val="00AD57CA"/>
    <w:rsid w:val="00AD5C0C"/>
    <w:rsid w:val="00AD69BC"/>
    <w:rsid w:val="00AD6DD2"/>
    <w:rsid w:val="00AD7923"/>
    <w:rsid w:val="00AD7D83"/>
    <w:rsid w:val="00AE028C"/>
    <w:rsid w:val="00AE0E24"/>
    <w:rsid w:val="00AE1151"/>
    <w:rsid w:val="00AE1E1E"/>
    <w:rsid w:val="00AE2039"/>
    <w:rsid w:val="00AE2340"/>
    <w:rsid w:val="00AE2430"/>
    <w:rsid w:val="00AE286C"/>
    <w:rsid w:val="00AE2C1E"/>
    <w:rsid w:val="00AE30BE"/>
    <w:rsid w:val="00AE3461"/>
    <w:rsid w:val="00AE34EF"/>
    <w:rsid w:val="00AE3626"/>
    <w:rsid w:val="00AE3635"/>
    <w:rsid w:val="00AE3ECB"/>
    <w:rsid w:val="00AE45A4"/>
    <w:rsid w:val="00AE45C4"/>
    <w:rsid w:val="00AE46B7"/>
    <w:rsid w:val="00AE492D"/>
    <w:rsid w:val="00AE4A45"/>
    <w:rsid w:val="00AE4AED"/>
    <w:rsid w:val="00AE5167"/>
    <w:rsid w:val="00AE5557"/>
    <w:rsid w:val="00AE5696"/>
    <w:rsid w:val="00AE583E"/>
    <w:rsid w:val="00AE587D"/>
    <w:rsid w:val="00AE5B78"/>
    <w:rsid w:val="00AE5EF2"/>
    <w:rsid w:val="00AE6467"/>
    <w:rsid w:val="00AE6B56"/>
    <w:rsid w:val="00AE6E4E"/>
    <w:rsid w:val="00AE7490"/>
    <w:rsid w:val="00AE769A"/>
    <w:rsid w:val="00AE7934"/>
    <w:rsid w:val="00AE7D8A"/>
    <w:rsid w:val="00AF027D"/>
    <w:rsid w:val="00AF0602"/>
    <w:rsid w:val="00AF07D6"/>
    <w:rsid w:val="00AF0C0C"/>
    <w:rsid w:val="00AF0F4D"/>
    <w:rsid w:val="00AF0F52"/>
    <w:rsid w:val="00AF1125"/>
    <w:rsid w:val="00AF11A0"/>
    <w:rsid w:val="00AF2391"/>
    <w:rsid w:val="00AF245F"/>
    <w:rsid w:val="00AF2A43"/>
    <w:rsid w:val="00AF3135"/>
    <w:rsid w:val="00AF3143"/>
    <w:rsid w:val="00AF373B"/>
    <w:rsid w:val="00AF3742"/>
    <w:rsid w:val="00AF3E02"/>
    <w:rsid w:val="00AF3FC8"/>
    <w:rsid w:val="00AF408F"/>
    <w:rsid w:val="00AF445E"/>
    <w:rsid w:val="00AF457C"/>
    <w:rsid w:val="00AF4608"/>
    <w:rsid w:val="00AF4872"/>
    <w:rsid w:val="00AF49FA"/>
    <w:rsid w:val="00AF4FDB"/>
    <w:rsid w:val="00AF5424"/>
    <w:rsid w:val="00AF57D9"/>
    <w:rsid w:val="00AF5B73"/>
    <w:rsid w:val="00AF6075"/>
    <w:rsid w:val="00AF61CB"/>
    <w:rsid w:val="00AF707B"/>
    <w:rsid w:val="00AF7151"/>
    <w:rsid w:val="00AF71FF"/>
    <w:rsid w:val="00AF72F7"/>
    <w:rsid w:val="00AF7922"/>
    <w:rsid w:val="00AF7F5B"/>
    <w:rsid w:val="00B009AD"/>
    <w:rsid w:val="00B00C55"/>
    <w:rsid w:val="00B00FC8"/>
    <w:rsid w:val="00B010D0"/>
    <w:rsid w:val="00B01697"/>
    <w:rsid w:val="00B0173A"/>
    <w:rsid w:val="00B0173E"/>
    <w:rsid w:val="00B01CE5"/>
    <w:rsid w:val="00B01E32"/>
    <w:rsid w:val="00B021D6"/>
    <w:rsid w:val="00B0233B"/>
    <w:rsid w:val="00B0254A"/>
    <w:rsid w:val="00B02603"/>
    <w:rsid w:val="00B03278"/>
    <w:rsid w:val="00B032C9"/>
    <w:rsid w:val="00B038BC"/>
    <w:rsid w:val="00B03998"/>
    <w:rsid w:val="00B039B0"/>
    <w:rsid w:val="00B03DD8"/>
    <w:rsid w:val="00B04627"/>
    <w:rsid w:val="00B046CE"/>
    <w:rsid w:val="00B04CB5"/>
    <w:rsid w:val="00B04DD9"/>
    <w:rsid w:val="00B04E5C"/>
    <w:rsid w:val="00B050B8"/>
    <w:rsid w:val="00B050C1"/>
    <w:rsid w:val="00B0535D"/>
    <w:rsid w:val="00B0576B"/>
    <w:rsid w:val="00B05E4F"/>
    <w:rsid w:val="00B068AE"/>
    <w:rsid w:val="00B06F10"/>
    <w:rsid w:val="00B07393"/>
    <w:rsid w:val="00B076A1"/>
    <w:rsid w:val="00B07C54"/>
    <w:rsid w:val="00B07D09"/>
    <w:rsid w:val="00B10AD1"/>
    <w:rsid w:val="00B10CAC"/>
    <w:rsid w:val="00B10D2A"/>
    <w:rsid w:val="00B10F50"/>
    <w:rsid w:val="00B10F9E"/>
    <w:rsid w:val="00B111A2"/>
    <w:rsid w:val="00B11493"/>
    <w:rsid w:val="00B11993"/>
    <w:rsid w:val="00B11DF6"/>
    <w:rsid w:val="00B121DA"/>
    <w:rsid w:val="00B1227A"/>
    <w:rsid w:val="00B13080"/>
    <w:rsid w:val="00B132C8"/>
    <w:rsid w:val="00B13398"/>
    <w:rsid w:val="00B134A9"/>
    <w:rsid w:val="00B137D0"/>
    <w:rsid w:val="00B13857"/>
    <w:rsid w:val="00B13D4C"/>
    <w:rsid w:val="00B143F5"/>
    <w:rsid w:val="00B14704"/>
    <w:rsid w:val="00B154D7"/>
    <w:rsid w:val="00B156CC"/>
    <w:rsid w:val="00B15737"/>
    <w:rsid w:val="00B15791"/>
    <w:rsid w:val="00B164E6"/>
    <w:rsid w:val="00B16506"/>
    <w:rsid w:val="00B16B7B"/>
    <w:rsid w:val="00B20041"/>
    <w:rsid w:val="00B204D6"/>
    <w:rsid w:val="00B205F8"/>
    <w:rsid w:val="00B20C70"/>
    <w:rsid w:val="00B20EEE"/>
    <w:rsid w:val="00B21330"/>
    <w:rsid w:val="00B21ABD"/>
    <w:rsid w:val="00B21B89"/>
    <w:rsid w:val="00B21DD2"/>
    <w:rsid w:val="00B21EF8"/>
    <w:rsid w:val="00B21F57"/>
    <w:rsid w:val="00B21F9F"/>
    <w:rsid w:val="00B221A0"/>
    <w:rsid w:val="00B228B2"/>
    <w:rsid w:val="00B22924"/>
    <w:rsid w:val="00B22D31"/>
    <w:rsid w:val="00B22DD5"/>
    <w:rsid w:val="00B22F51"/>
    <w:rsid w:val="00B23CE3"/>
    <w:rsid w:val="00B2439E"/>
    <w:rsid w:val="00B2442B"/>
    <w:rsid w:val="00B2454F"/>
    <w:rsid w:val="00B251AE"/>
    <w:rsid w:val="00B25330"/>
    <w:rsid w:val="00B254E8"/>
    <w:rsid w:val="00B2586C"/>
    <w:rsid w:val="00B2604A"/>
    <w:rsid w:val="00B26131"/>
    <w:rsid w:val="00B266D5"/>
    <w:rsid w:val="00B26D99"/>
    <w:rsid w:val="00B26E11"/>
    <w:rsid w:val="00B272C7"/>
    <w:rsid w:val="00B275D0"/>
    <w:rsid w:val="00B275DD"/>
    <w:rsid w:val="00B27BD2"/>
    <w:rsid w:val="00B3018A"/>
    <w:rsid w:val="00B308C0"/>
    <w:rsid w:val="00B3091E"/>
    <w:rsid w:val="00B30A1B"/>
    <w:rsid w:val="00B310E3"/>
    <w:rsid w:val="00B31391"/>
    <w:rsid w:val="00B3164A"/>
    <w:rsid w:val="00B3169A"/>
    <w:rsid w:val="00B31942"/>
    <w:rsid w:val="00B326A4"/>
    <w:rsid w:val="00B32733"/>
    <w:rsid w:val="00B32AC4"/>
    <w:rsid w:val="00B32B94"/>
    <w:rsid w:val="00B32BDD"/>
    <w:rsid w:val="00B32F78"/>
    <w:rsid w:val="00B333EC"/>
    <w:rsid w:val="00B333FF"/>
    <w:rsid w:val="00B33BAD"/>
    <w:rsid w:val="00B34271"/>
    <w:rsid w:val="00B343BB"/>
    <w:rsid w:val="00B34697"/>
    <w:rsid w:val="00B34744"/>
    <w:rsid w:val="00B34A26"/>
    <w:rsid w:val="00B34CA4"/>
    <w:rsid w:val="00B35246"/>
    <w:rsid w:val="00B35AE4"/>
    <w:rsid w:val="00B361F8"/>
    <w:rsid w:val="00B362D8"/>
    <w:rsid w:val="00B362DD"/>
    <w:rsid w:val="00B365A3"/>
    <w:rsid w:val="00B36A7E"/>
    <w:rsid w:val="00B36FFE"/>
    <w:rsid w:val="00B37199"/>
    <w:rsid w:val="00B3757F"/>
    <w:rsid w:val="00B37762"/>
    <w:rsid w:val="00B379AE"/>
    <w:rsid w:val="00B4067C"/>
    <w:rsid w:val="00B40C03"/>
    <w:rsid w:val="00B41043"/>
    <w:rsid w:val="00B411DB"/>
    <w:rsid w:val="00B4222C"/>
    <w:rsid w:val="00B426D2"/>
    <w:rsid w:val="00B427FC"/>
    <w:rsid w:val="00B431FF"/>
    <w:rsid w:val="00B43223"/>
    <w:rsid w:val="00B433DE"/>
    <w:rsid w:val="00B43DBC"/>
    <w:rsid w:val="00B43F62"/>
    <w:rsid w:val="00B445EE"/>
    <w:rsid w:val="00B445FE"/>
    <w:rsid w:val="00B448C8"/>
    <w:rsid w:val="00B449CD"/>
    <w:rsid w:val="00B449FB"/>
    <w:rsid w:val="00B45238"/>
    <w:rsid w:val="00B45B6B"/>
    <w:rsid w:val="00B45F99"/>
    <w:rsid w:val="00B45FB1"/>
    <w:rsid w:val="00B462DC"/>
    <w:rsid w:val="00B4636E"/>
    <w:rsid w:val="00B46C42"/>
    <w:rsid w:val="00B46E3E"/>
    <w:rsid w:val="00B4735A"/>
    <w:rsid w:val="00B476AE"/>
    <w:rsid w:val="00B47B48"/>
    <w:rsid w:val="00B47E10"/>
    <w:rsid w:val="00B5001A"/>
    <w:rsid w:val="00B5038E"/>
    <w:rsid w:val="00B5174F"/>
    <w:rsid w:val="00B51E07"/>
    <w:rsid w:val="00B51E49"/>
    <w:rsid w:val="00B52029"/>
    <w:rsid w:val="00B522D6"/>
    <w:rsid w:val="00B5266D"/>
    <w:rsid w:val="00B526EA"/>
    <w:rsid w:val="00B528C3"/>
    <w:rsid w:val="00B52E48"/>
    <w:rsid w:val="00B53109"/>
    <w:rsid w:val="00B53183"/>
    <w:rsid w:val="00B53359"/>
    <w:rsid w:val="00B533D2"/>
    <w:rsid w:val="00B533D7"/>
    <w:rsid w:val="00B53793"/>
    <w:rsid w:val="00B53836"/>
    <w:rsid w:val="00B53CA7"/>
    <w:rsid w:val="00B53E82"/>
    <w:rsid w:val="00B54096"/>
    <w:rsid w:val="00B54633"/>
    <w:rsid w:val="00B548DF"/>
    <w:rsid w:val="00B553B4"/>
    <w:rsid w:val="00B554AD"/>
    <w:rsid w:val="00B55982"/>
    <w:rsid w:val="00B56671"/>
    <w:rsid w:val="00B56B03"/>
    <w:rsid w:val="00B56C37"/>
    <w:rsid w:val="00B56D5B"/>
    <w:rsid w:val="00B56DED"/>
    <w:rsid w:val="00B56F47"/>
    <w:rsid w:val="00B57A09"/>
    <w:rsid w:val="00B57AFA"/>
    <w:rsid w:val="00B57D3C"/>
    <w:rsid w:val="00B57EDA"/>
    <w:rsid w:val="00B601CC"/>
    <w:rsid w:val="00B60607"/>
    <w:rsid w:val="00B6072F"/>
    <w:rsid w:val="00B608F9"/>
    <w:rsid w:val="00B60B38"/>
    <w:rsid w:val="00B6117A"/>
    <w:rsid w:val="00B61205"/>
    <w:rsid w:val="00B614C1"/>
    <w:rsid w:val="00B614CA"/>
    <w:rsid w:val="00B61AF1"/>
    <w:rsid w:val="00B6221D"/>
    <w:rsid w:val="00B626D6"/>
    <w:rsid w:val="00B626EC"/>
    <w:rsid w:val="00B6274B"/>
    <w:rsid w:val="00B62D98"/>
    <w:rsid w:val="00B62EB4"/>
    <w:rsid w:val="00B640FB"/>
    <w:rsid w:val="00B64409"/>
    <w:rsid w:val="00B645BC"/>
    <w:rsid w:val="00B64C0C"/>
    <w:rsid w:val="00B64CDE"/>
    <w:rsid w:val="00B64FA7"/>
    <w:rsid w:val="00B6516A"/>
    <w:rsid w:val="00B651D4"/>
    <w:rsid w:val="00B651D8"/>
    <w:rsid w:val="00B6539B"/>
    <w:rsid w:val="00B65569"/>
    <w:rsid w:val="00B655E7"/>
    <w:rsid w:val="00B65729"/>
    <w:rsid w:val="00B659D0"/>
    <w:rsid w:val="00B65B93"/>
    <w:rsid w:val="00B65F7E"/>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119"/>
    <w:rsid w:val="00B70E2E"/>
    <w:rsid w:val="00B71247"/>
    <w:rsid w:val="00B714F0"/>
    <w:rsid w:val="00B71976"/>
    <w:rsid w:val="00B71BBD"/>
    <w:rsid w:val="00B724CF"/>
    <w:rsid w:val="00B729EB"/>
    <w:rsid w:val="00B72CB6"/>
    <w:rsid w:val="00B730F4"/>
    <w:rsid w:val="00B73309"/>
    <w:rsid w:val="00B74863"/>
    <w:rsid w:val="00B74B8B"/>
    <w:rsid w:val="00B74F16"/>
    <w:rsid w:val="00B74FCA"/>
    <w:rsid w:val="00B757D9"/>
    <w:rsid w:val="00B75A54"/>
    <w:rsid w:val="00B75CE5"/>
    <w:rsid w:val="00B75ED9"/>
    <w:rsid w:val="00B760B8"/>
    <w:rsid w:val="00B765C9"/>
    <w:rsid w:val="00B77027"/>
    <w:rsid w:val="00B771A0"/>
    <w:rsid w:val="00B775AE"/>
    <w:rsid w:val="00B7769E"/>
    <w:rsid w:val="00B7781F"/>
    <w:rsid w:val="00B77B3C"/>
    <w:rsid w:val="00B77E39"/>
    <w:rsid w:val="00B808B1"/>
    <w:rsid w:val="00B80D9C"/>
    <w:rsid w:val="00B81245"/>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38C"/>
    <w:rsid w:val="00B856C3"/>
    <w:rsid w:val="00B85B29"/>
    <w:rsid w:val="00B85CB9"/>
    <w:rsid w:val="00B85D2C"/>
    <w:rsid w:val="00B85EF6"/>
    <w:rsid w:val="00B86619"/>
    <w:rsid w:val="00B87416"/>
    <w:rsid w:val="00B87C79"/>
    <w:rsid w:val="00B87D3D"/>
    <w:rsid w:val="00B90691"/>
    <w:rsid w:val="00B90991"/>
    <w:rsid w:val="00B909F8"/>
    <w:rsid w:val="00B90B55"/>
    <w:rsid w:val="00B91094"/>
    <w:rsid w:val="00B91104"/>
    <w:rsid w:val="00B91557"/>
    <w:rsid w:val="00B9155D"/>
    <w:rsid w:val="00B916F5"/>
    <w:rsid w:val="00B9191F"/>
    <w:rsid w:val="00B91B46"/>
    <w:rsid w:val="00B935CB"/>
    <w:rsid w:val="00B94317"/>
    <w:rsid w:val="00B9438C"/>
    <w:rsid w:val="00B947C6"/>
    <w:rsid w:val="00B95344"/>
    <w:rsid w:val="00B957F5"/>
    <w:rsid w:val="00B95DB1"/>
    <w:rsid w:val="00B95E5B"/>
    <w:rsid w:val="00B9640D"/>
    <w:rsid w:val="00B96D7E"/>
    <w:rsid w:val="00B975D7"/>
    <w:rsid w:val="00B978AB"/>
    <w:rsid w:val="00B97CCF"/>
    <w:rsid w:val="00B97DBC"/>
    <w:rsid w:val="00BA0081"/>
    <w:rsid w:val="00BA0BE4"/>
    <w:rsid w:val="00BA1443"/>
    <w:rsid w:val="00BA1D35"/>
    <w:rsid w:val="00BA25ED"/>
    <w:rsid w:val="00BA2DDD"/>
    <w:rsid w:val="00BA3154"/>
    <w:rsid w:val="00BA36E2"/>
    <w:rsid w:val="00BA428D"/>
    <w:rsid w:val="00BA44FB"/>
    <w:rsid w:val="00BA46FC"/>
    <w:rsid w:val="00BA4722"/>
    <w:rsid w:val="00BA4723"/>
    <w:rsid w:val="00BA5654"/>
    <w:rsid w:val="00BA6024"/>
    <w:rsid w:val="00BA612A"/>
    <w:rsid w:val="00BA63ED"/>
    <w:rsid w:val="00BA663C"/>
    <w:rsid w:val="00BA66D0"/>
    <w:rsid w:val="00BA6C74"/>
    <w:rsid w:val="00BA6CA5"/>
    <w:rsid w:val="00BA70AA"/>
    <w:rsid w:val="00BA71A2"/>
    <w:rsid w:val="00BA7696"/>
    <w:rsid w:val="00BB03A4"/>
    <w:rsid w:val="00BB0445"/>
    <w:rsid w:val="00BB051F"/>
    <w:rsid w:val="00BB057B"/>
    <w:rsid w:val="00BB07B2"/>
    <w:rsid w:val="00BB0ABE"/>
    <w:rsid w:val="00BB122A"/>
    <w:rsid w:val="00BB136B"/>
    <w:rsid w:val="00BB1396"/>
    <w:rsid w:val="00BB1B68"/>
    <w:rsid w:val="00BB1F07"/>
    <w:rsid w:val="00BB2689"/>
    <w:rsid w:val="00BB2786"/>
    <w:rsid w:val="00BB285F"/>
    <w:rsid w:val="00BB2ABA"/>
    <w:rsid w:val="00BB3925"/>
    <w:rsid w:val="00BB3957"/>
    <w:rsid w:val="00BB39B3"/>
    <w:rsid w:val="00BB40DC"/>
    <w:rsid w:val="00BB55D0"/>
    <w:rsid w:val="00BB58C1"/>
    <w:rsid w:val="00BB64B8"/>
    <w:rsid w:val="00BB6582"/>
    <w:rsid w:val="00BB66D8"/>
    <w:rsid w:val="00BB6B0A"/>
    <w:rsid w:val="00BB6B60"/>
    <w:rsid w:val="00BB6BE0"/>
    <w:rsid w:val="00BB6DB4"/>
    <w:rsid w:val="00BB7099"/>
    <w:rsid w:val="00BB716F"/>
    <w:rsid w:val="00BB7340"/>
    <w:rsid w:val="00BB7D51"/>
    <w:rsid w:val="00BB7EDD"/>
    <w:rsid w:val="00BC00A6"/>
    <w:rsid w:val="00BC02EC"/>
    <w:rsid w:val="00BC0613"/>
    <w:rsid w:val="00BC07B2"/>
    <w:rsid w:val="00BC07F9"/>
    <w:rsid w:val="00BC0D0A"/>
    <w:rsid w:val="00BC0D1D"/>
    <w:rsid w:val="00BC0E40"/>
    <w:rsid w:val="00BC16BE"/>
    <w:rsid w:val="00BC188C"/>
    <w:rsid w:val="00BC1F70"/>
    <w:rsid w:val="00BC233C"/>
    <w:rsid w:val="00BC26FF"/>
    <w:rsid w:val="00BC28BD"/>
    <w:rsid w:val="00BC3360"/>
    <w:rsid w:val="00BC3516"/>
    <w:rsid w:val="00BC39C5"/>
    <w:rsid w:val="00BC3C92"/>
    <w:rsid w:val="00BC4805"/>
    <w:rsid w:val="00BC4919"/>
    <w:rsid w:val="00BC4C6A"/>
    <w:rsid w:val="00BC4F25"/>
    <w:rsid w:val="00BC514E"/>
    <w:rsid w:val="00BC55B5"/>
    <w:rsid w:val="00BC55E9"/>
    <w:rsid w:val="00BC560A"/>
    <w:rsid w:val="00BC5627"/>
    <w:rsid w:val="00BC56BC"/>
    <w:rsid w:val="00BC6057"/>
    <w:rsid w:val="00BC6061"/>
    <w:rsid w:val="00BC62E5"/>
    <w:rsid w:val="00BC6439"/>
    <w:rsid w:val="00BC64B8"/>
    <w:rsid w:val="00BC6547"/>
    <w:rsid w:val="00BC6C60"/>
    <w:rsid w:val="00BC6EF6"/>
    <w:rsid w:val="00BC7567"/>
    <w:rsid w:val="00BD0BBD"/>
    <w:rsid w:val="00BD1756"/>
    <w:rsid w:val="00BD18D2"/>
    <w:rsid w:val="00BD2000"/>
    <w:rsid w:val="00BD20EC"/>
    <w:rsid w:val="00BD30F9"/>
    <w:rsid w:val="00BD3993"/>
    <w:rsid w:val="00BD3A06"/>
    <w:rsid w:val="00BD3F24"/>
    <w:rsid w:val="00BD425A"/>
    <w:rsid w:val="00BD4364"/>
    <w:rsid w:val="00BD4BBA"/>
    <w:rsid w:val="00BD4C1A"/>
    <w:rsid w:val="00BD4F52"/>
    <w:rsid w:val="00BD5A89"/>
    <w:rsid w:val="00BD6623"/>
    <w:rsid w:val="00BD68EF"/>
    <w:rsid w:val="00BD6A92"/>
    <w:rsid w:val="00BD6BCF"/>
    <w:rsid w:val="00BD6D0E"/>
    <w:rsid w:val="00BD73FB"/>
    <w:rsid w:val="00BD7653"/>
    <w:rsid w:val="00BE0052"/>
    <w:rsid w:val="00BE05CE"/>
    <w:rsid w:val="00BE084D"/>
    <w:rsid w:val="00BE0B86"/>
    <w:rsid w:val="00BE10E4"/>
    <w:rsid w:val="00BE11BA"/>
    <w:rsid w:val="00BE1314"/>
    <w:rsid w:val="00BE144D"/>
    <w:rsid w:val="00BE1897"/>
    <w:rsid w:val="00BE18EC"/>
    <w:rsid w:val="00BE1965"/>
    <w:rsid w:val="00BE1A0E"/>
    <w:rsid w:val="00BE1DD2"/>
    <w:rsid w:val="00BE237F"/>
    <w:rsid w:val="00BE251C"/>
    <w:rsid w:val="00BE28E2"/>
    <w:rsid w:val="00BE28F6"/>
    <w:rsid w:val="00BE2C57"/>
    <w:rsid w:val="00BE2F58"/>
    <w:rsid w:val="00BE3264"/>
    <w:rsid w:val="00BE339A"/>
    <w:rsid w:val="00BE34F8"/>
    <w:rsid w:val="00BE3764"/>
    <w:rsid w:val="00BE3787"/>
    <w:rsid w:val="00BE387D"/>
    <w:rsid w:val="00BE3918"/>
    <w:rsid w:val="00BE3ABA"/>
    <w:rsid w:val="00BE3BC6"/>
    <w:rsid w:val="00BE3C1A"/>
    <w:rsid w:val="00BE3C28"/>
    <w:rsid w:val="00BE4595"/>
    <w:rsid w:val="00BE46A1"/>
    <w:rsid w:val="00BE4A60"/>
    <w:rsid w:val="00BE4D44"/>
    <w:rsid w:val="00BE5124"/>
    <w:rsid w:val="00BE53C1"/>
    <w:rsid w:val="00BE5771"/>
    <w:rsid w:val="00BE5CBC"/>
    <w:rsid w:val="00BE5D86"/>
    <w:rsid w:val="00BE5FF0"/>
    <w:rsid w:val="00BE64A4"/>
    <w:rsid w:val="00BE693E"/>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EE5"/>
    <w:rsid w:val="00BF522B"/>
    <w:rsid w:val="00BF5749"/>
    <w:rsid w:val="00BF5A66"/>
    <w:rsid w:val="00BF5C7F"/>
    <w:rsid w:val="00BF5D1F"/>
    <w:rsid w:val="00BF6D2C"/>
    <w:rsid w:val="00BF6EEF"/>
    <w:rsid w:val="00BF707B"/>
    <w:rsid w:val="00BF75CF"/>
    <w:rsid w:val="00BF7962"/>
    <w:rsid w:val="00C007FC"/>
    <w:rsid w:val="00C0082B"/>
    <w:rsid w:val="00C00CE0"/>
    <w:rsid w:val="00C01291"/>
    <w:rsid w:val="00C0131E"/>
    <w:rsid w:val="00C013C8"/>
    <w:rsid w:val="00C0212F"/>
    <w:rsid w:val="00C02185"/>
    <w:rsid w:val="00C0253C"/>
    <w:rsid w:val="00C02781"/>
    <w:rsid w:val="00C0287B"/>
    <w:rsid w:val="00C02CFB"/>
    <w:rsid w:val="00C02FF2"/>
    <w:rsid w:val="00C03103"/>
    <w:rsid w:val="00C033FD"/>
    <w:rsid w:val="00C036CA"/>
    <w:rsid w:val="00C03AAA"/>
    <w:rsid w:val="00C03ACF"/>
    <w:rsid w:val="00C03B0C"/>
    <w:rsid w:val="00C03B8E"/>
    <w:rsid w:val="00C03D61"/>
    <w:rsid w:val="00C0409D"/>
    <w:rsid w:val="00C0497A"/>
    <w:rsid w:val="00C04A36"/>
    <w:rsid w:val="00C04B21"/>
    <w:rsid w:val="00C04D0B"/>
    <w:rsid w:val="00C05050"/>
    <w:rsid w:val="00C052D6"/>
    <w:rsid w:val="00C054F7"/>
    <w:rsid w:val="00C05886"/>
    <w:rsid w:val="00C058D4"/>
    <w:rsid w:val="00C0596F"/>
    <w:rsid w:val="00C06047"/>
    <w:rsid w:val="00C06378"/>
    <w:rsid w:val="00C06420"/>
    <w:rsid w:val="00C0796C"/>
    <w:rsid w:val="00C07C30"/>
    <w:rsid w:val="00C10B55"/>
    <w:rsid w:val="00C10C39"/>
    <w:rsid w:val="00C10E7E"/>
    <w:rsid w:val="00C10E98"/>
    <w:rsid w:val="00C11EDC"/>
    <w:rsid w:val="00C123EF"/>
    <w:rsid w:val="00C128BC"/>
    <w:rsid w:val="00C12FA2"/>
    <w:rsid w:val="00C13052"/>
    <w:rsid w:val="00C133F8"/>
    <w:rsid w:val="00C13B43"/>
    <w:rsid w:val="00C13C56"/>
    <w:rsid w:val="00C13C69"/>
    <w:rsid w:val="00C13D8B"/>
    <w:rsid w:val="00C14272"/>
    <w:rsid w:val="00C14A9A"/>
    <w:rsid w:val="00C14B1D"/>
    <w:rsid w:val="00C151BB"/>
    <w:rsid w:val="00C153C6"/>
    <w:rsid w:val="00C15514"/>
    <w:rsid w:val="00C155F8"/>
    <w:rsid w:val="00C1586B"/>
    <w:rsid w:val="00C15BA2"/>
    <w:rsid w:val="00C15E4E"/>
    <w:rsid w:val="00C15EE8"/>
    <w:rsid w:val="00C15F89"/>
    <w:rsid w:val="00C16873"/>
    <w:rsid w:val="00C16906"/>
    <w:rsid w:val="00C17D00"/>
    <w:rsid w:val="00C17EC1"/>
    <w:rsid w:val="00C17EE2"/>
    <w:rsid w:val="00C20581"/>
    <w:rsid w:val="00C205B7"/>
    <w:rsid w:val="00C2060D"/>
    <w:rsid w:val="00C208F0"/>
    <w:rsid w:val="00C20ADA"/>
    <w:rsid w:val="00C20CA1"/>
    <w:rsid w:val="00C20DA7"/>
    <w:rsid w:val="00C2115A"/>
    <w:rsid w:val="00C214F8"/>
    <w:rsid w:val="00C21503"/>
    <w:rsid w:val="00C218C2"/>
    <w:rsid w:val="00C21A6E"/>
    <w:rsid w:val="00C21E74"/>
    <w:rsid w:val="00C2239B"/>
    <w:rsid w:val="00C23297"/>
    <w:rsid w:val="00C23336"/>
    <w:rsid w:val="00C2390B"/>
    <w:rsid w:val="00C23AEE"/>
    <w:rsid w:val="00C24027"/>
    <w:rsid w:val="00C2439B"/>
    <w:rsid w:val="00C24B6C"/>
    <w:rsid w:val="00C24C14"/>
    <w:rsid w:val="00C259CE"/>
    <w:rsid w:val="00C25AC0"/>
    <w:rsid w:val="00C25B1B"/>
    <w:rsid w:val="00C25C8E"/>
    <w:rsid w:val="00C25E7D"/>
    <w:rsid w:val="00C26035"/>
    <w:rsid w:val="00C267BA"/>
    <w:rsid w:val="00C26D29"/>
    <w:rsid w:val="00C26DAD"/>
    <w:rsid w:val="00C274D5"/>
    <w:rsid w:val="00C278E3"/>
    <w:rsid w:val="00C30389"/>
    <w:rsid w:val="00C307C5"/>
    <w:rsid w:val="00C30ACC"/>
    <w:rsid w:val="00C30FFB"/>
    <w:rsid w:val="00C3119F"/>
    <w:rsid w:val="00C313C2"/>
    <w:rsid w:val="00C3155F"/>
    <w:rsid w:val="00C31A3B"/>
    <w:rsid w:val="00C32034"/>
    <w:rsid w:val="00C321D4"/>
    <w:rsid w:val="00C323BD"/>
    <w:rsid w:val="00C3293B"/>
    <w:rsid w:val="00C32A3D"/>
    <w:rsid w:val="00C33403"/>
    <w:rsid w:val="00C3369E"/>
    <w:rsid w:val="00C33756"/>
    <w:rsid w:val="00C33DF6"/>
    <w:rsid w:val="00C342B0"/>
    <w:rsid w:val="00C34616"/>
    <w:rsid w:val="00C347F1"/>
    <w:rsid w:val="00C34813"/>
    <w:rsid w:val="00C34ECF"/>
    <w:rsid w:val="00C35572"/>
    <w:rsid w:val="00C35A5C"/>
    <w:rsid w:val="00C35FFB"/>
    <w:rsid w:val="00C36415"/>
    <w:rsid w:val="00C36539"/>
    <w:rsid w:val="00C366D5"/>
    <w:rsid w:val="00C368EC"/>
    <w:rsid w:val="00C3693F"/>
    <w:rsid w:val="00C369E8"/>
    <w:rsid w:val="00C36B39"/>
    <w:rsid w:val="00C36D8E"/>
    <w:rsid w:val="00C3733A"/>
    <w:rsid w:val="00C3771E"/>
    <w:rsid w:val="00C377CD"/>
    <w:rsid w:val="00C400C8"/>
    <w:rsid w:val="00C40229"/>
    <w:rsid w:val="00C4022B"/>
    <w:rsid w:val="00C40967"/>
    <w:rsid w:val="00C40A5D"/>
    <w:rsid w:val="00C40C1D"/>
    <w:rsid w:val="00C40D72"/>
    <w:rsid w:val="00C41104"/>
    <w:rsid w:val="00C4143F"/>
    <w:rsid w:val="00C4159C"/>
    <w:rsid w:val="00C4182B"/>
    <w:rsid w:val="00C41E3D"/>
    <w:rsid w:val="00C42A3E"/>
    <w:rsid w:val="00C42C20"/>
    <w:rsid w:val="00C431AC"/>
    <w:rsid w:val="00C431B6"/>
    <w:rsid w:val="00C435D4"/>
    <w:rsid w:val="00C43ABE"/>
    <w:rsid w:val="00C43ADD"/>
    <w:rsid w:val="00C43D7F"/>
    <w:rsid w:val="00C440F9"/>
    <w:rsid w:val="00C44828"/>
    <w:rsid w:val="00C448CD"/>
    <w:rsid w:val="00C450D4"/>
    <w:rsid w:val="00C450DF"/>
    <w:rsid w:val="00C45352"/>
    <w:rsid w:val="00C46497"/>
    <w:rsid w:val="00C46C64"/>
    <w:rsid w:val="00C46EA6"/>
    <w:rsid w:val="00C471A3"/>
    <w:rsid w:val="00C47403"/>
    <w:rsid w:val="00C47420"/>
    <w:rsid w:val="00C47767"/>
    <w:rsid w:val="00C47ECD"/>
    <w:rsid w:val="00C47EE6"/>
    <w:rsid w:val="00C504B5"/>
    <w:rsid w:val="00C50693"/>
    <w:rsid w:val="00C50AD1"/>
    <w:rsid w:val="00C513FA"/>
    <w:rsid w:val="00C514C9"/>
    <w:rsid w:val="00C51698"/>
    <w:rsid w:val="00C517FE"/>
    <w:rsid w:val="00C51C90"/>
    <w:rsid w:val="00C51ED6"/>
    <w:rsid w:val="00C52029"/>
    <w:rsid w:val="00C52488"/>
    <w:rsid w:val="00C52D10"/>
    <w:rsid w:val="00C537B7"/>
    <w:rsid w:val="00C53B11"/>
    <w:rsid w:val="00C53E8F"/>
    <w:rsid w:val="00C540EC"/>
    <w:rsid w:val="00C54565"/>
    <w:rsid w:val="00C54617"/>
    <w:rsid w:val="00C550EA"/>
    <w:rsid w:val="00C5569B"/>
    <w:rsid w:val="00C56570"/>
    <w:rsid w:val="00C5715F"/>
    <w:rsid w:val="00C57245"/>
    <w:rsid w:val="00C572EE"/>
    <w:rsid w:val="00C573A2"/>
    <w:rsid w:val="00C57429"/>
    <w:rsid w:val="00C5743F"/>
    <w:rsid w:val="00C57911"/>
    <w:rsid w:val="00C57CEB"/>
    <w:rsid w:val="00C605BB"/>
    <w:rsid w:val="00C60AEF"/>
    <w:rsid w:val="00C611AD"/>
    <w:rsid w:val="00C61812"/>
    <w:rsid w:val="00C61924"/>
    <w:rsid w:val="00C61AB2"/>
    <w:rsid w:val="00C61B3D"/>
    <w:rsid w:val="00C61EFC"/>
    <w:rsid w:val="00C61F0F"/>
    <w:rsid w:val="00C623BB"/>
    <w:rsid w:val="00C6343E"/>
    <w:rsid w:val="00C639C9"/>
    <w:rsid w:val="00C63B84"/>
    <w:rsid w:val="00C640FE"/>
    <w:rsid w:val="00C642AE"/>
    <w:rsid w:val="00C64463"/>
    <w:rsid w:val="00C6475B"/>
    <w:rsid w:val="00C64945"/>
    <w:rsid w:val="00C64964"/>
    <w:rsid w:val="00C64988"/>
    <w:rsid w:val="00C64BA6"/>
    <w:rsid w:val="00C65163"/>
    <w:rsid w:val="00C654FB"/>
    <w:rsid w:val="00C66033"/>
    <w:rsid w:val="00C667ED"/>
    <w:rsid w:val="00C66B17"/>
    <w:rsid w:val="00C66F4B"/>
    <w:rsid w:val="00C672D8"/>
    <w:rsid w:val="00C67603"/>
    <w:rsid w:val="00C67638"/>
    <w:rsid w:val="00C67DD1"/>
    <w:rsid w:val="00C67E2D"/>
    <w:rsid w:val="00C700AF"/>
    <w:rsid w:val="00C700B3"/>
    <w:rsid w:val="00C70C06"/>
    <w:rsid w:val="00C71C24"/>
    <w:rsid w:val="00C71EE0"/>
    <w:rsid w:val="00C72296"/>
    <w:rsid w:val="00C730E9"/>
    <w:rsid w:val="00C73216"/>
    <w:rsid w:val="00C73526"/>
    <w:rsid w:val="00C738FE"/>
    <w:rsid w:val="00C73A53"/>
    <w:rsid w:val="00C73C50"/>
    <w:rsid w:val="00C740D4"/>
    <w:rsid w:val="00C7421E"/>
    <w:rsid w:val="00C74274"/>
    <w:rsid w:val="00C7456C"/>
    <w:rsid w:val="00C74655"/>
    <w:rsid w:val="00C74D85"/>
    <w:rsid w:val="00C750C5"/>
    <w:rsid w:val="00C75117"/>
    <w:rsid w:val="00C75173"/>
    <w:rsid w:val="00C75181"/>
    <w:rsid w:val="00C75235"/>
    <w:rsid w:val="00C7580E"/>
    <w:rsid w:val="00C75877"/>
    <w:rsid w:val="00C7628C"/>
    <w:rsid w:val="00C76BA6"/>
    <w:rsid w:val="00C77328"/>
    <w:rsid w:val="00C774AB"/>
    <w:rsid w:val="00C77C5D"/>
    <w:rsid w:val="00C77F37"/>
    <w:rsid w:val="00C77F48"/>
    <w:rsid w:val="00C803C1"/>
    <w:rsid w:val="00C8053E"/>
    <w:rsid w:val="00C809AA"/>
    <w:rsid w:val="00C80D53"/>
    <w:rsid w:val="00C80FD7"/>
    <w:rsid w:val="00C81086"/>
    <w:rsid w:val="00C813F0"/>
    <w:rsid w:val="00C81F17"/>
    <w:rsid w:val="00C81F1B"/>
    <w:rsid w:val="00C8211E"/>
    <w:rsid w:val="00C829F3"/>
    <w:rsid w:val="00C83206"/>
    <w:rsid w:val="00C83BB5"/>
    <w:rsid w:val="00C83C4E"/>
    <w:rsid w:val="00C83DBA"/>
    <w:rsid w:val="00C843E8"/>
    <w:rsid w:val="00C84B1F"/>
    <w:rsid w:val="00C854B0"/>
    <w:rsid w:val="00C85AA8"/>
    <w:rsid w:val="00C85DB0"/>
    <w:rsid w:val="00C8662A"/>
    <w:rsid w:val="00C8667C"/>
    <w:rsid w:val="00C867BE"/>
    <w:rsid w:val="00C86D73"/>
    <w:rsid w:val="00C86E2B"/>
    <w:rsid w:val="00C86F0B"/>
    <w:rsid w:val="00C87543"/>
    <w:rsid w:val="00C87674"/>
    <w:rsid w:val="00C87809"/>
    <w:rsid w:val="00C87AC5"/>
    <w:rsid w:val="00C87BED"/>
    <w:rsid w:val="00C87F17"/>
    <w:rsid w:val="00C87F70"/>
    <w:rsid w:val="00C90093"/>
    <w:rsid w:val="00C9029D"/>
    <w:rsid w:val="00C90499"/>
    <w:rsid w:val="00C90824"/>
    <w:rsid w:val="00C90CA4"/>
    <w:rsid w:val="00C9124C"/>
    <w:rsid w:val="00C91402"/>
    <w:rsid w:val="00C9166E"/>
    <w:rsid w:val="00C916FA"/>
    <w:rsid w:val="00C9199A"/>
    <w:rsid w:val="00C91F62"/>
    <w:rsid w:val="00C925C4"/>
    <w:rsid w:val="00C92A79"/>
    <w:rsid w:val="00C92C95"/>
    <w:rsid w:val="00C9317F"/>
    <w:rsid w:val="00C93198"/>
    <w:rsid w:val="00C932A2"/>
    <w:rsid w:val="00C9345A"/>
    <w:rsid w:val="00C9382E"/>
    <w:rsid w:val="00C939BA"/>
    <w:rsid w:val="00C94300"/>
    <w:rsid w:val="00C9456C"/>
    <w:rsid w:val="00C94761"/>
    <w:rsid w:val="00C949B5"/>
    <w:rsid w:val="00C94F2C"/>
    <w:rsid w:val="00C950BB"/>
    <w:rsid w:val="00C953A0"/>
    <w:rsid w:val="00C95520"/>
    <w:rsid w:val="00C95D93"/>
    <w:rsid w:val="00C95E97"/>
    <w:rsid w:val="00C960A6"/>
    <w:rsid w:val="00C963A4"/>
    <w:rsid w:val="00C96661"/>
    <w:rsid w:val="00C9690D"/>
    <w:rsid w:val="00C96DEE"/>
    <w:rsid w:val="00C96EA3"/>
    <w:rsid w:val="00C96ECF"/>
    <w:rsid w:val="00C9711A"/>
    <w:rsid w:val="00C972C4"/>
    <w:rsid w:val="00C9760A"/>
    <w:rsid w:val="00C9764A"/>
    <w:rsid w:val="00C97DC6"/>
    <w:rsid w:val="00C97F18"/>
    <w:rsid w:val="00CA0786"/>
    <w:rsid w:val="00CA0908"/>
    <w:rsid w:val="00CA0984"/>
    <w:rsid w:val="00CA0CFB"/>
    <w:rsid w:val="00CA0F45"/>
    <w:rsid w:val="00CA1305"/>
    <w:rsid w:val="00CA181B"/>
    <w:rsid w:val="00CA1A3B"/>
    <w:rsid w:val="00CA1BC8"/>
    <w:rsid w:val="00CA1D18"/>
    <w:rsid w:val="00CA223C"/>
    <w:rsid w:val="00CA24C8"/>
    <w:rsid w:val="00CA2500"/>
    <w:rsid w:val="00CA256C"/>
    <w:rsid w:val="00CA2951"/>
    <w:rsid w:val="00CA2A16"/>
    <w:rsid w:val="00CA2BB8"/>
    <w:rsid w:val="00CA2C87"/>
    <w:rsid w:val="00CA3279"/>
    <w:rsid w:val="00CA3523"/>
    <w:rsid w:val="00CA366B"/>
    <w:rsid w:val="00CA3726"/>
    <w:rsid w:val="00CA3996"/>
    <w:rsid w:val="00CA3E48"/>
    <w:rsid w:val="00CA3FAA"/>
    <w:rsid w:val="00CA3FDD"/>
    <w:rsid w:val="00CA4295"/>
    <w:rsid w:val="00CA43C6"/>
    <w:rsid w:val="00CA4AC4"/>
    <w:rsid w:val="00CA4E72"/>
    <w:rsid w:val="00CA4FDC"/>
    <w:rsid w:val="00CA58CB"/>
    <w:rsid w:val="00CA5C7F"/>
    <w:rsid w:val="00CA5D38"/>
    <w:rsid w:val="00CA5EBB"/>
    <w:rsid w:val="00CA619B"/>
    <w:rsid w:val="00CA65B7"/>
    <w:rsid w:val="00CA67C3"/>
    <w:rsid w:val="00CA6FB0"/>
    <w:rsid w:val="00CA72B2"/>
    <w:rsid w:val="00CA72F4"/>
    <w:rsid w:val="00CA758E"/>
    <w:rsid w:val="00CA7AF3"/>
    <w:rsid w:val="00CB06AE"/>
    <w:rsid w:val="00CB0A4E"/>
    <w:rsid w:val="00CB0E8D"/>
    <w:rsid w:val="00CB1042"/>
    <w:rsid w:val="00CB129C"/>
    <w:rsid w:val="00CB12B9"/>
    <w:rsid w:val="00CB1B38"/>
    <w:rsid w:val="00CB1D43"/>
    <w:rsid w:val="00CB1EBD"/>
    <w:rsid w:val="00CB2862"/>
    <w:rsid w:val="00CB2B47"/>
    <w:rsid w:val="00CB2FBF"/>
    <w:rsid w:val="00CB3D04"/>
    <w:rsid w:val="00CB445E"/>
    <w:rsid w:val="00CB46D1"/>
    <w:rsid w:val="00CB4CF2"/>
    <w:rsid w:val="00CB5526"/>
    <w:rsid w:val="00CB57E4"/>
    <w:rsid w:val="00CB59F1"/>
    <w:rsid w:val="00CB5FD4"/>
    <w:rsid w:val="00CB600A"/>
    <w:rsid w:val="00CB61EE"/>
    <w:rsid w:val="00CB6690"/>
    <w:rsid w:val="00CB6694"/>
    <w:rsid w:val="00CB6BFA"/>
    <w:rsid w:val="00CB7236"/>
    <w:rsid w:val="00CB74DE"/>
    <w:rsid w:val="00CB75D5"/>
    <w:rsid w:val="00CB7939"/>
    <w:rsid w:val="00CB79E3"/>
    <w:rsid w:val="00CB7B1A"/>
    <w:rsid w:val="00CC01E4"/>
    <w:rsid w:val="00CC0804"/>
    <w:rsid w:val="00CC0A7D"/>
    <w:rsid w:val="00CC0AF3"/>
    <w:rsid w:val="00CC100B"/>
    <w:rsid w:val="00CC11A5"/>
    <w:rsid w:val="00CC14BD"/>
    <w:rsid w:val="00CC1743"/>
    <w:rsid w:val="00CC18C5"/>
    <w:rsid w:val="00CC19F9"/>
    <w:rsid w:val="00CC1E62"/>
    <w:rsid w:val="00CC20D2"/>
    <w:rsid w:val="00CC2552"/>
    <w:rsid w:val="00CC25B6"/>
    <w:rsid w:val="00CC25F2"/>
    <w:rsid w:val="00CC29D8"/>
    <w:rsid w:val="00CC2AB6"/>
    <w:rsid w:val="00CC2C57"/>
    <w:rsid w:val="00CC2D07"/>
    <w:rsid w:val="00CC2E50"/>
    <w:rsid w:val="00CC2FA4"/>
    <w:rsid w:val="00CC30D0"/>
    <w:rsid w:val="00CC351C"/>
    <w:rsid w:val="00CC3701"/>
    <w:rsid w:val="00CC3C39"/>
    <w:rsid w:val="00CC3C7B"/>
    <w:rsid w:val="00CC4689"/>
    <w:rsid w:val="00CC4E97"/>
    <w:rsid w:val="00CC53AB"/>
    <w:rsid w:val="00CC53BE"/>
    <w:rsid w:val="00CC58F4"/>
    <w:rsid w:val="00CC59BE"/>
    <w:rsid w:val="00CC5DED"/>
    <w:rsid w:val="00CC61D2"/>
    <w:rsid w:val="00CC64FA"/>
    <w:rsid w:val="00CC6745"/>
    <w:rsid w:val="00CC6A54"/>
    <w:rsid w:val="00CC6B1F"/>
    <w:rsid w:val="00CC6D3D"/>
    <w:rsid w:val="00CC6DE6"/>
    <w:rsid w:val="00CC6F55"/>
    <w:rsid w:val="00CC760A"/>
    <w:rsid w:val="00CC7B07"/>
    <w:rsid w:val="00CC7B51"/>
    <w:rsid w:val="00CC7B80"/>
    <w:rsid w:val="00CC7FAF"/>
    <w:rsid w:val="00CD02E8"/>
    <w:rsid w:val="00CD0489"/>
    <w:rsid w:val="00CD0BD9"/>
    <w:rsid w:val="00CD0D9D"/>
    <w:rsid w:val="00CD0E41"/>
    <w:rsid w:val="00CD0E94"/>
    <w:rsid w:val="00CD14F1"/>
    <w:rsid w:val="00CD1607"/>
    <w:rsid w:val="00CD1991"/>
    <w:rsid w:val="00CD1C02"/>
    <w:rsid w:val="00CD1F93"/>
    <w:rsid w:val="00CD251F"/>
    <w:rsid w:val="00CD3072"/>
    <w:rsid w:val="00CD310D"/>
    <w:rsid w:val="00CD323A"/>
    <w:rsid w:val="00CD3753"/>
    <w:rsid w:val="00CD3A0B"/>
    <w:rsid w:val="00CD3ADB"/>
    <w:rsid w:val="00CD4190"/>
    <w:rsid w:val="00CD421B"/>
    <w:rsid w:val="00CD4423"/>
    <w:rsid w:val="00CD4465"/>
    <w:rsid w:val="00CD462D"/>
    <w:rsid w:val="00CD4632"/>
    <w:rsid w:val="00CD46CE"/>
    <w:rsid w:val="00CD4B80"/>
    <w:rsid w:val="00CD5528"/>
    <w:rsid w:val="00CD57FF"/>
    <w:rsid w:val="00CD5A2A"/>
    <w:rsid w:val="00CD5A6A"/>
    <w:rsid w:val="00CD6580"/>
    <w:rsid w:val="00CD6F3D"/>
    <w:rsid w:val="00CD7454"/>
    <w:rsid w:val="00CD7CC2"/>
    <w:rsid w:val="00CD7DD6"/>
    <w:rsid w:val="00CE0105"/>
    <w:rsid w:val="00CE0108"/>
    <w:rsid w:val="00CE04EE"/>
    <w:rsid w:val="00CE0D50"/>
    <w:rsid w:val="00CE0DFF"/>
    <w:rsid w:val="00CE0E82"/>
    <w:rsid w:val="00CE126A"/>
    <w:rsid w:val="00CE1419"/>
    <w:rsid w:val="00CE1685"/>
    <w:rsid w:val="00CE1715"/>
    <w:rsid w:val="00CE181F"/>
    <w:rsid w:val="00CE1BE6"/>
    <w:rsid w:val="00CE1C3E"/>
    <w:rsid w:val="00CE2399"/>
    <w:rsid w:val="00CE2B5F"/>
    <w:rsid w:val="00CE3826"/>
    <w:rsid w:val="00CE422B"/>
    <w:rsid w:val="00CE430C"/>
    <w:rsid w:val="00CE442D"/>
    <w:rsid w:val="00CE454F"/>
    <w:rsid w:val="00CE48DA"/>
    <w:rsid w:val="00CE4B8B"/>
    <w:rsid w:val="00CE510E"/>
    <w:rsid w:val="00CE5339"/>
    <w:rsid w:val="00CE5685"/>
    <w:rsid w:val="00CE56EB"/>
    <w:rsid w:val="00CE608E"/>
    <w:rsid w:val="00CE6197"/>
    <w:rsid w:val="00CE6201"/>
    <w:rsid w:val="00CE671F"/>
    <w:rsid w:val="00CE6733"/>
    <w:rsid w:val="00CE6781"/>
    <w:rsid w:val="00CE6CE8"/>
    <w:rsid w:val="00CE6DE8"/>
    <w:rsid w:val="00CE6E25"/>
    <w:rsid w:val="00CE6ECC"/>
    <w:rsid w:val="00CE6F69"/>
    <w:rsid w:val="00CE72E5"/>
    <w:rsid w:val="00CE7816"/>
    <w:rsid w:val="00CE79F8"/>
    <w:rsid w:val="00CE7BE2"/>
    <w:rsid w:val="00CF0DCC"/>
    <w:rsid w:val="00CF0F40"/>
    <w:rsid w:val="00CF1278"/>
    <w:rsid w:val="00CF148F"/>
    <w:rsid w:val="00CF17E8"/>
    <w:rsid w:val="00CF1904"/>
    <w:rsid w:val="00CF1B03"/>
    <w:rsid w:val="00CF1D71"/>
    <w:rsid w:val="00CF1D9D"/>
    <w:rsid w:val="00CF2A4C"/>
    <w:rsid w:val="00CF2D53"/>
    <w:rsid w:val="00CF3E1E"/>
    <w:rsid w:val="00CF3E6D"/>
    <w:rsid w:val="00CF43A3"/>
    <w:rsid w:val="00CF456D"/>
    <w:rsid w:val="00CF4A4F"/>
    <w:rsid w:val="00CF4C24"/>
    <w:rsid w:val="00CF60B3"/>
    <w:rsid w:val="00CF675F"/>
    <w:rsid w:val="00CF6FCB"/>
    <w:rsid w:val="00CF6FE1"/>
    <w:rsid w:val="00CF73B4"/>
    <w:rsid w:val="00CF76B5"/>
    <w:rsid w:val="00CF7D0D"/>
    <w:rsid w:val="00CF7EA3"/>
    <w:rsid w:val="00D003C0"/>
    <w:rsid w:val="00D0054B"/>
    <w:rsid w:val="00D00E9D"/>
    <w:rsid w:val="00D01416"/>
    <w:rsid w:val="00D017C6"/>
    <w:rsid w:val="00D01C87"/>
    <w:rsid w:val="00D01EA0"/>
    <w:rsid w:val="00D01EB5"/>
    <w:rsid w:val="00D02634"/>
    <w:rsid w:val="00D02657"/>
    <w:rsid w:val="00D029A0"/>
    <w:rsid w:val="00D029A1"/>
    <w:rsid w:val="00D02AB8"/>
    <w:rsid w:val="00D02BF2"/>
    <w:rsid w:val="00D02DF9"/>
    <w:rsid w:val="00D02E8D"/>
    <w:rsid w:val="00D0381C"/>
    <w:rsid w:val="00D03D1B"/>
    <w:rsid w:val="00D03D2B"/>
    <w:rsid w:val="00D0415E"/>
    <w:rsid w:val="00D04248"/>
    <w:rsid w:val="00D042F1"/>
    <w:rsid w:val="00D0453E"/>
    <w:rsid w:val="00D048E2"/>
    <w:rsid w:val="00D04A38"/>
    <w:rsid w:val="00D058E1"/>
    <w:rsid w:val="00D05E32"/>
    <w:rsid w:val="00D05EF4"/>
    <w:rsid w:val="00D065AB"/>
    <w:rsid w:val="00D0666F"/>
    <w:rsid w:val="00D066EB"/>
    <w:rsid w:val="00D068FA"/>
    <w:rsid w:val="00D073CB"/>
    <w:rsid w:val="00D07683"/>
    <w:rsid w:val="00D07B81"/>
    <w:rsid w:val="00D114F9"/>
    <w:rsid w:val="00D11639"/>
    <w:rsid w:val="00D118B6"/>
    <w:rsid w:val="00D11C72"/>
    <w:rsid w:val="00D11E9B"/>
    <w:rsid w:val="00D11F16"/>
    <w:rsid w:val="00D124AE"/>
    <w:rsid w:val="00D124CC"/>
    <w:rsid w:val="00D1293E"/>
    <w:rsid w:val="00D12CCA"/>
    <w:rsid w:val="00D12D67"/>
    <w:rsid w:val="00D13531"/>
    <w:rsid w:val="00D136C2"/>
    <w:rsid w:val="00D1419A"/>
    <w:rsid w:val="00D144F8"/>
    <w:rsid w:val="00D1460A"/>
    <w:rsid w:val="00D1474F"/>
    <w:rsid w:val="00D149A7"/>
    <w:rsid w:val="00D14A0E"/>
    <w:rsid w:val="00D14A8D"/>
    <w:rsid w:val="00D155CE"/>
    <w:rsid w:val="00D157BA"/>
    <w:rsid w:val="00D1598A"/>
    <w:rsid w:val="00D169BB"/>
    <w:rsid w:val="00D16BA2"/>
    <w:rsid w:val="00D16D80"/>
    <w:rsid w:val="00D17EB7"/>
    <w:rsid w:val="00D17F51"/>
    <w:rsid w:val="00D20674"/>
    <w:rsid w:val="00D20696"/>
    <w:rsid w:val="00D207D9"/>
    <w:rsid w:val="00D210E6"/>
    <w:rsid w:val="00D2113A"/>
    <w:rsid w:val="00D214E7"/>
    <w:rsid w:val="00D215FD"/>
    <w:rsid w:val="00D21A1A"/>
    <w:rsid w:val="00D21AD6"/>
    <w:rsid w:val="00D21ADF"/>
    <w:rsid w:val="00D21B12"/>
    <w:rsid w:val="00D22165"/>
    <w:rsid w:val="00D22ACE"/>
    <w:rsid w:val="00D22B62"/>
    <w:rsid w:val="00D22BCD"/>
    <w:rsid w:val="00D22D8C"/>
    <w:rsid w:val="00D233CE"/>
    <w:rsid w:val="00D23512"/>
    <w:rsid w:val="00D238BF"/>
    <w:rsid w:val="00D23B09"/>
    <w:rsid w:val="00D23F27"/>
    <w:rsid w:val="00D23F36"/>
    <w:rsid w:val="00D2426B"/>
    <w:rsid w:val="00D245F4"/>
    <w:rsid w:val="00D24770"/>
    <w:rsid w:val="00D252BF"/>
    <w:rsid w:val="00D2579B"/>
    <w:rsid w:val="00D25A2D"/>
    <w:rsid w:val="00D25CE7"/>
    <w:rsid w:val="00D25D20"/>
    <w:rsid w:val="00D25DEC"/>
    <w:rsid w:val="00D260F9"/>
    <w:rsid w:val="00D268E5"/>
    <w:rsid w:val="00D269FE"/>
    <w:rsid w:val="00D26CDE"/>
    <w:rsid w:val="00D26DDD"/>
    <w:rsid w:val="00D26E3A"/>
    <w:rsid w:val="00D272CD"/>
    <w:rsid w:val="00D27489"/>
    <w:rsid w:val="00D276EA"/>
    <w:rsid w:val="00D278ED"/>
    <w:rsid w:val="00D27DAB"/>
    <w:rsid w:val="00D3041D"/>
    <w:rsid w:val="00D30669"/>
    <w:rsid w:val="00D30B89"/>
    <w:rsid w:val="00D312C8"/>
    <w:rsid w:val="00D3135A"/>
    <w:rsid w:val="00D31538"/>
    <w:rsid w:val="00D31A6F"/>
    <w:rsid w:val="00D31F64"/>
    <w:rsid w:val="00D32249"/>
    <w:rsid w:val="00D32401"/>
    <w:rsid w:val="00D32BDF"/>
    <w:rsid w:val="00D32CA0"/>
    <w:rsid w:val="00D32FFA"/>
    <w:rsid w:val="00D33388"/>
    <w:rsid w:val="00D33DD9"/>
    <w:rsid w:val="00D34706"/>
    <w:rsid w:val="00D34707"/>
    <w:rsid w:val="00D35040"/>
    <w:rsid w:val="00D355CE"/>
    <w:rsid w:val="00D35E4E"/>
    <w:rsid w:val="00D361FD"/>
    <w:rsid w:val="00D367C9"/>
    <w:rsid w:val="00D367F3"/>
    <w:rsid w:val="00D36A41"/>
    <w:rsid w:val="00D36B09"/>
    <w:rsid w:val="00D36CFE"/>
    <w:rsid w:val="00D37476"/>
    <w:rsid w:val="00D37870"/>
    <w:rsid w:val="00D37995"/>
    <w:rsid w:val="00D37D5D"/>
    <w:rsid w:val="00D37E4D"/>
    <w:rsid w:val="00D37F20"/>
    <w:rsid w:val="00D40278"/>
    <w:rsid w:val="00D40F85"/>
    <w:rsid w:val="00D41006"/>
    <w:rsid w:val="00D41166"/>
    <w:rsid w:val="00D416BD"/>
    <w:rsid w:val="00D419F7"/>
    <w:rsid w:val="00D4272D"/>
    <w:rsid w:val="00D4275C"/>
    <w:rsid w:val="00D42C5D"/>
    <w:rsid w:val="00D42CB2"/>
    <w:rsid w:val="00D42CC6"/>
    <w:rsid w:val="00D42D0C"/>
    <w:rsid w:val="00D43977"/>
    <w:rsid w:val="00D43B8B"/>
    <w:rsid w:val="00D4406D"/>
    <w:rsid w:val="00D4498F"/>
    <w:rsid w:val="00D44C87"/>
    <w:rsid w:val="00D44CEE"/>
    <w:rsid w:val="00D45504"/>
    <w:rsid w:val="00D45A1E"/>
    <w:rsid w:val="00D46862"/>
    <w:rsid w:val="00D46AF3"/>
    <w:rsid w:val="00D46D3D"/>
    <w:rsid w:val="00D473B7"/>
    <w:rsid w:val="00D5000C"/>
    <w:rsid w:val="00D5016B"/>
    <w:rsid w:val="00D50256"/>
    <w:rsid w:val="00D5070C"/>
    <w:rsid w:val="00D50ACC"/>
    <w:rsid w:val="00D518A7"/>
    <w:rsid w:val="00D518E7"/>
    <w:rsid w:val="00D52290"/>
    <w:rsid w:val="00D533C6"/>
    <w:rsid w:val="00D53583"/>
    <w:rsid w:val="00D535E9"/>
    <w:rsid w:val="00D53958"/>
    <w:rsid w:val="00D53EBA"/>
    <w:rsid w:val="00D5410B"/>
    <w:rsid w:val="00D54176"/>
    <w:rsid w:val="00D54774"/>
    <w:rsid w:val="00D54975"/>
    <w:rsid w:val="00D54B86"/>
    <w:rsid w:val="00D54C4F"/>
    <w:rsid w:val="00D54C55"/>
    <w:rsid w:val="00D54EFA"/>
    <w:rsid w:val="00D55214"/>
    <w:rsid w:val="00D553E0"/>
    <w:rsid w:val="00D556A0"/>
    <w:rsid w:val="00D55B98"/>
    <w:rsid w:val="00D55E48"/>
    <w:rsid w:val="00D5605B"/>
    <w:rsid w:val="00D563F3"/>
    <w:rsid w:val="00D565B1"/>
    <w:rsid w:val="00D56C3B"/>
    <w:rsid w:val="00D56D9E"/>
    <w:rsid w:val="00D57585"/>
    <w:rsid w:val="00D57813"/>
    <w:rsid w:val="00D57D2A"/>
    <w:rsid w:val="00D61387"/>
    <w:rsid w:val="00D61ADA"/>
    <w:rsid w:val="00D621D7"/>
    <w:rsid w:val="00D6223A"/>
    <w:rsid w:val="00D6282D"/>
    <w:rsid w:val="00D629C4"/>
    <w:rsid w:val="00D62B14"/>
    <w:rsid w:val="00D62B61"/>
    <w:rsid w:val="00D62BFD"/>
    <w:rsid w:val="00D62F6C"/>
    <w:rsid w:val="00D63000"/>
    <w:rsid w:val="00D6335B"/>
    <w:rsid w:val="00D633F7"/>
    <w:rsid w:val="00D63AF8"/>
    <w:rsid w:val="00D63B0F"/>
    <w:rsid w:val="00D63F1E"/>
    <w:rsid w:val="00D64666"/>
    <w:rsid w:val="00D64D8F"/>
    <w:rsid w:val="00D66A7A"/>
    <w:rsid w:val="00D66D88"/>
    <w:rsid w:val="00D66F70"/>
    <w:rsid w:val="00D67121"/>
    <w:rsid w:val="00D67481"/>
    <w:rsid w:val="00D6751D"/>
    <w:rsid w:val="00D67F6D"/>
    <w:rsid w:val="00D702CB"/>
    <w:rsid w:val="00D708C7"/>
    <w:rsid w:val="00D70B11"/>
    <w:rsid w:val="00D710B6"/>
    <w:rsid w:val="00D71554"/>
    <w:rsid w:val="00D71E73"/>
    <w:rsid w:val="00D72065"/>
    <w:rsid w:val="00D7246B"/>
    <w:rsid w:val="00D726FC"/>
    <w:rsid w:val="00D72925"/>
    <w:rsid w:val="00D72D57"/>
    <w:rsid w:val="00D72DC9"/>
    <w:rsid w:val="00D72E64"/>
    <w:rsid w:val="00D72F27"/>
    <w:rsid w:val="00D73175"/>
    <w:rsid w:val="00D732C1"/>
    <w:rsid w:val="00D7333B"/>
    <w:rsid w:val="00D7355D"/>
    <w:rsid w:val="00D73669"/>
    <w:rsid w:val="00D73732"/>
    <w:rsid w:val="00D73BA0"/>
    <w:rsid w:val="00D73C25"/>
    <w:rsid w:val="00D73F9D"/>
    <w:rsid w:val="00D745E5"/>
    <w:rsid w:val="00D74764"/>
    <w:rsid w:val="00D750E0"/>
    <w:rsid w:val="00D751E3"/>
    <w:rsid w:val="00D754AA"/>
    <w:rsid w:val="00D7573E"/>
    <w:rsid w:val="00D75850"/>
    <w:rsid w:val="00D75944"/>
    <w:rsid w:val="00D75950"/>
    <w:rsid w:val="00D75A15"/>
    <w:rsid w:val="00D76045"/>
    <w:rsid w:val="00D761AD"/>
    <w:rsid w:val="00D76670"/>
    <w:rsid w:val="00D766FA"/>
    <w:rsid w:val="00D76F6D"/>
    <w:rsid w:val="00D803CA"/>
    <w:rsid w:val="00D805CF"/>
    <w:rsid w:val="00D80BB7"/>
    <w:rsid w:val="00D80E1C"/>
    <w:rsid w:val="00D81165"/>
    <w:rsid w:val="00D81339"/>
    <w:rsid w:val="00D814E7"/>
    <w:rsid w:val="00D81B6F"/>
    <w:rsid w:val="00D8227D"/>
    <w:rsid w:val="00D825E9"/>
    <w:rsid w:val="00D826BE"/>
    <w:rsid w:val="00D82B30"/>
    <w:rsid w:val="00D82BAA"/>
    <w:rsid w:val="00D82BD6"/>
    <w:rsid w:val="00D83316"/>
    <w:rsid w:val="00D8347E"/>
    <w:rsid w:val="00D83486"/>
    <w:rsid w:val="00D83EC1"/>
    <w:rsid w:val="00D843F9"/>
    <w:rsid w:val="00D84450"/>
    <w:rsid w:val="00D844B1"/>
    <w:rsid w:val="00D844B9"/>
    <w:rsid w:val="00D85151"/>
    <w:rsid w:val="00D858FC"/>
    <w:rsid w:val="00D859AF"/>
    <w:rsid w:val="00D85EF7"/>
    <w:rsid w:val="00D861EB"/>
    <w:rsid w:val="00D86DD5"/>
    <w:rsid w:val="00D8798F"/>
    <w:rsid w:val="00D87B09"/>
    <w:rsid w:val="00D87BC3"/>
    <w:rsid w:val="00D87EA0"/>
    <w:rsid w:val="00D87F60"/>
    <w:rsid w:val="00D90D51"/>
    <w:rsid w:val="00D917AD"/>
    <w:rsid w:val="00D92014"/>
    <w:rsid w:val="00D92BA1"/>
    <w:rsid w:val="00D930BC"/>
    <w:rsid w:val="00D930C0"/>
    <w:rsid w:val="00D93667"/>
    <w:rsid w:val="00D9396D"/>
    <w:rsid w:val="00D93B0C"/>
    <w:rsid w:val="00D94254"/>
    <w:rsid w:val="00D945E3"/>
    <w:rsid w:val="00D94ADB"/>
    <w:rsid w:val="00D94BB5"/>
    <w:rsid w:val="00D94DB5"/>
    <w:rsid w:val="00D94F43"/>
    <w:rsid w:val="00D950F8"/>
    <w:rsid w:val="00D957EE"/>
    <w:rsid w:val="00D95A9B"/>
    <w:rsid w:val="00D96071"/>
    <w:rsid w:val="00D96A69"/>
    <w:rsid w:val="00D970E5"/>
    <w:rsid w:val="00D97CC3"/>
    <w:rsid w:val="00DA01B7"/>
    <w:rsid w:val="00DA0792"/>
    <w:rsid w:val="00DA08E0"/>
    <w:rsid w:val="00DA0B51"/>
    <w:rsid w:val="00DA0EBE"/>
    <w:rsid w:val="00DA104D"/>
    <w:rsid w:val="00DA1404"/>
    <w:rsid w:val="00DA1CC2"/>
    <w:rsid w:val="00DA1EEB"/>
    <w:rsid w:val="00DA21FD"/>
    <w:rsid w:val="00DA29A1"/>
    <w:rsid w:val="00DA3688"/>
    <w:rsid w:val="00DA3CAA"/>
    <w:rsid w:val="00DA3D8F"/>
    <w:rsid w:val="00DA4140"/>
    <w:rsid w:val="00DA4BA9"/>
    <w:rsid w:val="00DA55A3"/>
    <w:rsid w:val="00DA5761"/>
    <w:rsid w:val="00DA5ACE"/>
    <w:rsid w:val="00DA5EE1"/>
    <w:rsid w:val="00DA61CD"/>
    <w:rsid w:val="00DA694E"/>
    <w:rsid w:val="00DA6AAE"/>
    <w:rsid w:val="00DA6C00"/>
    <w:rsid w:val="00DA6D54"/>
    <w:rsid w:val="00DA6F86"/>
    <w:rsid w:val="00DA7ADD"/>
    <w:rsid w:val="00DA7AF3"/>
    <w:rsid w:val="00DA7C29"/>
    <w:rsid w:val="00DB080F"/>
    <w:rsid w:val="00DB08C0"/>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4B71"/>
    <w:rsid w:val="00DB51B8"/>
    <w:rsid w:val="00DB51C4"/>
    <w:rsid w:val="00DB56E9"/>
    <w:rsid w:val="00DB5A44"/>
    <w:rsid w:val="00DB6514"/>
    <w:rsid w:val="00DB65BB"/>
    <w:rsid w:val="00DB6D06"/>
    <w:rsid w:val="00DB6EBC"/>
    <w:rsid w:val="00DB74BA"/>
    <w:rsid w:val="00DB7525"/>
    <w:rsid w:val="00DB76CA"/>
    <w:rsid w:val="00DB7925"/>
    <w:rsid w:val="00DB7DFD"/>
    <w:rsid w:val="00DC0771"/>
    <w:rsid w:val="00DC091A"/>
    <w:rsid w:val="00DC0A32"/>
    <w:rsid w:val="00DC0A91"/>
    <w:rsid w:val="00DC0B8C"/>
    <w:rsid w:val="00DC0BBC"/>
    <w:rsid w:val="00DC0C58"/>
    <w:rsid w:val="00DC0CFE"/>
    <w:rsid w:val="00DC1373"/>
    <w:rsid w:val="00DC16D3"/>
    <w:rsid w:val="00DC18A5"/>
    <w:rsid w:val="00DC1902"/>
    <w:rsid w:val="00DC1B36"/>
    <w:rsid w:val="00DC2594"/>
    <w:rsid w:val="00DC2935"/>
    <w:rsid w:val="00DC29E8"/>
    <w:rsid w:val="00DC2CD6"/>
    <w:rsid w:val="00DC306F"/>
    <w:rsid w:val="00DC3162"/>
    <w:rsid w:val="00DC3215"/>
    <w:rsid w:val="00DC32B9"/>
    <w:rsid w:val="00DC3993"/>
    <w:rsid w:val="00DC39EA"/>
    <w:rsid w:val="00DC3AD9"/>
    <w:rsid w:val="00DC3DF1"/>
    <w:rsid w:val="00DC3E3C"/>
    <w:rsid w:val="00DC3F21"/>
    <w:rsid w:val="00DC43BE"/>
    <w:rsid w:val="00DC46D5"/>
    <w:rsid w:val="00DC48E9"/>
    <w:rsid w:val="00DC4C32"/>
    <w:rsid w:val="00DC52DD"/>
    <w:rsid w:val="00DC685C"/>
    <w:rsid w:val="00DC6E5A"/>
    <w:rsid w:val="00DC6F87"/>
    <w:rsid w:val="00DC7507"/>
    <w:rsid w:val="00DC771C"/>
    <w:rsid w:val="00DC7A3B"/>
    <w:rsid w:val="00DC7B9C"/>
    <w:rsid w:val="00DC7EAB"/>
    <w:rsid w:val="00DD0175"/>
    <w:rsid w:val="00DD0391"/>
    <w:rsid w:val="00DD046B"/>
    <w:rsid w:val="00DD06A3"/>
    <w:rsid w:val="00DD0866"/>
    <w:rsid w:val="00DD118D"/>
    <w:rsid w:val="00DD11BF"/>
    <w:rsid w:val="00DD12A9"/>
    <w:rsid w:val="00DD1445"/>
    <w:rsid w:val="00DD14C3"/>
    <w:rsid w:val="00DD1B71"/>
    <w:rsid w:val="00DD1E5F"/>
    <w:rsid w:val="00DD2192"/>
    <w:rsid w:val="00DD2A54"/>
    <w:rsid w:val="00DD2C90"/>
    <w:rsid w:val="00DD2CE8"/>
    <w:rsid w:val="00DD2DB3"/>
    <w:rsid w:val="00DD4599"/>
    <w:rsid w:val="00DD46A2"/>
    <w:rsid w:val="00DD4899"/>
    <w:rsid w:val="00DD48FA"/>
    <w:rsid w:val="00DD5109"/>
    <w:rsid w:val="00DD558E"/>
    <w:rsid w:val="00DD55AC"/>
    <w:rsid w:val="00DD5699"/>
    <w:rsid w:val="00DD5EA5"/>
    <w:rsid w:val="00DD5ED4"/>
    <w:rsid w:val="00DD6196"/>
    <w:rsid w:val="00DD657F"/>
    <w:rsid w:val="00DD681D"/>
    <w:rsid w:val="00DD69E0"/>
    <w:rsid w:val="00DD6BFE"/>
    <w:rsid w:val="00DD7552"/>
    <w:rsid w:val="00DD7620"/>
    <w:rsid w:val="00DD7CD3"/>
    <w:rsid w:val="00DE05A7"/>
    <w:rsid w:val="00DE061A"/>
    <w:rsid w:val="00DE096E"/>
    <w:rsid w:val="00DE09D4"/>
    <w:rsid w:val="00DE0B7D"/>
    <w:rsid w:val="00DE1087"/>
    <w:rsid w:val="00DE1716"/>
    <w:rsid w:val="00DE296A"/>
    <w:rsid w:val="00DE2D5E"/>
    <w:rsid w:val="00DE2D91"/>
    <w:rsid w:val="00DE31CC"/>
    <w:rsid w:val="00DE3277"/>
    <w:rsid w:val="00DE352B"/>
    <w:rsid w:val="00DE449C"/>
    <w:rsid w:val="00DE4593"/>
    <w:rsid w:val="00DE4FDE"/>
    <w:rsid w:val="00DE53EA"/>
    <w:rsid w:val="00DE62D8"/>
    <w:rsid w:val="00DE70F4"/>
    <w:rsid w:val="00DE73B0"/>
    <w:rsid w:val="00DE7583"/>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A29"/>
    <w:rsid w:val="00DF2E3C"/>
    <w:rsid w:val="00DF30C8"/>
    <w:rsid w:val="00DF3310"/>
    <w:rsid w:val="00DF34C1"/>
    <w:rsid w:val="00DF34D8"/>
    <w:rsid w:val="00DF403E"/>
    <w:rsid w:val="00DF4380"/>
    <w:rsid w:val="00DF44A3"/>
    <w:rsid w:val="00DF46F8"/>
    <w:rsid w:val="00DF4766"/>
    <w:rsid w:val="00DF4964"/>
    <w:rsid w:val="00DF4AF7"/>
    <w:rsid w:val="00DF4D64"/>
    <w:rsid w:val="00DF5DCE"/>
    <w:rsid w:val="00DF5DE5"/>
    <w:rsid w:val="00DF5EA5"/>
    <w:rsid w:val="00DF6025"/>
    <w:rsid w:val="00DF64B5"/>
    <w:rsid w:val="00DF688B"/>
    <w:rsid w:val="00DF6B92"/>
    <w:rsid w:val="00DF764A"/>
    <w:rsid w:val="00DF7A4F"/>
    <w:rsid w:val="00DF7D39"/>
    <w:rsid w:val="00DF7DC0"/>
    <w:rsid w:val="00E0041A"/>
    <w:rsid w:val="00E00548"/>
    <w:rsid w:val="00E00596"/>
    <w:rsid w:val="00E0065D"/>
    <w:rsid w:val="00E0080C"/>
    <w:rsid w:val="00E00BAF"/>
    <w:rsid w:val="00E00CFE"/>
    <w:rsid w:val="00E00E4F"/>
    <w:rsid w:val="00E0126D"/>
    <w:rsid w:val="00E01292"/>
    <w:rsid w:val="00E0197C"/>
    <w:rsid w:val="00E023E0"/>
    <w:rsid w:val="00E026E6"/>
    <w:rsid w:val="00E02716"/>
    <w:rsid w:val="00E03841"/>
    <w:rsid w:val="00E03EC0"/>
    <w:rsid w:val="00E0491F"/>
    <w:rsid w:val="00E04A04"/>
    <w:rsid w:val="00E04BDD"/>
    <w:rsid w:val="00E04F9B"/>
    <w:rsid w:val="00E05806"/>
    <w:rsid w:val="00E058B7"/>
    <w:rsid w:val="00E05A83"/>
    <w:rsid w:val="00E05BC4"/>
    <w:rsid w:val="00E0626D"/>
    <w:rsid w:val="00E06B90"/>
    <w:rsid w:val="00E06D62"/>
    <w:rsid w:val="00E07380"/>
    <w:rsid w:val="00E07A71"/>
    <w:rsid w:val="00E07F87"/>
    <w:rsid w:val="00E104FE"/>
    <w:rsid w:val="00E10C8B"/>
    <w:rsid w:val="00E10E72"/>
    <w:rsid w:val="00E11D8E"/>
    <w:rsid w:val="00E124FE"/>
    <w:rsid w:val="00E126A3"/>
    <w:rsid w:val="00E12897"/>
    <w:rsid w:val="00E12A80"/>
    <w:rsid w:val="00E12C73"/>
    <w:rsid w:val="00E13C19"/>
    <w:rsid w:val="00E14680"/>
    <w:rsid w:val="00E1488E"/>
    <w:rsid w:val="00E14C47"/>
    <w:rsid w:val="00E15403"/>
    <w:rsid w:val="00E15632"/>
    <w:rsid w:val="00E15649"/>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11A"/>
    <w:rsid w:val="00E217B2"/>
    <w:rsid w:val="00E219EA"/>
    <w:rsid w:val="00E21A14"/>
    <w:rsid w:val="00E21B1A"/>
    <w:rsid w:val="00E21B74"/>
    <w:rsid w:val="00E21E27"/>
    <w:rsid w:val="00E2238D"/>
    <w:rsid w:val="00E225B5"/>
    <w:rsid w:val="00E22773"/>
    <w:rsid w:val="00E227C0"/>
    <w:rsid w:val="00E22C7A"/>
    <w:rsid w:val="00E22E24"/>
    <w:rsid w:val="00E2312D"/>
    <w:rsid w:val="00E2342A"/>
    <w:rsid w:val="00E2359A"/>
    <w:rsid w:val="00E236D5"/>
    <w:rsid w:val="00E236E3"/>
    <w:rsid w:val="00E23820"/>
    <w:rsid w:val="00E238EB"/>
    <w:rsid w:val="00E23AAF"/>
    <w:rsid w:val="00E23B49"/>
    <w:rsid w:val="00E23DC8"/>
    <w:rsid w:val="00E240DF"/>
    <w:rsid w:val="00E245FE"/>
    <w:rsid w:val="00E24D1B"/>
    <w:rsid w:val="00E2500B"/>
    <w:rsid w:val="00E252FD"/>
    <w:rsid w:val="00E2567C"/>
    <w:rsid w:val="00E256C1"/>
    <w:rsid w:val="00E2579C"/>
    <w:rsid w:val="00E25E18"/>
    <w:rsid w:val="00E26445"/>
    <w:rsid w:val="00E2663B"/>
    <w:rsid w:val="00E26797"/>
    <w:rsid w:val="00E2747D"/>
    <w:rsid w:val="00E27653"/>
    <w:rsid w:val="00E2766B"/>
    <w:rsid w:val="00E27B35"/>
    <w:rsid w:val="00E304FA"/>
    <w:rsid w:val="00E307D7"/>
    <w:rsid w:val="00E30DAD"/>
    <w:rsid w:val="00E31546"/>
    <w:rsid w:val="00E31D7C"/>
    <w:rsid w:val="00E322F9"/>
    <w:rsid w:val="00E324BA"/>
    <w:rsid w:val="00E32E0D"/>
    <w:rsid w:val="00E33450"/>
    <w:rsid w:val="00E34022"/>
    <w:rsid w:val="00E34992"/>
    <w:rsid w:val="00E34C7B"/>
    <w:rsid w:val="00E34D8F"/>
    <w:rsid w:val="00E34EA7"/>
    <w:rsid w:val="00E3515F"/>
    <w:rsid w:val="00E35E16"/>
    <w:rsid w:val="00E36100"/>
    <w:rsid w:val="00E36E44"/>
    <w:rsid w:val="00E374E5"/>
    <w:rsid w:val="00E37578"/>
    <w:rsid w:val="00E37893"/>
    <w:rsid w:val="00E37D71"/>
    <w:rsid w:val="00E40268"/>
    <w:rsid w:val="00E404E6"/>
    <w:rsid w:val="00E41122"/>
    <w:rsid w:val="00E41832"/>
    <w:rsid w:val="00E418D5"/>
    <w:rsid w:val="00E42165"/>
    <w:rsid w:val="00E42358"/>
    <w:rsid w:val="00E42A2C"/>
    <w:rsid w:val="00E42DE5"/>
    <w:rsid w:val="00E42F72"/>
    <w:rsid w:val="00E433A7"/>
    <w:rsid w:val="00E436F1"/>
    <w:rsid w:val="00E43FB0"/>
    <w:rsid w:val="00E4452F"/>
    <w:rsid w:val="00E44A75"/>
    <w:rsid w:val="00E4528A"/>
    <w:rsid w:val="00E4584C"/>
    <w:rsid w:val="00E45AB3"/>
    <w:rsid w:val="00E46122"/>
    <w:rsid w:val="00E461ED"/>
    <w:rsid w:val="00E4687F"/>
    <w:rsid w:val="00E4697A"/>
    <w:rsid w:val="00E46C35"/>
    <w:rsid w:val="00E46CC9"/>
    <w:rsid w:val="00E470B3"/>
    <w:rsid w:val="00E474EE"/>
    <w:rsid w:val="00E475B9"/>
    <w:rsid w:val="00E47723"/>
    <w:rsid w:val="00E50A56"/>
    <w:rsid w:val="00E50A71"/>
    <w:rsid w:val="00E5137B"/>
    <w:rsid w:val="00E51517"/>
    <w:rsid w:val="00E518FE"/>
    <w:rsid w:val="00E51D0B"/>
    <w:rsid w:val="00E52496"/>
    <w:rsid w:val="00E52E03"/>
    <w:rsid w:val="00E53689"/>
    <w:rsid w:val="00E537C1"/>
    <w:rsid w:val="00E53DB8"/>
    <w:rsid w:val="00E54956"/>
    <w:rsid w:val="00E5498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1055"/>
    <w:rsid w:val="00E61B3D"/>
    <w:rsid w:val="00E62158"/>
    <w:rsid w:val="00E62166"/>
    <w:rsid w:val="00E621AD"/>
    <w:rsid w:val="00E622B8"/>
    <w:rsid w:val="00E62920"/>
    <w:rsid w:val="00E62A1B"/>
    <w:rsid w:val="00E62B6D"/>
    <w:rsid w:val="00E635DE"/>
    <w:rsid w:val="00E6379F"/>
    <w:rsid w:val="00E6418C"/>
    <w:rsid w:val="00E641CB"/>
    <w:rsid w:val="00E6429D"/>
    <w:rsid w:val="00E64632"/>
    <w:rsid w:val="00E64923"/>
    <w:rsid w:val="00E64B19"/>
    <w:rsid w:val="00E65036"/>
    <w:rsid w:val="00E65383"/>
    <w:rsid w:val="00E6593A"/>
    <w:rsid w:val="00E659A3"/>
    <w:rsid w:val="00E65BB4"/>
    <w:rsid w:val="00E6647B"/>
    <w:rsid w:val="00E66736"/>
    <w:rsid w:val="00E66EDA"/>
    <w:rsid w:val="00E673F0"/>
    <w:rsid w:val="00E67622"/>
    <w:rsid w:val="00E679BF"/>
    <w:rsid w:val="00E67AA8"/>
    <w:rsid w:val="00E67C84"/>
    <w:rsid w:val="00E67DA9"/>
    <w:rsid w:val="00E7006F"/>
    <w:rsid w:val="00E703A6"/>
    <w:rsid w:val="00E7061F"/>
    <w:rsid w:val="00E7077A"/>
    <w:rsid w:val="00E71124"/>
    <w:rsid w:val="00E723DD"/>
    <w:rsid w:val="00E727B5"/>
    <w:rsid w:val="00E73019"/>
    <w:rsid w:val="00E73156"/>
    <w:rsid w:val="00E738E6"/>
    <w:rsid w:val="00E73BAE"/>
    <w:rsid w:val="00E741F1"/>
    <w:rsid w:val="00E74881"/>
    <w:rsid w:val="00E7488B"/>
    <w:rsid w:val="00E74A93"/>
    <w:rsid w:val="00E75031"/>
    <w:rsid w:val="00E750D4"/>
    <w:rsid w:val="00E7512C"/>
    <w:rsid w:val="00E76166"/>
    <w:rsid w:val="00E76405"/>
    <w:rsid w:val="00E76AC9"/>
    <w:rsid w:val="00E76DE6"/>
    <w:rsid w:val="00E770F4"/>
    <w:rsid w:val="00E773D5"/>
    <w:rsid w:val="00E8130B"/>
    <w:rsid w:val="00E82198"/>
    <w:rsid w:val="00E82248"/>
    <w:rsid w:val="00E8233E"/>
    <w:rsid w:val="00E82561"/>
    <w:rsid w:val="00E825A2"/>
    <w:rsid w:val="00E82A5F"/>
    <w:rsid w:val="00E82AAF"/>
    <w:rsid w:val="00E836D1"/>
    <w:rsid w:val="00E83953"/>
    <w:rsid w:val="00E841D4"/>
    <w:rsid w:val="00E8471A"/>
    <w:rsid w:val="00E8493D"/>
    <w:rsid w:val="00E851B4"/>
    <w:rsid w:val="00E85230"/>
    <w:rsid w:val="00E85270"/>
    <w:rsid w:val="00E853E2"/>
    <w:rsid w:val="00E855EE"/>
    <w:rsid w:val="00E85769"/>
    <w:rsid w:val="00E8626A"/>
    <w:rsid w:val="00E86273"/>
    <w:rsid w:val="00E86547"/>
    <w:rsid w:val="00E86C6D"/>
    <w:rsid w:val="00E87527"/>
    <w:rsid w:val="00E8755B"/>
    <w:rsid w:val="00E87BEA"/>
    <w:rsid w:val="00E87D5E"/>
    <w:rsid w:val="00E9037E"/>
    <w:rsid w:val="00E906A3"/>
    <w:rsid w:val="00E91631"/>
    <w:rsid w:val="00E91DE1"/>
    <w:rsid w:val="00E91EA9"/>
    <w:rsid w:val="00E92048"/>
    <w:rsid w:val="00E9213D"/>
    <w:rsid w:val="00E92AFB"/>
    <w:rsid w:val="00E92BF2"/>
    <w:rsid w:val="00E92C01"/>
    <w:rsid w:val="00E92C6E"/>
    <w:rsid w:val="00E92D08"/>
    <w:rsid w:val="00E92EAE"/>
    <w:rsid w:val="00E93047"/>
    <w:rsid w:val="00E932E3"/>
    <w:rsid w:val="00E936F3"/>
    <w:rsid w:val="00E937CE"/>
    <w:rsid w:val="00E9398A"/>
    <w:rsid w:val="00E93A33"/>
    <w:rsid w:val="00E9448A"/>
    <w:rsid w:val="00E94666"/>
    <w:rsid w:val="00E94B54"/>
    <w:rsid w:val="00E94C6A"/>
    <w:rsid w:val="00E94FE7"/>
    <w:rsid w:val="00E95357"/>
    <w:rsid w:val="00E95389"/>
    <w:rsid w:val="00E95456"/>
    <w:rsid w:val="00E9573F"/>
    <w:rsid w:val="00E95A34"/>
    <w:rsid w:val="00E95AEC"/>
    <w:rsid w:val="00E9666C"/>
    <w:rsid w:val="00E96706"/>
    <w:rsid w:val="00E96717"/>
    <w:rsid w:val="00E97024"/>
    <w:rsid w:val="00E970D8"/>
    <w:rsid w:val="00E97286"/>
    <w:rsid w:val="00E9752C"/>
    <w:rsid w:val="00E97C0F"/>
    <w:rsid w:val="00EA03F8"/>
    <w:rsid w:val="00EA04A7"/>
    <w:rsid w:val="00EA05B6"/>
    <w:rsid w:val="00EA1824"/>
    <w:rsid w:val="00EA1A72"/>
    <w:rsid w:val="00EA1DB1"/>
    <w:rsid w:val="00EA2316"/>
    <w:rsid w:val="00EA27E9"/>
    <w:rsid w:val="00EA283B"/>
    <w:rsid w:val="00EA2DF9"/>
    <w:rsid w:val="00EA2FE5"/>
    <w:rsid w:val="00EA304D"/>
    <w:rsid w:val="00EA3618"/>
    <w:rsid w:val="00EA3B21"/>
    <w:rsid w:val="00EA3C41"/>
    <w:rsid w:val="00EA43F3"/>
    <w:rsid w:val="00EA4614"/>
    <w:rsid w:val="00EA48FA"/>
    <w:rsid w:val="00EA4D0A"/>
    <w:rsid w:val="00EA4E62"/>
    <w:rsid w:val="00EA5312"/>
    <w:rsid w:val="00EA5A1C"/>
    <w:rsid w:val="00EA5AE9"/>
    <w:rsid w:val="00EA5BE0"/>
    <w:rsid w:val="00EA6213"/>
    <w:rsid w:val="00EA62DE"/>
    <w:rsid w:val="00EA663F"/>
    <w:rsid w:val="00EA6B48"/>
    <w:rsid w:val="00EA6FD8"/>
    <w:rsid w:val="00EA7205"/>
    <w:rsid w:val="00EA727D"/>
    <w:rsid w:val="00EA7483"/>
    <w:rsid w:val="00EA7589"/>
    <w:rsid w:val="00EA75B0"/>
    <w:rsid w:val="00EA7BE8"/>
    <w:rsid w:val="00EB06A8"/>
    <w:rsid w:val="00EB0A40"/>
    <w:rsid w:val="00EB0B28"/>
    <w:rsid w:val="00EB12F6"/>
    <w:rsid w:val="00EB153C"/>
    <w:rsid w:val="00EB161B"/>
    <w:rsid w:val="00EB196E"/>
    <w:rsid w:val="00EB1B26"/>
    <w:rsid w:val="00EB2101"/>
    <w:rsid w:val="00EB26A7"/>
    <w:rsid w:val="00EB26DA"/>
    <w:rsid w:val="00EB27CA"/>
    <w:rsid w:val="00EB27DA"/>
    <w:rsid w:val="00EB2F33"/>
    <w:rsid w:val="00EB31D8"/>
    <w:rsid w:val="00EB3422"/>
    <w:rsid w:val="00EB3C7F"/>
    <w:rsid w:val="00EB3C97"/>
    <w:rsid w:val="00EB40AE"/>
    <w:rsid w:val="00EB42EA"/>
    <w:rsid w:val="00EB48F0"/>
    <w:rsid w:val="00EB4EF0"/>
    <w:rsid w:val="00EB5424"/>
    <w:rsid w:val="00EB5472"/>
    <w:rsid w:val="00EB5486"/>
    <w:rsid w:val="00EB54C1"/>
    <w:rsid w:val="00EB5844"/>
    <w:rsid w:val="00EB5852"/>
    <w:rsid w:val="00EB5881"/>
    <w:rsid w:val="00EB5905"/>
    <w:rsid w:val="00EB5DB8"/>
    <w:rsid w:val="00EB5FBB"/>
    <w:rsid w:val="00EB6016"/>
    <w:rsid w:val="00EB62C8"/>
    <w:rsid w:val="00EB657D"/>
    <w:rsid w:val="00EB6D94"/>
    <w:rsid w:val="00EB7460"/>
    <w:rsid w:val="00EB7754"/>
    <w:rsid w:val="00EB77D2"/>
    <w:rsid w:val="00EB7C64"/>
    <w:rsid w:val="00EC078C"/>
    <w:rsid w:val="00EC1D8B"/>
    <w:rsid w:val="00EC222B"/>
    <w:rsid w:val="00EC24BD"/>
    <w:rsid w:val="00EC25DA"/>
    <w:rsid w:val="00EC260B"/>
    <w:rsid w:val="00EC27D5"/>
    <w:rsid w:val="00EC282A"/>
    <w:rsid w:val="00EC28EC"/>
    <w:rsid w:val="00EC298F"/>
    <w:rsid w:val="00EC34A4"/>
    <w:rsid w:val="00EC353F"/>
    <w:rsid w:val="00EC3720"/>
    <w:rsid w:val="00EC3746"/>
    <w:rsid w:val="00EC379E"/>
    <w:rsid w:val="00EC430D"/>
    <w:rsid w:val="00EC43AB"/>
    <w:rsid w:val="00EC4F41"/>
    <w:rsid w:val="00EC55D2"/>
    <w:rsid w:val="00EC607A"/>
    <w:rsid w:val="00EC61BB"/>
    <w:rsid w:val="00EC6387"/>
    <w:rsid w:val="00EC68AF"/>
    <w:rsid w:val="00EC6C11"/>
    <w:rsid w:val="00EC6FF0"/>
    <w:rsid w:val="00EC70E6"/>
    <w:rsid w:val="00EC78DD"/>
    <w:rsid w:val="00EC7A42"/>
    <w:rsid w:val="00ED0276"/>
    <w:rsid w:val="00ED0D53"/>
    <w:rsid w:val="00ED17B3"/>
    <w:rsid w:val="00ED203B"/>
    <w:rsid w:val="00ED3134"/>
    <w:rsid w:val="00ED34B0"/>
    <w:rsid w:val="00ED39EB"/>
    <w:rsid w:val="00ED3C0B"/>
    <w:rsid w:val="00ED3EBA"/>
    <w:rsid w:val="00ED3F5D"/>
    <w:rsid w:val="00ED4032"/>
    <w:rsid w:val="00ED4A3B"/>
    <w:rsid w:val="00ED5920"/>
    <w:rsid w:val="00ED5CAB"/>
    <w:rsid w:val="00ED634B"/>
    <w:rsid w:val="00ED658E"/>
    <w:rsid w:val="00ED6DA6"/>
    <w:rsid w:val="00ED7592"/>
    <w:rsid w:val="00ED7E85"/>
    <w:rsid w:val="00EE08B0"/>
    <w:rsid w:val="00EE09A7"/>
    <w:rsid w:val="00EE1120"/>
    <w:rsid w:val="00EE1439"/>
    <w:rsid w:val="00EE1758"/>
    <w:rsid w:val="00EE21D6"/>
    <w:rsid w:val="00EE2640"/>
    <w:rsid w:val="00EE3249"/>
    <w:rsid w:val="00EE33C5"/>
    <w:rsid w:val="00EE3678"/>
    <w:rsid w:val="00EE3DD6"/>
    <w:rsid w:val="00EE44B5"/>
    <w:rsid w:val="00EE44CF"/>
    <w:rsid w:val="00EE46D2"/>
    <w:rsid w:val="00EE4C7A"/>
    <w:rsid w:val="00EE4D75"/>
    <w:rsid w:val="00EE50D5"/>
    <w:rsid w:val="00EE51D2"/>
    <w:rsid w:val="00EE54EF"/>
    <w:rsid w:val="00EE5617"/>
    <w:rsid w:val="00EE5C23"/>
    <w:rsid w:val="00EE5FC4"/>
    <w:rsid w:val="00EE6A6A"/>
    <w:rsid w:val="00EE6DC4"/>
    <w:rsid w:val="00EE6FDB"/>
    <w:rsid w:val="00EE7FD4"/>
    <w:rsid w:val="00EF0137"/>
    <w:rsid w:val="00EF0774"/>
    <w:rsid w:val="00EF077D"/>
    <w:rsid w:val="00EF0959"/>
    <w:rsid w:val="00EF17F1"/>
    <w:rsid w:val="00EF18F6"/>
    <w:rsid w:val="00EF2043"/>
    <w:rsid w:val="00EF2FE2"/>
    <w:rsid w:val="00EF3262"/>
    <w:rsid w:val="00EF3547"/>
    <w:rsid w:val="00EF36B7"/>
    <w:rsid w:val="00EF378F"/>
    <w:rsid w:val="00EF3991"/>
    <w:rsid w:val="00EF3CC5"/>
    <w:rsid w:val="00EF4686"/>
    <w:rsid w:val="00EF483D"/>
    <w:rsid w:val="00EF4F7F"/>
    <w:rsid w:val="00EF5D7E"/>
    <w:rsid w:val="00EF5F1C"/>
    <w:rsid w:val="00EF5F8E"/>
    <w:rsid w:val="00EF652C"/>
    <w:rsid w:val="00EF695F"/>
    <w:rsid w:val="00EF6DD9"/>
    <w:rsid w:val="00EF7200"/>
    <w:rsid w:val="00EF7B60"/>
    <w:rsid w:val="00EF7C21"/>
    <w:rsid w:val="00EF7D1E"/>
    <w:rsid w:val="00EF7E2C"/>
    <w:rsid w:val="00EF7EA5"/>
    <w:rsid w:val="00F003DF"/>
    <w:rsid w:val="00F0097E"/>
    <w:rsid w:val="00F00CFF"/>
    <w:rsid w:val="00F01258"/>
    <w:rsid w:val="00F019C5"/>
    <w:rsid w:val="00F01B4E"/>
    <w:rsid w:val="00F02235"/>
    <w:rsid w:val="00F032DA"/>
    <w:rsid w:val="00F0342F"/>
    <w:rsid w:val="00F03690"/>
    <w:rsid w:val="00F03A94"/>
    <w:rsid w:val="00F0428C"/>
    <w:rsid w:val="00F0539F"/>
    <w:rsid w:val="00F053E6"/>
    <w:rsid w:val="00F05448"/>
    <w:rsid w:val="00F05510"/>
    <w:rsid w:val="00F059AB"/>
    <w:rsid w:val="00F05A23"/>
    <w:rsid w:val="00F05BB4"/>
    <w:rsid w:val="00F05EF4"/>
    <w:rsid w:val="00F0669E"/>
    <w:rsid w:val="00F066D2"/>
    <w:rsid w:val="00F06B08"/>
    <w:rsid w:val="00F06C27"/>
    <w:rsid w:val="00F06CA0"/>
    <w:rsid w:val="00F07471"/>
    <w:rsid w:val="00F079B2"/>
    <w:rsid w:val="00F10A1E"/>
    <w:rsid w:val="00F10B35"/>
    <w:rsid w:val="00F10B77"/>
    <w:rsid w:val="00F11634"/>
    <w:rsid w:val="00F11675"/>
    <w:rsid w:val="00F11742"/>
    <w:rsid w:val="00F11812"/>
    <w:rsid w:val="00F11D08"/>
    <w:rsid w:val="00F11DD5"/>
    <w:rsid w:val="00F11E1A"/>
    <w:rsid w:val="00F121BD"/>
    <w:rsid w:val="00F123F1"/>
    <w:rsid w:val="00F12428"/>
    <w:rsid w:val="00F1270A"/>
    <w:rsid w:val="00F128C3"/>
    <w:rsid w:val="00F129C0"/>
    <w:rsid w:val="00F1300D"/>
    <w:rsid w:val="00F1321F"/>
    <w:rsid w:val="00F1369D"/>
    <w:rsid w:val="00F13CC9"/>
    <w:rsid w:val="00F13E10"/>
    <w:rsid w:val="00F14F3B"/>
    <w:rsid w:val="00F14FEC"/>
    <w:rsid w:val="00F15187"/>
    <w:rsid w:val="00F15C08"/>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254"/>
    <w:rsid w:val="00F22406"/>
    <w:rsid w:val="00F22579"/>
    <w:rsid w:val="00F22636"/>
    <w:rsid w:val="00F2297C"/>
    <w:rsid w:val="00F22A1A"/>
    <w:rsid w:val="00F22AA1"/>
    <w:rsid w:val="00F22B3A"/>
    <w:rsid w:val="00F22C56"/>
    <w:rsid w:val="00F233F0"/>
    <w:rsid w:val="00F239C5"/>
    <w:rsid w:val="00F24097"/>
    <w:rsid w:val="00F24546"/>
    <w:rsid w:val="00F24DDA"/>
    <w:rsid w:val="00F24EA2"/>
    <w:rsid w:val="00F2529B"/>
    <w:rsid w:val="00F2556F"/>
    <w:rsid w:val="00F25845"/>
    <w:rsid w:val="00F2607D"/>
    <w:rsid w:val="00F261C3"/>
    <w:rsid w:val="00F268C5"/>
    <w:rsid w:val="00F26B65"/>
    <w:rsid w:val="00F273C1"/>
    <w:rsid w:val="00F2746D"/>
    <w:rsid w:val="00F2780F"/>
    <w:rsid w:val="00F27D61"/>
    <w:rsid w:val="00F27D8A"/>
    <w:rsid w:val="00F300C5"/>
    <w:rsid w:val="00F30602"/>
    <w:rsid w:val="00F306BB"/>
    <w:rsid w:val="00F30913"/>
    <w:rsid w:val="00F313FF"/>
    <w:rsid w:val="00F316A7"/>
    <w:rsid w:val="00F316D5"/>
    <w:rsid w:val="00F31D66"/>
    <w:rsid w:val="00F31F29"/>
    <w:rsid w:val="00F3203D"/>
    <w:rsid w:val="00F3246F"/>
    <w:rsid w:val="00F32543"/>
    <w:rsid w:val="00F329BC"/>
    <w:rsid w:val="00F32A25"/>
    <w:rsid w:val="00F32E9A"/>
    <w:rsid w:val="00F331E6"/>
    <w:rsid w:val="00F336C3"/>
    <w:rsid w:val="00F336F7"/>
    <w:rsid w:val="00F341C6"/>
    <w:rsid w:val="00F342E2"/>
    <w:rsid w:val="00F34771"/>
    <w:rsid w:val="00F34BA8"/>
    <w:rsid w:val="00F34C12"/>
    <w:rsid w:val="00F34FDA"/>
    <w:rsid w:val="00F351DF"/>
    <w:rsid w:val="00F3537F"/>
    <w:rsid w:val="00F35878"/>
    <w:rsid w:val="00F363D8"/>
    <w:rsid w:val="00F3650E"/>
    <w:rsid w:val="00F367EA"/>
    <w:rsid w:val="00F36F11"/>
    <w:rsid w:val="00F377B0"/>
    <w:rsid w:val="00F37A06"/>
    <w:rsid w:val="00F404A6"/>
    <w:rsid w:val="00F4053E"/>
    <w:rsid w:val="00F406B0"/>
    <w:rsid w:val="00F407A3"/>
    <w:rsid w:val="00F40CE0"/>
    <w:rsid w:val="00F40E49"/>
    <w:rsid w:val="00F41421"/>
    <w:rsid w:val="00F41453"/>
    <w:rsid w:val="00F41673"/>
    <w:rsid w:val="00F41DD3"/>
    <w:rsid w:val="00F41DF7"/>
    <w:rsid w:val="00F421A1"/>
    <w:rsid w:val="00F4223E"/>
    <w:rsid w:val="00F424FF"/>
    <w:rsid w:val="00F42EC5"/>
    <w:rsid w:val="00F430C7"/>
    <w:rsid w:val="00F4321F"/>
    <w:rsid w:val="00F433CA"/>
    <w:rsid w:val="00F436F0"/>
    <w:rsid w:val="00F43966"/>
    <w:rsid w:val="00F43A8E"/>
    <w:rsid w:val="00F43AF1"/>
    <w:rsid w:val="00F440D9"/>
    <w:rsid w:val="00F440ED"/>
    <w:rsid w:val="00F442A6"/>
    <w:rsid w:val="00F44674"/>
    <w:rsid w:val="00F449BA"/>
    <w:rsid w:val="00F44FC7"/>
    <w:rsid w:val="00F457AF"/>
    <w:rsid w:val="00F457F0"/>
    <w:rsid w:val="00F4593D"/>
    <w:rsid w:val="00F45FE6"/>
    <w:rsid w:val="00F461AA"/>
    <w:rsid w:val="00F462ED"/>
    <w:rsid w:val="00F46CF7"/>
    <w:rsid w:val="00F46DEF"/>
    <w:rsid w:val="00F47249"/>
    <w:rsid w:val="00F4775D"/>
    <w:rsid w:val="00F47FA8"/>
    <w:rsid w:val="00F5007C"/>
    <w:rsid w:val="00F50190"/>
    <w:rsid w:val="00F50BB8"/>
    <w:rsid w:val="00F50C40"/>
    <w:rsid w:val="00F50CDB"/>
    <w:rsid w:val="00F5138D"/>
    <w:rsid w:val="00F5142C"/>
    <w:rsid w:val="00F515D7"/>
    <w:rsid w:val="00F51B23"/>
    <w:rsid w:val="00F523A5"/>
    <w:rsid w:val="00F531E0"/>
    <w:rsid w:val="00F53295"/>
    <w:rsid w:val="00F532A0"/>
    <w:rsid w:val="00F53863"/>
    <w:rsid w:val="00F541C2"/>
    <w:rsid w:val="00F54298"/>
    <w:rsid w:val="00F542D5"/>
    <w:rsid w:val="00F54DF8"/>
    <w:rsid w:val="00F551F2"/>
    <w:rsid w:val="00F555EB"/>
    <w:rsid w:val="00F558B2"/>
    <w:rsid w:val="00F55D03"/>
    <w:rsid w:val="00F55F42"/>
    <w:rsid w:val="00F560E7"/>
    <w:rsid w:val="00F56275"/>
    <w:rsid w:val="00F56815"/>
    <w:rsid w:val="00F56B87"/>
    <w:rsid w:val="00F5741F"/>
    <w:rsid w:val="00F5744A"/>
    <w:rsid w:val="00F57A87"/>
    <w:rsid w:val="00F57F30"/>
    <w:rsid w:val="00F601AC"/>
    <w:rsid w:val="00F6067E"/>
    <w:rsid w:val="00F606DE"/>
    <w:rsid w:val="00F60D95"/>
    <w:rsid w:val="00F60EA8"/>
    <w:rsid w:val="00F6111E"/>
    <w:rsid w:val="00F61B63"/>
    <w:rsid w:val="00F6206D"/>
    <w:rsid w:val="00F624F8"/>
    <w:rsid w:val="00F62876"/>
    <w:rsid w:val="00F62A1B"/>
    <w:rsid w:val="00F62CC8"/>
    <w:rsid w:val="00F637CC"/>
    <w:rsid w:val="00F63AEC"/>
    <w:rsid w:val="00F63CA3"/>
    <w:rsid w:val="00F641C0"/>
    <w:rsid w:val="00F6426A"/>
    <w:rsid w:val="00F6498D"/>
    <w:rsid w:val="00F656CF"/>
    <w:rsid w:val="00F6585E"/>
    <w:rsid w:val="00F66AE6"/>
    <w:rsid w:val="00F66B8E"/>
    <w:rsid w:val="00F67CFA"/>
    <w:rsid w:val="00F700E3"/>
    <w:rsid w:val="00F70395"/>
    <w:rsid w:val="00F70555"/>
    <w:rsid w:val="00F71018"/>
    <w:rsid w:val="00F712EF"/>
    <w:rsid w:val="00F71359"/>
    <w:rsid w:val="00F71897"/>
    <w:rsid w:val="00F71CB9"/>
    <w:rsid w:val="00F71F5D"/>
    <w:rsid w:val="00F72641"/>
    <w:rsid w:val="00F72649"/>
    <w:rsid w:val="00F72B72"/>
    <w:rsid w:val="00F72DA5"/>
    <w:rsid w:val="00F737DB"/>
    <w:rsid w:val="00F73DDB"/>
    <w:rsid w:val="00F73EB6"/>
    <w:rsid w:val="00F740B9"/>
    <w:rsid w:val="00F74368"/>
    <w:rsid w:val="00F743E6"/>
    <w:rsid w:val="00F746BC"/>
    <w:rsid w:val="00F74AE0"/>
    <w:rsid w:val="00F74F2C"/>
    <w:rsid w:val="00F7529E"/>
    <w:rsid w:val="00F758B0"/>
    <w:rsid w:val="00F75C34"/>
    <w:rsid w:val="00F76193"/>
    <w:rsid w:val="00F7654A"/>
    <w:rsid w:val="00F76D5F"/>
    <w:rsid w:val="00F76EB0"/>
    <w:rsid w:val="00F76F19"/>
    <w:rsid w:val="00F771DC"/>
    <w:rsid w:val="00F779A3"/>
    <w:rsid w:val="00F77ABD"/>
    <w:rsid w:val="00F77C00"/>
    <w:rsid w:val="00F80C38"/>
    <w:rsid w:val="00F81529"/>
    <w:rsid w:val="00F81D4E"/>
    <w:rsid w:val="00F81E3B"/>
    <w:rsid w:val="00F81E90"/>
    <w:rsid w:val="00F81F9D"/>
    <w:rsid w:val="00F8248D"/>
    <w:rsid w:val="00F8273E"/>
    <w:rsid w:val="00F82960"/>
    <w:rsid w:val="00F82AE6"/>
    <w:rsid w:val="00F82EA6"/>
    <w:rsid w:val="00F82FD7"/>
    <w:rsid w:val="00F832AF"/>
    <w:rsid w:val="00F8352B"/>
    <w:rsid w:val="00F83BF3"/>
    <w:rsid w:val="00F83D9D"/>
    <w:rsid w:val="00F83EF2"/>
    <w:rsid w:val="00F84065"/>
    <w:rsid w:val="00F8445F"/>
    <w:rsid w:val="00F84911"/>
    <w:rsid w:val="00F84B5F"/>
    <w:rsid w:val="00F85435"/>
    <w:rsid w:val="00F85BBB"/>
    <w:rsid w:val="00F85C82"/>
    <w:rsid w:val="00F85E2A"/>
    <w:rsid w:val="00F86AE3"/>
    <w:rsid w:val="00F8748D"/>
    <w:rsid w:val="00F8763C"/>
    <w:rsid w:val="00F87851"/>
    <w:rsid w:val="00F9078C"/>
    <w:rsid w:val="00F91306"/>
    <w:rsid w:val="00F91668"/>
    <w:rsid w:val="00F9176E"/>
    <w:rsid w:val="00F9187A"/>
    <w:rsid w:val="00F919CE"/>
    <w:rsid w:val="00F925C3"/>
    <w:rsid w:val="00F926DB"/>
    <w:rsid w:val="00F92CBD"/>
    <w:rsid w:val="00F93686"/>
    <w:rsid w:val="00F93C54"/>
    <w:rsid w:val="00F93D59"/>
    <w:rsid w:val="00F940EE"/>
    <w:rsid w:val="00F9455A"/>
    <w:rsid w:val="00F94647"/>
    <w:rsid w:val="00F946F0"/>
    <w:rsid w:val="00F9480C"/>
    <w:rsid w:val="00F94D11"/>
    <w:rsid w:val="00F94F2F"/>
    <w:rsid w:val="00F950E5"/>
    <w:rsid w:val="00F95257"/>
    <w:rsid w:val="00F953AD"/>
    <w:rsid w:val="00F95A89"/>
    <w:rsid w:val="00F95A96"/>
    <w:rsid w:val="00F95DB6"/>
    <w:rsid w:val="00F960F0"/>
    <w:rsid w:val="00F965FA"/>
    <w:rsid w:val="00F96A37"/>
    <w:rsid w:val="00F96F3D"/>
    <w:rsid w:val="00F9705D"/>
    <w:rsid w:val="00F971C5"/>
    <w:rsid w:val="00F9744C"/>
    <w:rsid w:val="00F97794"/>
    <w:rsid w:val="00F97991"/>
    <w:rsid w:val="00F97BD0"/>
    <w:rsid w:val="00F97E8F"/>
    <w:rsid w:val="00FA02EC"/>
    <w:rsid w:val="00FA045C"/>
    <w:rsid w:val="00FA0F65"/>
    <w:rsid w:val="00FA0FC3"/>
    <w:rsid w:val="00FA11B8"/>
    <w:rsid w:val="00FA1378"/>
    <w:rsid w:val="00FA16A5"/>
    <w:rsid w:val="00FA1881"/>
    <w:rsid w:val="00FA1B80"/>
    <w:rsid w:val="00FA1D72"/>
    <w:rsid w:val="00FA1F21"/>
    <w:rsid w:val="00FA25A5"/>
    <w:rsid w:val="00FA2A2A"/>
    <w:rsid w:val="00FA2BB3"/>
    <w:rsid w:val="00FA2FD4"/>
    <w:rsid w:val="00FA2FF1"/>
    <w:rsid w:val="00FA2FF5"/>
    <w:rsid w:val="00FA31A1"/>
    <w:rsid w:val="00FA31B9"/>
    <w:rsid w:val="00FA321F"/>
    <w:rsid w:val="00FA3244"/>
    <w:rsid w:val="00FA3531"/>
    <w:rsid w:val="00FA45CD"/>
    <w:rsid w:val="00FA4787"/>
    <w:rsid w:val="00FA4D59"/>
    <w:rsid w:val="00FA58EF"/>
    <w:rsid w:val="00FA5D02"/>
    <w:rsid w:val="00FA61BE"/>
    <w:rsid w:val="00FA647E"/>
    <w:rsid w:val="00FA6918"/>
    <w:rsid w:val="00FA6AA8"/>
    <w:rsid w:val="00FA7123"/>
    <w:rsid w:val="00FA7142"/>
    <w:rsid w:val="00FA7350"/>
    <w:rsid w:val="00FA7513"/>
    <w:rsid w:val="00FA77C9"/>
    <w:rsid w:val="00FA798B"/>
    <w:rsid w:val="00FA7A99"/>
    <w:rsid w:val="00FA7CF9"/>
    <w:rsid w:val="00FA7E32"/>
    <w:rsid w:val="00FB0440"/>
    <w:rsid w:val="00FB0756"/>
    <w:rsid w:val="00FB09E5"/>
    <w:rsid w:val="00FB0E24"/>
    <w:rsid w:val="00FB0F21"/>
    <w:rsid w:val="00FB1103"/>
    <w:rsid w:val="00FB1D0C"/>
    <w:rsid w:val="00FB1D0D"/>
    <w:rsid w:val="00FB25F3"/>
    <w:rsid w:val="00FB2EC9"/>
    <w:rsid w:val="00FB32B8"/>
    <w:rsid w:val="00FB605E"/>
    <w:rsid w:val="00FB644A"/>
    <w:rsid w:val="00FB6BA2"/>
    <w:rsid w:val="00FB6CCA"/>
    <w:rsid w:val="00FB6E29"/>
    <w:rsid w:val="00FB737B"/>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AA3"/>
    <w:rsid w:val="00FC2EEC"/>
    <w:rsid w:val="00FC3207"/>
    <w:rsid w:val="00FC3379"/>
    <w:rsid w:val="00FC33CB"/>
    <w:rsid w:val="00FC387C"/>
    <w:rsid w:val="00FC4015"/>
    <w:rsid w:val="00FC40A7"/>
    <w:rsid w:val="00FC4620"/>
    <w:rsid w:val="00FC46B8"/>
    <w:rsid w:val="00FC51AF"/>
    <w:rsid w:val="00FC592F"/>
    <w:rsid w:val="00FC5A04"/>
    <w:rsid w:val="00FC60E3"/>
    <w:rsid w:val="00FC6155"/>
    <w:rsid w:val="00FC65AE"/>
    <w:rsid w:val="00FC6946"/>
    <w:rsid w:val="00FC6FA7"/>
    <w:rsid w:val="00FC6FF9"/>
    <w:rsid w:val="00FC76FD"/>
    <w:rsid w:val="00FC780D"/>
    <w:rsid w:val="00FC7ADE"/>
    <w:rsid w:val="00FC7B69"/>
    <w:rsid w:val="00FC7E2D"/>
    <w:rsid w:val="00FD009A"/>
    <w:rsid w:val="00FD00CB"/>
    <w:rsid w:val="00FD072C"/>
    <w:rsid w:val="00FD14C8"/>
    <w:rsid w:val="00FD2591"/>
    <w:rsid w:val="00FD2931"/>
    <w:rsid w:val="00FD2D7F"/>
    <w:rsid w:val="00FD2DEC"/>
    <w:rsid w:val="00FD2EB0"/>
    <w:rsid w:val="00FD3787"/>
    <w:rsid w:val="00FD3AAC"/>
    <w:rsid w:val="00FD3F72"/>
    <w:rsid w:val="00FD4493"/>
    <w:rsid w:val="00FD4C41"/>
    <w:rsid w:val="00FD4E4B"/>
    <w:rsid w:val="00FD51AE"/>
    <w:rsid w:val="00FD5F55"/>
    <w:rsid w:val="00FD6109"/>
    <w:rsid w:val="00FD6747"/>
    <w:rsid w:val="00FD6850"/>
    <w:rsid w:val="00FD68E4"/>
    <w:rsid w:val="00FD73C3"/>
    <w:rsid w:val="00FD7671"/>
    <w:rsid w:val="00FD7792"/>
    <w:rsid w:val="00FD7C77"/>
    <w:rsid w:val="00FE0023"/>
    <w:rsid w:val="00FE03F0"/>
    <w:rsid w:val="00FE041E"/>
    <w:rsid w:val="00FE09C9"/>
    <w:rsid w:val="00FE09CC"/>
    <w:rsid w:val="00FE0EC0"/>
    <w:rsid w:val="00FE124E"/>
    <w:rsid w:val="00FE15C4"/>
    <w:rsid w:val="00FE201A"/>
    <w:rsid w:val="00FE202A"/>
    <w:rsid w:val="00FE249B"/>
    <w:rsid w:val="00FE254D"/>
    <w:rsid w:val="00FE2603"/>
    <w:rsid w:val="00FE2C54"/>
    <w:rsid w:val="00FE2F7D"/>
    <w:rsid w:val="00FE2FCD"/>
    <w:rsid w:val="00FE343A"/>
    <w:rsid w:val="00FE3626"/>
    <w:rsid w:val="00FE36B5"/>
    <w:rsid w:val="00FE36F3"/>
    <w:rsid w:val="00FE3BBE"/>
    <w:rsid w:val="00FE3EF6"/>
    <w:rsid w:val="00FE409D"/>
    <w:rsid w:val="00FE411C"/>
    <w:rsid w:val="00FE489F"/>
    <w:rsid w:val="00FE56D2"/>
    <w:rsid w:val="00FE59D6"/>
    <w:rsid w:val="00FE5A5C"/>
    <w:rsid w:val="00FE6208"/>
    <w:rsid w:val="00FE6518"/>
    <w:rsid w:val="00FE6564"/>
    <w:rsid w:val="00FE67A0"/>
    <w:rsid w:val="00FE6917"/>
    <w:rsid w:val="00FE69E4"/>
    <w:rsid w:val="00FE6E01"/>
    <w:rsid w:val="00FE6FC7"/>
    <w:rsid w:val="00FE7246"/>
    <w:rsid w:val="00FE729D"/>
    <w:rsid w:val="00FE7AB4"/>
    <w:rsid w:val="00FE7C96"/>
    <w:rsid w:val="00FF00D0"/>
    <w:rsid w:val="00FF0555"/>
    <w:rsid w:val="00FF0647"/>
    <w:rsid w:val="00FF0818"/>
    <w:rsid w:val="00FF0C26"/>
    <w:rsid w:val="00FF0F55"/>
    <w:rsid w:val="00FF120E"/>
    <w:rsid w:val="00FF1649"/>
    <w:rsid w:val="00FF1985"/>
    <w:rsid w:val="00FF1D82"/>
    <w:rsid w:val="00FF1E3C"/>
    <w:rsid w:val="00FF1E57"/>
    <w:rsid w:val="00FF26B2"/>
    <w:rsid w:val="00FF29BF"/>
    <w:rsid w:val="00FF2D65"/>
    <w:rsid w:val="00FF2D96"/>
    <w:rsid w:val="00FF3560"/>
    <w:rsid w:val="00FF35DE"/>
    <w:rsid w:val="00FF3656"/>
    <w:rsid w:val="00FF380F"/>
    <w:rsid w:val="00FF3997"/>
    <w:rsid w:val="00FF3BD0"/>
    <w:rsid w:val="00FF3D18"/>
    <w:rsid w:val="00FF3D93"/>
    <w:rsid w:val="00FF3DD6"/>
    <w:rsid w:val="00FF3F20"/>
    <w:rsid w:val="00FF425B"/>
    <w:rsid w:val="00FF4885"/>
    <w:rsid w:val="00FF48AE"/>
    <w:rsid w:val="00FF4C18"/>
    <w:rsid w:val="00FF504A"/>
    <w:rsid w:val="00FF5480"/>
    <w:rsid w:val="00FF550C"/>
    <w:rsid w:val="00FF5887"/>
    <w:rsid w:val="00FF5AFA"/>
    <w:rsid w:val="00FF5B3C"/>
    <w:rsid w:val="00FF5F23"/>
    <w:rsid w:val="00FF6172"/>
    <w:rsid w:val="00FF6FED"/>
    <w:rsid w:val="00FF7079"/>
    <w:rsid w:val="00FF78C7"/>
    <w:rsid w:val="00FF7D22"/>
    <w:rsid w:val="01195121"/>
    <w:rsid w:val="023F0464"/>
    <w:rsid w:val="030B1DCE"/>
    <w:rsid w:val="033E696D"/>
    <w:rsid w:val="04073203"/>
    <w:rsid w:val="041D055F"/>
    <w:rsid w:val="042F62B6"/>
    <w:rsid w:val="04504BAA"/>
    <w:rsid w:val="04A42800"/>
    <w:rsid w:val="04CB5FDF"/>
    <w:rsid w:val="04E35A1E"/>
    <w:rsid w:val="050D4849"/>
    <w:rsid w:val="053A13B6"/>
    <w:rsid w:val="054F59E9"/>
    <w:rsid w:val="06581EE9"/>
    <w:rsid w:val="068044AE"/>
    <w:rsid w:val="0749768F"/>
    <w:rsid w:val="0766384E"/>
    <w:rsid w:val="07B611C8"/>
    <w:rsid w:val="07F341CA"/>
    <w:rsid w:val="0842480A"/>
    <w:rsid w:val="0865499C"/>
    <w:rsid w:val="087C7FC4"/>
    <w:rsid w:val="089B03BE"/>
    <w:rsid w:val="08A2174C"/>
    <w:rsid w:val="08F82B41"/>
    <w:rsid w:val="09047D11"/>
    <w:rsid w:val="0909183C"/>
    <w:rsid w:val="097544AF"/>
    <w:rsid w:val="09A86E39"/>
    <w:rsid w:val="09C000DC"/>
    <w:rsid w:val="09E7432D"/>
    <w:rsid w:val="0A375EC4"/>
    <w:rsid w:val="0A91567D"/>
    <w:rsid w:val="0ADB7197"/>
    <w:rsid w:val="0B187AA4"/>
    <w:rsid w:val="0B4D42B0"/>
    <w:rsid w:val="0B81105B"/>
    <w:rsid w:val="0B880791"/>
    <w:rsid w:val="0BDB744F"/>
    <w:rsid w:val="0BED3778"/>
    <w:rsid w:val="0C631107"/>
    <w:rsid w:val="0CA02447"/>
    <w:rsid w:val="0D927FE1"/>
    <w:rsid w:val="0E0013EF"/>
    <w:rsid w:val="0E121122"/>
    <w:rsid w:val="0EB2020F"/>
    <w:rsid w:val="0EB36461"/>
    <w:rsid w:val="100827DD"/>
    <w:rsid w:val="105F7F23"/>
    <w:rsid w:val="107C2883"/>
    <w:rsid w:val="1085356C"/>
    <w:rsid w:val="113849FC"/>
    <w:rsid w:val="116C2743"/>
    <w:rsid w:val="1191600E"/>
    <w:rsid w:val="11A26319"/>
    <w:rsid w:val="11A6405B"/>
    <w:rsid w:val="12107727"/>
    <w:rsid w:val="12744159"/>
    <w:rsid w:val="12DE7825"/>
    <w:rsid w:val="13194470"/>
    <w:rsid w:val="132316DC"/>
    <w:rsid w:val="134F57F3"/>
    <w:rsid w:val="13BA2040"/>
    <w:rsid w:val="14027DB5"/>
    <w:rsid w:val="14052059"/>
    <w:rsid w:val="14134EC7"/>
    <w:rsid w:val="144430E1"/>
    <w:rsid w:val="15076514"/>
    <w:rsid w:val="163D3A93"/>
    <w:rsid w:val="163D4862"/>
    <w:rsid w:val="17762D4F"/>
    <w:rsid w:val="17FB49D5"/>
    <w:rsid w:val="1800023D"/>
    <w:rsid w:val="18BC5F12"/>
    <w:rsid w:val="18DB00B1"/>
    <w:rsid w:val="18E216F1"/>
    <w:rsid w:val="19670BDD"/>
    <w:rsid w:val="19D84FCE"/>
    <w:rsid w:val="1A666E71"/>
    <w:rsid w:val="1B486183"/>
    <w:rsid w:val="1BA84E74"/>
    <w:rsid w:val="1BF328A2"/>
    <w:rsid w:val="1C0F4EF3"/>
    <w:rsid w:val="1C8F393E"/>
    <w:rsid w:val="1CEF20EA"/>
    <w:rsid w:val="1D7A64B7"/>
    <w:rsid w:val="1DAF4298"/>
    <w:rsid w:val="1DCF0496"/>
    <w:rsid w:val="1DEF40CD"/>
    <w:rsid w:val="1DF1311D"/>
    <w:rsid w:val="1E2B6D2A"/>
    <w:rsid w:val="1E7A2AF8"/>
    <w:rsid w:val="1EB4768C"/>
    <w:rsid w:val="1F0B339B"/>
    <w:rsid w:val="1F533349"/>
    <w:rsid w:val="1F5E5F75"/>
    <w:rsid w:val="1FFF4611"/>
    <w:rsid w:val="2014519D"/>
    <w:rsid w:val="201B6A86"/>
    <w:rsid w:val="20C4005A"/>
    <w:rsid w:val="213C22E6"/>
    <w:rsid w:val="216830DB"/>
    <w:rsid w:val="21733A6D"/>
    <w:rsid w:val="22097CEF"/>
    <w:rsid w:val="222F1E4B"/>
    <w:rsid w:val="227855A0"/>
    <w:rsid w:val="230C3F3A"/>
    <w:rsid w:val="23755B92"/>
    <w:rsid w:val="239B03FC"/>
    <w:rsid w:val="24062738"/>
    <w:rsid w:val="248B0E8F"/>
    <w:rsid w:val="250A6257"/>
    <w:rsid w:val="25237319"/>
    <w:rsid w:val="257C5EE3"/>
    <w:rsid w:val="25B368EF"/>
    <w:rsid w:val="25C26B32"/>
    <w:rsid w:val="269F0C21"/>
    <w:rsid w:val="26C30DB4"/>
    <w:rsid w:val="26FB67A0"/>
    <w:rsid w:val="27070CA1"/>
    <w:rsid w:val="275D0A7C"/>
    <w:rsid w:val="28AD07D6"/>
    <w:rsid w:val="29BD0F10"/>
    <w:rsid w:val="29C235A5"/>
    <w:rsid w:val="2A911B44"/>
    <w:rsid w:val="2B4C5EAC"/>
    <w:rsid w:val="2B4F0E68"/>
    <w:rsid w:val="2B91322F"/>
    <w:rsid w:val="2BC25ADE"/>
    <w:rsid w:val="2C994A91"/>
    <w:rsid w:val="2CB01DDA"/>
    <w:rsid w:val="2D08102D"/>
    <w:rsid w:val="2DB36949"/>
    <w:rsid w:val="2DD9710F"/>
    <w:rsid w:val="2DE312CD"/>
    <w:rsid w:val="2E2C36E3"/>
    <w:rsid w:val="2E594427"/>
    <w:rsid w:val="2EA414CB"/>
    <w:rsid w:val="2FDF0BE5"/>
    <w:rsid w:val="3029612C"/>
    <w:rsid w:val="30362F4D"/>
    <w:rsid w:val="30994BC1"/>
    <w:rsid w:val="30E3277E"/>
    <w:rsid w:val="30F77FD8"/>
    <w:rsid w:val="31DE2F46"/>
    <w:rsid w:val="31E00A6C"/>
    <w:rsid w:val="323A4165"/>
    <w:rsid w:val="32EB3B6C"/>
    <w:rsid w:val="341449FD"/>
    <w:rsid w:val="34496D9C"/>
    <w:rsid w:val="34DB7DEB"/>
    <w:rsid w:val="352000B7"/>
    <w:rsid w:val="357922AE"/>
    <w:rsid w:val="35946D26"/>
    <w:rsid w:val="366003CD"/>
    <w:rsid w:val="369E0EF6"/>
    <w:rsid w:val="37990929"/>
    <w:rsid w:val="37C64260"/>
    <w:rsid w:val="388C36FB"/>
    <w:rsid w:val="38E01480"/>
    <w:rsid w:val="391334D5"/>
    <w:rsid w:val="39CB7DEF"/>
    <w:rsid w:val="3A4931E5"/>
    <w:rsid w:val="3AFD268F"/>
    <w:rsid w:val="3B6B3A9C"/>
    <w:rsid w:val="3B8C756F"/>
    <w:rsid w:val="3D374DC6"/>
    <w:rsid w:val="3DC254CA"/>
    <w:rsid w:val="3E02571A"/>
    <w:rsid w:val="3F31702D"/>
    <w:rsid w:val="3F47212A"/>
    <w:rsid w:val="3FD37F43"/>
    <w:rsid w:val="401C35B7"/>
    <w:rsid w:val="40275AB8"/>
    <w:rsid w:val="408D0011"/>
    <w:rsid w:val="40E87E13"/>
    <w:rsid w:val="411B561D"/>
    <w:rsid w:val="41F36599"/>
    <w:rsid w:val="424505EE"/>
    <w:rsid w:val="43452E25"/>
    <w:rsid w:val="436D17BE"/>
    <w:rsid w:val="43B803A0"/>
    <w:rsid w:val="447704BD"/>
    <w:rsid w:val="44847EA1"/>
    <w:rsid w:val="44D04970"/>
    <w:rsid w:val="45155E19"/>
    <w:rsid w:val="45505AB1"/>
    <w:rsid w:val="45633A36"/>
    <w:rsid w:val="459E05CA"/>
    <w:rsid w:val="46F308F0"/>
    <w:rsid w:val="47237D71"/>
    <w:rsid w:val="474A6C5C"/>
    <w:rsid w:val="47A22CDF"/>
    <w:rsid w:val="47D93B3C"/>
    <w:rsid w:val="480F1C53"/>
    <w:rsid w:val="48BD345D"/>
    <w:rsid w:val="48F83CFB"/>
    <w:rsid w:val="49AE1040"/>
    <w:rsid w:val="4A0D08DF"/>
    <w:rsid w:val="4A1504D0"/>
    <w:rsid w:val="4A747F3E"/>
    <w:rsid w:val="4ADF590D"/>
    <w:rsid w:val="4B0F26E1"/>
    <w:rsid w:val="4B1B446B"/>
    <w:rsid w:val="4B216513"/>
    <w:rsid w:val="4BB80D45"/>
    <w:rsid w:val="4C47035B"/>
    <w:rsid w:val="4C7107E7"/>
    <w:rsid w:val="4C7C718B"/>
    <w:rsid w:val="4C82117A"/>
    <w:rsid w:val="4C9350C8"/>
    <w:rsid w:val="4C96649F"/>
    <w:rsid w:val="4CBA03DF"/>
    <w:rsid w:val="4D981DA3"/>
    <w:rsid w:val="4DA628CB"/>
    <w:rsid w:val="4DB56871"/>
    <w:rsid w:val="4DF078E3"/>
    <w:rsid w:val="4F2204BE"/>
    <w:rsid w:val="4FAA05BB"/>
    <w:rsid w:val="4FBA06F6"/>
    <w:rsid w:val="50350BE7"/>
    <w:rsid w:val="50426B99"/>
    <w:rsid w:val="51087240"/>
    <w:rsid w:val="51B23B96"/>
    <w:rsid w:val="52BE04FE"/>
    <w:rsid w:val="53563C96"/>
    <w:rsid w:val="543842E0"/>
    <w:rsid w:val="54BF4771"/>
    <w:rsid w:val="558A5AFA"/>
    <w:rsid w:val="559C353C"/>
    <w:rsid w:val="55AC0AE1"/>
    <w:rsid w:val="566D64C3"/>
    <w:rsid w:val="566E3FE9"/>
    <w:rsid w:val="56A93273"/>
    <w:rsid w:val="56E13EC0"/>
    <w:rsid w:val="57054CD6"/>
    <w:rsid w:val="57E5652D"/>
    <w:rsid w:val="5829466B"/>
    <w:rsid w:val="586E207E"/>
    <w:rsid w:val="58773629"/>
    <w:rsid w:val="58DF11CE"/>
    <w:rsid w:val="58E71F9A"/>
    <w:rsid w:val="590B1F95"/>
    <w:rsid w:val="592D018B"/>
    <w:rsid w:val="59A65304"/>
    <w:rsid w:val="5A386DE8"/>
    <w:rsid w:val="5A7A11AE"/>
    <w:rsid w:val="5AEB35C3"/>
    <w:rsid w:val="5B0809A3"/>
    <w:rsid w:val="5B6A7475"/>
    <w:rsid w:val="5B727B27"/>
    <w:rsid w:val="5BE56AFB"/>
    <w:rsid w:val="5C0C4088"/>
    <w:rsid w:val="5D4635C9"/>
    <w:rsid w:val="5D812854"/>
    <w:rsid w:val="5E1A527C"/>
    <w:rsid w:val="5E67502D"/>
    <w:rsid w:val="5E68756F"/>
    <w:rsid w:val="5E7A5C21"/>
    <w:rsid w:val="5EC53626"/>
    <w:rsid w:val="5EC96260"/>
    <w:rsid w:val="5ED56729"/>
    <w:rsid w:val="602A5424"/>
    <w:rsid w:val="605E50CE"/>
    <w:rsid w:val="60CD523E"/>
    <w:rsid w:val="60D61108"/>
    <w:rsid w:val="60E509BF"/>
    <w:rsid w:val="61E15FB7"/>
    <w:rsid w:val="621E2D67"/>
    <w:rsid w:val="62854B94"/>
    <w:rsid w:val="631E50AB"/>
    <w:rsid w:val="63950E07"/>
    <w:rsid w:val="63A86D8C"/>
    <w:rsid w:val="63CE5BCA"/>
    <w:rsid w:val="63F83144"/>
    <w:rsid w:val="640146EE"/>
    <w:rsid w:val="6449399F"/>
    <w:rsid w:val="647021C5"/>
    <w:rsid w:val="64D9450A"/>
    <w:rsid w:val="64FF0C2E"/>
    <w:rsid w:val="65605444"/>
    <w:rsid w:val="660C798A"/>
    <w:rsid w:val="660F760B"/>
    <w:rsid w:val="66303069"/>
    <w:rsid w:val="66601623"/>
    <w:rsid w:val="66650F64"/>
    <w:rsid w:val="66972998"/>
    <w:rsid w:val="67237FE1"/>
    <w:rsid w:val="67677B58"/>
    <w:rsid w:val="678E3BBC"/>
    <w:rsid w:val="67E97F14"/>
    <w:rsid w:val="67EB3CE9"/>
    <w:rsid w:val="681E0A98"/>
    <w:rsid w:val="68860BDA"/>
    <w:rsid w:val="68945702"/>
    <w:rsid w:val="68AD274F"/>
    <w:rsid w:val="68D67EF7"/>
    <w:rsid w:val="69B468FE"/>
    <w:rsid w:val="6A0E36C1"/>
    <w:rsid w:val="6A4A7544"/>
    <w:rsid w:val="6A925AC2"/>
    <w:rsid w:val="6AB53B3C"/>
    <w:rsid w:val="6B0C18F7"/>
    <w:rsid w:val="6B685053"/>
    <w:rsid w:val="6B703BD5"/>
    <w:rsid w:val="6CCC236C"/>
    <w:rsid w:val="6D062D75"/>
    <w:rsid w:val="6D37588B"/>
    <w:rsid w:val="6DD02CA2"/>
    <w:rsid w:val="6DE85FD7"/>
    <w:rsid w:val="6DF91F5E"/>
    <w:rsid w:val="6EF54DA9"/>
    <w:rsid w:val="6F073D6B"/>
    <w:rsid w:val="6F4162E7"/>
    <w:rsid w:val="6F83245B"/>
    <w:rsid w:val="6FB1521A"/>
    <w:rsid w:val="6FB31727"/>
    <w:rsid w:val="6FC51889"/>
    <w:rsid w:val="717719E4"/>
    <w:rsid w:val="71AA3CCF"/>
    <w:rsid w:val="728704B4"/>
    <w:rsid w:val="728B0038"/>
    <w:rsid w:val="728C1627"/>
    <w:rsid w:val="72936E59"/>
    <w:rsid w:val="72973E6B"/>
    <w:rsid w:val="73852C46"/>
    <w:rsid w:val="73BF0FE7"/>
    <w:rsid w:val="74CA3048"/>
    <w:rsid w:val="751D6EAE"/>
    <w:rsid w:val="753520BF"/>
    <w:rsid w:val="75792336"/>
    <w:rsid w:val="75812F99"/>
    <w:rsid w:val="75815E4A"/>
    <w:rsid w:val="759727BC"/>
    <w:rsid w:val="75C83C48"/>
    <w:rsid w:val="76397D18"/>
    <w:rsid w:val="76E7349B"/>
    <w:rsid w:val="76F459ED"/>
    <w:rsid w:val="770245AD"/>
    <w:rsid w:val="773D7394"/>
    <w:rsid w:val="778925D9"/>
    <w:rsid w:val="778B1A4D"/>
    <w:rsid w:val="77941A69"/>
    <w:rsid w:val="77F008AA"/>
    <w:rsid w:val="78250553"/>
    <w:rsid w:val="78743289"/>
    <w:rsid w:val="7924080B"/>
    <w:rsid w:val="79627585"/>
    <w:rsid w:val="79872B48"/>
    <w:rsid w:val="7A7B08FF"/>
    <w:rsid w:val="7BD61BAC"/>
    <w:rsid w:val="7C5E4034"/>
    <w:rsid w:val="7CC7607D"/>
    <w:rsid w:val="7D2F3C22"/>
    <w:rsid w:val="7D8950E1"/>
    <w:rsid w:val="7DA0067C"/>
    <w:rsid w:val="7E3C3288"/>
    <w:rsid w:val="7E4E1E86"/>
    <w:rsid w:val="7E9F1B14"/>
    <w:rsid w:val="7EF11F1C"/>
    <w:rsid w:val="7F504522"/>
    <w:rsid w:val="7F594F87"/>
    <w:rsid w:val="7F6C4CBA"/>
    <w:rsid w:val="DC3FBCFB"/>
    <w:rsid w:val="EDE912B0"/>
    <w:rsid w:val="FFCD6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8"/>
    <w:autoRedefine/>
    <w:qFormat/>
    <w:uiPriority w:val="0"/>
    <w:pPr>
      <w:keepNext/>
      <w:keepLines/>
      <w:spacing w:line="360" w:lineRule="auto"/>
      <w:jc w:val="center"/>
      <w:outlineLvl w:val="0"/>
    </w:pPr>
    <w:rPr>
      <w:b/>
      <w:bCs/>
      <w:kern w:val="44"/>
      <w:sz w:val="24"/>
      <w:szCs w:val="44"/>
    </w:rPr>
  </w:style>
  <w:style w:type="paragraph" w:styleId="5">
    <w:name w:val="heading 2"/>
    <w:basedOn w:val="1"/>
    <w:next w:val="1"/>
    <w:link w:val="69"/>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293"/>
    <w:autoRedefine/>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294"/>
    <w:autoRedefine/>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95"/>
    <w:autoRedefine/>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296"/>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297"/>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298"/>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299"/>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03"/>
    <w:autoRedefine/>
    <w:qFormat/>
    <w:uiPriority w:val="0"/>
    <w:pPr>
      <w:spacing w:line="360" w:lineRule="auto"/>
      <w:ind w:firstLine="420" w:firstLineChars="200"/>
    </w:pPr>
    <w:rPr>
      <w:rFonts w:ascii="宋体" w:hAnsi="Courier New"/>
      <w:spacing w:val="-4"/>
      <w:sz w:val="24"/>
    </w:rPr>
  </w:style>
  <w:style w:type="paragraph" w:styleId="3">
    <w:name w:val="Body Text Indent"/>
    <w:basedOn w:val="1"/>
    <w:link w:val="304"/>
    <w:autoRedefine/>
    <w:unhideWhenUsed/>
    <w:qFormat/>
    <w:uiPriority w:val="0"/>
    <w:pPr>
      <w:spacing w:after="120"/>
      <w:ind w:left="420" w:leftChars="200"/>
    </w:pPr>
    <w:rPr>
      <w:kern w:val="0"/>
      <w:sz w:val="20"/>
    </w:rPr>
  </w:style>
  <w:style w:type="paragraph" w:customStyle="1" w:styleId="11">
    <w:name w:val="文档正文"/>
    <w:basedOn w:val="1"/>
    <w:autoRedefine/>
    <w:qFormat/>
    <w:uiPriority w:val="0"/>
    <w:pPr>
      <w:adjustRightInd w:val="0"/>
      <w:spacing w:before="60" w:line="360" w:lineRule="atLeast"/>
      <w:ind w:firstLine="482"/>
      <w:textAlignment w:val="baseline"/>
    </w:pPr>
    <w:rPr>
      <w:sz w:val="24"/>
    </w:rPr>
  </w:style>
  <w:style w:type="paragraph" w:styleId="14">
    <w:name w:val="toc 7"/>
    <w:basedOn w:val="1"/>
    <w:next w:val="1"/>
    <w:autoRedefine/>
    <w:qFormat/>
    <w:uiPriority w:val="39"/>
    <w:pPr>
      <w:ind w:left="1200" w:leftChars="1200"/>
    </w:pPr>
    <w:rPr>
      <w:szCs w:val="20"/>
    </w:rPr>
  </w:style>
  <w:style w:type="paragraph" w:styleId="15">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331"/>
    <w:autoRedefine/>
    <w:qFormat/>
    <w:uiPriority w:val="0"/>
    <w:pPr>
      <w:ind w:firstLine="420"/>
    </w:pPr>
    <w:rPr>
      <w:rFonts w:ascii="Calibri" w:hAnsi="Calibr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index 5"/>
    <w:basedOn w:val="1"/>
    <w:next w:val="1"/>
    <w:autoRedefine/>
    <w:qFormat/>
    <w:uiPriority w:val="0"/>
    <w:pPr>
      <w:spacing w:line="500" w:lineRule="exact"/>
      <w:ind w:left="800" w:firstLine="5632"/>
    </w:pPr>
  </w:style>
  <w:style w:type="paragraph" w:styleId="19">
    <w:name w:val="Document Map"/>
    <w:basedOn w:val="1"/>
    <w:link w:val="382"/>
    <w:autoRedefine/>
    <w:qFormat/>
    <w:uiPriority w:val="0"/>
    <w:pPr>
      <w:shd w:val="clear" w:color="auto" w:fill="000080"/>
      <w:spacing w:afterLines="100" w:line="360" w:lineRule="auto"/>
      <w:ind w:firstLine="200" w:firstLineChars="200"/>
    </w:pPr>
    <w:rPr>
      <w:rFonts w:ascii="Calibri" w:hAnsi="Calibri"/>
      <w:kern w:val="0"/>
      <w:sz w:val="24"/>
    </w:rPr>
  </w:style>
  <w:style w:type="paragraph" w:styleId="20">
    <w:name w:val="annotation text"/>
    <w:basedOn w:val="1"/>
    <w:link w:val="349"/>
    <w:autoRedefine/>
    <w:qFormat/>
    <w:uiPriority w:val="0"/>
    <w:pPr>
      <w:spacing w:afterLines="100" w:line="360" w:lineRule="auto"/>
      <w:ind w:firstLine="200" w:firstLineChars="200"/>
      <w:jc w:val="left"/>
    </w:pPr>
    <w:rPr>
      <w:rFonts w:ascii="Calibri" w:hAnsi="Calibri"/>
      <w:kern w:val="0"/>
      <w:sz w:val="24"/>
    </w:rPr>
  </w:style>
  <w:style w:type="paragraph" w:styleId="21">
    <w:name w:val="Body Text 3"/>
    <w:basedOn w:val="1"/>
    <w:link w:val="379"/>
    <w:autoRedefine/>
    <w:qFormat/>
    <w:uiPriority w:val="0"/>
    <w:pPr>
      <w:snapToGrid w:val="0"/>
      <w:spacing w:before="50" w:after="50"/>
    </w:pPr>
    <w:rPr>
      <w:rFonts w:ascii="Calibri" w:hAnsi="宋体" w:eastAsia="仿宋_GB2312"/>
      <w:b/>
      <w:bCs/>
      <w:kern w:val="0"/>
      <w:sz w:val="24"/>
      <w:szCs w:val="20"/>
    </w:rPr>
  </w:style>
  <w:style w:type="paragraph" w:styleId="22">
    <w:name w:val="Body Text"/>
    <w:basedOn w:val="1"/>
    <w:link w:val="327"/>
    <w:autoRedefine/>
    <w:qFormat/>
    <w:uiPriority w:val="0"/>
    <w:pPr>
      <w:spacing w:after="120"/>
    </w:pPr>
    <w:rPr>
      <w:rFonts w:ascii="Calibri" w:hAnsi="Calibri"/>
      <w:kern w:val="0"/>
      <w:sz w:val="28"/>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39"/>
    <w:pPr>
      <w:ind w:left="800" w:leftChars="800"/>
    </w:pPr>
    <w:rPr>
      <w:szCs w:val="20"/>
    </w:rPr>
  </w:style>
  <w:style w:type="paragraph" w:styleId="27">
    <w:name w:val="toc 3"/>
    <w:basedOn w:val="1"/>
    <w:next w:val="1"/>
    <w:autoRedefine/>
    <w:qFormat/>
    <w:uiPriority w:val="39"/>
    <w:pPr>
      <w:spacing w:line="360" w:lineRule="auto"/>
      <w:ind w:left="480" w:firstLine="200" w:firstLineChars="200"/>
      <w:jc w:val="left"/>
    </w:pPr>
    <w:rPr>
      <w:i/>
      <w:iCs/>
      <w:sz w:val="20"/>
      <w:szCs w:val="20"/>
    </w:rPr>
  </w:style>
  <w:style w:type="paragraph" w:styleId="28">
    <w:name w:val="Plain Text"/>
    <w:basedOn w:val="1"/>
    <w:link w:val="376"/>
    <w:autoRedefine/>
    <w:qFormat/>
    <w:uiPriority w:val="99"/>
    <w:pPr>
      <w:spacing w:beforeLines="50" w:afterLines="50" w:line="400" w:lineRule="exact"/>
    </w:pPr>
    <w:rPr>
      <w:rFonts w:ascii="宋体" w:hAnsi="Courier New"/>
      <w:kern w:val="0"/>
      <w:sz w:val="24"/>
    </w:rPr>
  </w:style>
  <w:style w:type="paragraph" w:styleId="29">
    <w:name w:val="toc 8"/>
    <w:basedOn w:val="1"/>
    <w:next w:val="1"/>
    <w:autoRedefine/>
    <w:qFormat/>
    <w:uiPriority w:val="39"/>
    <w:pPr>
      <w:ind w:left="1400" w:leftChars="1400"/>
    </w:pPr>
    <w:rPr>
      <w:szCs w:val="20"/>
    </w:rPr>
  </w:style>
  <w:style w:type="paragraph" w:styleId="30">
    <w:name w:val="Date"/>
    <w:basedOn w:val="1"/>
    <w:next w:val="1"/>
    <w:link w:val="360"/>
    <w:autoRedefine/>
    <w:qFormat/>
    <w:uiPriority w:val="0"/>
    <w:pPr>
      <w:ind w:left="2500" w:leftChars="2500"/>
    </w:pPr>
    <w:rPr>
      <w:rFonts w:ascii="Calibri" w:hAnsi="Calibri" w:eastAsia="楷体_GB2312"/>
      <w:kern w:val="0"/>
      <w:sz w:val="32"/>
      <w:szCs w:val="20"/>
    </w:rPr>
  </w:style>
  <w:style w:type="paragraph" w:styleId="31">
    <w:name w:val="Body Text Indent 2"/>
    <w:basedOn w:val="1"/>
    <w:link w:val="354"/>
    <w:autoRedefine/>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301"/>
    <w:autoRedefine/>
    <w:unhideWhenUsed/>
    <w:qFormat/>
    <w:uiPriority w:val="0"/>
    <w:rPr>
      <w:rFonts w:ascii="Calibri" w:hAnsi="Calibri"/>
      <w:kern w:val="0"/>
      <w:sz w:val="16"/>
      <w:szCs w:val="16"/>
    </w:rPr>
  </w:style>
  <w:style w:type="paragraph" w:styleId="33">
    <w:name w:val="footer"/>
    <w:basedOn w:val="1"/>
    <w:link w:val="292"/>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4">
    <w:name w:val="header"/>
    <w:basedOn w:val="1"/>
    <w:link w:val="291"/>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5">
    <w:name w:val="toc 1"/>
    <w:basedOn w:val="1"/>
    <w:next w:val="1"/>
    <w:autoRedefine/>
    <w:qFormat/>
    <w:uiPriority w:val="39"/>
  </w:style>
  <w:style w:type="paragraph" w:styleId="36">
    <w:name w:val="toc 4"/>
    <w:basedOn w:val="1"/>
    <w:next w:val="1"/>
    <w:autoRedefine/>
    <w:qFormat/>
    <w:uiPriority w:val="39"/>
    <w:pPr>
      <w:ind w:left="600" w:leftChars="600"/>
    </w:pPr>
    <w:rPr>
      <w:szCs w:val="20"/>
    </w:rPr>
  </w:style>
  <w:style w:type="paragraph" w:styleId="37">
    <w:name w:val="Subtitle"/>
    <w:basedOn w:val="1"/>
    <w:next w:val="1"/>
    <w:link w:val="341"/>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00" w:hanging="200" w:hangingChars="200"/>
    </w:pPr>
    <w:rPr>
      <w:sz w:val="28"/>
    </w:rPr>
  </w:style>
  <w:style w:type="paragraph" w:styleId="39">
    <w:name w:val="footnote text"/>
    <w:basedOn w:val="1"/>
    <w:link w:val="311"/>
    <w:autoRedefine/>
    <w:qFormat/>
    <w:uiPriority w:val="99"/>
    <w:pPr>
      <w:adjustRightInd w:val="0"/>
      <w:snapToGrid w:val="0"/>
      <w:spacing w:before="60" w:line="360" w:lineRule="atLeast"/>
      <w:ind w:firstLine="482"/>
      <w:jc w:val="left"/>
      <w:textAlignment w:val="baseline"/>
    </w:pPr>
    <w:rPr>
      <w:rFonts w:ascii="Calibri" w:hAnsi="Calibri"/>
      <w:kern w:val="0"/>
      <w:sz w:val="18"/>
    </w:rPr>
  </w:style>
  <w:style w:type="paragraph" w:styleId="40">
    <w:name w:val="toc 6"/>
    <w:basedOn w:val="1"/>
    <w:next w:val="1"/>
    <w:autoRedefine/>
    <w:qFormat/>
    <w:uiPriority w:val="39"/>
    <w:pPr>
      <w:ind w:left="1000" w:leftChars="1000"/>
    </w:pPr>
    <w:rPr>
      <w:szCs w:val="20"/>
    </w:rPr>
  </w:style>
  <w:style w:type="paragraph" w:styleId="41">
    <w:name w:val="Body Text Indent 3"/>
    <w:basedOn w:val="1"/>
    <w:link w:val="351"/>
    <w:autoRedefine/>
    <w:qFormat/>
    <w:uiPriority w:val="0"/>
    <w:pPr>
      <w:snapToGrid w:val="0"/>
      <w:ind w:firstLine="480" w:firstLineChars="200"/>
      <w:jc w:val="left"/>
    </w:pPr>
    <w:rPr>
      <w:rFonts w:ascii="仿宋_GB2312" w:hAnsi="宋体" w:eastAsia="仿宋_GB2312"/>
      <w:color w:val="000000"/>
      <w:kern w:val="0"/>
      <w:sz w:val="24"/>
    </w:rPr>
  </w:style>
  <w:style w:type="paragraph" w:styleId="42">
    <w:name w:val="toc 2"/>
    <w:basedOn w:val="1"/>
    <w:next w:val="1"/>
    <w:autoRedefine/>
    <w:unhideWhenUsed/>
    <w:qFormat/>
    <w:uiPriority w:val="39"/>
    <w:pPr>
      <w:ind w:left="420" w:leftChars="200"/>
    </w:pPr>
  </w:style>
  <w:style w:type="paragraph" w:styleId="43">
    <w:name w:val="toc 9"/>
    <w:basedOn w:val="1"/>
    <w:next w:val="1"/>
    <w:autoRedefine/>
    <w:qFormat/>
    <w:uiPriority w:val="39"/>
    <w:pPr>
      <w:ind w:left="1600" w:leftChars="1600"/>
    </w:pPr>
    <w:rPr>
      <w:szCs w:val="20"/>
    </w:rPr>
  </w:style>
  <w:style w:type="paragraph" w:styleId="44">
    <w:name w:val="Body Text 2"/>
    <w:basedOn w:val="1"/>
    <w:link w:val="356"/>
    <w:autoRedefine/>
    <w:qFormat/>
    <w:uiPriority w:val="0"/>
    <w:pPr>
      <w:widowControl/>
      <w:snapToGrid w:val="0"/>
      <w:spacing w:before="50" w:afterLines="50" w:line="400" w:lineRule="exact"/>
      <w:jc w:val="left"/>
    </w:pPr>
    <w:rPr>
      <w:rFonts w:ascii="宋体" w:hAnsi="宋体"/>
      <w:color w:val="000000"/>
      <w:kern w:val="0"/>
      <w:sz w:val="24"/>
    </w:rPr>
  </w:style>
  <w:style w:type="paragraph" w:styleId="45">
    <w:name w:val="HTML Preformatted"/>
    <w:basedOn w:val="1"/>
    <w:link w:val="364"/>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link w:val="392"/>
    <w:autoRedefine/>
    <w:qFormat/>
    <w:uiPriority w:val="99"/>
    <w:pPr>
      <w:widowControl/>
      <w:spacing w:before="100" w:beforeAutospacing="1" w:after="100" w:afterAutospacing="1"/>
      <w:jc w:val="left"/>
    </w:pPr>
    <w:rPr>
      <w:rFonts w:ascii="Calibri" w:hAnsi="Calibri"/>
      <w:kern w:val="0"/>
      <w:sz w:val="24"/>
    </w:rPr>
  </w:style>
  <w:style w:type="paragraph" w:styleId="47">
    <w:name w:val="index 1"/>
    <w:basedOn w:val="1"/>
    <w:next w:val="1"/>
    <w:autoRedefine/>
    <w:qFormat/>
    <w:uiPriority w:val="0"/>
    <w:pPr>
      <w:jc w:val="center"/>
    </w:pPr>
    <w:rPr>
      <w:rFonts w:ascii="Arial" w:hAnsi="Arial" w:eastAsia="Arial" w:cs="Arial"/>
      <w:b/>
      <w:bCs/>
      <w:sz w:val="28"/>
      <w:szCs w:val="20"/>
    </w:rPr>
  </w:style>
  <w:style w:type="paragraph" w:styleId="48">
    <w:name w:val="Title"/>
    <w:basedOn w:val="1"/>
    <w:link w:val="396"/>
    <w:autoRedefine/>
    <w:qFormat/>
    <w:uiPriority w:val="0"/>
    <w:pPr>
      <w:spacing w:before="240" w:after="60"/>
      <w:jc w:val="center"/>
      <w:outlineLvl w:val="0"/>
    </w:pPr>
    <w:rPr>
      <w:rFonts w:ascii="Arial" w:hAnsi="Arial" w:eastAsia="仿宋_GB2312"/>
      <w:b/>
      <w:bCs/>
      <w:kern w:val="0"/>
      <w:sz w:val="36"/>
      <w:szCs w:val="32"/>
    </w:rPr>
  </w:style>
  <w:style w:type="paragraph" w:styleId="49">
    <w:name w:val="annotation subject"/>
    <w:basedOn w:val="20"/>
    <w:next w:val="20"/>
    <w:link w:val="387"/>
    <w:autoRedefine/>
    <w:qFormat/>
    <w:uiPriority w:val="0"/>
    <w:rPr>
      <w:b/>
      <w:bCs/>
    </w:rPr>
  </w:style>
  <w:style w:type="paragraph" w:styleId="50">
    <w:name w:val="Body Text First Indent"/>
    <w:basedOn w:val="22"/>
    <w:link w:val="326"/>
    <w:autoRedefine/>
    <w:unhideWhenUsed/>
    <w:qFormat/>
    <w:uiPriority w:val="99"/>
    <w:pPr>
      <w:ind w:firstLine="420" w:firstLineChars="100"/>
    </w:pPr>
  </w:style>
  <w:style w:type="table" w:styleId="52">
    <w:name w:val="Table Grid"/>
    <w:basedOn w:val="5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autoRedefine/>
    <w:qFormat/>
    <w:uiPriority w:val="22"/>
    <w:rPr>
      <w:b/>
      <w:bCs/>
    </w:rPr>
  </w:style>
  <w:style w:type="character" w:styleId="55">
    <w:name w:val="page number"/>
    <w:basedOn w:val="53"/>
    <w:autoRedefine/>
    <w:qFormat/>
    <w:uiPriority w:val="99"/>
  </w:style>
  <w:style w:type="character" w:styleId="56">
    <w:name w:val="FollowedHyperlink"/>
    <w:autoRedefine/>
    <w:unhideWhenUsed/>
    <w:qFormat/>
    <w:uiPriority w:val="0"/>
    <w:rPr>
      <w:color w:val="800080"/>
      <w:u w:val="single"/>
    </w:rPr>
  </w:style>
  <w:style w:type="character" w:styleId="57">
    <w:name w:val="Emphasis"/>
    <w:autoRedefine/>
    <w:qFormat/>
    <w:uiPriority w:val="0"/>
    <w:rPr>
      <w:i/>
    </w:rPr>
  </w:style>
  <w:style w:type="character" w:styleId="58">
    <w:name w:val="HTML Definition"/>
    <w:autoRedefine/>
    <w:qFormat/>
    <w:uiPriority w:val="0"/>
  </w:style>
  <w:style w:type="character" w:styleId="59">
    <w:name w:val="HTML Variable"/>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olor w:val="505050"/>
      <w:sz w:val="24"/>
      <w:szCs w:val="24"/>
    </w:rPr>
  </w:style>
  <w:style w:type="character" w:styleId="62">
    <w:name w:val="annotation reference"/>
    <w:autoRedefine/>
    <w:qFormat/>
    <w:uiPriority w:val="0"/>
    <w:rPr>
      <w:sz w:val="21"/>
      <w:szCs w:val="21"/>
    </w:rPr>
  </w:style>
  <w:style w:type="character" w:styleId="63">
    <w:name w:val="HTML Cite"/>
    <w:autoRedefine/>
    <w:qFormat/>
    <w:uiPriority w:val="0"/>
    <w:rPr>
      <w:sz w:val="24"/>
      <w:szCs w:val="24"/>
    </w:rPr>
  </w:style>
  <w:style w:type="character" w:styleId="64">
    <w:name w:val="footnote reference"/>
    <w:autoRedefine/>
    <w:unhideWhenUsed/>
    <w:qFormat/>
    <w:uiPriority w:val="99"/>
    <w:rPr>
      <w:vertAlign w:val="superscript"/>
    </w:rPr>
  </w:style>
  <w:style w:type="character" w:styleId="65">
    <w:name w:val="HTML Keyboard"/>
    <w:basedOn w:val="53"/>
    <w:autoRedefine/>
    <w:qFormat/>
    <w:uiPriority w:val="0"/>
    <w:rPr>
      <w:rFonts w:ascii="Consolas" w:hAnsi="Consolas" w:eastAsia="Consolas" w:cs="Consolas"/>
      <w:color w:val="FFFFFF"/>
      <w:sz w:val="21"/>
      <w:szCs w:val="21"/>
      <w:shd w:val="clear" w:color="auto" w:fill="333333"/>
    </w:rPr>
  </w:style>
  <w:style w:type="character" w:styleId="66">
    <w:name w:val="HTML Sample"/>
    <w:basedOn w:val="53"/>
    <w:autoRedefine/>
    <w:qFormat/>
    <w:uiPriority w:val="0"/>
    <w:rPr>
      <w:rFonts w:hint="default" w:ascii="Consolas" w:hAnsi="Consolas" w:eastAsia="Consolas" w:cs="Consolas"/>
      <w:sz w:val="21"/>
      <w:szCs w:val="21"/>
    </w:rPr>
  </w:style>
  <w:style w:type="paragraph" w:styleId="67">
    <w:name w:val="List Paragraph"/>
    <w:basedOn w:val="1"/>
    <w:link w:val="412"/>
    <w:autoRedefine/>
    <w:qFormat/>
    <w:uiPriority w:val="99"/>
    <w:pPr>
      <w:ind w:firstLine="420" w:firstLineChars="200"/>
    </w:pPr>
    <w:rPr>
      <w:szCs w:val="20"/>
    </w:rPr>
  </w:style>
  <w:style w:type="character" w:customStyle="1" w:styleId="68">
    <w:name w:val="标题 1 字符"/>
    <w:link w:val="4"/>
    <w:autoRedefine/>
    <w:qFormat/>
    <w:uiPriority w:val="0"/>
    <w:rPr>
      <w:rFonts w:ascii="Times New Roman" w:hAnsi="Times New Roman"/>
      <w:b/>
      <w:bCs/>
      <w:kern w:val="44"/>
      <w:sz w:val="24"/>
      <w:szCs w:val="44"/>
    </w:rPr>
  </w:style>
  <w:style w:type="character" w:customStyle="1" w:styleId="69">
    <w:name w:val="标题 2 字符"/>
    <w:link w:val="5"/>
    <w:autoRedefine/>
    <w:qFormat/>
    <w:uiPriority w:val="0"/>
    <w:rPr>
      <w:rFonts w:ascii="Arial" w:hAnsi="Arial" w:eastAsia="黑体" w:cs="Times New Roman"/>
      <w:b/>
      <w:bCs/>
      <w:sz w:val="32"/>
      <w:szCs w:val="32"/>
    </w:rPr>
  </w:style>
  <w:style w:type="paragraph" w:customStyle="1" w:styleId="70">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link w:val="320"/>
    <w:autoRedefine/>
    <w:qFormat/>
    <w:uiPriority w:val="0"/>
    <w:pPr>
      <w:ind w:left="420" w:firstLine="420" w:firstLineChars="200"/>
    </w:pPr>
    <w:rPr>
      <w:rFonts w:ascii="Calibri" w:hAnsi="Calibri"/>
      <w:kern w:val="0"/>
      <w:sz w:val="20"/>
      <w:szCs w:val="20"/>
    </w:rPr>
  </w:style>
  <w:style w:type="paragraph" w:customStyle="1" w:styleId="72">
    <w:name w:val="样式1"/>
    <w:basedOn w:val="1"/>
    <w:link w:val="330"/>
    <w:autoRedefine/>
    <w:qFormat/>
    <w:uiPriority w:val="0"/>
    <w:pPr>
      <w:spacing w:line="360" w:lineRule="exact"/>
      <w:ind w:firstLine="200" w:firstLineChars="200"/>
    </w:pPr>
    <w:rPr>
      <w:rFonts w:ascii="Arial" w:hAnsi="Arial"/>
      <w:kern w:val="0"/>
      <w:sz w:val="20"/>
    </w:rPr>
  </w:style>
  <w:style w:type="paragraph" w:customStyle="1" w:styleId="73">
    <w:name w:val="z-窗体顶端1"/>
    <w:basedOn w:val="1"/>
    <w:next w:val="1"/>
    <w:link w:val="332"/>
    <w:autoRedefine/>
    <w:qFormat/>
    <w:uiPriority w:val="0"/>
    <w:pPr>
      <w:widowControl/>
      <w:pBdr>
        <w:bottom w:val="single" w:color="auto" w:sz="6" w:space="1"/>
      </w:pBdr>
      <w:jc w:val="center"/>
    </w:pPr>
    <w:rPr>
      <w:rFonts w:ascii="Arial" w:hAnsi="Arial"/>
      <w:vanish/>
      <w:kern w:val="0"/>
      <w:sz w:val="16"/>
      <w:szCs w:val="16"/>
    </w:rPr>
  </w:style>
  <w:style w:type="paragraph" w:customStyle="1" w:styleId="74">
    <w:name w:val="z-窗体底端1"/>
    <w:basedOn w:val="1"/>
    <w:next w:val="1"/>
    <w:link w:val="334"/>
    <w:autoRedefine/>
    <w:qFormat/>
    <w:uiPriority w:val="0"/>
    <w:pPr>
      <w:widowControl/>
      <w:pBdr>
        <w:top w:val="single" w:color="auto" w:sz="6" w:space="1"/>
      </w:pBdr>
      <w:jc w:val="center"/>
    </w:pPr>
    <w:rPr>
      <w:rFonts w:ascii="Arial" w:hAnsi="Arial"/>
      <w:vanish/>
      <w:kern w:val="0"/>
      <w:sz w:val="16"/>
      <w:szCs w:val="16"/>
    </w:rPr>
  </w:style>
  <w:style w:type="paragraph" w:customStyle="1" w:styleId="75">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缺省文本"/>
    <w:basedOn w:val="1"/>
    <w:autoRedefine/>
    <w:qFormat/>
    <w:uiPriority w:val="0"/>
    <w:pPr>
      <w:autoSpaceDE w:val="0"/>
      <w:autoSpaceDN w:val="0"/>
      <w:adjustRightInd w:val="0"/>
      <w:ind w:firstLine="454"/>
    </w:pPr>
    <w:rPr>
      <w:sz w:val="24"/>
    </w:rPr>
  </w:style>
  <w:style w:type="paragraph" w:customStyle="1" w:styleId="77">
    <w:name w:val="默认段落字体 Para Char Char Char Char Char Char Char Char Char1 Char Char Char Char"/>
    <w:basedOn w:val="1"/>
    <w:autoRedefine/>
    <w:qFormat/>
    <w:uiPriority w:val="0"/>
    <w:rPr>
      <w:rFonts w:ascii="Tahoma" w:hAnsi="Tahoma"/>
      <w:sz w:val="24"/>
      <w:szCs w:val="20"/>
    </w:rPr>
  </w:style>
  <w:style w:type="paragraph" w:customStyle="1" w:styleId="78">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7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80">
    <w:name w:val="五级条标题"/>
    <w:basedOn w:val="81"/>
    <w:next w:val="1"/>
    <w:autoRedefine/>
    <w:qFormat/>
    <w:uiPriority w:val="0"/>
    <w:pPr>
      <w:tabs>
        <w:tab w:val="left" w:pos="360"/>
      </w:tabs>
      <w:outlineLvl w:val="6"/>
    </w:pPr>
  </w:style>
  <w:style w:type="paragraph" w:customStyle="1" w:styleId="81">
    <w:name w:val="四级条标题"/>
    <w:basedOn w:val="82"/>
    <w:next w:val="1"/>
    <w:autoRedefine/>
    <w:qFormat/>
    <w:uiPriority w:val="0"/>
    <w:pPr>
      <w:tabs>
        <w:tab w:val="left" w:pos="360"/>
      </w:tabs>
      <w:outlineLvl w:val="5"/>
    </w:pPr>
  </w:style>
  <w:style w:type="paragraph" w:customStyle="1" w:styleId="82">
    <w:name w:val="三级条标题"/>
    <w:basedOn w:val="83"/>
    <w:next w:val="1"/>
    <w:autoRedefine/>
    <w:qFormat/>
    <w:uiPriority w:val="0"/>
    <w:pPr>
      <w:tabs>
        <w:tab w:val="left" w:pos="360"/>
      </w:tabs>
      <w:outlineLvl w:val="4"/>
    </w:pPr>
  </w:style>
  <w:style w:type="paragraph" w:customStyle="1" w:styleId="83">
    <w:name w:val="二级条标题"/>
    <w:basedOn w:val="84"/>
    <w:next w:val="1"/>
    <w:autoRedefine/>
    <w:qFormat/>
    <w:uiPriority w:val="0"/>
    <w:pPr>
      <w:tabs>
        <w:tab w:val="left" w:pos="360"/>
      </w:tabs>
      <w:outlineLvl w:val="3"/>
    </w:pPr>
  </w:style>
  <w:style w:type="paragraph" w:customStyle="1" w:styleId="84">
    <w:name w:val="一级条标题"/>
    <w:basedOn w:val="85"/>
    <w:next w:val="1"/>
    <w:autoRedefine/>
    <w:qFormat/>
    <w:uiPriority w:val="0"/>
    <w:pPr>
      <w:tabs>
        <w:tab w:val="left" w:pos="360"/>
      </w:tabs>
      <w:spacing w:beforeLines="0" w:afterLines="0"/>
      <w:outlineLvl w:val="2"/>
    </w:pPr>
  </w:style>
  <w:style w:type="paragraph" w:customStyle="1" w:styleId="85">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8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87">
    <w:name w:val="Char Char Char"/>
    <w:basedOn w:val="1"/>
    <w:autoRedefine/>
    <w:qFormat/>
    <w:uiPriority w:val="0"/>
  </w:style>
  <w:style w:type="paragraph" w:customStyle="1" w:styleId="88">
    <w:name w:val="Char Char Char Char Char Char Char Char Char Char Char Char1 Char"/>
    <w:basedOn w:val="19"/>
    <w:autoRedefine/>
    <w:qFormat/>
    <w:uiPriority w:val="0"/>
    <w:pPr>
      <w:spacing w:afterLines="0" w:line="240" w:lineRule="auto"/>
      <w:ind w:firstLine="0" w:firstLineChars="0"/>
    </w:pPr>
    <w:rPr>
      <w:rFonts w:ascii="Tahoma" w:hAnsi="Tahoma"/>
    </w:rPr>
  </w:style>
  <w:style w:type="paragraph" w:customStyle="1" w:styleId="89">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90">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91">
    <w:name w:val="_标题6"/>
    <w:basedOn w:val="9"/>
    <w:next w:val="92"/>
    <w:autoRedefine/>
    <w:qFormat/>
    <w:uiPriority w:val="0"/>
    <w:pPr>
      <w:ind w:left="4820" w:hanging="4820" w:firstLineChars="0"/>
    </w:pPr>
    <w:rPr>
      <w:rFonts w:ascii="Tahoma" w:hAnsi="Tahoma"/>
      <w:b w:val="0"/>
    </w:rPr>
  </w:style>
  <w:style w:type="paragraph" w:customStyle="1" w:styleId="92">
    <w:name w:val="_正文段落"/>
    <w:basedOn w:val="1"/>
    <w:autoRedefine/>
    <w:qFormat/>
    <w:uiPriority w:val="0"/>
    <w:pPr>
      <w:spacing w:beforeLines="15" w:afterLines="15" w:line="360" w:lineRule="auto"/>
      <w:ind w:firstLine="200" w:firstLineChars="200"/>
    </w:pPr>
  </w:style>
  <w:style w:type="paragraph" w:customStyle="1" w:styleId="93">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9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5">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96">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97">
    <w:name w:val="CM37"/>
    <w:basedOn w:val="98"/>
    <w:next w:val="98"/>
    <w:autoRedefine/>
    <w:qFormat/>
    <w:uiPriority w:val="0"/>
    <w:pPr>
      <w:spacing w:after="533"/>
    </w:pPr>
    <w:rPr>
      <w:rFonts w:ascii="宋体" w:hAnsi="Times New Roman"/>
      <w:color w:val="auto"/>
    </w:rPr>
  </w:style>
  <w:style w:type="paragraph" w:customStyle="1" w:styleId="98">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99">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00">
    <w:name w:val="_标题3"/>
    <w:basedOn w:val="6"/>
    <w:next w:val="92"/>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101">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02">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03">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04">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05">
    <w:name w:val="Char Char Char Char Char Char"/>
    <w:basedOn w:val="1"/>
    <w:autoRedefine/>
    <w:qFormat/>
    <w:uiPriority w:val="0"/>
    <w:rPr>
      <w:rFonts w:ascii="Tahoma" w:hAnsi="Tahoma"/>
      <w:sz w:val="24"/>
      <w:szCs w:val="20"/>
    </w:rPr>
  </w:style>
  <w:style w:type="paragraph" w:customStyle="1" w:styleId="106">
    <w:name w:val="列出段落11"/>
    <w:basedOn w:val="1"/>
    <w:autoRedefine/>
    <w:qFormat/>
    <w:uiPriority w:val="0"/>
    <w:pPr>
      <w:ind w:firstLine="420" w:firstLineChars="200"/>
    </w:pPr>
    <w:rPr>
      <w:rFonts w:ascii="Calibri" w:hAnsi="Calibri"/>
      <w:szCs w:val="22"/>
    </w:rPr>
  </w:style>
  <w:style w:type="paragraph" w:customStyle="1" w:styleId="10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08">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09">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0">
    <w:name w:val="图名"/>
    <w:basedOn w:val="1"/>
    <w:autoRedefine/>
    <w:qFormat/>
    <w:uiPriority w:val="0"/>
    <w:pPr>
      <w:spacing w:line="360" w:lineRule="auto"/>
      <w:jc w:val="center"/>
    </w:pPr>
    <w:rPr>
      <w:rFonts w:ascii="黑体" w:eastAsia="黑体"/>
      <w:b/>
      <w:sz w:val="32"/>
      <w:szCs w:val="32"/>
    </w:rPr>
  </w:style>
  <w:style w:type="paragraph" w:customStyle="1" w:styleId="111">
    <w:name w:val="_标题5"/>
    <w:basedOn w:val="8"/>
    <w:next w:val="92"/>
    <w:autoRedefine/>
    <w:qFormat/>
    <w:uiPriority w:val="0"/>
    <w:pPr>
      <w:ind w:left="4253" w:hanging="4253"/>
    </w:pPr>
    <w:rPr>
      <w:rFonts w:ascii="Arial" w:hAnsi="Arial" w:eastAsia="黑体"/>
      <w:b w:val="0"/>
      <w:sz w:val="24"/>
    </w:rPr>
  </w:style>
  <w:style w:type="paragraph" w:customStyle="1" w:styleId="112">
    <w:name w:val="标题 21"/>
    <w:basedOn w:val="1"/>
    <w:autoRedefine/>
    <w:qFormat/>
    <w:uiPriority w:val="0"/>
    <w:pPr>
      <w:spacing w:afterLines="100" w:line="360" w:lineRule="auto"/>
    </w:pPr>
    <w:rPr>
      <w:sz w:val="24"/>
    </w:rPr>
  </w:style>
  <w:style w:type="paragraph" w:customStyle="1" w:styleId="113">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14">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1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7">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1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1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20">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21">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22">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23">
    <w:name w:val="标题 12"/>
    <w:basedOn w:val="1"/>
    <w:autoRedefine/>
    <w:qFormat/>
    <w:uiPriority w:val="0"/>
    <w:pPr>
      <w:spacing w:afterLines="100" w:line="360" w:lineRule="auto"/>
    </w:pPr>
    <w:rPr>
      <w:sz w:val="24"/>
    </w:rPr>
  </w:style>
  <w:style w:type="paragraph" w:customStyle="1" w:styleId="124">
    <w:name w:val="font9"/>
    <w:basedOn w:val="1"/>
    <w:autoRedefine/>
    <w:qFormat/>
    <w:uiPriority w:val="0"/>
    <w:pPr>
      <w:widowControl/>
      <w:spacing w:before="100" w:beforeAutospacing="1" w:afterAutospacing="1"/>
      <w:jc w:val="left"/>
    </w:pPr>
    <w:rPr>
      <w:kern w:val="0"/>
      <w:sz w:val="20"/>
      <w:szCs w:val="20"/>
    </w:rPr>
  </w:style>
  <w:style w:type="paragraph" w:customStyle="1" w:styleId="12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26">
    <w:name w:val="p15"/>
    <w:basedOn w:val="1"/>
    <w:autoRedefine/>
    <w:qFormat/>
    <w:uiPriority w:val="0"/>
    <w:pPr>
      <w:widowControl/>
    </w:pPr>
    <w:rPr>
      <w:kern w:val="0"/>
      <w:sz w:val="24"/>
    </w:rPr>
  </w:style>
  <w:style w:type="paragraph" w:customStyle="1" w:styleId="127">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8">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9">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30">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31">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32">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33">
    <w:name w:val="默认段落字体 Para Char"/>
    <w:basedOn w:val="1"/>
    <w:autoRedefine/>
    <w:qFormat/>
    <w:uiPriority w:val="0"/>
    <w:rPr>
      <w:rFonts w:ascii="Tahoma" w:hAnsi="Tahoma"/>
      <w:sz w:val="24"/>
      <w:szCs w:val="20"/>
    </w:rPr>
  </w:style>
  <w:style w:type="paragraph" w:customStyle="1" w:styleId="134">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3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36">
    <w:name w:val="样式 标题 5口H5PIM 5h5Level 3 - iheading 51.1.1.1.1标题 5标ghfhg..."/>
    <w:basedOn w:val="8"/>
    <w:autoRedefine/>
    <w:qFormat/>
    <w:uiPriority w:val="0"/>
    <w:pPr>
      <w:adjustRightInd w:val="0"/>
      <w:spacing w:line="376" w:lineRule="atLeast"/>
      <w:ind w:left="992" w:hanging="420"/>
      <w:textAlignment w:val="baseline"/>
    </w:pPr>
    <w:rPr>
      <w:color w:val="000000"/>
      <w:sz w:val="24"/>
      <w:szCs w:val="20"/>
    </w:rPr>
  </w:style>
  <w:style w:type="paragraph" w:customStyle="1" w:styleId="137">
    <w:name w:val="列出段落2"/>
    <w:basedOn w:val="1"/>
    <w:autoRedefine/>
    <w:qFormat/>
    <w:uiPriority w:val="0"/>
    <w:pPr>
      <w:ind w:firstLine="420" w:firstLineChars="200"/>
    </w:pPr>
    <w:rPr>
      <w:rFonts w:ascii="Calibri" w:hAnsi="Calibri"/>
      <w:szCs w:val="22"/>
    </w:rPr>
  </w:style>
  <w:style w:type="paragraph" w:customStyle="1" w:styleId="138">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3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0">
    <w:name w:val="标题 31"/>
    <w:basedOn w:val="1"/>
    <w:autoRedefine/>
    <w:qFormat/>
    <w:uiPriority w:val="0"/>
    <w:pPr>
      <w:spacing w:afterLines="100" w:line="360" w:lineRule="auto"/>
    </w:pPr>
    <w:rPr>
      <w:sz w:val="24"/>
    </w:rPr>
  </w:style>
  <w:style w:type="paragraph" w:customStyle="1" w:styleId="141">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42">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43">
    <w:name w:val="项目"/>
    <w:basedOn w:val="92"/>
    <w:autoRedefine/>
    <w:qFormat/>
    <w:uiPriority w:val="0"/>
    <w:pPr>
      <w:spacing w:beforeLines="0" w:afterLines="0"/>
      <w:ind w:firstLine="0" w:firstLineChars="0"/>
    </w:pPr>
    <w:rPr>
      <w:rFonts w:ascii="宋体" w:hAnsi="宋体"/>
      <w:sz w:val="24"/>
    </w:rPr>
  </w:style>
  <w:style w:type="paragraph" w:customStyle="1" w:styleId="144">
    <w:name w:val="_表格文字"/>
    <w:basedOn w:val="1"/>
    <w:autoRedefine/>
    <w:qFormat/>
    <w:uiPriority w:val="0"/>
    <w:pPr>
      <w:spacing w:beforeLines="10" w:afterLines="10"/>
    </w:pPr>
  </w:style>
  <w:style w:type="paragraph" w:customStyle="1" w:styleId="145">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46">
    <w:name w:val="Char"/>
    <w:basedOn w:val="1"/>
    <w:autoRedefine/>
    <w:qFormat/>
    <w:uiPriority w:val="0"/>
    <w:rPr>
      <w:sz w:val="24"/>
    </w:rPr>
  </w:style>
  <w:style w:type="paragraph" w:customStyle="1" w:styleId="147">
    <w:name w:val="样式 标题 5 + 右侧:  -0.18 字符"/>
    <w:basedOn w:val="1"/>
    <w:autoRedefine/>
    <w:qFormat/>
    <w:uiPriority w:val="0"/>
    <w:pPr>
      <w:tabs>
        <w:tab w:val="left" w:pos="1008"/>
      </w:tabs>
      <w:ind w:left="1008" w:hanging="1008"/>
    </w:pPr>
  </w:style>
  <w:style w:type="paragraph" w:customStyle="1" w:styleId="148">
    <w:name w:val="Char Char1 Char"/>
    <w:basedOn w:val="1"/>
    <w:autoRedefine/>
    <w:qFormat/>
    <w:uiPriority w:val="0"/>
    <w:pPr>
      <w:spacing w:line="360" w:lineRule="auto"/>
    </w:pPr>
    <w:rPr>
      <w:rFonts w:ascii="Tahoma" w:hAnsi="Tahoma"/>
      <w:sz w:val="24"/>
      <w:szCs w:val="20"/>
    </w:rPr>
  </w:style>
  <w:style w:type="paragraph" w:customStyle="1" w:styleId="149">
    <w:name w:val="_正文段落加粗"/>
    <w:basedOn w:val="92"/>
    <w:autoRedefine/>
    <w:qFormat/>
    <w:uiPriority w:val="0"/>
    <w:pPr>
      <w:spacing w:beforeLines="0" w:afterLines="0"/>
      <w:ind w:firstLine="480"/>
    </w:pPr>
    <w:rPr>
      <w:b/>
    </w:rPr>
  </w:style>
  <w:style w:type="paragraph" w:customStyle="1" w:styleId="150">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51">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52">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53">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5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55">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56">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5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5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59">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6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1">
    <w:name w:val="Char2"/>
    <w:basedOn w:val="1"/>
    <w:autoRedefine/>
    <w:qFormat/>
    <w:uiPriority w:val="0"/>
    <w:rPr>
      <w:rFonts w:ascii="Tahoma" w:hAnsi="Tahoma"/>
      <w:sz w:val="24"/>
      <w:szCs w:val="20"/>
    </w:rPr>
  </w:style>
  <w:style w:type="paragraph" w:customStyle="1" w:styleId="162">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63">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4">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65">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66">
    <w:name w:val="_标题4"/>
    <w:basedOn w:val="7"/>
    <w:next w:val="92"/>
    <w:autoRedefine/>
    <w:qFormat/>
    <w:uiPriority w:val="0"/>
    <w:pPr>
      <w:tabs>
        <w:tab w:val="left" w:pos="2160"/>
      </w:tabs>
      <w:spacing w:after="0" w:line="372" w:lineRule="auto"/>
      <w:ind w:left="3402" w:hanging="3402"/>
    </w:pPr>
    <w:rPr>
      <w:rFonts w:ascii="Tahoma" w:hAnsi="Tahoma" w:eastAsia="黑体"/>
    </w:rPr>
  </w:style>
  <w:style w:type="paragraph" w:customStyle="1" w:styleId="16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68">
    <w:name w:val="表"/>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69">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70">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2">
    <w:name w:val="公文行文"/>
    <w:basedOn w:val="1"/>
    <w:autoRedefine/>
    <w:qFormat/>
    <w:uiPriority w:val="0"/>
    <w:pPr>
      <w:spacing w:line="360" w:lineRule="auto"/>
      <w:ind w:firstLine="200" w:firstLineChars="200"/>
    </w:pPr>
    <w:rPr>
      <w:rFonts w:eastAsia="仿宋_GB2312"/>
      <w:sz w:val="28"/>
    </w:rPr>
  </w:style>
  <w:style w:type="paragraph" w:customStyle="1" w:styleId="173">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7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75">
    <w:name w:val="_题注"/>
    <w:basedOn w:val="17"/>
    <w:autoRedefine/>
    <w:qFormat/>
    <w:uiPriority w:val="0"/>
    <w:pPr>
      <w:spacing w:before="0" w:afterLines="100"/>
      <w:jc w:val="center"/>
    </w:pPr>
    <w:rPr>
      <w:sz w:val="21"/>
      <w:szCs w:val="24"/>
    </w:rPr>
  </w:style>
  <w:style w:type="paragraph" w:customStyle="1" w:styleId="176">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77">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78">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79">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80">
    <w:name w:val="_列表"/>
    <w:basedOn w:val="92"/>
    <w:autoRedefine/>
    <w:qFormat/>
    <w:uiPriority w:val="0"/>
    <w:pPr>
      <w:spacing w:beforeLines="0" w:afterLines="0"/>
    </w:pPr>
    <w:rPr>
      <w:sz w:val="24"/>
    </w:rPr>
  </w:style>
  <w:style w:type="paragraph" w:customStyle="1" w:styleId="181">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82">
    <w:name w:val="标题 11"/>
    <w:basedOn w:val="1"/>
    <w:autoRedefine/>
    <w:qFormat/>
    <w:uiPriority w:val="0"/>
    <w:pPr>
      <w:spacing w:afterLines="100" w:line="360" w:lineRule="auto"/>
    </w:pPr>
    <w:rPr>
      <w:sz w:val="24"/>
    </w:rPr>
  </w:style>
  <w:style w:type="paragraph" w:customStyle="1" w:styleId="183">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84">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85">
    <w:name w:val="_标题1"/>
    <w:basedOn w:val="4"/>
    <w:next w:val="92"/>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86">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7">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88">
    <w:name w:val="TOC 标题1"/>
    <w:basedOn w:val="4"/>
    <w:next w:val="1"/>
    <w:autoRedefine/>
    <w:qFormat/>
    <w:uiPriority w:val="0"/>
    <w:pPr>
      <w:outlineLvl w:val="9"/>
    </w:pPr>
  </w:style>
  <w:style w:type="paragraph" w:customStyle="1" w:styleId="189">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90">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91">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2">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93">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94">
    <w:name w:val="_标题2"/>
    <w:basedOn w:val="5"/>
    <w:next w:val="92"/>
    <w:autoRedefine/>
    <w:qFormat/>
    <w:uiPriority w:val="0"/>
    <w:pPr>
      <w:tabs>
        <w:tab w:val="left" w:pos="860"/>
      </w:tabs>
      <w:spacing w:beforeLines="50" w:afterLines="50" w:line="413" w:lineRule="auto"/>
      <w:ind w:left="1418" w:hanging="1418"/>
    </w:pPr>
    <w:rPr>
      <w:rFonts w:ascii="Tahoma" w:hAnsi="Tahoma"/>
    </w:rPr>
  </w:style>
  <w:style w:type="paragraph" w:customStyle="1" w:styleId="195">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96">
    <w:name w:val="_图片"/>
    <w:basedOn w:val="1"/>
    <w:next w:val="92"/>
    <w:autoRedefine/>
    <w:qFormat/>
    <w:uiPriority w:val="0"/>
    <w:pPr>
      <w:spacing w:before="46" w:line="360" w:lineRule="auto"/>
      <w:jc w:val="center"/>
    </w:pPr>
    <w:rPr>
      <w:sz w:val="18"/>
    </w:rPr>
  </w:style>
  <w:style w:type="paragraph" w:customStyle="1" w:styleId="197">
    <w:name w:val="投标文件 正文首行缩进"/>
    <w:basedOn w:val="2"/>
    <w:autoRedefine/>
    <w:qFormat/>
    <w:uiPriority w:val="0"/>
    <w:pPr>
      <w:spacing w:after="220"/>
      <w:ind w:left="0" w:leftChars="0" w:firstLine="200"/>
    </w:pPr>
    <w:rPr>
      <w:rFonts w:ascii="Arial" w:hAnsi="Arial"/>
      <w:sz w:val="21"/>
    </w:rPr>
  </w:style>
  <w:style w:type="paragraph" w:customStyle="1" w:styleId="198">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9">
    <w:name w:val="图"/>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00">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01">
    <w:name w:val="正文段"/>
    <w:basedOn w:val="1"/>
    <w:autoRedefine/>
    <w:qFormat/>
    <w:uiPriority w:val="0"/>
    <w:pPr>
      <w:widowControl/>
      <w:snapToGrid w:val="0"/>
      <w:spacing w:afterLines="50"/>
      <w:ind w:firstLine="200" w:firstLineChars="200"/>
    </w:pPr>
    <w:rPr>
      <w:kern w:val="0"/>
      <w:sz w:val="24"/>
      <w:szCs w:val="20"/>
    </w:rPr>
  </w:style>
  <w:style w:type="paragraph" w:customStyle="1" w:styleId="202">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03">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04">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5">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06">
    <w:name w:val="表格文字"/>
    <w:basedOn w:val="1"/>
    <w:autoRedefine/>
    <w:qFormat/>
    <w:uiPriority w:val="0"/>
    <w:pPr>
      <w:spacing w:beforeLines="25" w:afterLines="25"/>
      <w:jc w:val="left"/>
    </w:pPr>
    <w:rPr>
      <w:spacing w:val="10"/>
      <w:sz w:val="24"/>
    </w:rPr>
  </w:style>
  <w:style w:type="paragraph" w:customStyle="1" w:styleId="207">
    <w:name w:val="标题 22"/>
    <w:basedOn w:val="1"/>
    <w:autoRedefine/>
    <w:qFormat/>
    <w:uiPriority w:val="0"/>
    <w:pPr>
      <w:spacing w:afterLines="100" w:line="360" w:lineRule="auto"/>
    </w:pPr>
    <w:rPr>
      <w:sz w:val="24"/>
    </w:rPr>
  </w:style>
  <w:style w:type="paragraph" w:customStyle="1" w:styleId="208">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09">
    <w:name w:val="_表格标题"/>
    <w:basedOn w:val="144"/>
    <w:autoRedefine/>
    <w:qFormat/>
    <w:uiPriority w:val="0"/>
    <w:pPr>
      <w:spacing w:beforeLines="30" w:afterLines="30"/>
      <w:jc w:val="center"/>
    </w:pPr>
    <w:rPr>
      <w:b/>
      <w:sz w:val="24"/>
    </w:rPr>
  </w:style>
  <w:style w:type="paragraph" w:customStyle="1" w:styleId="210">
    <w:name w:val="Char Char Char Char Char Char Char Char Char Char Char Char Char Char Char Char"/>
    <w:basedOn w:val="1"/>
    <w:autoRedefine/>
    <w:qFormat/>
    <w:uiPriority w:val="0"/>
    <w:rPr>
      <w:sz w:val="24"/>
    </w:rPr>
  </w:style>
  <w:style w:type="paragraph" w:customStyle="1" w:styleId="211">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212">
    <w:name w:val="CM13"/>
    <w:basedOn w:val="98"/>
    <w:next w:val="98"/>
    <w:autoRedefine/>
    <w:qFormat/>
    <w:uiPriority w:val="0"/>
    <w:pPr>
      <w:spacing w:line="468" w:lineRule="atLeast"/>
    </w:pPr>
    <w:rPr>
      <w:rFonts w:ascii="宋体" w:hAnsi="Times New Roman"/>
      <w:color w:val="auto"/>
    </w:rPr>
  </w:style>
  <w:style w:type="paragraph" w:customStyle="1" w:styleId="213">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14">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15">
    <w:name w:val="标题 32"/>
    <w:basedOn w:val="1"/>
    <w:autoRedefine/>
    <w:qFormat/>
    <w:uiPriority w:val="0"/>
    <w:pPr>
      <w:spacing w:afterLines="100" w:line="360" w:lineRule="auto"/>
    </w:pPr>
    <w:rPr>
      <w:sz w:val="24"/>
    </w:rPr>
  </w:style>
  <w:style w:type="paragraph" w:customStyle="1" w:styleId="216">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17">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18">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19">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2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2">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23">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24">
    <w:name w:val="插图"/>
    <w:basedOn w:val="28"/>
    <w:autoRedefine/>
    <w:qFormat/>
    <w:uiPriority w:val="0"/>
    <w:pPr>
      <w:tabs>
        <w:tab w:val="left" w:pos="425"/>
      </w:tabs>
      <w:spacing w:beforeLines="0" w:afterLines="0" w:line="240" w:lineRule="auto"/>
      <w:jc w:val="center"/>
    </w:pPr>
    <w:rPr>
      <w:sz w:val="21"/>
      <w:szCs w:val="21"/>
    </w:rPr>
  </w:style>
  <w:style w:type="paragraph" w:customStyle="1" w:styleId="225">
    <w:name w:val="模板普通正文"/>
    <w:basedOn w:val="3"/>
    <w:autoRedefine/>
    <w:qFormat/>
    <w:uiPriority w:val="0"/>
    <w:pPr>
      <w:spacing w:beforeLines="50" w:line="360" w:lineRule="auto"/>
      <w:ind w:left="0" w:leftChars="0" w:firstLine="490" w:firstLineChars="175"/>
      <w:jc w:val="left"/>
    </w:pPr>
    <w:rPr>
      <w:sz w:val="24"/>
    </w:rPr>
  </w:style>
  <w:style w:type="paragraph" w:customStyle="1" w:styleId="226">
    <w:name w:val="p0"/>
    <w:basedOn w:val="1"/>
    <w:autoRedefine/>
    <w:qFormat/>
    <w:uiPriority w:val="0"/>
    <w:pPr>
      <w:widowControl/>
    </w:pPr>
    <w:rPr>
      <w:rFonts w:ascii="華康辦公用具篇" w:hAnsi="華康辦公用具篇" w:cs="宋体"/>
      <w:kern w:val="0"/>
      <w:szCs w:val="21"/>
    </w:rPr>
  </w:style>
  <w:style w:type="paragraph" w:customStyle="1" w:styleId="22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28">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29">
    <w:name w:val="Char Char1 Char Char Char Char"/>
    <w:basedOn w:val="19"/>
    <w:autoRedefine/>
    <w:qFormat/>
    <w:uiPriority w:val="0"/>
    <w:pPr>
      <w:spacing w:afterLines="0"/>
      <w:ind w:firstLine="540" w:firstLineChars="0"/>
    </w:pPr>
    <w:rPr>
      <w:rFonts w:eastAsia="仿宋_GB2312"/>
      <w:b/>
      <w:sz w:val="36"/>
      <w:szCs w:val="36"/>
    </w:rPr>
  </w:style>
  <w:style w:type="paragraph" w:customStyle="1" w:styleId="230">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31">
    <w:name w:val="程序段"/>
    <w:basedOn w:val="1"/>
    <w:autoRedefine/>
    <w:qFormat/>
    <w:uiPriority w:val="0"/>
    <w:pPr>
      <w:ind w:firstLine="420" w:firstLineChars="200"/>
    </w:pPr>
    <w:rPr>
      <w:rFonts w:ascii="Courier" w:hAnsi="Courier"/>
    </w:rPr>
  </w:style>
  <w:style w:type="paragraph" w:customStyle="1" w:styleId="232">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33">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34">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5">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3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37">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38">
    <w:name w:val="列出段落3"/>
    <w:basedOn w:val="1"/>
    <w:autoRedefine/>
    <w:qFormat/>
    <w:uiPriority w:val="0"/>
    <w:pPr>
      <w:ind w:firstLine="420" w:firstLineChars="200"/>
    </w:pPr>
    <w:rPr>
      <w:rFonts w:ascii="Calibri" w:hAnsi="Calibri"/>
      <w:szCs w:val="22"/>
    </w:rPr>
  </w:style>
  <w:style w:type="paragraph" w:customStyle="1" w:styleId="23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4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42">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4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4">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4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6">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4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50">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51">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52">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53">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4">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55">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5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1">
    <w:name w:val="xl28"/>
    <w:basedOn w:val="1"/>
    <w:autoRedefine/>
    <w:qFormat/>
    <w:uiPriority w:val="0"/>
    <w:pPr>
      <w:widowControl/>
      <w:spacing w:before="100" w:beforeAutospacing="1" w:afterAutospacing="1"/>
      <w:jc w:val="center"/>
    </w:pPr>
    <w:rPr>
      <w:kern w:val="0"/>
      <w:sz w:val="28"/>
      <w:szCs w:val="28"/>
    </w:rPr>
  </w:style>
  <w:style w:type="paragraph" w:customStyle="1" w:styleId="26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5">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7">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6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7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1">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7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7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74">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75">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76">
    <w:name w:val="table_1stline"/>
    <w:basedOn w:val="1"/>
    <w:autoRedefine/>
    <w:qFormat/>
    <w:uiPriority w:val="0"/>
    <w:pPr>
      <w:widowControl/>
      <w:spacing w:before="120"/>
      <w:jc w:val="left"/>
    </w:pPr>
    <w:rPr>
      <w:rFonts w:eastAsia="MS Mincho"/>
      <w:bCs/>
      <w:kern w:val="0"/>
      <w:sz w:val="20"/>
      <w:szCs w:val="20"/>
    </w:rPr>
  </w:style>
  <w:style w:type="paragraph" w:customStyle="1" w:styleId="277">
    <w:name w:val="table_lines"/>
    <w:basedOn w:val="1"/>
    <w:autoRedefine/>
    <w:qFormat/>
    <w:uiPriority w:val="0"/>
    <w:pPr>
      <w:widowControl/>
      <w:jc w:val="left"/>
    </w:pPr>
    <w:rPr>
      <w:rFonts w:eastAsia="MS Mincho"/>
      <w:kern w:val="0"/>
      <w:sz w:val="20"/>
      <w:szCs w:val="20"/>
    </w:rPr>
  </w:style>
  <w:style w:type="paragraph" w:customStyle="1" w:styleId="278">
    <w:name w:val="正文2"/>
    <w:basedOn w:val="1"/>
    <w:link w:val="395"/>
    <w:autoRedefine/>
    <w:qFormat/>
    <w:uiPriority w:val="0"/>
    <w:pPr>
      <w:spacing w:before="156" w:line="360" w:lineRule="auto"/>
      <w:ind w:firstLine="510" w:firstLineChars="200"/>
    </w:pPr>
    <w:rPr>
      <w:rFonts w:ascii="Calibri" w:hAnsi="Calibri"/>
      <w:kern w:val="0"/>
      <w:sz w:val="24"/>
      <w:szCs w:val="20"/>
    </w:rPr>
  </w:style>
  <w:style w:type="paragraph" w:customStyle="1" w:styleId="27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1">
    <w:name w:val="Body Text First Indent 21"/>
    <w:basedOn w:val="1"/>
    <w:autoRedefine/>
    <w:qFormat/>
    <w:uiPriority w:val="0"/>
    <w:pPr>
      <w:ind w:left="420" w:leftChars="200" w:firstLine="420"/>
    </w:pPr>
    <w:rPr>
      <w:szCs w:val="21"/>
    </w:rPr>
  </w:style>
  <w:style w:type="paragraph" w:customStyle="1" w:styleId="282">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83">
    <w:name w:val="修订1"/>
    <w:autoRedefine/>
    <w:hidden/>
    <w:qFormat/>
    <w:uiPriority w:val="0"/>
    <w:rPr>
      <w:rFonts w:ascii="Times New Roman" w:hAnsi="Times New Roman" w:eastAsia="宋体" w:cs="Times New Roman"/>
      <w:kern w:val="2"/>
      <w:sz w:val="21"/>
      <w:szCs w:val="24"/>
      <w:lang w:val="en-US" w:eastAsia="zh-CN" w:bidi="ar-SA"/>
    </w:rPr>
  </w:style>
  <w:style w:type="paragraph" w:customStyle="1" w:styleId="284">
    <w:name w:val="D&amp;L"/>
    <w:basedOn w:val="34"/>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85">
    <w:name w:val="Char Char Char Char Char Char Char1 Char"/>
    <w:basedOn w:val="1"/>
    <w:autoRedefine/>
    <w:qFormat/>
    <w:uiPriority w:val="0"/>
    <w:rPr>
      <w:rFonts w:ascii="Arial" w:hAnsi="Arial" w:cs="Arial"/>
      <w:sz w:val="24"/>
      <w:szCs w:val="20"/>
    </w:rPr>
  </w:style>
  <w:style w:type="paragraph" w:customStyle="1" w:styleId="286">
    <w:name w:val="此正文"/>
    <w:basedOn w:val="1"/>
    <w:autoRedefine/>
    <w:qFormat/>
    <w:uiPriority w:val="0"/>
    <w:pPr>
      <w:spacing w:line="360" w:lineRule="auto"/>
      <w:ind w:firstLine="200" w:firstLineChars="200"/>
    </w:pPr>
    <w:rPr>
      <w:sz w:val="24"/>
    </w:rPr>
  </w:style>
  <w:style w:type="paragraph" w:customStyle="1" w:styleId="287">
    <w:name w:val="p20"/>
    <w:basedOn w:val="1"/>
    <w:autoRedefine/>
    <w:qFormat/>
    <w:uiPriority w:val="0"/>
    <w:pPr>
      <w:spacing w:line="360" w:lineRule="auto"/>
    </w:pPr>
    <w:rPr>
      <w:kern w:val="0"/>
      <w:szCs w:val="21"/>
    </w:rPr>
  </w:style>
  <w:style w:type="paragraph" w:customStyle="1" w:styleId="288">
    <w:name w:val="p16"/>
    <w:basedOn w:val="1"/>
    <w:autoRedefine/>
    <w:qFormat/>
    <w:uiPriority w:val="0"/>
    <w:rPr>
      <w:kern w:val="0"/>
      <w:szCs w:val="21"/>
    </w:rPr>
  </w:style>
  <w:style w:type="paragraph" w:customStyle="1" w:styleId="289">
    <w:name w:val="*正文"/>
    <w:basedOn w:val="1"/>
    <w:autoRedefine/>
    <w:qFormat/>
    <w:uiPriority w:val="0"/>
    <w:pPr>
      <w:widowControl/>
      <w:ind w:firstLine="200" w:firstLineChars="200"/>
    </w:pPr>
    <w:rPr>
      <w:rFonts w:ascii="仿宋_GB2312" w:eastAsia="仿宋_GB2312" w:cs="仿宋_GB2312"/>
      <w:sz w:val="24"/>
    </w:rPr>
  </w:style>
  <w:style w:type="paragraph" w:customStyle="1" w:styleId="290">
    <w:name w:val="正文（首行缩进2字符）"/>
    <w:basedOn w:val="1"/>
    <w:autoRedefine/>
    <w:qFormat/>
    <w:uiPriority w:val="0"/>
    <w:pPr>
      <w:snapToGrid w:val="0"/>
      <w:ind w:firstLine="461" w:firstLineChars="192"/>
    </w:pPr>
    <w:rPr>
      <w:kern w:val="0"/>
      <w:sz w:val="24"/>
      <w:szCs w:val="28"/>
    </w:rPr>
  </w:style>
  <w:style w:type="character" w:customStyle="1" w:styleId="291">
    <w:name w:val="页眉 字符"/>
    <w:link w:val="34"/>
    <w:autoRedefine/>
    <w:qFormat/>
    <w:uiPriority w:val="99"/>
    <w:rPr>
      <w:sz w:val="18"/>
      <w:szCs w:val="18"/>
    </w:rPr>
  </w:style>
  <w:style w:type="character" w:customStyle="1" w:styleId="292">
    <w:name w:val="页脚 字符1"/>
    <w:link w:val="33"/>
    <w:autoRedefine/>
    <w:qFormat/>
    <w:uiPriority w:val="99"/>
    <w:rPr>
      <w:sz w:val="18"/>
      <w:szCs w:val="18"/>
    </w:rPr>
  </w:style>
  <w:style w:type="character" w:customStyle="1" w:styleId="293">
    <w:name w:val="标题 3 字符"/>
    <w:link w:val="6"/>
    <w:autoRedefine/>
    <w:qFormat/>
    <w:uiPriority w:val="0"/>
    <w:rPr>
      <w:rFonts w:ascii="Times New Roman" w:hAnsi="Times New Roman" w:eastAsia="宋体" w:cs="Times New Roman"/>
      <w:b/>
      <w:bCs/>
      <w:sz w:val="32"/>
      <w:szCs w:val="32"/>
    </w:rPr>
  </w:style>
  <w:style w:type="character" w:customStyle="1" w:styleId="294">
    <w:name w:val="标题 4 字符"/>
    <w:link w:val="7"/>
    <w:autoRedefine/>
    <w:qFormat/>
    <w:uiPriority w:val="0"/>
    <w:rPr>
      <w:rFonts w:ascii="Cambria" w:hAnsi="Cambria" w:eastAsia="宋体" w:cs="Times New Roman"/>
      <w:b/>
      <w:bCs/>
      <w:sz w:val="28"/>
      <w:szCs w:val="28"/>
    </w:rPr>
  </w:style>
  <w:style w:type="character" w:customStyle="1" w:styleId="295">
    <w:name w:val="标题 5 字符"/>
    <w:link w:val="8"/>
    <w:autoRedefine/>
    <w:qFormat/>
    <w:uiPriority w:val="0"/>
    <w:rPr>
      <w:rFonts w:ascii="Times New Roman" w:hAnsi="Times New Roman" w:eastAsia="宋体" w:cs="Times New Roman"/>
      <w:b/>
      <w:bCs/>
      <w:sz w:val="28"/>
      <w:szCs w:val="28"/>
    </w:rPr>
  </w:style>
  <w:style w:type="character" w:customStyle="1" w:styleId="296">
    <w:name w:val="标题 6 字符"/>
    <w:link w:val="9"/>
    <w:autoRedefine/>
    <w:qFormat/>
    <w:uiPriority w:val="0"/>
    <w:rPr>
      <w:rFonts w:ascii="Arial" w:hAnsi="Arial" w:eastAsia="黑体" w:cs="Times New Roman"/>
      <w:b/>
      <w:bCs/>
      <w:sz w:val="24"/>
      <w:szCs w:val="24"/>
    </w:rPr>
  </w:style>
  <w:style w:type="character" w:customStyle="1" w:styleId="297">
    <w:name w:val="标题 7 字符"/>
    <w:link w:val="10"/>
    <w:autoRedefine/>
    <w:qFormat/>
    <w:uiPriority w:val="0"/>
    <w:rPr>
      <w:rFonts w:ascii="Times New Roman" w:hAnsi="Times New Roman" w:eastAsia="宋体" w:cs="Times New Roman"/>
      <w:b/>
      <w:bCs/>
      <w:sz w:val="24"/>
      <w:szCs w:val="24"/>
    </w:rPr>
  </w:style>
  <w:style w:type="character" w:customStyle="1" w:styleId="298">
    <w:name w:val="标题 8 字符"/>
    <w:link w:val="12"/>
    <w:autoRedefine/>
    <w:qFormat/>
    <w:uiPriority w:val="0"/>
    <w:rPr>
      <w:rFonts w:ascii="Arial" w:hAnsi="Arial" w:eastAsia="黑体" w:cs="Times New Roman"/>
      <w:sz w:val="24"/>
      <w:szCs w:val="24"/>
    </w:rPr>
  </w:style>
  <w:style w:type="character" w:customStyle="1" w:styleId="299">
    <w:name w:val="标题 9 字符"/>
    <w:link w:val="13"/>
    <w:autoRedefine/>
    <w:qFormat/>
    <w:uiPriority w:val="0"/>
    <w:rPr>
      <w:rFonts w:ascii="Arial" w:hAnsi="Arial" w:eastAsia="黑体" w:cs="Times New Roman"/>
      <w:szCs w:val="21"/>
    </w:rPr>
  </w:style>
  <w:style w:type="character" w:customStyle="1" w:styleId="300">
    <w:name w:val="Char Char4"/>
    <w:autoRedefine/>
    <w:qFormat/>
    <w:uiPriority w:val="0"/>
    <w:rPr>
      <w:rFonts w:eastAsia="宋体"/>
      <w:kern w:val="2"/>
      <w:sz w:val="24"/>
      <w:lang w:val="en-US" w:eastAsia="zh-CN" w:bidi="ar-SA"/>
    </w:rPr>
  </w:style>
  <w:style w:type="character" w:customStyle="1" w:styleId="301">
    <w:name w:val="批注框文本 字符"/>
    <w:link w:val="32"/>
    <w:autoRedefine/>
    <w:qFormat/>
    <w:uiPriority w:val="0"/>
    <w:rPr>
      <w:sz w:val="16"/>
      <w:szCs w:val="16"/>
    </w:rPr>
  </w:style>
  <w:style w:type="character" w:customStyle="1" w:styleId="302">
    <w:name w:val="批注框文本 Char1"/>
    <w:autoRedefine/>
    <w:qFormat/>
    <w:uiPriority w:val="0"/>
    <w:rPr>
      <w:rFonts w:ascii="Times New Roman" w:hAnsi="Times New Roman" w:eastAsia="宋体" w:cs="Times New Roman"/>
      <w:sz w:val="18"/>
      <w:szCs w:val="18"/>
    </w:rPr>
  </w:style>
  <w:style w:type="character" w:customStyle="1" w:styleId="303">
    <w:name w:val="正文文本首行缩进 2 字符"/>
    <w:link w:val="2"/>
    <w:autoRedefine/>
    <w:semiHidden/>
    <w:qFormat/>
    <w:uiPriority w:val="0"/>
    <w:rPr>
      <w:rFonts w:ascii="宋体" w:hAnsi="Courier New"/>
      <w:spacing w:val="-4"/>
      <w:sz w:val="24"/>
      <w:szCs w:val="24"/>
    </w:rPr>
  </w:style>
  <w:style w:type="character" w:customStyle="1" w:styleId="304">
    <w:name w:val="正文文本缩进 字符"/>
    <w:link w:val="3"/>
    <w:autoRedefine/>
    <w:qFormat/>
    <w:uiPriority w:val="0"/>
    <w:rPr>
      <w:rFonts w:ascii="Times New Roman" w:hAnsi="Times New Roman" w:eastAsia="宋体" w:cs="Times New Roman"/>
      <w:szCs w:val="24"/>
    </w:rPr>
  </w:style>
  <w:style w:type="character" w:customStyle="1" w:styleId="305">
    <w:name w:val="正文首行缩进 2 Char1"/>
    <w:autoRedefine/>
    <w:semiHidden/>
    <w:qFormat/>
    <w:uiPriority w:val="99"/>
    <w:rPr>
      <w:rFonts w:ascii="Times New Roman" w:hAnsi="Times New Roman" w:eastAsia="宋体" w:cs="Times New Roman"/>
      <w:szCs w:val="24"/>
    </w:rPr>
  </w:style>
  <w:style w:type="character" w:customStyle="1" w:styleId="306">
    <w:name w:val="投标文件 正文首行缩进 Char"/>
    <w:autoRedefine/>
    <w:qFormat/>
    <w:uiPriority w:val="0"/>
    <w:rPr>
      <w:rFonts w:ascii="Arial" w:hAnsi="Arial" w:eastAsia="宋体"/>
      <w:kern w:val="2"/>
      <w:sz w:val="21"/>
      <w:szCs w:val="24"/>
      <w:lang w:val="en-US" w:eastAsia="zh-CN" w:bidi="ar-SA"/>
    </w:rPr>
  </w:style>
  <w:style w:type="character" w:customStyle="1" w:styleId="307">
    <w:name w:val="_正文段落 Char"/>
    <w:autoRedefine/>
    <w:qFormat/>
    <w:uiPriority w:val="0"/>
    <w:rPr>
      <w:rFonts w:eastAsia="宋体"/>
      <w:kern w:val="2"/>
      <w:sz w:val="21"/>
      <w:szCs w:val="24"/>
      <w:lang w:val="en-US" w:eastAsia="zh-CN" w:bidi="ar-SA"/>
    </w:rPr>
  </w:style>
  <w:style w:type="character" w:customStyle="1" w:styleId="308">
    <w:name w:val="Char Char17"/>
    <w:autoRedefine/>
    <w:qFormat/>
    <w:uiPriority w:val="0"/>
    <w:rPr>
      <w:rFonts w:ascii="Arial" w:hAnsi="Arial" w:eastAsia="黑体"/>
      <w:b/>
      <w:bCs/>
      <w:kern w:val="2"/>
      <w:sz w:val="32"/>
      <w:szCs w:val="32"/>
      <w:lang w:val="en-US" w:eastAsia="zh-CN" w:bidi="ar-SA"/>
    </w:rPr>
  </w:style>
  <w:style w:type="character" w:customStyle="1" w:styleId="309">
    <w:name w:val="Char Char14"/>
    <w:autoRedefine/>
    <w:qFormat/>
    <w:uiPriority w:val="0"/>
    <w:rPr>
      <w:rFonts w:eastAsia="宋体"/>
      <w:b/>
      <w:bCs/>
      <w:kern w:val="2"/>
      <w:sz w:val="28"/>
      <w:szCs w:val="28"/>
      <w:lang w:val="en-US" w:eastAsia="zh-CN" w:bidi="ar-SA"/>
    </w:rPr>
  </w:style>
  <w:style w:type="character" w:customStyle="1" w:styleId="310">
    <w:name w:val="ptt1"/>
    <w:autoRedefine/>
    <w:qFormat/>
    <w:uiPriority w:val="0"/>
    <w:rPr>
      <w:rFonts w:hint="eastAsia" w:ascii="宋体" w:hAnsi="宋体" w:eastAsia="宋体"/>
      <w:sz w:val="18"/>
      <w:szCs w:val="18"/>
    </w:rPr>
  </w:style>
  <w:style w:type="character" w:customStyle="1" w:styleId="311">
    <w:name w:val="脚注文本 字符"/>
    <w:link w:val="39"/>
    <w:autoRedefine/>
    <w:qFormat/>
    <w:uiPriority w:val="99"/>
    <w:rPr>
      <w:sz w:val="18"/>
      <w:szCs w:val="24"/>
    </w:rPr>
  </w:style>
  <w:style w:type="character" w:customStyle="1" w:styleId="312">
    <w:name w:val="脚注文本 Char1"/>
    <w:autoRedefine/>
    <w:semiHidden/>
    <w:qFormat/>
    <w:uiPriority w:val="99"/>
    <w:rPr>
      <w:rFonts w:ascii="Times New Roman" w:hAnsi="Times New Roman" w:eastAsia="宋体" w:cs="Times New Roman"/>
      <w:sz w:val="18"/>
      <w:szCs w:val="18"/>
    </w:rPr>
  </w:style>
  <w:style w:type="character" w:customStyle="1" w:styleId="313">
    <w:name w:val="Char Char18"/>
    <w:autoRedefine/>
    <w:qFormat/>
    <w:uiPriority w:val="0"/>
    <w:rPr>
      <w:rFonts w:eastAsia="宋体"/>
      <w:b/>
      <w:bCs/>
      <w:kern w:val="44"/>
      <w:sz w:val="44"/>
      <w:szCs w:val="44"/>
      <w:lang w:val="en-US" w:eastAsia="zh-CN" w:bidi="ar-SA"/>
    </w:rPr>
  </w:style>
  <w:style w:type="character" w:customStyle="1" w:styleId="314">
    <w:name w:val="font2"/>
    <w:autoRedefine/>
    <w:qFormat/>
    <w:uiPriority w:val="0"/>
  </w:style>
  <w:style w:type="character" w:customStyle="1" w:styleId="315">
    <w:name w:val="缺省文本 Char"/>
    <w:autoRedefine/>
    <w:qFormat/>
    <w:uiPriority w:val="0"/>
    <w:rPr>
      <w:rFonts w:eastAsia="宋体"/>
      <w:sz w:val="24"/>
      <w:lang w:val="en-US" w:eastAsia="zh-CN" w:bidi="ar-SA"/>
    </w:rPr>
  </w:style>
  <w:style w:type="character" w:customStyle="1" w:styleId="316">
    <w:name w:val="HTML 预设格式 Char1"/>
    <w:autoRedefine/>
    <w:semiHidden/>
    <w:qFormat/>
    <w:uiPriority w:val="99"/>
    <w:rPr>
      <w:rFonts w:ascii="Courier New" w:hAnsi="Courier New"/>
      <w:kern w:val="2"/>
    </w:rPr>
  </w:style>
  <w:style w:type="character" w:customStyle="1" w:styleId="317">
    <w:name w:val="Char Char8"/>
    <w:autoRedefine/>
    <w:qFormat/>
    <w:uiPriority w:val="0"/>
    <w:rPr>
      <w:sz w:val="24"/>
    </w:rPr>
  </w:style>
  <w:style w:type="character" w:customStyle="1" w:styleId="318">
    <w:name w:val="Char Char9"/>
    <w:autoRedefine/>
    <w:qFormat/>
    <w:uiPriority w:val="0"/>
    <w:rPr>
      <w:rFonts w:ascii="Arial" w:hAnsi="Arial" w:cs="Arial"/>
      <w:vanish/>
      <w:sz w:val="16"/>
      <w:szCs w:val="16"/>
    </w:rPr>
  </w:style>
  <w:style w:type="character" w:customStyle="1" w:styleId="319">
    <w:name w:val="font31"/>
    <w:autoRedefine/>
    <w:qFormat/>
    <w:uiPriority w:val="0"/>
    <w:rPr>
      <w:rFonts w:hint="default" w:ascii="Times New Roman" w:hAnsi="Times New Roman" w:cs="Times New Roman"/>
      <w:color w:val="FF0000"/>
      <w:sz w:val="24"/>
      <w:szCs w:val="24"/>
      <w:u w:val="none"/>
    </w:rPr>
  </w:style>
  <w:style w:type="character" w:customStyle="1" w:styleId="320">
    <w:name w:val="列出段落 Char"/>
    <w:link w:val="71"/>
    <w:autoRedefine/>
    <w:qFormat/>
    <w:uiPriority w:val="34"/>
    <w:rPr>
      <w:rFonts w:ascii="Calibri" w:hAnsi="Calibri"/>
    </w:rPr>
  </w:style>
  <w:style w:type="character" w:customStyle="1" w:styleId="321">
    <w:name w:val="_标题3 Char"/>
    <w:autoRedefine/>
    <w:qFormat/>
    <w:uiPriority w:val="0"/>
    <w:rPr>
      <w:rFonts w:ascii="Arial" w:hAnsi="Arial" w:eastAsia="黑体"/>
      <w:bCs/>
      <w:kern w:val="2"/>
      <w:sz w:val="30"/>
      <w:szCs w:val="32"/>
      <w:lang w:val="en-US" w:eastAsia="zh-CN" w:bidi="ar-SA"/>
    </w:rPr>
  </w:style>
  <w:style w:type="character" w:customStyle="1" w:styleId="322">
    <w:name w:val="_正文段落加粗 Char"/>
    <w:autoRedefine/>
    <w:qFormat/>
    <w:uiPriority w:val="0"/>
    <w:rPr>
      <w:rFonts w:eastAsia="宋体"/>
      <w:b/>
      <w:kern w:val="2"/>
      <w:sz w:val="21"/>
      <w:szCs w:val="24"/>
      <w:lang w:val="en-US" w:eastAsia="zh-CN" w:bidi="ar-SA"/>
    </w:rPr>
  </w:style>
  <w:style w:type="character" w:customStyle="1" w:styleId="323">
    <w:name w:val="Char Char"/>
    <w:autoRedefine/>
    <w:qFormat/>
    <w:uiPriority w:val="0"/>
    <w:rPr>
      <w:rFonts w:ascii="宋体" w:hAnsi="Courier New"/>
      <w:kern w:val="2"/>
      <w:sz w:val="21"/>
    </w:rPr>
  </w:style>
  <w:style w:type="character" w:customStyle="1" w:styleId="324">
    <w:name w:val="p2"/>
    <w:autoRedefine/>
    <w:qFormat/>
    <w:uiPriority w:val="0"/>
  </w:style>
  <w:style w:type="character" w:customStyle="1" w:styleId="325">
    <w:name w:val="_题注 Char"/>
    <w:autoRedefine/>
    <w:qFormat/>
    <w:uiPriority w:val="0"/>
    <w:rPr>
      <w:rFonts w:ascii="Arial" w:hAnsi="Arial" w:eastAsia="黑体" w:cs="Arial"/>
      <w:kern w:val="2"/>
      <w:sz w:val="21"/>
      <w:lang w:val="en-US" w:eastAsia="zh-CN" w:bidi="ar-SA"/>
    </w:rPr>
  </w:style>
  <w:style w:type="character" w:customStyle="1" w:styleId="326">
    <w:name w:val="正文文本首行缩进 字符"/>
    <w:link w:val="50"/>
    <w:autoRedefine/>
    <w:qFormat/>
    <w:uiPriority w:val="99"/>
    <w:rPr>
      <w:sz w:val="28"/>
      <w:szCs w:val="24"/>
    </w:rPr>
  </w:style>
  <w:style w:type="character" w:customStyle="1" w:styleId="327">
    <w:name w:val="正文文本 字符"/>
    <w:link w:val="22"/>
    <w:autoRedefine/>
    <w:qFormat/>
    <w:uiPriority w:val="0"/>
    <w:rPr>
      <w:sz w:val="28"/>
      <w:szCs w:val="24"/>
    </w:rPr>
  </w:style>
  <w:style w:type="character" w:customStyle="1" w:styleId="328">
    <w:name w:val="正文文本 Char1"/>
    <w:autoRedefine/>
    <w:qFormat/>
    <w:uiPriority w:val="0"/>
    <w:rPr>
      <w:rFonts w:ascii="Times New Roman" w:hAnsi="Times New Roman" w:eastAsia="宋体" w:cs="Times New Roman"/>
      <w:szCs w:val="24"/>
    </w:rPr>
  </w:style>
  <w:style w:type="character" w:customStyle="1" w:styleId="329">
    <w:name w:val="正文首行缩进 Char1"/>
    <w:autoRedefine/>
    <w:semiHidden/>
    <w:qFormat/>
    <w:uiPriority w:val="99"/>
    <w:rPr>
      <w:rFonts w:ascii="Times New Roman" w:hAnsi="Times New Roman" w:eastAsia="宋体" w:cs="Times New Roman"/>
      <w:szCs w:val="24"/>
    </w:rPr>
  </w:style>
  <w:style w:type="character" w:customStyle="1" w:styleId="330">
    <w:name w:val="样式1 Char Char"/>
    <w:link w:val="72"/>
    <w:autoRedefine/>
    <w:qFormat/>
    <w:uiPriority w:val="0"/>
    <w:rPr>
      <w:rFonts w:ascii="Arial" w:hAnsi="Arial"/>
      <w:szCs w:val="24"/>
    </w:rPr>
  </w:style>
  <w:style w:type="character" w:customStyle="1" w:styleId="331">
    <w:name w:val="正文缩进 字符"/>
    <w:link w:val="16"/>
    <w:autoRedefine/>
    <w:qFormat/>
    <w:uiPriority w:val="0"/>
  </w:style>
  <w:style w:type="character" w:customStyle="1" w:styleId="332">
    <w:name w:val="z-窗体顶端 Char"/>
    <w:link w:val="73"/>
    <w:autoRedefine/>
    <w:qFormat/>
    <w:uiPriority w:val="0"/>
    <w:rPr>
      <w:rFonts w:ascii="Arial" w:hAnsi="Arial" w:cs="Arial"/>
      <w:vanish/>
      <w:sz w:val="16"/>
      <w:szCs w:val="16"/>
    </w:rPr>
  </w:style>
  <w:style w:type="character" w:customStyle="1" w:styleId="333">
    <w:name w:val="z-窗体顶端 Char1"/>
    <w:autoRedefine/>
    <w:semiHidden/>
    <w:qFormat/>
    <w:uiPriority w:val="99"/>
    <w:rPr>
      <w:rFonts w:ascii="Arial" w:hAnsi="Arial" w:eastAsia="宋体" w:cs="Arial"/>
      <w:vanish/>
      <w:sz w:val="16"/>
      <w:szCs w:val="16"/>
    </w:rPr>
  </w:style>
  <w:style w:type="character" w:customStyle="1" w:styleId="334">
    <w:name w:val="z-窗体底端 Char"/>
    <w:link w:val="74"/>
    <w:autoRedefine/>
    <w:qFormat/>
    <w:uiPriority w:val="0"/>
    <w:rPr>
      <w:rFonts w:ascii="Arial" w:hAnsi="Arial" w:cs="Arial"/>
      <w:vanish/>
      <w:sz w:val="16"/>
      <w:szCs w:val="16"/>
    </w:rPr>
  </w:style>
  <w:style w:type="character" w:customStyle="1" w:styleId="335">
    <w:name w:val="z-窗体底端 Char1"/>
    <w:autoRedefine/>
    <w:semiHidden/>
    <w:qFormat/>
    <w:uiPriority w:val="99"/>
    <w:rPr>
      <w:rFonts w:ascii="Arial" w:hAnsi="Arial" w:eastAsia="宋体" w:cs="Arial"/>
      <w:vanish/>
      <w:sz w:val="16"/>
      <w:szCs w:val="16"/>
    </w:rPr>
  </w:style>
  <w:style w:type="character" w:customStyle="1" w:styleId="336">
    <w:name w:val="正文首行缩进两字符 Char"/>
    <w:autoRedefine/>
    <w:qFormat/>
    <w:uiPriority w:val="0"/>
    <w:rPr>
      <w:rFonts w:ascii="Arial" w:hAnsi="Arial"/>
      <w:kern w:val="2"/>
      <w:sz w:val="24"/>
      <w:szCs w:val="24"/>
    </w:rPr>
  </w:style>
  <w:style w:type="character" w:customStyle="1" w:styleId="337">
    <w:name w:val="msonormal"/>
    <w:autoRedefine/>
    <w:qFormat/>
    <w:uiPriority w:val="0"/>
  </w:style>
  <w:style w:type="character" w:customStyle="1" w:styleId="338">
    <w:name w:val="Char Char2"/>
    <w:autoRedefine/>
    <w:qFormat/>
    <w:uiPriority w:val="0"/>
    <w:rPr>
      <w:sz w:val="24"/>
    </w:rPr>
  </w:style>
  <w:style w:type="character" w:customStyle="1" w:styleId="339">
    <w:name w:val="Char Char3"/>
    <w:autoRedefine/>
    <w:qFormat/>
    <w:uiPriority w:val="0"/>
    <w:rPr>
      <w:rFonts w:ascii="宋体" w:hAnsi="宋体" w:cs="宋体"/>
      <w:sz w:val="24"/>
      <w:szCs w:val="24"/>
    </w:rPr>
  </w:style>
  <w:style w:type="character" w:customStyle="1" w:styleId="340">
    <w:name w:val="Char Char5"/>
    <w:autoRedefine/>
    <w:qFormat/>
    <w:uiPriority w:val="0"/>
    <w:rPr>
      <w:rFonts w:ascii="Arial" w:hAnsi="Arial" w:eastAsia="黑体" w:cs="Arial"/>
    </w:rPr>
  </w:style>
  <w:style w:type="character" w:customStyle="1" w:styleId="341">
    <w:name w:val="副标题 字符"/>
    <w:link w:val="37"/>
    <w:autoRedefine/>
    <w:qFormat/>
    <w:uiPriority w:val="0"/>
    <w:rPr>
      <w:rFonts w:ascii="Cambria" w:hAnsi="Cambria"/>
      <w:b/>
      <w:bCs/>
      <w:kern w:val="28"/>
      <w:sz w:val="32"/>
      <w:szCs w:val="32"/>
    </w:rPr>
  </w:style>
  <w:style w:type="character" w:customStyle="1" w:styleId="342">
    <w:name w:val="副标题 Char1"/>
    <w:autoRedefine/>
    <w:qFormat/>
    <w:uiPriority w:val="11"/>
    <w:rPr>
      <w:rFonts w:ascii="Cambria" w:hAnsi="Cambria" w:eastAsia="宋体" w:cs="Times New Roman"/>
      <w:b/>
      <w:bCs/>
      <w:kern w:val="28"/>
      <w:sz w:val="32"/>
      <w:szCs w:val="32"/>
    </w:rPr>
  </w:style>
  <w:style w:type="character" w:customStyle="1" w:styleId="343">
    <w:name w:val="_标题2 Char"/>
    <w:autoRedefine/>
    <w:qFormat/>
    <w:uiPriority w:val="0"/>
    <w:rPr>
      <w:rFonts w:ascii="Tahoma" w:hAnsi="Tahoma" w:eastAsia="黑体"/>
      <w:bCs/>
      <w:kern w:val="2"/>
      <w:sz w:val="32"/>
      <w:szCs w:val="32"/>
      <w:lang w:val="en-US" w:eastAsia="zh-CN" w:bidi="ar-SA"/>
    </w:rPr>
  </w:style>
  <w:style w:type="character" w:customStyle="1" w:styleId="344">
    <w:name w:val="f14b1"/>
    <w:autoRedefine/>
    <w:qFormat/>
    <w:uiPriority w:val="0"/>
    <w:rPr>
      <w:rFonts w:hint="default" w:ascii="??" w:hAnsi="??"/>
      <w:b/>
      <w:bCs/>
      <w:color w:val="333333"/>
      <w:sz w:val="21"/>
      <w:szCs w:val="21"/>
    </w:rPr>
  </w:style>
  <w:style w:type="character" w:customStyle="1" w:styleId="345">
    <w:name w:val="首行缩进2字符 Char"/>
    <w:autoRedefine/>
    <w:qFormat/>
    <w:uiPriority w:val="0"/>
    <w:rPr>
      <w:rFonts w:eastAsia="宋体"/>
      <w:snapToGrid w:val="0"/>
      <w:sz w:val="21"/>
      <w:szCs w:val="21"/>
      <w:lang w:val="en-US" w:eastAsia="zh-CN" w:bidi="ar-SA"/>
    </w:rPr>
  </w:style>
  <w:style w:type="character" w:customStyle="1" w:styleId="346">
    <w:name w:val="Char Char6"/>
    <w:autoRedefine/>
    <w:qFormat/>
    <w:uiPriority w:val="0"/>
    <w:rPr>
      <w:rFonts w:ascii="Arial" w:hAnsi="Arial" w:cs="Arial"/>
      <w:vanish/>
      <w:sz w:val="16"/>
      <w:szCs w:val="16"/>
    </w:rPr>
  </w:style>
  <w:style w:type="character" w:customStyle="1" w:styleId="347">
    <w:name w:val="文档正文 Char"/>
    <w:autoRedefine/>
    <w:qFormat/>
    <w:uiPriority w:val="0"/>
    <w:rPr>
      <w:rFonts w:eastAsia="宋体"/>
      <w:sz w:val="24"/>
      <w:lang w:val="en-US" w:eastAsia="zh-CN" w:bidi="ar-SA"/>
    </w:rPr>
  </w:style>
  <w:style w:type="character" w:customStyle="1" w:styleId="348">
    <w:name w:val="Char Char11"/>
    <w:autoRedefine/>
    <w:qFormat/>
    <w:uiPriority w:val="0"/>
    <w:rPr>
      <w:rFonts w:ascii="Arial" w:hAnsi="Arial" w:eastAsia="黑体"/>
      <w:sz w:val="24"/>
      <w:szCs w:val="24"/>
      <w:lang w:val="en-US" w:eastAsia="zh-CN" w:bidi="ar-SA"/>
    </w:rPr>
  </w:style>
  <w:style w:type="character" w:customStyle="1" w:styleId="349">
    <w:name w:val="批注文字 字符"/>
    <w:link w:val="20"/>
    <w:autoRedefine/>
    <w:qFormat/>
    <w:uiPriority w:val="0"/>
    <w:rPr>
      <w:sz w:val="24"/>
      <w:szCs w:val="24"/>
    </w:rPr>
  </w:style>
  <w:style w:type="character" w:customStyle="1" w:styleId="350">
    <w:name w:val="批注文字 Char1"/>
    <w:autoRedefine/>
    <w:qFormat/>
    <w:uiPriority w:val="0"/>
    <w:rPr>
      <w:rFonts w:ascii="Times New Roman" w:hAnsi="Times New Roman" w:eastAsia="宋体" w:cs="Times New Roman"/>
      <w:szCs w:val="24"/>
    </w:rPr>
  </w:style>
  <w:style w:type="character" w:customStyle="1" w:styleId="351">
    <w:name w:val="正文文本缩进 3 字符"/>
    <w:link w:val="41"/>
    <w:autoRedefine/>
    <w:qFormat/>
    <w:uiPriority w:val="0"/>
    <w:rPr>
      <w:rFonts w:ascii="仿宋_GB2312" w:hAnsi="宋体" w:eastAsia="仿宋_GB2312"/>
      <w:color w:val="000000"/>
      <w:sz w:val="24"/>
      <w:szCs w:val="24"/>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_表格文字 Char"/>
    <w:autoRedefine/>
    <w:qFormat/>
    <w:uiPriority w:val="0"/>
    <w:rPr>
      <w:rFonts w:eastAsia="宋体"/>
      <w:kern w:val="2"/>
      <w:sz w:val="21"/>
      <w:szCs w:val="24"/>
      <w:lang w:val="en-US" w:eastAsia="zh-CN" w:bidi="ar-SA"/>
    </w:rPr>
  </w:style>
  <w:style w:type="character" w:customStyle="1" w:styleId="354">
    <w:name w:val="正文文本缩进 2 字符"/>
    <w:link w:val="31"/>
    <w:autoRedefine/>
    <w:qFormat/>
    <w:uiPriority w:val="0"/>
    <w:rPr>
      <w:rFonts w:ascii="仿宋_GB2312" w:hAnsi="宋体" w:cs="Arial"/>
      <w:b/>
      <w:bCs/>
      <w:color w:val="000000"/>
      <w:sz w:val="24"/>
      <w:szCs w:val="24"/>
    </w:rPr>
  </w:style>
  <w:style w:type="character" w:customStyle="1" w:styleId="355">
    <w:name w:val="正文文本缩进 2 Char1"/>
    <w:autoRedefine/>
    <w:semiHidden/>
    <w:qFormat/>
    <w:uiPriority w:val="99"/>
    <w:rPr>
      <w:rFonts w:ascii="Times New Roman" w:hAnsi="Times New Roman" w:eastAsia="宋体" w:cs="Times New Roman"/>
      <w:szCs w:val="24"/>
    </w:rPr>
  </w:style>
  <w:style w:type="character" w:customStyle="1" w:styleId="356">
    <w:name w:val="正文文本 2 字符"/>
    <w:link w:val="44"/>
    <w:autoRedefine/>
    <w:qFormat/>
    <w:uiPriority w:val="0"/>
    <w:rPr>
      <w:rFonts w:ascii="宋体" w:hAnsi="宋体"/>
      <w:color w:val="000000"/>
      <w:sz w:val="24"/>
      <w:szCs w:val="24"/>
    </w:rPr>
  </w:style>
  <w:style w:type="character" w:customStyle="1" w:styleId="357">
    <w:name w:val="正文文本 2 Char1"/>
    <w:autoRedefine/>
    <w:semiHidden/>
    <w:qFormat/>
    <w:uiPriority w:val="99"/>
    <w:rPr>
      <w:rFonts w:ascii="Times New Roman" w:hAnsi="Times New Roman" w:eastAsia="宋体" w:cs="Times New Roman"/>
      <w:szCs w:val="24"/>
    </w:rPr>
  </w:style>
  <w:style w:type="character" w:customStyle="1" w:styleId="358">
    <w:name w:val="图 Char Char"/>
    <w:autoRedefine/>
    <w:qFormat/>
    <w:uiPriority w:val="0"/>
    <w:rPr>
      <w:rFonts w:eastAsia="黑体"/>
      <w:b/>
      <w:sz w:val="24"/>
    </w:rPr>
  </w:style>
  <w:style w:type="character" w:customStyle="1" w:styleId="359">
    <w:name w:val="普通文字1 Char"/>
    <w:autoRedefine/>
    <w:qFormat/>
    <w:uiPriority w:val="0"/>
    <w:rPr>
      <w:rFonts w:ascii="宋体" w:hAnsi="Courier New" w:eastAsia="宋体" w:cs="Courier New"/>
      <w:kern w:val="2"/>
      <w:sz w:val="21"/>
      <w:szCs w:val="21"/>
      <w:lang w:val="en-US" w:eastAsia="zh-CN" w:bidi="ar-SA"/>
    </w:rPr>
  </w:style>
  <w:style w:type="character" w:customStyle="1" w:styleId="360">
    <w:name w:val="日期 字符"/>
    <w:link w:val="30"/>
    <w:autoRedefine/>
    <w:qFormat/>
    <w:uiPriority w:val="0"/>
    <w:rPr>
      <w:rFonts w:eastAsia="楷体_GB2312"/>
      <w:sz w:val="32"/>
    </w:rPr>
  </w:style>
  <w:style w:type="character" w:customStyle="1" w:styleId="361">
    <w:name w:val="日期 Char1"/>
    <w:autoRedefine/>
    <w:qFormat/>
    <w:uiPriority w:val="0"/>
    <w:rPr>
      <w:rFonts w:ascii="Times New Roman" w:hAnsi="Times New Roman" w:eastAsia="宋体" w:cs="Times New Roman"/>
      <w:szCs w:val="24"/>
    </w:rPr>
  </w:style>
  <w:style w:type="character" w:customStyle="1" w:styleId="362">
    <w:name w:val="mark13"/>
    <w:basedOn w:val="53"/>
    <w:autoRedefine/>
    <w:qFormat/>
    <w:uiPriority w:val="0"/>
  </w:style>
  <w:style w:type="character" w:customStyle="1" w:styleId="363">
    <w:name w:val="st1"/>
    <w:autoRedefine/>
    <w:qFormat/>
    <w:uiPriority w:val="0"/>
    <w:rPr>
      <w:spacing w:val="240"/>
    </w:rPr>
  </w:style>
  <w:style w:type="character" w:customStyle="1" w:styleId="364">
    <w:name w:val="HTML 预设格式 字符"/>
    <w:link w:val="45"/>
    <w:autoRedefine/>
    <w:semiHidden/>
    <w:qFormat/>
    <w:uiPriority w:val="0"/>
    <w:rPr>
      <w:rFonts w:ascii="宋体" w:hAnsi="宋体" w:cs="宋体"/>
      <w:sz w:val="24"/>
      <w:szCs w:val="24"/>
    </w:rPr>
  </w:style>
  <w:style w:type="character" w:customStyle="1" w:styleId="365">
    <w:name w:val="HTML 预设格式 Char2"/>
    <w:autoRedefine/>
    <w:semiHidden/>
    <w:qFormat/>
    <w:uiPriority w:val="99"/>
    <w:rPr>
      <w:rFonts w:ascii="Courier New" w:hAnsi="Courier New" w:eastAsia="宋体" w:cs="Courier New"/>
      <w:sz w:val="20"/>
      <w:szCs w:val="20"/>
    </w:rPr>
  </w:style>
  <w:style w:type="character" w:customStyle="1" w:styleId="366">
    <w:name w:val="Char Char1"/>
    <w:autoRedefine/>
    <w:qFormat/>
    <w:uiPriority w:val="0"/>
    <w:rPr>
      <w:sz w:val="24"/>
    </w:rPr>
  </w:style>
  <w:style w:type="character" w:customStyle="1" w:styleId="367">
    <w:name w:val="图 Char"/>
    <w:autoRedefine/>
    <w:qFormat/>
    <w:uiPriority w:val="0"/>
    <w:rPr>
      <w:rFonts w:eastAsia="黑体"/>
      <w:b/>
      <w:sz w:val="24"/>
      <w:lang w:val="en-US" w:eastAsia="zh-CN" w:bidi="ar-SA"/>
    </w:rPr>
  </w:style>
  <w:style w:type="character" w:customStyle="1" w:styleId="368">
    <w:name w:val="font61"/>
    <w:autoRedefine/>
    <w:qFormat/>
    <w:uiPriority w:val="0"/>
    <w:rPr>
      <w:rFonts w:hint="eastAsia" w:ascii="宋体" w:hAnsi="宋体" w:eastAsia="宋体" w:cs="宋体"/>
      <w:color w:val="000000"/>
      <w:sz w:val="24"/>
      <w:szCs w:val="24"/>
      <w:u w:val="none"/>
    </w:rPr>
  </w:style>
  <w:style w:type="character" w:customStyle="1" w:styleId="369">
    <w:name w:val="a4red1"/>
    <w:autoRedefine/>
    <w:qFormat/>
    <w:uiPriority w:val="0"/>
    <w:rPr>
      <w:rFonts w:hint="default" w:ascii="Tahoma" w:hAnsi="Tahoma" w:cs="Tahoma"/>
      <w:color w:val="FF3300"/>
      <w:sz w:val="18"/>
      <w:szCs w:val="18"/>
      <w:u w:val="single"/>
    </w:rPr>
  </w:style>
  <w:style w:type="character" w:customStyle="1" w:styleId="370">
    <w:name w:val="Char Char12"/>
    <w:autoRedefine/>
    <w:qFormat/>
    <w:uiPriority w:val="0"/>
    <w:rPr>
      <w:rFonts w:eastAsia="宋体"/>
      <w:b/>
      <w:bCs/>
      <w:sz w:val="24"/>
      <w:szCs w:val="24"/>
      <w:lang w:val="en-US" w:eastAsia="zh-CN" w:bidi="ar-SA"/>
    </w:rPr>
  </w:style>
  <w:style w:type="character" w:customStyle="1" w:styleId="371">
    <w:name w:val="orange"/>
    <w:basedOn w:val="53"/>
    <w:autoRedefine/>
    <w:qFormat/>
    <w:uiPriority w:val="0"/>
  </w:style>
  <w:style w:type="character" w:customStyle="1" w:styleId="372">
    <w:name w:val="font01"/>
    <w:autoRedefine/>
    <w:qFormat/>
    <w:uiPriority w:val="0"/>
    <w:rPr>
      <w:rFonts w:hint="eastAsia" w:ascii="宋体" w:hAnsi="宋体" w:eastAsia="宋体" w:cs="宋体"/>
      <w:color w:val="FF0000"/>
      <w:sz w:val="24"/>
      <w:szCs w:val="24"/>
      <w:u w:val="none"/>
    </w:rPr>
  </w:style>
  <w:style w:type="character" w:customStyle="1" w:styleId="373">
    <w:name w:val="jianju1"/>
    <w:autoRedefine/>
    <w:qFormat/>
    <w:uiPriority w:val="0"/>
    <w:rPr>
      <w:color w:val="000000"/>
      <w:sz w:val="21"/>
      <w:szCs w:val="21"/>
      <w:u w:val="none"/>
    </w:rPr>
  </w:style>
  <w:style w:type="character" w:customStyle="1" w:styleId="374">
    <w:name w:val="fontb5"/>
    <w:basedOn w:val="53"/>
    <w:autoRedefine/>
    <w:qFormat/>
    <w:uiPriority w:val="0"/>
  </w:style>
  <w:style w:type="character" w:customStyle="1" w:styleId="375">
    <w:name w:val="_列表 Char"/>
    <w:autoRedefine/>
    <w:qFormat/>
    <w:uiPriority w:val="0"/>
    <w:rPr>
      <w:kern w:val="2"/>
      <w:sz w:val="24"/>
      <w:szCs w:val="24"/>
    </w:rPr>
  </w:style>
  <w:style w:type="character" w:customStyle="1" w:styleId="376">
    <w:name w:val="纯文本 字符"/>
    <w:link w:val="28"/>
    <w:autoRedefine/>
    <w:qFormat/>
    <w:uiPriority w:val="99"/>
    <w:rPr>
      <w:rFonts w:ascii="宋体" w:hAnsi="Courier New"/>
      <w:sz w:val="24"/>
      <w:szCs w:val="24"/>
    </w:rPr>
  </w:style>
  <w:style w:type="character" w:customStyle="1" w:styleId="377">
    <w:name w:val="纯文本 Char1"/>
    <w:autoRedefine/>
    <w:qFormat/>
    <w:uiPriority w:val="0"/>
    <w:rPr>
      <w:rFonts w:ascii="宋体" w:hAnsi="Courier New" w:eastAsia="宋体" w:cs="Courier New"/>
      <w:szCs w:val="21"/>
    </w:rPr>
  </w:style>
  <w:style w:type="character" w:customStyle="1" w:styleId="378">
    <w:name w:val="Char Char15"/>
    <w:autoRedefine/>
    <w:qFormat/>
    <w:uiPriority w:val="0"/>
    <w:rPr>
      <w:rFonts w:ascii="Arial" w:hAnsi="Arial" w:eastAsia="黑体"/>
      <w:b/>
      <w:bCs/>
      <w:kern w:val="2"/>
      <w:sz w:val="28"/>
      <w:szCs w:val="28"/>
      <w:lang w:val="en-US" w:eastAsia="zh-CN" w:bidi="ar-SA"/>
    </w:rPr>
  </w:style>
  <w:style w:type="character" w:customStyle="1" w:styleId="379">
    <w:name w:val="正文文本 3 字符"/>
    <w:link w:val="21"/>
    <w:autoRedefine/>
    <w:qFormat/>
    <w:uiPriority w:val="0"/>
    <w:rPr>
      <w:rFonts w:hAnsi="宋体" w:eastAsia="仿宋_GB2312"/>
      <w:b/>
      <w:bCs/>
      <w:sz w:val="24"/>
    </w:rPr>
  </w:style>
  <w:style w:type="character" w:customStyle="1" w:styleId="380">
    <w:name w:val="正文文本 3 Char1"/>
    <w:autoRedefine/>
    <w:semiHidden/>
    <w:qFormat/>
    <w:uiPriority w:val="99"/>
    <w:rPr>
      <w:rFonts w:ascii="Times New Roman" w:hAnsi="Times New Roman" w:eastAsia="宋体" w:cs="Times New Roman"/>
      <w:sz w:val="16"/>
      <w:szCs w:val="16"/>
    </w:rPr>
  </w:style>
  <w:style w:type="character" w:customStyle="1" w:styleId="381">
    <w:name w:val="font11"/>
    <w:autoRedefine/>
    <w:qFormat/>
    <w:uiPriority w:val="0"/>
    <w:rPr>
      <w:rFonts w:hint="default" w:ascii="Times New Roman" w:hAnsi="Times New Roman" w:cs="Times New Roman"/>
      <w:color w:val="000000"/>
      <w:sz w:val="24"/>
      <w:szCs w:val="24"/>
      <w:u w:val="none"/>
    </w:rPr>
  </w:style>
  <w:style w:type="character" w:customStyle="1" w:styleId="382">
    <w:name w:val="文档结构图 字符"/>
    <w:link w:val="19"/>
    <w:autoRedefine/>
    <w:qFormat/>
    <w:uiPriority w:val="0"/>
    <w:rPr>
      <w:sz w:val="24"/>
      <w:szCs w:val="24"/>
      <w:shd w:val="clear" w:color="auto" w:fill="000080"/>
    </w:rPr>
  </w:style>
  <w:style w:type="character" w:customStyle="1" w:styleId="383">
    <w:name w:val="文档结构图 Char1"/>
    <w:autoRedefine/>
    <w:qFormat/>
    <w:uiPriority w:val="0"/>
    <w:rPr>
      <w:rFonts w:ascii="宋体" w:hAnsi="Times New Roman" w:eastAsia="宋体" w:cs="Times New Roman"/>
      <w:sz w:val="18"/>
      <w:szCs w:val="18"/>
    </w:rPr>
  </w:style>
  <w:style w:type="character" w:customStyle="1" w:styleId="384">
    <w:name w:val="Char Char13"/>
    <w:autoRedefine/>
    <w:qFormat/>
    <w:uiPriority w:val="0"/>
    <w:rPr>
      <w:rFonts w:ascii="Arial" w:hAnsi="Arial" w:eastAsia="黑体"/>
      <w:b/>
      <w:bCs/>
      <w:kern w:val="2"/>
      <w:sz w:val="24"/>
      <w:szCs w:val="24"/>
      <w:lang w:val="en-US" w:eastAsia="zh-CN" w:bidi="ar-SA"/>
    </w:rPr>
  </w:style>
  <w:style w:type="character" w:customStyle="1" w:styleId="385">
    <w:name w:val="_标题4 Char"/>
    <w:autoRedefine/>
    <w:qFormat/>
    <w:uiPriority w:val="0"/>
    <w:rPr>
      <w:rFonts w:ascii="Tahoma" w:hAnsi="Tahoma" w:eastAsia="黑体"/>
      <w:bCs/>
      <w:kern w:val="2"/>
      <w:sz w:val="28"/>
      <w:szCs w:val="28"/>
      <w:lang w:val="en-US" w:eastAsia="zh-CN" w:bidi="ar-SA"/>
    </w:rPr>
  </w:style>
  <w:style w:type="character" w:customStyle="1" w:styleId="386">
    <w:name w:val="_表格标题 Char"/>
    <w:autoRedefine/>
    <w:qFormat/>
    <w:uiPriority w:val="0"/>
    <w:rPr>
      <w:rFonts w:eastAsia="宋体"/>
      <w:b/>
      <w:kern w:val="2"/>
      <w:sz w:val="24"/>
      <w:szCs w:val="24"/>
      <w:lang w:val="en-US" w:eastAsia="zh-CN" w:bidi="ar-SA"/>
    </w:rPr>
  </w:style>
  <w:style w:type="character" w:customStyle="1" w:styleId="387">
    <w:name w:val="批注主题 字符"/>
    <w:link w:val="49"/>
    <w:autoRedefine/>
    <w:qFormat/>
    <w:uiPriority w:val="0"/>
    <w:rPr>
      <w:b/>
      <w:bCs/>
      <w:sz w:val="24"/>
      <w:szCs w:val="24"/>
    </w:rPr>
  </w:style>
  <w:style w:type="character" w:customStyle="1" w:styleId="388">
    <w:name w:val="批注主题 Char1"/>
    <w:autoRedefine/>
    <w:qFormat/>
    <w:uiPriority w:val="0"/>
    <w:rPr>
      <w:rFonts w:ascii="Times New Roman" w:hAnsi="Times New Roman" w:eastAsia="宋体" w:cs="Times New Roman"/>
      <w:b/>
      <w:bCs/>
      <w:szCs w:val="24"/>
    </w:rPr>
  </w:style>
  <w:style w:type="character" w:customStyle="1" w:styleId="389">
    <w:name w:val="普通正文 Char"/>
    <w:autoRedefine/>
    <w:qFormat/>
    <w:uiPriority w:val="0"/>
    <w:rPr>
      <w:rFonts w:ascii="Arial" w:hAnsi="Arial" w:eastAsia="宋体"/>
      <w:sz w:val="24"/>
      <w:lang w:val="en-US" w:eastAsia="zh-CN" w:bidi="ar-SA"/>
    </w:rPr>
  </w:style>
  <w:style w:type="character" w:customStyle="1" w:styleId="390">
    <w:name w:val="Char Char7"/>
    <w:autoRedefine/>
    <w:qFormat/>
    <w:uiPriority w:val="0"/>
    <w:rPr>
      <w:sz w:val="18"/>
    </w:rPr>
  </w:style>
  <w:style w:type="character" w:customStyle="1" w:styleId="391">
    <w:name w:val="tw4winMark"/>
    <w:autoRedefine/>
    <w:qFormat/>
    <w:uiPriority w:val="0"/>
    <w:rPr>
      <w:rFonts w:ascii="Courier New" w:hAnsi="Courier New" w:cs="Courier New"/>
      <w:vanish/>
      <w:color w:val="800080"/>
      <w:vertAlign w:val="subscript"/>
    </w:rPr>
  </w:style>
  <w:style w:type="character" w:customStyle="1" w:styleId="392">
    <w:name w:val="普通(网站) 字符"/>
    <w:link w:val="46"/>
    <w:autoRedefine/>
    <w:qFormat/>
    <w:locked/>
    <w:uiPriority w:val="99"/>
    <w:rPr>
      <w:sz w:val="24"/>
      <w:szCs w:val="24"/>
    </w:rPr>
  </w:style>
  <w:style w:type="character" w:customStyle="1" w:styleId="393">
    <w:name w:val="Char Char16"/>
    <w:autoRedefine/>
    <w:qFormat/>
    <w:uiPriority w:val="0"/>
    <w:rPr>
      <w:rFonts w:eastAsia="宋体"/>
      <w:b/>
      <w:bCs/>
      <w:kern w:val="2"/>
      <w:sz w:val="32"/>
      <w:szCs w:val="32"/>
      <w:lang w:val="en-US" w:eastAsia="zh-CN" w:bidi="ar-SA"/>
    </w:rPr>
  </w:style>
  <w:style w:type="character" w:customStyle="1" w:styleId="394">
    <w:name w:val="3zw1"/>
    <w:autoRedefine/>
    <w:qFormat/>
    <w:uiPriority w:val="0"/>
    <w:rPr>
      <w:color w:val="000000"/>
      <w:sz w:val="21"/>
      <w:szCs w:val="21"/>
    </w:rPr>
  </w:style>
  <w:style w:type="character" w:customStyle="1" w:styleId="395">
    <w:name w:val="正文2 Char Char"/>
    <w:link w:val="278"/>
    <w:autoRedefine/>
    <w:qFormat/>
    <w:uiPriority w:val="0"/>
    <w:rPr>
      <w:sz w:val="24"/>
    </w:rPr>
  </w:style>
  <w:style w:type="character" w:customStyle="1" w:styleId="396">
    <w:name w:val="标题 字符"/>
    <w:link w:val="48"/>
    <w:autoRedefine/>
    <w:qFormat/>
    <w:uiPriority w:val="0"/>
    <w:rPr>
      <w:rFonts w:ascii="Arial" w:hAnsi="Arial" w:eastAsia="仿宋_GB2312"/>
      <w:b/>
      <w:bCs/>
      <w:sz w:val="36"/>
      <w:szCs w:val="32"/>
    </w:rPr>
  </w:style>
  <w:style w:type="character" w:customStyle="1" w:styleId="397">
    <w:name w:val="标题 Char1"/>
    <w:autoRedefine/>
    <w:qFormat/>
    <w:uiPriority w:val="0"/>
    <w:rPr>
      <w:rFonts w:ascii="Cambria" w:hAnsi="Cambria" w:eastAsia="宋体" w:cs="Times New Roman"/>
      <w:b/>
      <w:bCs/>
      <w:sz w:val="32"/>
      <w:szCs w:val="32"/>
    </w:rPr>
  </w:style>
  <w:style w:type="character" w:customStyle="1" w:styleId="398">
    <w:name w:val="font101"/>
    <w:autoRedefine/>
    <w:qFormat/>
    <w:uiPriority w:val="0"/>
    <w:rPr>
      <w:rFonts w:hint="default" w:ascii="Times New Roman" w:hAnsi="Times New Roman" w:cs="Times New Roman"/>
      <w:color w:val="000000"/>
      <w:sz w:val="21"/>
      <w:szCs w:val="21"/>
      <w:u w:val="none"/>
    </w:rPr>
  </w:style>
  <w:style w:type="character" w:customStyle="1" w:styleId="399">
    <w:name w:val="页脚 字符"/>
    <w:autoRedefine/>
    <w:qFormat/>
    <w:uiPriority w:val="99"/>
  </w:style>
  <w:style w:type="character" w:customStyle="1" w:styleId="400">
    <w:name w:val="param-name1"/>
    <w:autoRedefine/>
    <w:qFormat/>
    <w:uiPriority w:val="0"/>
    <w:rPr>
      <w:rFonts w:cs="Times New Roman"/>
      <w:b/>
    </w:rPr>
  </w:style>
  <w:style w:type="character" w:customStyle="1" w:styleId="401">
    <w:name w:val="font91"/>
    <w:autoRedefine/>
    <w:qFormat/>
    <w:uiPriority w:val="0"/>
    <w:rPr>
      <w:rFonts w:hint="eastAsia" w:ascii="宋体" w:hAnsi="宋体" w:eastAsia="宋体" w:cs="宋体"/>
      <w:color w:val="000000"/>
      <w:sz w:val="21"/>
      <w:szCs w:val="21"/>
      <w:u w:val="none"/>
    </w:rPr>
  </w:style>
  <w:style w:type="character" w:customStyle="1" w:styleId="402">
    <w:name w:val="font71"/>
    <w:autoRedefine/>
    <w:qFormat/>
    <w:uiPriority w:val="0"/>
    <w:rPr>
      <w:rFonts w:hint="eastAsia" w:ascii="宋体" w:hAnsi="宋体" w:eastAsia="宋体" w:cs="宋体"/>
      <w:color w:val="000000"/>
      <w:sz w:val="21"/>
      <w:szCs w:val="21"/>
      <w:u w:val="none"/>
    </w:rPr>
  </w:style>
  <w:style w:type="character" w:customStyle="1" w:styleId="403">
    <w:name w:val="15"/>
    <w:autoRedefine/>
    <w:qFormat/>
    <w:uiPriority w:val="0"/>
    <w:rPr>
      <w:rFonts w:hint="eastAsia" w:ascii="宋体" w:hAnsi="宋体" w:eastAsia="宋体" w:cs="宋体"/>
      <w:color w:val="000000"/>
      <w:sz w:val="22"/>
      <w:szCs w:val="22"/>
    </w:rPr>
  </w:style>
  <w:style w:type="character" w:customStyle="1" w:styleId="404">
    <w:name w:val="font21"/>
    <w:autoRedefine/>
    <w:qFormat/>
    <w:uiPriority w:val="0"/>
    <w:rPr>
      <w:rFonts w:ascii="Arial" w:hAnsi="Arial" w:cs="Arial"/>
      <w:color w:val="000000"/>
      <w:sz w:val="21"/>
      <w:szCs w:val="21"/>
      <w:u w:val="none"/>
    </w:rPr>
  </w:style>
  <w:style w:type="character" w:customStyle="1" w:styleId="405">
    <w:name w:val="font161"/>
    <w:autoRedefine/>
    <w:qFormat/>
    <w:uiPriority w:val="0"/>
    <w:rPr>
      <w:rFonts w:hint="default" w:ascii="Times New Roman" w:hAnsi="Times New Roman" w:cs="Times New Roman"/>
      <w:color w:val="000000"/>
      <w:sz w:val="18"/>
      <w:szCs w:val="18"/>
      <w:u w:val="none"/>
    </w:rPr>
  </w:style>
  <w:style w:type="character" w:customStyle="1" w:styleId="406">
    <w:name w:val="font41"/>
    <w:autoRedefine/>
    <w:qFormat/>
    <w:uiPriority w:val="0"/>
    <w:rPr>
      <w:rFonts w:hint="eastAsia" w:ascii="宋体" w:hAnsi="宋体" w:eastAsia="宋体" w:cs="宋体"/>
      <w:color w:val="FF0000"/>
      <w:sz w:val="28"/>
      <w:szCs w:val="28"/>
      <w:u w:val="none"/>
    </w:rPr>
  </w:style>
  <w:style w:type="character" w:customStyle="1" w:styleId="407">
    <w:name w:val="apple-converted-space"/>
    <w:basedOn w:val="53"/>
    <w:autoRedefine/>
    <w:qFormat/>
    <w:uiPriority w:val="0"/>
  </w:style>
  <w:style w:type="character" w:customStyle="1" w:styleId="408">
    <w:name w:val="font151"/>
    <w:autoRedefine/>
    <w:qFormat/>
    <w:uiPriority w:val="0"/>
    <w:rPr>
      <w:rFonts w:hint="default" w:ascii="Times New Roman" w:hAnsi="Times New Roman" w:cs="Times New Roman"/>
      <w:color w:val="000000"/>
      <w:sz w:val="21"/>
      <w:szCs w:val="21"/>
      <w:u w:val="none"/>
    </w:rPr>
  </w:style>
  <w:style w:type="character" w:customStyle="1" w:styleId="409">
    <w:name w:val="fontstyle01"/>
    <w:autoRedefine/>
    <w:qFormat/>
    <w:uiPriority w:val="0"/>
    <w:rPr>
      <w:rFonts w:hint="eastAsia" w:ascii="宋体" w:hAnsi="宋体" w:eastAsia="宋体"/>
      <w:color w:val="000000"/>
      <w:sz w:val="22"/>
      <w:szCs w:val="22"/>
    </w:rPr>
  </w:style>
  <w:style w:type="table" w:customStyle="1" w:styleId="410">
    <w:name w:val="网格型1"/>
    <w:basedOn w:val="51"/>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1">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2">
    <w:name w:val="列表段落 字符"/>
    <w:link w:val="67"/>
    <w:autoRedefine/>
    <w:qFormat/>
    <w:uiPriority w:val="34"/>
    <w:rPr>
      <w:rFonts w:ascii="Times New Roman" w:hAnsi="Times New Roman" w:cs="Times New Roman"/>
      <w:kern w:val="2"/>
      <w:sz w:val="21"/>
    </w:rPr>
  </w:style>
  <w:style w:type="character" w:customStyle="1" w:styleId="413">
    <w:name w:val="未处理的提及1"/>
    <w:basedOn w:val="53"/>
    <w:autoRedefine/>
    <w:semiHidden/>
    <w:unhideWhenUsed/>
    <w:qFormat/>
    <w:uiPriority w:val="99"/>
    <w:rPr>
      <w:color w:val="605E5C"/>
      <w:shd w:val="clear" w:color="auto" w:fill="E1DFDD"/>
    </w:rPr>
  </w:style>
  <w:style w:type="character" w:customStyle="1" w:styleId="414">
    <w:name w:val="bookmark-item"/>
    <w:basedOn w:val="53"/>
    <w:autoRedefine/>
    <w:qFormat/>
    <w:uiPriority w:val="0"/>
  </w:style>
  <w:style w:type="paragraph" w:customStyle="1" w:styleId="415">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paragraph" w:customStyle="1" w:styleId="416">
    <w:name w:val="修订3"/>
    <w:autoRedefine/>
    <w:hidden/>
    <w:qFormat/>
    <w:uiPriority w:val="0"/>
    <w:rPr>
      <w:rFonts w:ascii="Times New Roman" w:hAnsi="Times New Roman" w:eastAsia="宋体" w:cs="Times New Roman"/>
      <w:kern w:val="2"/>
      <w:sz w:val="21"/>
      <w:szCs w:val="24"/>
      <w:lang w:val="en-US" w:eastAsia="zh-CN" w:bidi="ar-SA"/>
    </w:rPr>
  </w:style>
  <w:style w:type="character" w:customStyle="1" w:styleId="417">
    <w:name w:val="标题 1 字符1"/>
    <w:autoRedefine/>
    <w:qFormat/>
    <w:uiPriority w:val="0"/>
    <w:rPr>
      <w:rFonts w:ascii="Times New Roman" w:hAnsi="Times New Roman" w:eastAsia="宋体" w:cs="Times New Roman"/>
      <w:b/>
      <w:kern w:val="44"/>
      <w:sz w:val="32"/>
      <w:szCs w:val="20"/>
    </w:rPr>
  </w:style>
  <w:style w:type="character" w:customStyle="1" w:styleId="418">
    <w:name w:val="标题 5 字符1"/>
    <w:autoRedefine/>
    <w:qFormat/>
    <w:uiPriority w:val="0"/>
    <w:rPr>
      <w:rFonts w:ascii="Times New Roman" w:hAnsi="Times New Roman" w:eastAsia="宋体" w:cs="Times New Roman"/>
      <w:b/>
      <w:sz w:val="28"/>
      <w:szCs w:val="20"/>
    </w:rPr>
  </w:style>
  <w:style w:type="paragraph" w:customStyle="1" w:styleId="419">
    <w:name w:val="_Style 7"/>
    <w:basedOn w:val="1"/>
    <w:autoRedefine/>
    <w:qFormat/>
    <w:uiPriority w:val="99"/>
    <w:pPr>
      <w:ind w:firstLine="420" w:firstLineChars="200"/>
    </w:pPr>
  </w:style>
  <w:style w:type="character" w:customStyle="1" w:styleId="420">
    <w:name w:val="明显引用 Char"/>
    <w:autoRedefine/>
    <w:qFormat/>
    <w:uiPriority w:val="0"/>
    <w:rPr>
      <w:b/>
      <w:bCs/>
      <w:i/>
      <w:iCs/>
      <w:color w:val="4F81BD"/>
      <w:kern w:val="2"/>
      <w:sz w:val="21"/>
      <w:szCs w:val="22"/>
    </w:rPr>
  </w:style>
  <w:style w:type="character" w:customStyle="1" w:styleId="421">
    <w:name w:val="layui-laypage-curr"/>
    <w:autoRedefine/>
    <w:qFormat/>
    <w:uiPriority w:val="0"/>
  </w:style>
  <w:style w:type="character" w:customStyle="1" w:styleId="422">
    <w:name w:val="next2"/>
    <w:autoRedefine/>
    <w:qFormat/>
    <w:uiPriority w:val="0"/>
    <w:rPr>
      <w:color w:val="888888"/>
    </w:rPr>
  </w:style>
  <w:style w:type="character" w:customStyle="1" w:styleId="423">
    <w:name w:val="hover9"/>
    <w:autoRedefine/>
    <w:qFormat/>
    <w:uiPriority w:val="0"/>
    <w:rPr>
      <w:color w:val="23527C"/>
      <w:shd w:val="clear" w:color="auto" w:fill="EEEEEE"/>
    </w:rPr>
  </w:style>
  <w:style w:type="character" w:customStyle="1" w:styleId="424">
    <w:name w:val="qxdate"/>
    <w:autoRedefine/>
    <w:qFormat/>
    <w:uiPriority w:val="0"/>
    <w:rPr>
      <w:color w:val="333333"/>
      <w:sz w:val="18"/>
      <w:szCs w:val="18"/>
    </w:rPr>
  </w:style>
  <w:style w:type="character" w:customStyle="1" w:styleId="425">
    <w:name w:val="普通文字 Char Char"/>
    <w:autoRedefine/>
    <w:qFormat/>
    <w:uiPriority w:val="0"/>
    <w:rPr>
      <w:rFonts w:ascii="宋体" w:hAnsi="Courier New" w:eastAsia="宋体"/>
      <w:kern w:val="2"/>
      <w:sz w:val="21"/>
      <w:lang w:val="en-US" w:eastAsia="zh-CN" w:bidi="ar-SA"/>
    </w:rPr>
  </w:style>
  <w:style w:type="character" w:customStyle="1" w:styleId="426">
    <w:name w:val="del3"/>
    <w:autoRedefine/>
    <w:qFormat/>
    <w:uiPriority w:val="0"/>
    <w:rPr>
      <w:vanish/>
    </w:rPr>
  </w:style>
  <w:style w:type="character" w:customStyle="1" w:styleId="427">
    <w:name w:val="公告正文 Char Char"/>
    <w:link w:val="428"/>
    <w:autoRedefine/>
    <w:qFormat/>
    <w:uiPriority w:val="0"/>
    <w:rPr>
      <w:rFonts w:ascii="宋体" w:hAnsi="宋体"/>
      <w:kern w:val="2"/>
      <w:sz w:val="24"/>
      <w:szCs w:val="24"/>
    </w:rPr>
  </w:style>
  <w:style w:type="paragraph" w:customStyle="1" w:styleId="428">
    <w:name w:val="公告正文"/>
    <w:basedOn w:val="1"/>
    <w:link w:val="427"/>
    <w:autoRedefine/>
    <w:qFormat/>
    <w:uiPriority w:val="0"/>
    <w:pPr>
      <w:spacing w:line="400" w:lineRule="atLeast"/>
      <w:ind w:firstLine="437"/>
    </w:pPr>
    <w:rPr>
      <w:rFonts w:ascii="宋体" w:hAnsi="宋体" w:cs="Calibri"/>
      <w:sz w:val="24"/>
    </w:rPr>
  </w:style>
  <w:style w:type="character" w:customStyle="1" w:styleId="429">
    <w:name w:val="Blockquote Char Char"/>
    <w:link w:val="430"/>
    <w:autoRedefine/>
    <w:qFormat/>
    <w:uiPriority w:val="0"/>
    <w:rPr>
      <w:sz w:val="24"/>
    </w:rPr>
  </w:style>
  <w:style w:type="paragraph" w:customStyle="1" w:styleId="430">
    <w:name w:val="Blockquote"/>
    <w:basedOn w:val="1"/>
    <w:link w:val="429"/>
    <w:autoRedefine/>
    <w:qFormat/>
    <w:uiPriority w:val="0"/>
    <w:pPr>
      <w:autoSpaceDE w:val="0"/>
      <w:autoSpaceDN w:val="0"/>
      <w:adjustRightInd w:val="0"/>
      <w:spacing w:before="100" w:after="100"/>
      <w:ind w:left="360" w:right="360"/>
      <w:jc w:val="left"/>
    </w:pPr>
    <w:rPr>
      <w:rFonts w:ascii="Calibri" w:hAnsi="Calibri" w:cs="Calibri"/>
      <w:kern w:val="0"/>
      <w:sz w:val="24"/>
      <w:szCs w:val="20"/>
    </w:rPr>
  </w:style>
  <w:style w:type="character" w:customStyle="1" w:styleId="431">
    <w:name w:val="gjfg"/>
    <w:autoRedefine/>
    <w:qFormat/>
    <w:uiPriority w:val="0"/>
  </w:style>
  <w:style w:type="character" w:customStyle="1" w:styleId="432">
    <w:name w:val="textcolor1"/>
    <w:autoRedefine/>
    <w:qFormat/>
    <w:uiPriority w:val="0"/>
    <w:rPr>
      <w:color w:val="FF6600"/>
    </w:rPr>
  </w:style>
  <w:style w:type="character" w:customStyle="1" w:styleId="433">
    <w:name w:val="Char Char61"/>
    <w:autoRedefine/>
    <w:qFormat/>
    <w:uiPriority w:val="0"/>
    <w:rPr>
      <w:rFonts w:eastAsia="宋体"/>
      <w:kern w:val="2"/>
      <w:sz w:val="18"/>
      <w:szCs w:val="18"/>
      <w:lang w:val="en-US" w:eastAsia="zh-CN" w:bidi="ar-SA"/>
    </w:rPr>
  </w:style>
  <w:style w:type="character" w:customStyle="1" w:styleId="434">
    <w:name w:val="font51"/>
    <w:autoRedefine/>
    <w:qFormat/>
    <w:uiPriority w:val="0"/>
    <w:rPr>
      <w:rFonts w:hint="eastAsia" w:ascii="宋体" w:hAnsi="宋体" w:eastAsia="宋体" w:cs="宋体"/>
      <w:color w:val="auto"/>
      <w:sz w:val="20"/>
      <w:szCs w:val="20"/>
      <w:u w:val="none"/>
    </w:rPr>
  </w:style>
  <w:style w:type="character" w:customStyle="1" w:styleId="435">
    <w:name w:val="displayarti"/>
    <w:autoRedefine/>
    <w:qFormat/>
    <w:uiPriority w:val="0"/>
    <w:rPr>
      <w:color w:val="FFFFFF"/>
      <w:shd w:val="clear" w:color="auto" w:fill="A00000"/>
    </w:rPr>
  </w:style>
  <w:style w:type="character" w:customStyle="1" w:styleId="436">
    <w:name w:val="word141"/>
    <w:autoRedefine/>
    <w:qFormat/>
    <w:uiPriority w:val="0"/>
    <w:rPr>
      <w:rFonts w:hint="default" w:ascii="ˎ̥" w:hAnsi="ˎ̥"/>
      <w:sz w:val="21"/>
      <w:szCs w:val="21"/>
    </w:rPr>
  </w:style>
  <w:style w:type="character" w:customStyle="1" w:styleId="437">
    <w:name w:val="redfilefwwh"/>
    <w:autoRedefine/>
    <w:qFormat/>
    <w:uiPriority w:val="0"/>
    <w:rPr>
      <w:color w:val="BA2636"/>
      <w:sz w:val="18"/>
      <w:szCs w:val="18"/>
    </w:rPr>
  </w:style>
  <w:style w:type="character" w:customStyle="1" w:styleId="438">
    <w:name w:val="书籍标题1"/>
    <w:autoRedefine/>
    <w:qFormat/>
    <w:uiPriority w:val="0"/>
    <w:rPr>
      <w:b/>
      <w:bCs/>
      <w:smallCaps/>
      <w:spacing w:val="5"/>
    </w:rPr>
  </w:style>
  <w:style w:type="character" w:customStyle="1" w:styleId="439">
    <w:name w:val="附表 Char Char"/>
    <w:link w:val="440"/>
    <w:autoRedefine/>
    <w:qFormat/>
    <w:uiPriority w:val="0"/>
    <w:rPr>
      <w:rFonts w:ascii="宋体" w:hAnsi="宋体"/>
      <w:b/>
      <w:kern w:val="2"/>
      <w:sz w:val="24"/>
      <w:szCs w:val="24"/>
    </w:rPr>
  </w:style>
  <w:style w:type="paragraph" w:customStyle="1" w:styleId="440">
    <w:name w:val="附表"/>
    <w:basedOn w:val="1"/>
    <w:link w:val="439"/>
    <w:autoRedefine/>
    <w:qFormat/>
    <w:uiPriority w:val="0"/>
    <w:pPr>
      <w:spacing w:line="440" w:lineRule="exact"/>
    </w:pPr>
    <w:rPr>
      <w:rFonts w:ascii="宋体" w:hAnsi="宋体" w:cs="Calibri"/>
      <w:b/>
      <w:sz w:val="24"/>
    </w:rPr>
  </w:style>
  <w:style w:type="character" w:customStyle="1" w:styleId="441">
    <w:name w:val="Char Char181"/>
    <w:autoRedefine/>
    <w:qFormat/>
    <w:uiPriority w:val="0"/>
    <w:rPr>
      <w:rFonts w:eastAsia="宋体"/>
      <w:b/>
      <w:bCs/>
      <w:kern w:val="44"/>
      <w:sz w:val="28"/>
      <w:szCs w:val="44"/>
      <w:lang w:val="en-US" w:eastAsia="zh-CN" w:bidi="ar-SA"/>
    </w:rPr>
  </w:style>
  <w:style w:type="character" w:customStyle="1" w:styleId="442">
    <w:name w:val="16"/>
    <w:autoRedefine/>
    <w:qFormat/>
    <w:uiPriority w:val="0"/>
    <w:rPr>
      <w:rFonts w:hint="default" w:ascii="Times New Roman" w:hAnsi="Times New Roman" w:eastAsia="微软雅黑" w:cs="Times New Roman"/>
      <w:sz w:val="28"/>
      <w:szCs w:val="28"/>
    </w:rPr>
  </w:style>
  <w:style w:type="character" w:customStyle="1" w:styleId="443">
    <w:name w:val="del2"/>
    <w:autoRedefine/>
    <w:qFormat/>
    <w:uiPriority w:val="0"/>
    <w:rPr>
      <w:vanish/>
      <w:color w:val="666666"/>
      <w:sz w:val="18"/>
      <w:szCs w:val="18"/>
      <w:u w:val="single"/>
    </w:rPr>
  </w:style>
  <w:style w:type="character" w:customStyle="1" w:styleId="444">
    <w:name w:val="批注文字 Char Char"/>
    <w:autoRedefine/>
    <w:qFormat/>
    <w:uiPriority w:val="0"/>
    <w:rPr>
      <w:rFonts w:ascii="宋体" w:hAnsi="Times New Roman" w:eastAsia="宋体" w:cs="Times New Roman"/>
      <w:sz w:val="28"/>
      <w:szCs w:val="20"/>
    </w:rPr>
  </w:style>
  <w:style w:type="character" w:customStyle="1" w:styleId="445">
    <w:name w:val="focus1"/>
    <w:autoRedefine/>
    <w:qFormat/>
    <w:uiPriority w:val="0"/>
    <w:rPr>
      <w:color w:val="23527C"/>
      <w:shd w:val="clear" w:color="auto" w:fill="EEEEEE"/>
    </w:rPr>
  </w:style>
  <w:style w:type="character" w:customStyle="1" w:styleId="446">
    <w:name w:val="标题4 Char Char"/>
    <w:link w:val="447"/>
    <w:autoRedefine/>
    <w:qFormat/>
    <w:uiPriority w:val="0"/>
    <w:rPr>
      <w:rFonts w:ascii="Arial" w:hAnsi="Arial"/>
      <w:b/>
      <w:bCs/>
      <w:sz w:val="24"/>
      <w:szCs w:val="32"/>
    </w:rPr>
  </w:style>
  <w:style w:type="paragraph" w:customStyle="1" w:styleId="447">
    <w:name w:val="标题4"/>
    <w:basedOn w:val="5"/>
    <w:next w:val="25"/>
    <w:link w:val="446"/>
    <w:autoRedefine/>
    <w:qFormat/>
    <w:uiPriority w:val="0"/>
    <w:pPr>
      <w:spacing w:line="413" w:lineRule="auto"/>
    </w:pPr>
    <w:rPr>
      <w:rFonts w:eastAsia="宋体" w:cs="Calibri"/>
      <w:sz w:val="24"/>
    </w:rPr>
  </w:style>
  <w:style w:type="character" w:customStyle="1" w:styleId="448">
    <w:name w:val="prev2"/>
    <w:autoRedefine/>
    <w:qFormat/>
    <w:uiPriority w:val="0"/>
    <w:rPr>
      <w:color w:val="888888"/>
    </w:rPr>
  </w:style>
  <w:style w:type="character" w:customStyle="1" w:styleId="449">
    <w:name w:val="del1"/>
    <w:autoRedefine/>
    <w:qFormat/>
    <w:uiPriority w:val="0"/>
  </w:style>
  <w:style w:type="character" w:customStyle="1" w:styleId="450">
    <w:name w:val="明显强调1"/>
    <w:autoRedefine/>
    <w:qFormat/>
    <w:uiPriority w:val="0"/>
    <w:rPr>
      <w:b/>
      <w:bCs/>
      <w:i/>
      <w:iCs/>
      <w:color w:val="4F81BD"/>
    </w:rPr>
  </w:style>
  <w:style w:type="character" w:customStyle="1" w:styleId="451">
    <w:name w:val="Variable"/>
    <w:autoRedefine/>
    <w:qFormat/>
    <w:uiPriority w:val="0"/>
    <w:rPr>
      <w:i/>
    </w:rPr>
  </w:style>
  <w:style w:type="character" w:customStyle="1" w:styleId="452">
    <w:name w:val="引用 Char"/>
    <w:autoRedefine/>
    <w:qFormat/>
    <w:uiPriority w:val="0"/>
    <w:rPr>
      <w:i/>
      <w:iCs/>
      <w:color w:val="000000"/>
      <w:kern w:val="2"/>
      <w:sz w:val="21"/>
      <w:szCs w:val="22"/>
    </w:rPr>
  </w:style>
  <w:style w:type="character" w:customStyle="1" w:styleId="453">
    <w:name w:val="bold"/>
    <w:autoRedefine/>
    <w:qFormat/>
    <w:uiPriority w:val="0"/>
    <w:rPr>
      <w:b/>
    </w:rPr>
  </w:style>
  <w:style w:type="character" w:customStyle="1" w:styleId="454">
    <w:name w:val="publishtime"/>
    <w:autoRedefine/>
    <w:qFormat/>
    <w:uiPriority w:val="0"/>
    <w:rPr>
      <w:color w:val="666666"/>
    </w:rPr>
  </w:style>
  <w:style w:type="character" w:customStyle="1" w:styleId="455">
    <w:name w:val="不明显参考1"/>
    <w:autoRedefine/>
    <w:qFormat/>
    <w:uiPriority w:val="0"/>
    <w:rPr>
      <w:smallCaps/>
      <w:color w:val="C0504D"/>
      <w:u w:val="single"/>
    </w:rPr>
  </w:style>
  <w:style w:type="character" w:customStyle="1" w:styleId="456">
    <w:name w:val="不明显强调1"/>
    <w:autoRedefine/>
    <w:qFormat/>
    <w:uiPriority w:val="0"/>
    <w:rPr>
      <w:i/>
      <w:iCs/>
      <w:color w:val="808080"/>
    </w:rPr>
  </w:style>
  <w:style w:type="character" w:customStyle="1" w:styleId="457">
    <w:name w:val="副标题 Char"/>
    <w:autoRedefine/>
    <w:qFormat/>
    <w:uiPriority w:val="0"/>
    <w:rPr>
      <w:rFonts w:ascii="Cambria" w:hAnsi="Cambria" w:cs="Times New Roman"/>
      <w:b/>
      <w:bCs/>
      <w:kern w:val="28"/>
      <w:sz w:val="32"/>
      <w:szCs w:val="32"/>
    </w:rPr>
  </w:style>
  <w:style w:type="character" w:customStyle="1" w:styleId="458">
    <w:name w:val="明显引用 Char1"/>
    <w:link w:val="459"/>
    <w:autoRedefine/>
    <w:qFormat/>
    <w:uiPriority w:val="0"/>
    <w:rPr>
      <w:rFonts w:eastAsia="黑体"/>
      <w:b/>
      <w:bCs/>
      <w:i/>
      <w:iCs/>
      <w:color w:val="4F81BD"/>
      <w:kern w:val="2"/>
      <w:sz w:val="21"/>
      <w:szCs w:val="22"/>
    </w:rPr>
  </w:style>
  <w:style w:type="paragraph" w:customStyle="1" w:styleId="459">
    <w:name w:val="明显引用1"/>
    <w:basedOn w:val="1"/>
    <w:next w:val="1"/>
    <w:link w:val="458"/>
    <w:autoRedefine/>
    <w:qFormat/>
    <w:uiPriority w:val="0"/>
    <w:pPr>
      <w:pBdr>
        <w:bottom w:val="single" w:color="4F81BD" w:sz="4" w:space="4"/>
      </w:pBdr>
      <w:spacing w:before="200" w:after="280"/>
      <w:ind w:left="936" w:right="936"/>
    </w:pPr>
    <w:rPr>
      <w:rFonts w:ascii="Calibri" w:hAnsi="Calibri" w:eastAsia="黑体" w:cs="Calibri"/>
      <w:b/>
      <w:bCs/>
      <w:i/>
      <w:iCs/>
      <w:color w:val="4F81BD"/>
      <w:szCs w:val="22"/>
    </w:rPr>
  </w:style>
  <w:style w:type="character" w:customStyle="1" w:styleId="460">
    <w:name w:val="apple-style-span"/>
    <w:autoRedefine/>
    <w:qFormat/>
    <w:uiPriority w:val="0"/>
    <w:rPr>
      <w:rFonts w:cs="Times New Roman"/>
    </w:rPr>
  </w:style>
  <w:style w:type="character" w:customStyle="1" w:styleId="461">
    <w:name w:val="prev3"/>
    <w:autoRedefine/>
    <w:qFormat/>
    <w:uiPriority w:val="0"/>
    <w:rPr>
      <w:rFonts w:ascii="微软雅黑" w:hAnsi="微软雅黑" w:eastAsia="微软雅黑" w:cs="微软雅黑"/>
      <w:sz w:val="21"/>
      <w:szCs w:val="21"/>
    </w:rPr>
  </w:style>
  <w:style w:type="character" w:customStyle="1" w:styleId="462">
    <w:name w:val="Char Char21"/>
    <w:autoRedefine/>
    <w:qFormat/>
    <w:uiPriority w:val="0"/>
    <w:rPr>
      <w:rFonts w:ascii="宋体" w:eastAsia="宋体"/>
      <w:kern w:val="2"/>
      <w:sz w:val="21"/>
      <w:lang w:val="en-US" w:eastAsia="zh-CN" w:bidi="ar-SA"/>
    </w:rPr>
  </w:style>
  <w:style w:type="character" w:customStyle="1" w:styleId="463">
    <w:name w:val="redfilenumber"/>
    <w:autoRedefine/>
    <w:qFormat/>
    <w:uiPriority w:val="0"/>
    <w:rPr>
      <w:color w:val="BA2636"/>
      <w:sz w:val="18"/>
      <w:szCs w:val="18"/>
    </w:rPr>
  </w:style>
  <w:style w:type="character" w:customStyle="1" w:styleId="464">
    <w:name w:val="next3"/>
    <w:autoRedefine/>
    <w:qFormat/>
    <w:uiPriority w:val="0"/>
    <w:rPr>
      <w:rFonts w:hint="eastAsia" w:ascii="微软雅黑" w:hAnsi="微软雅黑" w:eastAsia="微软雅黑" w:cs="微软雅黑"/>
      <w:sz w:val="21"/>
      <w:szCs w:val="21"/>
    </w:rPr>
  </w:style>
  <w:style w:type="character" w:customStyle="1" w:styleId="465">
    <w:name w:val="del"/>
    <w:autoRedefine/>
    <w:qFormat/>
    <w:uiPriority w:val="0"/>
    <w:rPr>
      <w:vanish/>
    </w:rPr>
  </w:style>
  <w:style w:type="character" w:customStyle="1" w:styleId="466">
    <w:name w:val="text-overflow"/>
    <w:autoRedefine/>
    <w:qFormat/>
    <w:uiPriority w:val="0"/>
    <w:rPr>
      <w:sz w:val="21"/>
      <w:szCs w:val="21"/>
    </w:rPr>
  </w:style>
  <w:style w:type="character" w:customStyle="1" w:styleId="467">
    <w:name w:val="须知小标题 Char Char"/>
    <w:link w:val="468"/>
    <w:autoRedefine/>
    <w:qFormat/>
    <w:uiPriority w:val="0"/>
    <w:rPr>
      <w:rFonts w:ascii="黑体" w:eastAsia="黑体"/>
      <w:b/>
      <w:kern w:val="2"/>
      <w:sz w:val="28"/>
    </w:rPr>
  </w:style>
  <w:style w:type="paragraph" w:customStyle="1" w:styleId="468">
    <w:name w:val="须知小标题"/>
    <w:basedOn w:val="1"/>
    <w:link w:val="467"/>
    <w:autoRedefine/>
    <w:qFormat/>
    <w:uiPriority w:val="0"/>
    <w:pPr>
      <w:spacing w:line="500" w:lineRule="exact"/>
    </w:pPr>
    <w:rPr>
      <w:rFonts w:ascii="黑体" w:hAnsi="Calibri" w:eastAsia="黑体" w:cs="Calibri"/>
      <w:b/>
      <w:sz w:val="28"/>
      <w:szCs w:val="20"/>
    </w:rPr>
  </w:style>
  <w:style w:type="character" w:customStyle="1" w:styleId="469">
    <w:name w:val="引用 Char1"/>
    <w:link w:val="470"/>
    <w:autoRedefine/>
    <w:qFormat/>
    <w:uiPriority w:val="0"/>
    <w:rPr>
      <w:rFonts w:eastAsia="黑体"/>
      <w:i/>
      <w:iCs/>
      <w:color w:val="000000"/>
      <w:kern w:val="2"/>
      <w:sz w:val="21"/>
      <w:szCs w:val="22"/>
    </w:rPr>
  </w:style>
  <w:style w:type="paragraph" w:customStyle="1" w:styleId="470">
    <w:name w:val="引用1"/>
    <w:basedOn w:val="1"/>
    <w:next w:val="1"/>
    <w:link w:val="469"/>
    <w:autoRedefine/>
    <w:qFormat/>
    <w:uiPriority w:val="0"/>
    <w:rPr>
      <w:rFonts w:ascii="Calibri" w:hAnsi="Calibri" w:eastAsia="黑体" w:cs="Calibri"/>
      <w:i/>
      <w:iCs/>
      <w:color w:val="000000"/>
      <w:szCs w:val="22"/>
    </w:rPr>
  </w:style>
  <w:style w:type="character" w:customStyle="1" w:styleId="471">
    <w:name w:val="标题5 Char Char"/>
    <w:link w:val="472"/>
    <w:autoRedefine/>
    <w:qFormat/>
    <w:uiPriority w:val="0"/>
    <w:rPr>
      <w:rFonts w:ascii="Arial" w:hAnsi="Arial"/>
      <w:b/>
      <w:bCs/>
      <w:sz w:val="24"/>
      <w:szCs w:val="32"/>
    </w:rPr>
  </w:style>
  <w:style w:type="paragraph" w:customStyle="1" w:styleId="472">
    <w:name w:val="标题5"/>
    <w:basedOn w:val="6"/>
    <w:link w:val="471"/>
    <w:autoRedefine/>
    <w:qFormat/>
    <w:uiPriority w:val="0"/>
    <w:pPr>
      <w:tabs>
        <w:tab w:val="clear" w:pos="1740"/>
      </w:tabs>
      <w:spacing w:after="260"/>
      <w:ind w:left="0"/>
    </w:pPr>
    <w:rPr>
      <w:rFonts w:ascii="Arial" w:hAnsi="Arial" w:cs="Calibri"/>
      <w:sz w:val="24"/>
    </w:rPr>
  </w:style>
  <w:style w:type="character" w:customStyle="1" w:styleId="473">
    <w:name w:val="日期 Char2"/>
    <w:autoRedefine/>
    <w:qFormat/>
    <w:uiPriority w:val="0"/>
    <w:rPr>
      <w:kern w:val="2"/>
      <w:sz w:val="21"/>
      <w:szCs w:val="24"/>
    </w:rPr>
  </w:style>
  <w:style w:type="character" w:customStyle="1" w:styleId="474">
    <w:name w:val="明显参考1"/>
    <w:autoRedefine/>
    <w:qFormat/>
    <w:uiPriority w:val="0"/>
    <w:rPr>
      <w:b/>
      <w:bCs/>
      <w:smallCaps/>
      <w:color w:val="C0504D"/>
      <w:spacing w:val="5"/>
      <w:u w:val="single"/>
    </w:rPr>
  </w:style>
  <w:style w:type="character" w:customStyle="1" w:styleId="475">
    <w:name w:val="second-line"/>
    <w:autoRedefine/>
    <w:qFormat/>
    <w:uiPriority w:val="0"/>
    <w:rPr>
      <w:color w:val="727272"/>
    </w:rPr>
  </w:style>
  <w:style w:type="character" w:customStyle="1" w:styleId="476">
    <w:name w:val="textcontents"/>
    <w:autoRedefine/>
    <w:qFormat/>
    <w:uiPriority w:val="0"/>
    <w:rPr>
      <w:rFonts w:cs="Times New Roman"/>
    </w:rPr>
  </w:style>
  <w:style w:type="character" w:customStyle="1" w:styleId="477">
    <w:name w:val="cfdate"/>
    <w:autoRedefine/>
    <w:qFormat/>
    <w:uiPriority w:val="0"/>
    <w:rPr>
      <w:color w:val="333333"/>
      <w:sz w:val="18"/>
      <w:szCs w:val="18"/>
    </w:rPr>
  </w:style>
  <w:style w:type="character" w:customStyle="1" w:styleId="478">
    <w:name w:val="Char Char81"/>
    <w:autoRedefine/>
    <w:qFormat/>
    <w:uiPriority w:val="0"/>
    <w:rPr>
      <w:rFonts w:ascii="宋体" w:eastAsia="宋体"/>
      <w:kern w:val="2"/>
      <w:sz w:val="21"/>
      <w:lang w:val="en-US" w:eastAsia="zh-CN" w:bidi="ar-SA"/>
    </w:rPr>
  </w:style>
  <w:style w:type="paragraph" w:customStyle="1" w:styleId="479">
    <w:name w:val="Other|1"/>
    <w:autoRedefine/>
    <w:qFormat/>
    <w:uiPriority w:val="0"/>
    <w:pPr>
      <w:widowControl w:val="0"/>
      <w:spacing w:line="396" w:lineRule="auto"/>
      <w:ind w:firstLine="400"/>
      <w:jc w:val="both"/>
    </w:pPr>
    <w:rPr>
      <w:rFonts w:ascii="宋体" w:hAnsi="宋体" w:eastAsia="宋体" w:cs="宋体"/>
      <w:kern w:val="2"/>
      <w:sz w:val="30"/>
      <w:szCs w:val="30"/>
      <w:lang w:val="zh-TW" w:eastAsia="zh-TW" w:bidi="zh-TW"/>
    </w:rPr>
  </w:style>
  <w:style w:type="paragraph" w:customStyle="1" w:styleId="480">
    <w:name w:val="前附表"/>
    <w:basedOn w:val="1"/>
    <w:autoRedefine/>
    <w:qFormat/>
    <w:uiPriority w:val="0"/>
    <w:pPr>
      <w:jc w:val="center"/>
    </w:pPr>
    <w:rPr>
      <w:rFonts w:ascii="宋体" w:hAnsi="宋体"/>
      <w:b/>
      <w:sz w:val="32"/>
      <w:szCs w:val="32"/>
    </w:rPr>
  </w:style>
  <w:style w:type="paragraph" w:customStyle="1" w:styleId="481">
    <w:name w:val="样式4"/>
    <w:basedOn w:val="1"/>
    <w:autoRedefine/>
    <w:qFormat/>
    <w:uiPriority w:val="0"/>
    <w:pPr>
      <w:tabs>
        <w:tab w:val="left" w:pos="312"/>
        <w:tab w:val="left" w:pos="720"/>
      </w:tabs>
      <w:spacing w:beforeLines="50" w:line="560" w:lineRule="exact"/>
    </w:pPr>
    <w:rPr>
      <w:rFonts w:ascii="黑体" w:hAnsi="Arial" w:eastAsia="黑体"/>
      <w:b/>
      <w:sz w:val="24"/>
      <w:szCs w:val="20"/>
    </w:rPr>
  </w:style>
  <w:style w:type="paragraph" w:customStyle="1" w:styleId="482">
    <w:name w:val="须知二级小标题"/>
    <w:basedOn w:val="1"/>
    <w:autoRedefine/>
    <w:qFormat/>
    <w:uiPriority w:val="0"/>
    <w:pPr>
      <w:spacing w:line="500" w:lineRule="exact"/>
    </w:pPr>
    <w:rPr>
      <w:rFonts w:ascii="宋体"/>
      <w:b/>
      <w:sz w:val="24"/>
      <w:szCs w:val="20"/>
    </w:rPr>
  </w:style>
  <w:style w:type="paragraph" w:customStyle="1" w:styleId="483">
    <w:name w:val="1"/>
    <w:basedOn w:val="1"/>
    <w:next w:val="3"/>
    <w:autoRedefine/>
    <w:qFormat/>
    <w:uiPriority w:val="0"/>
    <w:pPr>
      <w:spacing w:line="600" w:lineRule="exact"/>
      <w:ind w:firstLine="480"/>
    </w:pPr>
    <w:rPr>
      <w:sz w:val="24"/>
      <w:szCs w:val="20"/>
    </w:rPr>
  </w:style>
  <w:style w:type="paragraph" w:customStyle="1" w:styleId="484">
    <w:name w:val="Table Paragraph"/>
    <w:basedOn w:val="1"/>
    <w:autoRedefine/>
    <w:qFormat/>
    <w:uiPriority w:val="1"/>
  </w:style>
  <w:style w:type="paragraph" w:customStyle="1" w:styleId="485">
    <w:name w:val="列表段落1"/>
    <w:basedOn w:val="1"/>
    <w:autoRedefine/>
    <w:qFormat/>
    <w:uiPriority w:val="99"/>
    <w:pPr>
      <w:ind w:firstLine="420" w:firstLineChars="200"/>
    </w:pPr>
  </w:style>
  <w:style w:type="paragraph" w:customStyle="1" w:styleId="486">
    <w:name w:val="样式 标题 3 + (中文) 黑体 小四 非加粗 段前: 7.8 磅 段后: 0 磅 行距: 固定值 20 磅"/>
    <w:basedOn w:val="6"/>
    <w:autoRedefine/>
    <w:qFormat/>
    <w:uiPriority w:val="0"/>
    <w:pPr>
      <w:tabs>
        <w:tab w:val="clear" w:pos="1740"/>
      </w:tabs>
      <w:spacing w:before="0" w:line="400" w:lineRule="exact"/>
      <w:ind w:left="0"/>
    </w:pPr>
    <w:rPr>
      <w:rFonts w:eastAsia="黑体" w:cs="宋体"/>
      <w:b w:val="0"/>
      <w:bCs w:val="0"/>
      <w:kern w:val="2"/>
      <w:sz w:val="24"/>
      <w:szCs w:val="20"/>
    </w:rPr>
  </w:style>
  <w:style w:type="paragraph" w:customStyle="1" w:styleId="487">
    <w:name w:val="_Style 35"/>
    <w:basedOn w:val="1"/>
    <w:autoRedefine/>
    <w:qFormat/>
    <w:uiPriority w:val="0"/>
  </w:style>
  <w:style w:type="paragraph" w:customStyle="1" w:styleId="488">
    <w:name w:val="_Style 126"/>
    <w:basedOn w:val="1"/>
    <w:next w:val="485"/>
    <w:autoRedefine/>
    <w:qFormat/>
    <w:uiPriority w:val="99"/>
    <w:pPr>
      <w:ind w:firstLine="420" w:firstLineChars="200"/>
    </w:pPr>
  </w:style>
  <w:style w:type="paragraph" w:customStyle="1" w:styleId="48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90">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91">
    <w:name w:val="TOC 标题2"/>
    <w:basedOn w:val="4"/>
    <w:next w:val="1"/>
    <w:autoRedefine/>
    <w:unhideWhenUsed/>
    <w:qFormat/>
    <w:uiPriority w:val="39"/>
    <w:pPr>
      <w:widowControl/>
      <w:tabs>
        <w:tab w:val="left" w:pos="900"/>
      </w:tabs>
      <w:spacing w:before="480" w:after="330" w:line="276" w:lineRule="auto"/>
      <w:ind w:left="900" w:hanging="720"/>
      <w:jc w:val="left"/>
      <w:outlineLvl w:val="9"/>
    </w:pPr>
    <w:rPr>
      <w:rFonts w:hint="eastAsia" w:ascii="Cambria" w:hAnsi="Cambria"/>
      <w:bCs w:val="0"/>
      <w:color w:val="366091"/>
      <w:kern w:val="0"/>
      <w:sz w:val="28"/>
      <w:szCs w:val="28"/>
    </w:rPr>
  </w:style>
  <w:style w:type="paragraph" w:customStyle="1" w:styleId="492">
    <w:name w:val="[Normal]"/>
    <w:autoRedefine/>
    <w:qFormat/>
    <w:uiPriority w:val="0"/>
    <w:rPr>
      <w:rFonts w:ascii="宋体" w:hAnsi="宋体" w:eastAsia="宋体" w:cs="Times New Roman"/>
      <w:sz w:val="24"/>
      <w:szCs w:val="22"/>
      <w:lang w:val="zh-CN" w:eastAsia="zh-CN" w:bidi="ar-SA"/>
    </w:rPr>
  </w:style>
  <w:style w:type="paragraph" w:customStyle="1" w:styleId="493">
    <w:name w:val="Char Char Char Char Char Char Char Char Char Char Char"/>
    <w:basedOn w:val="1"/>
    <w:autoRedefine/>
    <w:qFormat/>
    <w:uiPriority w:val="0"/>
    <w:pPr>
      <w:widowControl/>
      <w:spacing w:after="160" w:line="240" w:lineRule="exact"/>
      <w:jc w:val="left"/>
    </w:pPr>
    <w:rPr>
      <w:rFonts w:ascii="宋体"/>
      <w:kern w:val="0"/>
      <w:sz w:val="34"/>
      <w:szCs w:val="20"/>
    </w:rPr>
  </w:style>
  <w:style w:type="paragraph" w:customStyle="1" w:styleId="494">
    <w:name w:val="HWUC 表格文字"/>
    <w:basedOn w:val="1"/>
    <w:autoRedefine/>
    <w:qFormat/>
    <w:uiPriority w:val="0"/>
    <w:pPr>
      <w:spacing w:before="10" w:after="10" w:line="360" w:lineRule="auto"/>
      <w:jc w:val="center"/>
    </w:pPr>
    <w:rPr>
      <w:rFonts w:ascii="宋体"/>
      <w:spacing w:val="8"/>
      <w:sz w:val="24"/>
    </w:rPr>
  </w:style>
  <w:style w:type="paragraph" w:customStyle="1" w:styleId="49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6">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97">
    <w:name w:val="卷"/>
    <w:basedOn w:val="1"/>
    <w:autoRedefine/>
    <w:qFormat/>
    <w:uiPriority w:val="0"/>
    <w:pPr>
      <w:spacing w:beforeLines="1000" w:line="360" w:lineRule="auto"/>
      <w:jc w:val="center"/>
    </w:pPr>
    <w:rPr>
      <w:rFonts w:ascii="黑体" w:eastAsia="黑体"/>
      <w:b/>
      <w:sz w:val="48"/>
      <w:szCs w:val="48"/>
    </w:rPr>
  </w:style>
  <w:style w:type="paragraph" w:customStyle="1" w:styleId="498">
    <w:name w:val="HWUC 段落正文"/>
    <w:basedOn w:val="1"/>
    <w:autoRedefine/>
    <w:qFormat/>
    <w:uiPriority w:val="0"/>
    <w:pPr>
      <w:spacing w:line="360" w:lineRule="auto"/>
      <w:ind w:firstLine="560" w:firstLineChars="200"/>
    </w:pPr>
    <w:rPr>
      <w:sz w:val="28"/>
      <w:szCs w:val="28"/>
    </w:rPr>
  </w:style>
  <w:style w:type="paragraph" w:customStyle="1" w:styleId="499">
    <w:name w:val="条款节部分"/>
    <w:basedOn w:val="1"/>
    <w:autoRedefine/>
    <w:qFormat/>
    <w:uiPriority w:val="0"/>
    <w:pPr>
      <w:tabs>
        <w:tab w:val="left" w:pos="1455"/>
        <w:tab w:val="left" w:pos="2850"/>
      </w:tabs>
      <w:ind w:left="1455" w:hanging="1455"/>
    </w:pPr>
    <w:rPr>
      <w:rFonts w:eastAsia="仿宋_GB2312"/>
      <w:sz w:val="32"/>
      <w:szCs w:val="32"/>
    </w:rPr>
  </w:style>
  <w:style w:type="paragraph" w:customStyle="1" w:styleId="500">
    <w:name w:val="表格"/>
    <w:basedOn w:val="1"/>
    <w:autoRedefine/>
    <w:qFormat/>
    <w:uiPriority w:val="0"/>
    <w:pPr>
      <w:jc w:val="center"/>
      <w:textAlignment w:val="center"/>
    </w:pPr>
    <w:rPr>
      <w:rFonts w:ascii="华文细黑" w:hAnsi="华文细黑"/>
      <w:kern w:val="0"/>
      <w:szCs w:val="20"/>
    </w:rPr>
  </w:style>
  <w:style w:type="paragraph" w:customStyle="1" w:styleId="501">
    <w:name w:val="正文 Char Char"/>
    <w:basedOn w:val="1"/>
    <w:autoRedefine/>
    <w:qFormat/>
    <w:uiPriority w:val="0"/>
    <w:pPr>
      <w:spacing w:line="360" w:lineRule="auto"/>
      <w:ind w:firstLine="437"/>
    </w:pPr>
    <w:rPr>
      <w:rFonts w:ascii="宋体"/>
      <w:sz w:val="24"/>
    </w:rPr>
  </w:style>
  <w:style w:type="paragraph" w:customStyle="1" w:styleId="502">
    <w:name w:val="Char3"/>
    <w:basedOn w:val="1"/>
    <w:autoRedefine/>
    <w:qFormat/>
    <w:uiPriority w:val="0"/>
  </w:style>
  <w:style w:type="paragraph" w:customStyle="1" w:styleId="503">
    <w:name w:val="纯文本1"/>
    <w:basedOn w:val="1"/>
    <w:autoRedefine/>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504">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505">
    <w:name w:val="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0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07">
    <w:name w:val="样式 标题 1 + 黑体 三号 非加粗 居中 段前: 6 磅 段后: 6 磅 行距: 固定值 20 磅"/>
    <w:basedOn w:val="4"/>
    <w:autoRedefine/>
    <w:qFormat/>
    <w:uiPriority w:val="0"/>
    <w:pPr>
      <w:spacing w:before="120" w:after="120" w:line="400" w:lineRule="exact"/>
    </w:pPr>
    <w:rPr>
      <w:rFonts w:ascii="黑体" w:eastAsia="黑体" w:cs="宋体"/>
      <w:b w:val="0"/>
      <w:bCs w:val="0"/>
      <w:sz w:val="32"/>
      <w:szCs w:val="20"/>
    </w:rPr>
  </w:style>
  <w:style w:type="paragraph" w:customStyle="1" w:styleId="50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509">
    <w:name w:val="Char1 Char Char Char"/>
    <w:basedOn w:val="1"/>
    <w:autoRedefine/>
    <w:qFormat/>
    <w:uiPriority w:val="0"/>
  </w:style>
  <w:style w:type="paragraph" w:customStyle="1" w:styleId="510">
    <w:name w:val="Char Char Char Char Char Char Char"/>
    <w:basedOn w:val="1"/>
    <w:autoRedefine/>
    <w:qFormat/>
    <w:uiPriority w:val="0"/>
  </w:style>
  <w:style w:type="paragraph" w:customStyle="1" w:styleId="511">
    <w:name w:val="blockquot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2">
    <w:name w:val="公告小标题"/>
    <w:basedOn w:val="1"/>
    <w:autoRedefine/>
    <w:qFormat/>
    <w:uiPriority w:val="0"/>
    <w:pPr>
      <w:spacing w:line="500" w:lineRule="exact"/>
    </w:pPr>
    <w:rPr>
      <w:rFonts w:ascii="宋体"/>
      <w:b/>
      <w:sz w:val="24"/>
      <w:szCs w:val="20"/>
    </w:rPr>
  </w:style>
  <w:style w:type="paragraph" w:customStyle="1" w:styleId="513">
    <w:name w:val="章"/>
    <w:basedOn w:val="4"/>
    <w:autoRedefine/>
    <w:qFormat/>
    <w:uiPriority w:val="0"/>
    <w:pPr>
      <w:spacing w:line="340" w:lineRule="exact"/>
    </w:pPr>
    <w:rPr>
      <w:bCs w:val="0"/>
      <w:sz w:val="36"/>
      <w:szCs w:val="20"/>
    </w:rPr>
  </w:style>
  <w:style w:type="paragraph" w:customStyle="1" w:styleId="514">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5">
    <w:name w:val="列出段落4"/>
    <w:basedOn w:val="1"/>
    <w:autoRedefine/>
    <w:qFormat/>
    <w:uiPriority w:val="0"/>
    <w:pPr>
      <w:ind w:firstLine="420" w:firstLineChars="200"/>
    </w:pPr>
    <w:rPr>
      <w:rFonts w:ascii="Calibri" w:hAnsi="Calibri"/>
      <w:szCs w:val="21"/>
    </w:rPr>
  </w:style>
  <w:style w:type="paragraph" w:customStyle="1" w:styleId="516">
    <w:name w:val="Char Char Char Char1"/>
    <w:basedOn w:val="1"/>
    <w:autoRedefine/>
    <w:qFormat/>
    <w:uiPriority w:val="0"/>
    <w:pPr>
      <w:widowControl/>
      <w:spacing w:after="160" w:line="240" w:lineRule="exact"/>
      <w:jc w:val="left"/>
    </w:pPr>
    <w:rPr>
      <w:szCs w:val="20"/>
    </w:rPr>
  </w:style>
  <w:style w:type="paragraph" w:customStyle="1" w:styleId="517">
    <w:name w:val="纯文本11"/>
    <w:basedOn w:val="1"/>
    <w:autoRedefine/>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518">
    <w:name w:val="msolistparagraph"/>
    <w:basedOn w:val="1"/>
    <w:autoRedefine/>
    <w:qFormat/>
    <w:uiPriority w:val="0"/>
    <w:pPr>
      <w:ind w:firstLine="420" w:firstLineChars="200"/>
    </w:pPr>
  </w:style>
  <w:style w:type="paragraph" w:styleId="519">
    <w:name w:val="No Spacing"/>
    <w:autoRedefine/>
    <w:qFormat/>
    <w:uiPriority w:val="1"/>
    <w:pPr>
      <w:widowControl w:val="0"/>
      <w:wordWrap w:val="0"/>
      <w:topLinePunct/>
      <w:jc w:val="both"/>
    </w:pPr>
    <w:rPr>
      <w:rFonts w:ascii="Times New Roman" w:hAnsi="Times New Roman" w:eastAsia="仿宋" w:cs="Times New Roman"/>
      <w:kern w:val="2"/>
      <w:sz w:val="21"/>
      <w:szCs w:val="22"/>
      <w:lang w:val="en-US" w:eastAsia="zh-CN" w:bidi="ar-SA"/>
    </w:rPr>
  </w:style>
  <w:style w:type="character" w:customStyle="1" w:styleId="520">
    <w:name w:val="_Style 6"/>
    <w:autoRedefine/>
    <w:qFormat/>
    <w:uiPriority w:val="0"/>
    <w:rPr>
      <w:smallCaps/>
      <w:color w:val="C0504D"/>
      <w:u w:val="single"/>
    </w:rPr>
  </w:style>
  <w:style w:type="paragraph" w:customStyle="1" w:styleId="521">
    <w:name w:val="_Style 246"/>
    <w:basedOn w:val="3"/>
    <w:next w:val="2"/>
    <w:autoRedefine/>
    <w:unhideWhenUsed/>
    <w:qFormat/>
    <w:uiPriority w:val="0"/>
    <w:pPr>
      <w:spacing w:after="0" w:line="360" w:lineRule="auto"/>
      <w:ind w:left="0" w:leftChars="0" w:firstLine="420" w:firstLineChars="200"/>
    </w:pPr>
    <w:rPr>
      <w:kern w:val="2"/>
      <w:sz w:val="21"/>
    </w:rPr>
  </w:style>
  <w:style w:type="character" w:customStyle="1" w:styleId="522">
    <w:name w:val="ui-icon10"/>
    <w:basedOn w:val="53"/>
    <w:autoRedefine/>
    <w:qFormat/>
    <w:uiPriority w:val="0"/>
  </w:style>
  <w:style w:type="character" w:customStyle="1" w:styleId="523">
    <w:name w:val="hover5"/>
    <w:basedOn w:val="53"/>
    <w:autoRedefine/>
    <w:qFormat/>
    <w:uiPriority w:val="0"/>
    <w:rPr>
      <w:shd w:val="clear" w:color="auto" w:fill="EEEEEE"/>
    </w:rPr>
  </w:style>
  <w:style w:type="character" w:customStyle="1" w:styleId="524">
    <w:name w:val="before"/>
    <w:basedOn w:val="53"/>
    <w:autoRedefine/>
    <w:qFormat/>
    <w:uiPriority w:val="0"/>
    <w:rPr>
      <w:rFonts w:hint="default" w:ascii="FontAwesome" w:hAnsi="FontAwesome" w:eastAsia="FontAwesome" w:cs="FontAwesome"/>
      <w:color w:val="888888"/>
      <w:sz w:val="18"/>
      <w:szCs w:val="18"/>
    </w:rPr>
  </w:style>
  <w:style w:type="character" w:customStyle="1" w:styleId="525">
    <w:name w:val="before1"/>
    <w:basedOn w:val="53"/>
    <w:autoRedefine/>
    <w:qFormat/>
    <w:uiPriority w:val="0"/>
    <w:rPr>
      <w:rFonts w:hint="default" w:ascii="FontAwesome" w:hAnsi="FontAwesome" w:eastAsia="FontAwesome" w:cs="FontAwesome"/>
      <w:color w:val="888888"/>
      <w:sz w:val="18"/>
      <w:szCs w:val="18"/>
    </w:rPr>
  </w:style>
  <w:style w:type="character" w:customStyle="1" w:styleId="526">
    <w:name w:val="input-icon2"/>
    <w:basedOn w:val="53"/>
    <w:autoRedefine/>
    <w:qFormat/>
    <w:uiPriority w:val="0"/>
  </w:style>
  <w:style w:type="character" w:customStyle="1" w:styleId="527">
    <w:name w:val="old"/>
    <w:basedOn w:val="53"/>
    <w:autoRedefine/>
    <w:qFormat/>
    <w:uiPriority w:val="0"/>
    <w:rPr>
      <w:color w:val="999999"/>
    </w:rPr>
  </w:style>
  <w:style w:type="character" w:customStyle="1" w:styleId="528">
    <w:name w:val="ui-jqgrid-resize"/>
    <w:basedOn w:val="53"/>
    <w:autoRedefine/>
    <w:qFormat/>
    <w:uiPriority w:val="0"/>
  </w:style>
  <w:style w:type="character" w:customStyle="1" w:styleId="529">
    <w:name w:val="ui-jqgrid-resize1"/>
    <w:basedOn w:val="53"/>
    <w:autoRedefine/>
    <w:qFormat/>
    <w:uiPriority w:val="0"/>
  </w:style>
  <w:style w:type="paragraph" w:customStyle="1" w:styleId="530">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31">
    <w:name w:val="21"/>
    <w:basedOn w:val="53"/>
    <w:autoRedefine/>
    <w:qFormat/>
    <w:uiPriority w:val="0"/>
    <w:rPr>
      <w:rFonts w:hint="default" w:ascii="Arial" w:hAnsi="Arial" w:cs="Arial"/>
      <w:color w:val="000000"/>
      <w:sz w:val="18"/>
      <w:szCs w:val="18"/>
    </w:rPr>
  </w:style>
  <w:style w:type="character" w:customStyle="1" w:styleId="532">
    <w:name w:val="19"/>
    <w:basedOn w:val="53"/>
    <w:autoRedefine/>
    <w:qFormat/>
    <w:uiPriority w:val="0"/>
    <w:rPr>
      <w:rFonts w:hint="eastAsia" w:ascii="宋体" w:hAnsi="宋体" w:eastAsia="宋体"/>
      <w:color w:val="000000"/>
      <w:sz w:val="18"/>
      <w:szCs w:val="18"/>
    </w:rPr>
  </w:style>
  <w:style w:type="paragraph" w:customStyle="1" w:styleId="53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36147</Words>
  <Characters>38066</Characters>
  <Lines>432</Lines>
  <Paragraphs>121</Paragraphs>
  <TotalTime>0</TotalTime>
  <ScaleCrop>false</ScaleCrop>
  <LinksUpToDate>false</LinksUpToDate>
  <CharactersWithSpaces>41842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2024-06-17T09:03:00Z</dcterms:created>
  <dc:creator>Administrator</dc:creator>
  <cp:lastModifiedBy>a</cp:lastModifiedBy>
  <cp:lastPrinted>2024-01-04T09:05:00Z</cp:lastPrinted>
  <dcterms:modified xsi:type="dcterms:W3CDTF">2024-06-19T01:48:37Z</dcterms:modified>
  <dc:title>竞争性磋商文件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5E066AACFF5648978C00EEB78BA40D7F_13</vt:lpwstr>
  </property>
</Properties>
</file>