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046EBD">
      <w:pPr>
        <w:spacing w:line="360" w:lineRule="auto"/>
        <w:jc w:val="center"/>
        <w:rPr>
          <w:rFonts w:ascii="Arial" w:hAnsi="Arial" w:cs="Arial"/>
          <w:color w:val="auto"/>
          <w:sz w:val="32"/>
          <w:szCs w:val="32"/>
          <w:highlight w:val="none"/>
        </w:rPr>
      </w:pPr>
    </w:p>
    <w:p w14:paraId="643C5B92">
      <w:pPr>
        <w:snapToGrid w:val="0"/>
        <w:spacing w:before="120" w:beforeLines="50" w:line="360" w:lineRule="auto"/>
        <w:jc w:val="center"/>
        <w:rPr>
          <w:rFonts w:hint="eastAsia" w:ascii="仿宋" w:hAnsi="仿宋" w:eastAsia="仿宋" w:cs="仿宋"/>
          <w:b/>
          <w:color w:val="auto"/>
          <w:sz w:val="36"/>
          <w:szCs w:val="36"/>
          <w:highlight w:val="none"/>
        </w:rPr>
      </w:pPr>
    </w:p>
    <w:p w14:paraId="11A7384A">
      <w:pPr>
        <w:snapToGrid w:val="0"/>
        <w:spacing w:before="120" w:beforeLines="50" w:line="360" w:lineRule="auto"/>
        <w:jc w:val="center"/>
        <w:rPr>
          <w:rFonts w:hint="eastAsia" w:ascii="仿宋" w:hAnsi="仿宋" w:eastAsia="仿宋" w:cs="仿宋"/>
          <w:b/>
          <w:color w:val="auto"/>
          <w:sz w:val="36"/>
          <w:szCs w:val="36"/>
          <w:highlight w:val="none"/>
        </w:rPr>
      </w:pPr>
    </w:p>
    <w:p w14:paraId="1A561C4F">
      <w:pPr>
        <w:rPr>
          <w:rFonts w:hint="eastAsia"/>
          <w:color w:val="auto"/>
          <w:highlight w:val="none"/>
        </w:rPr>
      </w:pPr>
    </w:p>
    <w:p w14:paraId="4154521B">
      <w:pPr>
        <w:snapToGrid w:val="0"/>
        <w:spacing w:line="480" w:lineRule="auto"/>
        <w:jc w:val="center"/>
        <w:rPr>
          <w:rFonts w:ascii="宋体" w:hAnsi="宋体" w:cs="宋体"/>
          <w:color w:val="auto"/>
          <w:sz w:val="96"/>
          <w:szCs w:val="96"/>
          <w:highlight w:val="none"/>
        </w:rPr>
      </w:pPr>
      <w:r>
        <w:rPr>
          <w:rFonts w:hint="eastAsia" w:ascii="宋体" w:hAnsi="宋体" w:cs="宋体"/>
          <w:color w:val="auto"/>
          <w:sz w:val="96"/>
          <w:szCs w:val="96"/>
          <w:highlight w:val="none"/>
        </w:rPr>
        <w:t>竞争性磋商文件</w:t>
      </w:r>
    </w:p>
    <w:p w14:paraId="17B2DA52">
      <w:pPr>
        <w:snapToGrid w:val="0"/>
        <w:spacing w:line="480" w:lineRule="auto"/>
        <w:ind w:firstLine="838" w:firstLineChars="262"/>
        <w:rPr>
          <w:rFonts w:hint="eastAsia" w:ascii="宋体" w:hAnsi="宋体" w:cs="宋体"/>
          <w:color w:val="auto"/>
          <w:sz w:val="32"/>
          <w:szCs w:val="32"/>
          <w:highlight w:val="none"/>
        </w:rPr>
      </w:pPr>
    </w:p>
    <w:p w14:paraId="7309C923">
      <w:pPr>
        <w:pStyle w:val="19"/>
        <w:keepNext w:val="0"/>
        <w:keepLines w:val="0"/>
        <w:widowControl/>
        <w:suppressLineNumbers w:val="0"/>
        <w:spacing w:line="240" w:lineRule="auto"/>
        <w:rPr>
          <w:highlight w:val="none"/>
        </w:rPr>
      </w:pPr>
    </w:p>
    <w:p w14:paraId="78C31A76">
      <w:pPr>
        <w:pStyle w:val="19"/>
        <w:keepNext w:val="0"/>
        <w:keepLines w:val="0"/>
        <w:widowControl/>
        <w:suppressLineNumbers w:val="0"/>
        <w:spacing w:line="240" w:lineRule="auto"/>
        <w:rPr>
          <w:highlight w:val="none"/>
        </w:rPr>
      </w:pPr>
    </w:p>
    <w:p w14:paraId="45CDAFF6">
      <w:pPr>
        <w:pStyle w:val="19"/>
        <w:keepNext w:val="0"/>
        <w:keepLines w:val="0"/>
        <w:widowControl/>
        <w:suppressLineNumbers w:val="0"/>
        <w:spacing w:line="240" w:lineRule="auto"/>
        <w:rPr>
          <w:highlight w:val="none"/>
        </w:rPr>
      </w:pPr>
    </w:p>
    <w:p w14:paraId="2DF8F791">
      <w:pPr>
        <w:snapToGrid w:val="0"/>
        <w:spacing w:line="240" w:lineRule="auto"/>
        <w:ind w:firstLine="280" w:firstLineChars="100"/>
        <w:rPr>
          <w:rFonts w:hint="eastAsia" w:ascii="宋体" w:hAnsi="宋体" w:cs="宋体"/>
          <w:color w:val="auto"/>
          <w:sz w:val="28"/>
          <w:szCs w:val="28"/>
          <w:highlight w:val="none"/>
        </w:rPr>
      </w:pPr>
      <w:r>
        <w:rPr>
          <w:rFonts w:hint="eastAsia" w:ascii="宋体" w:hAnsi="宋体" w:cs="宋体"/>
          <w:color w:val="auto"/>
          <w:sz w:val="28"/>
          <w:szCs w:val="28"/>
          <w:highlight w:val="none"/>
        </w:rPr>
        <w:t>项目编号:2025NBHSWCS100</w:t>
      </w:r>
    </w:p>
    <w:p w14:paraId="548C8615">
      <w:pPr>
        <w:pStyle w:val="12"/>
        <w:spacing w:line="240" w:lineRule="auto"/>
        <w:ind w:left="0" w:leftChars="0" w:firstLine="0" w:firstLineChars="0"/>
        <w:rPr>
          <w:rFonts w:hint="default"/>
          <w:lang w:val="en-US" w:eastAsia="zh-CN"/>
        </w:rPr>
      </w:pPr>
    </w:p>
    <w:p w14:paraId="3E996A2F">
      <w:pPr>
        <w:snapToGrid w:val="0"/>
        <w:spacing w:line="240" w:lineRule="auto"/>
        <w:rPr>
          <w:rFonts w:hint="eastAsia" w:ascii="宋体" w:hAnsi="宋体" w:cs="宋体"/>
          <w:bCs/>
          <w:color w:val="auto"/>
          <w:sz w:val="28"/>
          <w:szCs w:val="28"/>
          <w:highlight w:val="none"/>
        </w:rPr>
      </w:pPr>
    </w:p>
    <w:p w14:paraId="0C62D010">
      <w:pPr>
        <w:snapToGrid w:val="0"/>
        <w:spacing w:line="240" w:lineRule="auto"/>
        <w:ind w:firstLine="280" w:firstLineChars="100"/>
        <w:rPr>
          <w:rFonts w:hint="eastAsia" w:ascii="宋体" w:hAnsi="宋体" w:eastAsia="宋体" w:cs="宋体"/>
          <w:color w:val="auto"/>
          <w:sz w:val="28"/>
          <w:szCs w:val="28"/>
          <w:highlight w:val="none"/>
          <w:lang w:eastAsia="zh-CN"/>
        </w:rPr>
      </w:pPr>
      <w:r>
        <w:rPr>
          <w:rFonts w:hint="eastAsia" w:ascii="宋体" w:hAnsi="宋体" w:cs="宋体"/>
          <w:bCs/>
          <w:color w:val="auto"/>
          <w:sz w:val="28"/>
          <w:szCs w:val="28"/>
          <w:highlight w:val="none"/>
        </w:rPr>
        <w:t>项目名称</w:t>
      </w:r>
      <w:r>
        <w:rPr>
          <w:rFonts w:hint="eastAsia" w:ascii="宋体" w:hAnsi="宋体" w:cs="宋体"/>
          <w:color w:val="auto"/>
          <w:sz w:val="28"/>
          <w:szCs w:val="28"/>
          <w:highlight w:val="none"/>
        </w:rPr>
        <w:t>:</w:t>
      </w:r>
      <w:r>
        <w:rPr>
          <w:rFonts w:hint="eastAsia" w:ascii="宋体" w:hAnsi="宋体" w:cs="宋体"/>
          <w:color w:val="auto"/>
          <w:sz w:val="28"/>
          <w:szCs w:val="28"/>
          <w:highlight w:val="none"/>
          <w:lang w:eastAsia="zh-CN"/>
        </w:rPr>
        <w:t>横街镇郑夹岙山塘、西南方山塘治漏排险工程</w:t>
      </w:r>
    </w:p>
    <w:p w14:paraId="0D067A5A">
      <w:pPr>
        <w:pStyle w:val="12"/>
        <w:spacing w:line="240" w:lineRule="auto"/>
        <w:ind w:left="0" w:leftChars="0" w:firstLine="0" w:firstLineChars="0"/>
      </w:pPr>
    </w:p>
    <w:p w14:paraId="4B8F187E">
      <w:pPr>
        <w:pStyle w:val="12"/>
        <w:spacing w:line="240" w:lineRule="auto"/>
        <w:ind w:left="0" w:leftChars="0" w:firstLine="0" w:firstLineChars="0"/>
      </w:pPr>
    </w:p>
    <w:p w14:paraId="4966CB2C">
      <w:pPr>
        <w:snapToGrid w:val="0"/>
        <w:spacing w:line="240" w:lineRule="auto"/>
        <w:ind w:firstLine="280" w:firstLineChars="100"/>
        <w:rPr>
          <w:rFonts w:hint="eastAsia" w:ascii="宋体" w:hAnsi="宋体" w:cs="宋体"/>
          <w:bCs/>
          <w:color w:val="auto"/>
          <w:sz w:val="28"/>
          <w:szCs w:val="28"/>
          <w:highlight w:val="none"/>
        </w:rPr>
      </w:pPr>
      <w:r>
        <w:rPr>
          <w:rFonts w:hint="eastAsia" w:ascii="宋体" w:hAnsi="宋体" w:cs="宋体"/>
          <w:bCs/>
          <w:color w:val="auto"/>
          <w:sz w:val="28"/>
          <w:szCs w:val="28"/>
          <w:highlight w:val="none"/>
        </w:rPr>
        <w:t>采购人：宁波市海曙区</w:t>
      </w:r>
      <w:r>
        <w:rPr>
          <w:rFonts w:hint="eastAsia" w:ascii="宋体" w:hAnsi="宋体" w:cs="宋体"/>
          <w:bCs/>
          <w:color w:val="auto"/>
          <w:sz w:val="28"/>
          <w:szCs w:val="28"/>
          <w:highlight w:val="none"/>
          <w:lang w:val="en-US" w:eastAsia="zh-CN"/>
        </w:rPr>
        <w:t>横街</w:t>
      </w:r>
      <w:r>
        <w:rPr>
          <w:rFonts w:hint="eastAsia" w:ascii="宋体" w:hAnsi="宋体" w:cs="宋体"/>
          <w:bCs/>
          <w:color w:val="auto"/>
          <w:sz w:val="28"/>
          <w:szCs w:val="28"/>
          <w:highlight w:val="none"/>
        </w:rPr>
        <w:t>镇人民政府(盖章)</w:t>
      </w:r>
    </w:p>
    <w:p w14:paraId="7BDC2364">
      <w:pPr>
        <w:pStyle w:val="12"/>
        <w:spacing w:line="240" w:lineRule="auto"/>
        <w:ind w:left="0" w:leftChars="0" w:firstLine="0" w:firstLineChars="0"/>
      </w:pPr>
    </w:p>
    <w:p w14:paraId="5EEFCEE3">
      <w:pPr>
        <w:pStyle w:val="12"/>
        <w:spacing w:line="240" w:lineRule="auto"/>
        <w:ind w:left="0" w:leftChars="0" w:firstLine="0" w:firstLineChars="0"/>
      </w:pPr>
    </w:p>
    <w:p w14:paraId="1CC67C8A">
      <w:pPr>
        <w:snapToGrid w:val="0"/>
        <w:spacing w:line="240" w:lineRule="auto"/>
        <w:ind w:firstLine="280" w:firstLineChars="100"/>
        <w:rPr>
          <w:rFonts w:hint="eastAsia" w:ascii="宋体" w:hAnsi="宋体" w:cs="宋体"/>
          <w:bCs/>
          <w:color w:val="auto"/>
          <w:sz w:val="28"/>
          <w:szCs w:val="28"/>
          <w:highlight w:val="none"/>
        </w:rPr>
      </w:pPr>
      <w:r>
        <w:rPr>
          <w:rFonts w:hint="eastAsia" w:ascii="宋体" w:hAnsi="宋体" w:cs="宋体"/>
          <w:color w:val="auto"/>
          <w:sz w:val="28"/>
          <w:szCs w:val="28"/>
          <w:highlight w:val="none"/>
        </w:rPr>
        <w:t>采购代理机构：</w:t>
      </w:r>
      <w:r>
        <w:rPr>
          <w:rFonts w:hint="eastAsia" w:ascii="宋体" w:hAnsi="宋体" w:cs="宋体"/>
          <w:color w:val="auto"/>
          <w:sz w:val="28"/>
          <w:szCs w:val="28"/>
          <w:highlight w:val="none"/>
          <w:lang w:val="en-US" w:eastAsia="zh-CN"/>
        </w:rPr>
        <w:t>宁波市倬正项目管理咨询有限公司</w:t>
      </w:r>
      <w:r>
        <w:rPr>
          <w:rFonts w:hint="eastAsia" w:ascii="宋体" w:hAnsi="宋体" w:cs="宋体"/>
          <w:bCs/>
          <w:color w:val="auto"/>
          <w:sz w:val="28"/>
          <w:szCs w:val="28"/>
          <w:highlight w:val="none"/>
        </w:rPr>
        <w:t>(盖章)</w:t>
      </w:r>
    </w:p>
    <w:p w14:paraId="49833BC0">
      <w:pPr>
        <w:pStyle w:val="12"/>
        <w:ind w:left="0" w:leftChars="0" w:firstLine="0" w:firstLineChars="0"/>
        <w:rPr>
          <w:rFonts w:hint="eastAsia" w:ascii="宋体" w:hAnsi="宋体" w:cs="宋体"/>
          <w:bCs/>
          <w:color w:val="auto"/>
          <w:sz w:val="28"/>
          <w:szCs w:val="28"/>
          <w:highlight w:val="none"/>
        </w:rPr>
      </w:pPr>
    </w:p>
    <w:p w14:paraId="7495BA87">
      <w:pPr>
        <w:pStyle w:val="12"/>
        <w:rPr>
          <w:rFonts w:hint="eastAsia" w:ascii="宋体" w:hAnsi="宋体" w:cs="宋体"/>
          <w:bCs/>
          <w:color w:val="auto"/>
          <w:sz w:val="28"/>
          <w:szCs w:val="28"/>
          <w:highlight w:val="none"/>
        </w:rPr>
      </w:pPr>
    </w:p>
    <w:p w14:paraId="52C269BD">
      <w:pPr>
        <w:snapToGrid w:val="0"/>
        <w:spacing w:line="240" w:lineRule="auto"/>
        <w:ind w:firstLine="838" w:firstLineChars="262"/>
        <w:rPr>
          <w:rFonts w:hint="eastAsia" w:ascii="宋体" w:hAnsi="宋体" w:cs="宋体"/>
          <w:color w:val="auto"/>
          <w:sz w:val="32"/>
          <w:szCs w:val="32"/>
          <w:highlight w:val="none"/>
        </w:rPr>
      </w:pPr>
    </w:p>
    <w:p w14:paraId="122A68EE">
      <w:pPr>
        <w:snapToGrid w:val="0"/>
        <w:spacing w:line="240" w:lineRule="auto"/>
        <w:jc w:val="center"/>
        <w:rPr>
          <w:rFonts w:hint="eastAsia" w:ascii="宋体" w:hAnsi="宋体" w:cs="宋体"/>
          <w:bCs/>
          <w:color w:val="auto"/>
          <w:sz w:val="28"/>
          <w:szCs w:val="28"/>
          <w:highlight w:val="none"/>
        </w:rPr>
      </w:pPr>
      <w:r>
        <w:rPr>
          <w:rFonts w:hint="eastAsia" w:ascii="宋体" w:hAnsi="宋体" w:cs="宋体"/>
          <w:bCs/>
          <w:color w:val="auto"/>
          <w:sz w:val="28"/>
          <w:szCs w:val="28"/>
          <w:highlight w:val="none"/>
        </w:rPr>
        <w:t>编制日期：二〇二</w:t>
      </w:r>
      <w:r>
        <w:rPr>
          <w:rFonts w:hint="eastAsia" w:ascii="宋体" w:hAnsi="宋体" w:cs="宋体"/>
          <w:bCs/>
          <w:color w:val="auto"/>
          <w:sz w:val="28"/>
          <w:szCs w:val="28"/>
          <w:highlight w:val="none"/>
          <w:lang w:val="en-US" w:eastAsia="zh-CN"/>
        </w:rPr>
        <w:t>五</w:t>
      </w:r>
      <w:r>
        <w:rPr>
          <w:rFonts w:hint="eastAsia" w:ascii="宋体" w:hAnsi="宋体" w:cs="宋体"/>
          <w:bCs/>
          <w:color w:val="auto"/>
          <w:sz w:val="28"/>
          <w:szCs w:val="28"/>
          <w:highlight w:val="none"/>
        </w:rPr>
        <w:t>年</w:t>
      </w:r>
      <w:r>
        <w:rPr>
          <w:rFonts w:hint="eastAsia" w:ascii="宋体" w:hAnsi="宋体" w:cs="宋体"/>
          <w:bCs/>
          <w:color w:val="auto"/>
          <w:sz w:val="28"/>
          <w:szCs w:val="28"/>
          <w:highlight w:val="none"/>
          <w:lang w:val="en-US" w:eastAsia="zh-CN"/>
        </w:rPr>
        <w:t>三</w:t>
      </w:r>
      <w:r>
        <w:rPr>
          <w:rFonts w:hint="eastAsia" w:ascii="宋体" w:hAnsi="宋体" w:cs="宋体"/>
          <w:bCs/>
          <w:color w:val="auto"/>
          <w:sz w:val="28"/>
          <w:szCs w:val="28"/>
          <w:highlight w:val="none"/>
        </w:rPr>
        <w:t>月</w:t>
      </w:r>
    </w:p>
    <w:p w14:paraId="249C9692">
      <w:pPr>
        <w:pStyle w:val="26"/>
        <w:spacing w:line="240" w:lineRule="auto"/>
        <w:outlineLvl w:val="9"/>
        <w:rPr>
          <w:color w:val="auto"/>
          <w:sz w:val="28"/>
          <w:szCs w:val="28"/>
          <w:highlight w:val="none"/>
        </w:rPr>
        <w:sectPr>
          <w:headerReference r:id="rId4" w:type="first"/>
          <w:headerReference r:id="rId3" w:type="default"/>
          <w:pgSz w:w="11906" w:h="16838"/>
          <w:pgMar w:top="1417" w:right="1417" w:bottom="1417" w:left="1417" w:header="851" w:footer="992" w:gutter="0"/>
          <w:cols w:space="720" w:num="1"/>
          <w:titlePg/>
          <w:docGrid w:linePitch="312" w:charSpace="0"/>
        </w:sectPr>
      </w:pPr>
    </w:p>
    <w:p w14:paraId="40E7CD98">
      <w:pPr>
        <w:jc w:val="center"/>
        <w:rPr>
          <w:rFonts w:hint="eastAsia" w:ascii="仿宋" w:hAnsi="仿宋" w:eastAsia="仿宋" w:cs="仿宋"/>
          <w:b/>
          <w:color w:val="auto"/>
          <w:sz w:val="48"/>
          <w:szCs w:val="48"/>
          <w:highlight w:val="none"/>
          <w:lang w:val="zh-CN"/>
        </w:rPr>
      </w:pPr>
      <w:r>
        <w:rPr>
          <w:rFonts w:hint="eastAsia" w:ascii="仿宋" w:hAnsi="仿宋" w:eastAsia="仿宋" w:cs="仿宋"/>
          <w:b/>
          <w:color w:val="auto"/>
          <w:sz w:val="48"/>
          <w:szCs w:val="48"/>
          <w:highlight w:val="none"/>
          <w:lang w:val="zh-CN"/>
        </w:rPr>
        <w:t>目   录</w:t>
      </w:r>
    </w:p>
    <w:p w14:paraId="4EBCEB24">
      <w:pPr>
        <w:pStyle w:val="10"/>
        <w:rPr>
          <w:rFonts w:hint="eastAsia" w:ascii="仿宋" w:hAnsi="仿宋" w:eastAsia="仿宋" w:cs="仿宋"/>
          <w:color w:val="auto"/>
          <w:highlight w:val="none"/>
        </w:rPr>
      </w:pPr>
    </w:p>
    <w:p w14:paraId="1936488E">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color w:val="auto"/>
          <w:highlight w:val="none"/>
        </w:rPr>
        <w:fldChar w:fldCharType="begin"/>
      </w:r>
      <w:r>
        <w:rPr>
          <w:rFonts w:hint="eastAsia" w:ascii="仿宋" w:hAnsi="仿宋" w:eastAsia="仿宋" w:cs="仿宋"/>
          <w:b w:val="0"/>
          <w:color w:val="auto"/>
          <w:highlight w:val="none"/>
        </w:rPr>
        <w:instrText xml:space="preserve"> TOC \o "1-3" \h \z \u </w:instrText>
      </w:r>
      <w:r>
        <w:rPr>
          <w:rFonts w:hint="eastAsia" w:ascii="仿宋" w:hAnsi="仿宋" w:eastAsia="仿宋" w:cs="仿宋"/>
          <w:b w:val="0"/>
          <w:color w:val="auto"/>
          <w:highlight w:val="none"/>
        </w:rPr>
        <w:fldChar w:fldCharType="separate"/>
      </w: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_Toc6538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第一章  竞争性磋商公告</w:t>
      </w:r>
      <w:r>
        <w:rPr>
          <w:rFonts w:hint="eastAsia" w:ascii="仿宋" w:hAnsi="仿宋" w:eastAsia="仿宋" w:cs="仿宋"/>
          <w:b w:val="0"/>
          <w:bCs/>
          <w:color w:val="auto"/>
          <w:sz w:val="28"/>
          <w:szCs w:val="22"/>
          <w:highlight w:val="none"/>
        </w:rPr>
        <w:fldChar w:fldCharType="end"/>
      </w:r>
    </w:p>
    <w:p w14:paraId="48A944E9">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_Toc30441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第二章  采购需求</w:t>
      </w:r>
      <w:r>
        <w:rPr>
          <w:rFonts w:hint="eastAsia" w:ascii="仿宋" w:hAnsi="仿宋" w:eastAsia="仿宋" w:cs="仿宋"/>
          <w:b w:val="0"/>
          <w:bCs/>
          <w:color w:val="auto"/>
          <w:sz w:val="28"/>
          <w:szCs w:val="22"/>
          <w:highlight w:val="none"/>
        </w:rPr>
        <w:fldChar w:fldCharType="end"/>
      </w:r>
    </w:p>
    <w:p w14:paraId="2A13EB9A">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_Toc31714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第三章  投标人须知</w:t>
      </w:r>
      <w:r>
        <w:rPr>
          <w:rFonts w:hint="eastAsia" w:ascii="仿宋" w:hAnsi="仿宋" w:eastAsia="仿宋" w:cs="仿宋"/>
          <w:b w:val="0"/>
          <w:bCs/>
          <w:color w:val="auto"/>
          <w:sz w:val="28"/>
          <w:szCs w:val="22"/>
          <w:highlight w:val="none"/>
        </w:rPr>
        <w:fldChar w:fldCharType="end"/>
      </w:r>
    </w:p>
    <w:p w14:paraId="51FFFCB7">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_Toc26524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第四章  评审办法及评分标准</w:t>
      </w:r>
      <w:r>
        <w:rPr>
          <w:rFonts w:hint="eastAsia" w:ascii="仿宋" w:hAnsi="仿宋" w:eastAsia="仿宋" w:cs="仿宋"/>
          <w:b w:val="0"/>
          <w:bCs/>
          <w:color w:val="auto"/>
          <w:sz w:val="28"/>
          <w:szCs w:val="22"/>
          <w:highlight w:val="none"/>
        </w:rPr>
        <w:fldChar w:fldCharType="end"/>
      </w:r>
    </w:p>
    <w:p w14:paraId="75B09A8E">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_Toc23992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第五章  拟签订的合同文本</w:t>
      </w:r>
      <w:r>
        <w:rPr>
          <w:rFonts w:hint="eastAsia" w:ascii="仿宋" w:hAnsi="仿宋" w:eastAsia="仿宋" w:cs="仿宋"/>
          <w:b w:val="0"/>
          <w:bCs/>
          <w:color w:val="auto"/>
          <w:sz w:val="28"/>
          <w:szCs w:val="22"/>
          <w:highlight w:val="none"/>
        </w:rPr>
        <w:fldChar w:fldCharType="end"/>
      </w:r>
    </w:p>
    <w:p w14:paraId="3C9E366B">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_Toc6917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第六章  响应文件格式</w:t>
      </w:r>
      <w:r>
        <w:rPr>
          <w:rFonts w:hint="eastAsia" w:ascii="仿宋" w:hAnsi="仿宋" w:eastAsia="仿宋" w:cs="仿宋"/>
          <w:b w:val="0"/>
          <w:bCs/>
          <w:color w:val="auto"/>
          <w:sz w:val="28"/>
          <w:szCs w:val="22"/>
          <w:highlight w:val="none"/>
        </w:rPr>
        <w:fldChar w:fldCharType="end"/>
      </w:r>
    </w:p>
    <w:p w14:paraId="270CD3F9">
      <w:pPr>
        <w:pStyle w:val="18"/>
        <w:tabs>
          <w:tab w:val="right" w:leader="dot" w:pos="8856"/>
        </w:tabs>
        <w:rPr>
          <w:color w:val="auto"/>
          <w:highlight w:val="none"/>
        </w:rPr>
      </w:pPr>
    </w:p>
    <w:p w14:paraId="722640F2">
      <w:pPr>
        <w:pStyle w:val="18"/>
        <w:tabs>
          <w:tab w:val="right" w:leader="dot" w:pos="8846"/>
        </w:tabs>
        <w:spacing w:before="0" w:after="0" w:line="720" w:lineRule="auto"/>
        <w:rPr>
          <w:rFonts w:hint="eastAsia" w:ascii="仿宋" w:hAnsi="仿宋" w:eastAsia="仿宋" w:cs="仿宋"/>
          <w:b w:val="0"/>
          <w:color w:val="auto"/>
          <w:sz w:val="21"/>
          <w:szCs w:val="22"/>
          <w:highlight w:val="none"/>
        </w:rPr>
      </w:pPr>
      <w:r>
        <w:rPr>
          <w:rFonts w:hint="eastAsia" w:ascii="仿宋" w:hAnsi="仿宋" w:eastAsia="仿宋" w:cs="仿宋"/>
          <w:color w:val="auto"/>
          <w:highlight w:val="none"/>
        </w:rPr>
        <w:fldChar w:fldCharType="end"/>
      </w:r>
    </w:p>
    <w:p w14:paraId="1251C47C">
      <w:pPr>
        <w:pStyle w:val="14"/>
        <w:spacing w:before="0" w:beforeLines="0" w:after="0" w:afterLines="0" w:line="720" w:lineRule="auto"/>
        <w:jc w:val="center"/>
        <w:rPr>
          <w:rFonts w:hint="eastAsia" w:ascii="仿宋" w:hAnsi="仿宋" w:eastAsia="仿宋" w:cs="仿宋"/>
          <w:b/>
          <w:color w:val="auto"/>
          <w:sz w:val="30"/>
          <w:szCs w:val="30"/>
          <w:highlight w:val="none"/>
        </w:rPr>
      </w:pPr>
    </w:p>
    <w:p w14:paraId="44CF8D99">
      <w:pPr>
        <w:spacing w:line="720" w:lineRule="auto"/>
        <w:jc w:val="center"/>
        <w:rPr>
          <w:rFonts w:hint="eastAsia" w:ascii="仿宋" w:hAnsi="仿宋" w:eastAsia="仿宋" w:cs="仿宋"/>
          <w:b/>
          <w:color w:val="auto"/>
          <w:sz w:val="30"/>
          <w:szCs w:val="30"/>
          <w:highlight w:val="none"/>
        </w:rPr>
        <w:sectPr>
          <w:headerReference r:id="rId5" w:type="default"/>
          <w:footerReference r:id="rId6" w:type="default"/>
          <w:pgSz w:w="11906" w:h="16838"/>
          <w:pgMar w:top="1440" w:right="1440" w:bottom="1440" w:left="1610" w:header="851" w:footer="992" w:gutter="0"/>
          <w:pgNumType w:start="1"/>
          <w:cols w:space="720" w:num="1"/>
          <w:docGrid w:type="lines" w:linePitch="312" w:charSpace="0"/>
        </w:sectPr>
      </w:pPr>
    </w:p>
    <w:p w14:paraId="4F6050CF">
      <w:pPr>
        <w:pStyle w:val="2"/>
        <w:spacing w:line="460" w:lineRule="exact"/>
        <w:rPr>
          <w:rFonts w:hint="eastAsia" w:ascii="仿宋" w:hAnsi="仿宋" w:eastAsia="仿宋" w:cs="仿宋"/>
          <w:color w:val="auto"/>
          <w:sz w:val="21"/>
          <w:szCs w:val="21"/>
          <w:highlight w:val="none"/>
        </w:rPr>
      </w:pPr>
      <w:bookmarkStart w:id="0" w:name="_Toc6538"/>
      <w:r>
        <w:rPr>
          <w:rFonts w:hint="eastAsia" w:ascii="仿宋" w:hAnsi="仿宋" w:eastAsia="仿宋" w:cs="仿宋"/>
          <w:color w:val="auto"/>
          <w:highlight w:val="none"/>
        </w:rPr>
        <w:t>第一章  竞争性磋商公告</w:t>
      </w:r>
      <w:bookmarkEnd w:id="0"/>
    </w:p>
    <w:p w14:paraId="4A6658AD">
      <w:pPr>
        <w:pBdr>
          <w:top w:val="single" w:color="auto" w:sz="4" w:space="1"/>
          <w:left w:val="single" w:color="auto" w:sz="4" w:space="4"/>
          <w:bottom w:val="single" w:color="auto" w:sz="4" w:space="1"/>
          <w:right w:val="single" w:color="auto" w:sz="4" w:space="4"/>
        </w:pBd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项目概况</w:t>
      </w:r>
    </w:p>
    <w:p w14:paraId="37078A50">
      <w:pPr>
        <w:pBdr>
          <w:top w:val="single" w:color="auto" w:sz="4" w:space="1"/>
          <w:left w:val="single" w:color="auto" w:sz="4" w:space="4"/>
          <w:bottom w:val="single" w:color="auto" w:sz="4" w:space="1"/>
          <w:right w:val="single" w:color="auto" w:sz="4" w:space="4"/>
        </w:pBd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lang w:eastAsia="zh-CN"/>
        </w:rPr>
        <w:t>横街镇郑夹岙山塘、西南方山塘治漏排险工程</w:t>
      </w:r>
      <w:r>
        <w:rPr>
          <w:rFonts w:hint="eastAsia" w:ascii="仿宋" w:hAnsi="仿宋" w:eastAsia="仿宋" w:cs="仿宋"/>
          <w:color w:val="auto"/>
          <w:sz w:val="22"/>
          <w:szCs w:val="22"/>
          <w:highlight w:val="none"/>
        </w:rPr>
        <w:t>的潜在投标人应在“浙江政府采购云平台”（http://www.zcygov.cn/）获取（下载）采购文件，并于</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7</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14</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w:t>
      </w:r>
      <w:r>
        <w:rPr>
          <w:rFonts w:hint="eastAsia" w:ascii="仿宋" w:hAnsi="仿宋" w:eastAsia="仿宋" w:cs="仿宋"/>
          <w:color w:val="auto"/>
          <w:sz w:val="22"/>
          <w:szCs w:val="22"/>
          <w:highlight w:val="none"/>
          <w:u w:val="single"/>
        </w:rPr>
        <w:t>（北京时间）前</w:t>
      </w:r>
      <w:r>
        <w:rPr>
          <w:rFonts w:hint="eastAsia" w:ascii="仿宋" w:hAnsi="仿宋" w:eastAsia="仿宋" w:cs="仿宋"/>
          <w:color w:val="auto"/>
          <w:sz w:val="22"/>
          <w:szCs w:val="22"/>
          <w:highlight w:val="none"/>
        </w:rPr>
        <w:t>提交（上传）响应文件。</w:t>
      </w:r>
    </w:p>
    <w:p w14:paraId="405D00A9">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一、项目基本情况</w:t>
      </w:r>
    </w:p>
    <w:p w14:paraId="7AB85CD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项目编号：2025NBHSWCS100</w:t>
      </w:r>
    </w:p>
    <w:p w14:paraId="56D8401F">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项目名称：</w:t>
      </w:r>
      <w:r>
        <w:rPr>
          <w:rFonts w:hint="eastAsia" w:ascii="仿宋" w:hAnsi="仿宋" w:eastAsia="仿宋" w:cs="仿宋"/>
          <w:color w:val="auto"/>
          <w:sz w:val="22"/>
          <w:szCs w:val="22"/>
          <w:highlight w:val="none"/>
          <w:lang w:eastAsia="zh-CN"/>
        </w:rPr>
        <w:t>横街镇郑夹岙山塘、西南方山塘治漏排险工程</w:t>
      </w:r>
    </w:p>
    <w:p w14:paraId="04B97CB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采购方式：竞争性磋商</w:t>
      </w:r>
    </w:p>
    <w:p w14:paraId="0597EAC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预算金额：</w:t>
      </w:r>
      <w:r>
        <w:rPr>
          <w:rFonts w:hint="eastAsia" w:ascii="仿宋" w:hAnsi="仿宋" w:eastAsia="仿宋" w:cs="仿宋"/>
          <w:color w:val="auto"/>
          <w:sz w:val="22"/>
          <w:szCs w:val="22"/>
          <w:highlight w:val="none"/>
          <w:lang w:val="en-US" w:eastAsia="zh-CN"/>
        </w:rPr>
        <w:t>3387648</w:t>
      </w:r>
      <w:r>
        <w:rPr>
          <w:rFonts w:hint="eastAsia" w:ascii="仿宋" w:hAnsi="仿宋" w:eastAsia="仿宋" w:cs="仿宋"/>
          <w:color w:val="auto"/>
          <w:sz w:val="22"/>
          <w:szCs w:val="22"/>
          <w:highlight w:val="none"/>
        </w:rPr>
        <w:t>元</w:t>
      </w:r>
    </w:p>
    <w:p w14:paraId="0B6C84A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最高限价：</w:t>
      </w:r>
      <w:r>
        <w:rPr>
          <w:rFonts w:hint="eastAsia" w:ascii="仿宋" w:hAnsi="仿宋" w:eastAsia="仿宋" w:cs="仿宋"/>
          <w:color w:val="auto"/>
          <w:sz w:val="22"/>
          <w:szCs w:val="22"/>
          <w:highlight w:val="none"/>
          <w:lang w:val="en-US" w:eastAsia="zh-CN"/>
        </w:rPr>
        <w:t>3228266</w:t>
      </w:r>
      <w:r>
        <w:rPr>
          <w:rFonts w:hint="eastAsia" w:ascii="仿宋" w:hAnsi="仿宋" w:eastAsia="仿宋" w:cs="仿宋"/>
          <w:color w:val="auto"/>
          <w:sz w:val="22"/>
          <w:szCs w:val="22"/>
          <w:highlight w:val="none"/>
        </w:rPr>
        <w:t>元</w:t>
      </w:r>
    </w:p>
    <w:p w14:paraId="214A26DB">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采购需求：</w:t>
      </w:r>
    </w:p>
    <w:p w14:paraId="3D3DDD98">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标项名称：</w:t>
      </w:r>
      <w:r>
        <w:rPr>
          <w:rFonts w:hint="eastAsia" w:ascii="仿宋" w:hAnsi="仿宋" w:eastAsia="仿宋" w:cs="仿宋"/>
          <w:color w:val="auto"/>
          <w:sz w:val="22"/>
          <w:szCs w:val="22"/>
          <w:highlight w:val="none"/>
          <w:lang w:eastAsia="zh-CN"/>
        </w:rPr>
        <w:t>横街镇郑夹岙山塘、西南方山塘治漏排险工程</w:t>
      </w:r>
    </w:p>
    <w:p w14:paraId="21CC898B">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数量：1</w:t>
      </w:r>
    </w:p>
    <w:p w14:paraId="5DD0A24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预算金额：</w:t>
      </w:r>
      <w:r>
        <w:rPr>
          <w:rFonts w:hint="eastAsia" w:ascii="仿宋" w:hAnsi="仿宋" w:eastAsia="仿宋" w:cs="仿宋"/>
          <w:color w:val="auto"/>
          <w:sz w:val="22"/>
          <w:szCs w:val="22"/>
          <w:highlight w:val="none"/>
          <w:lang w:val="en-US" w:eastAsia="zh-CN"/>
        </w:rPr>
        <w:t>3387648</w:t>
      </w:r>
      <w:r>
        <w:rPr>
          <w:rFonts w:hint="eastAsia" w:ascii="仿宋" w:hAnsi="仿宋" w:eastAsia="仿宋" w:cs="仿宋"/>
          <w:color w:val="auto"/>
          <w:sz w:val="22"/>
          <w:szCs w:val="22"/>
          <w:highlight w:val="none"/>
        </w:rPr>
        <w:t>元</w:t>
      </w:r>
    </w:p>
    <w:p w14:paraId="3AA2F10E">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单位：项</w:t>
      </w:r>
    </w:p>
    <w:p w14:paraId="7335789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简要规格描述或项目基本概况介绍、用途：</w:t>
      </w:r>
      <w:r>
        <w:rPr>
          <w:rFonts w:hint="eastAsia" w:ascii="仿宋" w:hAnsi="仿宋" w:eastAsia="仿宋" w:cs="仿宋"/>
          <w:color w:val="auto"/>
          <w:sz w:val="22"/>
          <w:szCs w:val="22"/>
          <w:highlight w:val="none"/>
          <w:lang w:eastAsia="zh-CN"/>
        </w:rPr>
        <w:t>横街镇郑夹岙山塘、西南方山塘治漏排险工程</w:t>
      </w:r>
      <w:r>
        <w:rPr>
          <w:rFonts w:hint="eastAsia" w:ascii="仿宋" w:hAnsi="仿宋" w:eastAsia="仿宋" w:cs="仿宋"/>
          <w:color w:val="auto"/>
          <w:sz w:val="22"/>
          <w:szCs w:val="22"/>
          <w:highlight w:val="none"/>
        </w:rPr>
        <w:t>，具体详见采购文件第二章“采购需求”。</w:t>
      </w:r>
    </w:p>
    <w:p w14:paraId="744F5491">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备注：</w:t>
      </w:r>
      <w:r>
        <w:rPr>
          <w:rFonts w:hint="eastAsia"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rPr>
        <w:t xml:space="preserve"> </w:t>
      </w:r>
    </w:p>
    <w:p w14:paraId="671A97A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合同履行期限：自开工令发出之日起180日历天内完成。</w:t>
      </w:r>
    </w:p>
    <w:p w14:paraId="49AD384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本项目（否）接受联合体</w:t>
      </w:r>
      <w:r>
        <w:rPr>
          <w:rFonts w:hint="eastAsia" w:ascii="仿宋" w:hAnsi="仿宋" w:eastAsia="仿宋" w:cs="仿宋"/>
          <w:color w:val="auto"/>
          <w:kern w:val="0"/>
          <w:sz w:val="22"/>
          <w:szCs w:val="22"/>
          <w:highlight w:val="none"/>
          <w:lang w:bidi="ar"/>
        </w:rPr>
        <w:t>投标</w:t>
      </w:r>
      <w:r>
        <w:rPr>
          <w:rFonts w:hint="eastAsia" w:ascii="仿宋" w:hAnsi="仿宋" w:eastAsia="仿宋" w:cs="仿宋"/>
          <w:color w:val="auto"/>
          <w:sz w:val="22"/>
          <w:szCs w:val="22"/>
          <w:highlight w:val="none"/>
        </w:rPr>
        <w:t>。</w:t>
      </w:r>
    </w:p>
    <w:p w14:paraId="3129BD63">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二、申请人的资格要求</w:t>
      </w:r>
    </w:p>
    <w:p w14:paraId="648362BF">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204CBBC">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2.落实政府采购政策需满足的资格要求：标项1：本项目专门面向中小企业采购的项目，投标人应为符合《政府采购促进中小企业发展管理办法》（财库﹝2020﹞46 号）规定的中小企业（其中，小微企业包括视同为小型、微型企业的监狱企业、残疾人福利性单位）。</w:t>
      </w:r>
    </w:p>
    <w:p w14:paraId="105EC8EC">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3.本项目的特定资格要求：具备水利水电工程施工总承包叁级及以上资质，并具备有效的安全生产许可证。</w:t>
      </w:r>
    </w:p>
    <w:p w14:paraId="5F4EB1EA">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w:t>
      </w:r>
      <w:r>
        <w:rPr>
          <w:rFonts w:hint="eastAsia" w:ascii="仿宋" w:hAnsi="仿宋" w:eastAsia="仿宋" w:cs="仿宋"/>
          <w:b/>
          <w:bCs/>
          <w:color w:val="auto"/>
          <w:sz w:val="22"/>
          <w:szCs w:val="22"/>
          <w:highlight w:val="none"/>
        </w:rPr>
        <w:t>获取（下载）采购文件</w:t>
      </w:r>
    </w:p>
    <w:p w14:paraId="2F2DAED2">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3</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25</w:t>
      </w:r>
      <w:r>
        <w:rPr>
          <w:rFonts w:hint="eastAsia" w:ascii="仿宋" w:hAnsi="仿宋" w:eastAsia="仿宋" w:cs="仿宋"/>
          <w:b/>
          <w:bCs/>
          <w:color w:val="auto"/>
          <w:sz w:val="22"/>
          <w:szCs w:val="22"/>
          <w:highlight w:val="none"/>
          <w:u w:val="single"/>
        </w:rPr>
        <w:t>日至202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1</w:t>
      </w:r>
      <w:r>
        <w:rPr>
          <w:rFonts w:hint="eastAsia" w:ascii="仿宋" w:hAnsi="仿宋" w:eastAsia="仿宋" w:cs="仿宋"/>
          <w:b/>
          <w:bCs/>
          <w:color w:val="auto"/>
          <w:sz w:val="22"/>
          <w:szCs w:val="22"/>
          <w:highlight w:val="none"/>
          <w:u w:val="single"/>
        </w:rPr>
        <w:t>日</w:t>
      </w:r>
      <w:r>
        <w:rPr>
          <w:rFonts w:hint="eastAsia" w:ascii="仿宋" w:hAnsi="仿宋" w:eastAsia="仿宋" w:cs="仿宋"/>
          <w:color w:val="auto"/>
          <w:sz w:val="22"/>
          <w:szCs w:val="22"/>
          <w:highlight w:val="none"/>
        </w:rPr>
        <w:t>，每天上午00:00至12:00，下午12:00至23:59（北京时间，线上获取法定节假日均可，线下获取文件法定节假日除外）</w:t>
      </w:r>
    </w:p>
    <w:p w14:paraId="593C3C0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地点（网址）：浙江政府采购云平台，网址http://www.zcygov.cn/  </w:t>
      </w:r>
    </w:p>
    <w:p w14:paraId="7D81B1D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方式：</w:t>
      </w:r>
    </w:p>
    <w:p w14:paraId="690709BC">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本项目采购文件实行“政府采购云平台”在线获取，不提供采购文件纸质版。投标人获取采购文件前应先完成“政府采购云平台”的账号注册； </w:t>
      </w:r>
    </w:p>
    <w:p w14:paraId="37E01A72">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潜在投标人登录政采云平台，在线申请获取磋商文件（进入“项目采购”应用，在获取招标文件菜单中选择项目，申请获取招标文件；仅需浏览招标文件的投标人可点击“游客，浏览招标文件”直接下载招标文件浏览）； </w:t>
      </w:r>
    </w:p>
    <w:p w14:paraId="0E4817E5">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采购公告附件内的采购文件仅供阅览使用，投标人只有在“政府采购云平台”完成获取采购文件申请并下载了采购文件后才视作依法获取采购文件（法律法规所指的投标人获取采购文件时间以投标人完成获取采购文件申请后下载采购文件的时间为准）。 </w:t>
      </w:r>
    </w:p>
    <w:p w14:paraId="2E7A4EC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注：请投标人按上述要求获取采购文件，如未在“政采云”系统内完成相关流程，引起的投标无效责任自负。  </w:t>
      </w:r>
    </w:p>
    <w:p w14:paraId="2F1308D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售价（元）：0 </w:t>
      </w:r>
    </w:p>
    <w:p w14:paraId="245F7881">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四、响应文件</w:t>
      </w:r>
      <w:r>
        <w:rPr>
          <w:rFonts w:hint="eastAsia" w:ascii="仿宋" w:hAnsi="仿宋" w:eastAsia="仿宋" w:cs="仿宋"/>
          <w:b/>
          <w:bCs/>
          <w:color w:val="auto"/>
          <w:sz w:val="22"/>
          <w:szCs w:val="22"/>
          <w:highlight w:val="none"/>
        </w:rPr>
        <w:t>提交（上传）</w:t>
      </w:r>
    </w:p>
    <w:p w14:paraId="4823BD4A">
      <w:pPr>
        <w:pStyle w:val="5"/>
        <w:spacing w:line="430" w:lineRule="exact"/>
        <w:ind w:firstLine="440" w:firstLineChars="200"/>
        <w:rPr>
          <w:rFonts w:hint="eastAsia" w:ascii="仿宋" w:hAnsi="仿宋" w:eastAsia="仿宋" w:cs="仿宋"/>
          <w:b/>
          <w:bCs/>
          <w:color w:val="auto"/>
          <w:sz w:val="22"/>
          <w:szCs w:val="22"/>
          <w:highlight w:val="none"/>
          <w:u w:val="single"/>
        </w:rPr>
      </w:pPr>
      <w:r>
        <w:rPr>
          <w:rFonts w:hint="eastAsia" w:ascii="仿宋" w:hAnsi="仿宋" w:eastAsia="仿宋" w:cs="仿宋"/>
          <w:bCs/>
          <w:color w:val="auto"/>
          <w:sz w:val="22"/>
          <w:szCs w:val="22"/>
          <w:highlight w:val="none"/>
        </w:rPr>
        <w:t>提交首次响应文件的截止时间：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7</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14</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分（北京时间）。</w:t>
      </w:r>
    </w:p>
    <w:p w14:paraId="7E6B6A7A">
      <w:pPr>
        <w:spacing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rPr>
        <w:t>地点（网址）：</w:t>
      </w:r>
      <w:r>
        <w:rPr>
          <w:rFonts w:hint="eastAsia" w:ascii="仿宋" w:hAnsi="仿宋" w:eastAsia="仿宋" w:cs="仿宋"/>
          <w:color w:val="auto"/>
          <w:kern w:val="0"/>
          <w:sz w:val="22"/>
          <w:szCs w:val="22"/>
          <w:highlight w:val="none"/>
          <w:lang w:bidi="ar"/>
        </w:rPr>
        <w:t>宁波市海曙区公共资源交易中心二楼开标室 （南门上，宁波市海曙区气象路58号）；登录政采云投标客户端（</w:t>
      </w:r>
      <w:r>
        <w:rPr>
          <w:rFonts w:hint="eastAsia" w:ascii="仿宋" w:hAnsi="仿宋" w:eastAsia="仿宋" w:cs="仿宋"/>
          <w:color w:val="auto"/>
          <w:sz w:val="22"/>
          <w:szCs w:val="22"/>
          <w:highlight w:val="none"/>
        </w:rPr>
        <w:t>http://www.zcygov.cn/</w:t>
      </w:r>
      <w:r>
        <w:rPr>
          <w:rFonts w:hint="eastAsia" w:ascii="仿宋" w:hAnsi="仿宋" w:eastAsia="仿宋" w:cs="仿宋"/>
          <w:color w:val="auto"/>
          <w:kern w:val="0"/>
          <w:sz w:val="22"/>
          <w:szCs w:val="22"/>
          <w:highlight w:val="none"/>
          <w:lang w:bidi="ar"/>
        </w:rPr>
        <w:t>）投标。</w:t>
      </w:r>
    </w:p>
    <w:p w14:paraId="50DC5575">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五、响应文件开启</w:t>
      </w:r>
    </w:p>
    <w:p w14:paraId="1932A7AE">
      <w:pPr>
        <w:spacing w:line="430" w:lineRule="exact"/>
        <w:ind w:firstLine="440" w:firstLineChars="200"/>
        <w:rPr>
          <w:rFonts w:hint="eastAsia" w:ascii="仿宋" w:hAnsi="仿宋" w:eastAsia="仿宋" w:cs="仿宋"/>
          <w:b/>
          <w:bCs/>
          <w:color w:val="auto"/>
          <w:sz w:val="22"/>
          <w:szCs w:val="22"/>
          <w:highlight w:val="none"/>
          <w:u w:val="single"/>
        </w:rPr>
      </w:pPr>
      <w:r>
        <w:rPr>
          <w:rFonts w:hint="eastAsia" w:ascii="仿宋" w:hAnsi="仿宋" w:eastAsia="仿宋" w:cs="仿宋"/>
          <w:color w:val="auto"/>
          <w:sz w:val="22"/>
          <w:szCs w:val="22"/>
          <w:highlight w:val="none"/>
        </w:rPr>
        <w:t>1、开启响应文件时间：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7</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14</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分（北京时间）。</w:t>
      </w:r>
    </w:p>
    <w:p w14:paraId="27586B86">
      <w:pPr>
        <w:spacing w:line="430" w:lineRule="exact"/>
        <w:ind w:firstLine="440" w:firstLineChars="200"/>
        <w:jc w:val="left"/>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2、地点（网址）：</w:t>
      </w:r>
      <w:r>
        <w:rPr>
          <w:rFonts w:hint="eastAsia" w:ascii="仿宋" w:hAnsi="仿宋" w:eastAsia="仿宋" w:cs="仿宋"/>
          <w:color w:val="auto"/>
          <w:kern w:val="0"/>
          <w:sz w:val="22"/>
          <w:szCs w:val="22"/>
          <w:highlight w:val="none"/>
          <w:lang w:bidi="ar"/>
        </w:rPr>
        <w:t>宁波市海曙区公共资源交易中心二楼开标室 （南门上，宁波市海曙区气象路58号）；政采云平台（</w:t>
      </w:r>
      <w:r>
        <w:rPr>
          <w:rFonts w:hint="eastAsia" w:ascii="仿宋" w:hAnsi="仿宋" w:eastAsia="仿宋" w:cs="仿宋"/>
          <w:color w:val="auto"/>
          <w:sz w:val="22"/>
          <w:szCs w:val="22"/>
          <w:highlight w:val="none"/>
        </w:rPr>
        <w:t>http://www.zcygov.cn/</w:t>
      </w:r>
      <w:r>
        <w:rPr>
          <w:rFonts w:hint="eastAsia" w:ascii="仿宋" w:hAnsi="仿宋" w:eastAsia="仿宋" w:cs="仿宋"/>
          <w:color w:val="auto"/>
          <w:kern w:val="0"/>
          <w:sz w:val="22"/>
          <w:szCs w:val="22"/>
          <w:highlight w:val="none"/>
          <w:lang w:bidi="ar"/>
        </w:rPr>
        <w:t>）。</w:t>
      </w:r>
    </w:p>
    <w:p w14:paraId="68A5FEC9">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六、公告期限</w:t>
      </w:r>
    </w:p>
    <w:p w14:paraId="3B57252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自本公告发布之日起3个工作日。</w:t>
      </w:r>
    </w:p>
    <w:p w14:paraId="07A931E7">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七、其他补充事宜</w:t>
      </w:r>
    </w:p>
    <w:p w14:paraId="674F9E85">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42533E3">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bookmarkStart w:id="261" w:name="_GoBack"/>
      <w:bookmarkEnd w:id="261"/>
    </w:p>
    <w:p w14:paraId="13F2B95A">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3</w:t>
      </w:r>
      <w:r>
        <w:rPr>
          <w:rFonts w:hint="eastAsia" w:ascii="仿宋" w:hAnsi="仿宋" w:eastAsia="仿宋" w:cs="仿宋"/>
          <w:color w:val="auto"/>
          <w:kern w:val="0"/>
          <w:sz w:val="22"/>
          <w:szCs w:val="22"/>
          <w:highlight w:val="none"/>
          <w:lang w:bidi="ar"/>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C46F1E">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.其他事项：</w:t>
      </w:r>
    </w:p>
    <w:p w14:paraId="3713D7BD">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1单位负责人为同一人或者存在直接控股、管理关系的不同投标人，不得参加同一标项下的政府采购活动。除单一来源采购项目外，为采购项目提供整体设计、规范编制或者项目管理、监理、检测等服务的投标人，不得再参加该采购项目的其他采购活动。</w:t>
      </w:r>
    </w:p>
    <w:p w14:paraId="15399468">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.2投标人须提供政府采购领域商业贿赂行为承诺书（响应文件中须提供《政府采购领域商业贿赂行为承诺书》，详见响应文件格式）。</w:t>
      </w:r>
    </w:p>
    <w:p w14:paraId="14A6F3DE">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.3采购项目需要落实的政府采购政策：执行促进中小企业发展（监狱企业、残疾人福利性单位视同小型、微型企业）。</w:t>
      </w:r>
    </w:p>
    <w:p w14:paraId="4EE2D5B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.4海曙区“政采贷”助力中小企业金融服务，有需要的中标（成交）投标人请于网站http://haishu.nbggzy.cn/tzgg/360383.jhtml办理具体业务。</w:t>
      </w:r>
    </w:p>
    <w:p w14:paraId="13C807E2">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.5投标人需按照《浙江省政府采购投标人注册及诚信管理暂行办法》的规定在“浙江政府采购网”政采云平台注册登记的，成为浙江省政府采购注册投标人。如未注册的投标人，请注意注册所需时间。</w:t>
      </w:r>
    </w:p>
    <w:p w14:paraId="78C88CF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.6响应与开标注意事项</w:t>
      </w:r>
    </w:p>
    <w:p w14:paraId="7A5EB1C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.6.1本项目实行网上响应，采用电子响应文件。若投标人参与响应，自行承担响应一切费用。</w:t>
      </w:r>
    </w:p>
    <w:p w14:paraId="04C50009">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.6.2标前准备：各投标人应在开标前确保成为浙江政府采购网正式注册入库投标人，并完成CA数字证书办理。因未注册入库、未办理CA数字证书等原因造成无法响应或响应失败等后果由投标人自行承担。</w:t>
      </w:r>
    </w:p>
    <w:p w14:paraId="475C66B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.6.3响应文件制作：</w:t>
      </w:r>
    </w:p>
    <w:p w14:paraId="138F5F5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.6.3.1应按照本项目采购文件和政府采购云平台的要求编制、加密并递交响应文件。投标人在使用系统进行响应的过程中遇到涉及平台使用的任何问题，可致电政府采购云平台技术支持热线咨询，联系方式：95763。</w:t>
      </w:r>
    </w:p>
    <w:p w14:paraId="623B0D8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.6.3.2投标人通过政府采购云平台电子投标工具制作响应文件，电子投标工具请投标人自行前往浙江政府采购网下载并安装，响应文件制作具体流程详见政府采购云平台。</w:t>
      </w:r>
    </w:p>
    <w:p w14:paraId="3C33E821">
      <w:pPr>
        <w:spacing w:line="430" w:lineRule="exact"/>
        <w:ind w:firstLine="42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.7本招标公告附件中的采购文件仅供阅览使用，投标人应在规定的采购文件获取期限内在政采云平台登录投标人注册的账号后获取采购文件，未按上述方式获取采购文件的，不得对采购文件提起质疑投诉。</w:t>
      </w:r>
    </w:p>
    <w:p w14:paraId="6F547486">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.8投标人应于响应截止时间前将电子响应文件上传到政府采购云平台www.zcygov.cn，未上传电子响应文件，视为投标人放弃响应。</w:t>
      </w:r>
    </w:p>
    <w:p w14:paraId="4E89526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.9“电子加密响应文件”提交：</w:t>
      </w:r>
    </w:p>
    <w:p w14:paraId="2A73D59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 xml:space="preserve">.9.1通过“政府采购云平台（http://www.zcygov.cn/）”在线提交。 </w:t>
      </w:r>
    </w:p>
    <w:p w14:paraId="17F1BC4B">
      <w:pPr>
        <w:spacing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.9.2</w:t>
      </w:r>
      <w:r>
        <w:rPr>
          <w:rFonts w:hint="eastAsia" w:ascii="仿宋" w:hAnsi="仿宋" w:eastAsia="仿宋" w:cs="仿宋"/>
          <w:color w:val="auto"/>
          <w:sz w:val="22"/>
          <w:szCs w:val="22"/>
          <w:highlight w:val="none"/>
          <w:shd w:val="clear" w:color="auto" w:fill="FFFFFF"/>
        </w:rPr>
        <w:t>以U盘存储的电子备份文件1份，按政府采购云平台要求制作的电子备份文件，以用于异常情况处理。电子备份文件不做强制性要求。如提供，投标人可采用邮寄方式（提前一天寄到招标代理公司）或现场方式递交备份投标文件。</w:t>
      </w:r>
    </w:p>
    <w:p w14:paraId="416634B7">
      <w:pPr>
        <w:pStyle w:val="19"/>
        <w:adjustRightInd w:val="0"/>
        <w:snapToGrid w:val="0"/>
        <w:spacing w:before="0" w:beforeAutospacing="0" w:after="0" w:afterAutospacing="0"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shd w:val="clear" w:color="auto" w:fill="FFFFFF"/>
        </w:rPr>
        <w:t>“电子备份文件”递交时间以招标代理实际收到的时间为准。迟到的“电子备份文件”将被拒收。请各投标人确保密封包装在邮寄过程密封包装完好，并在邮寄包裹上注明项目名称，因邮寄过程的密封破损造成不符合开标要求的，本招标代理及采购人概不负责。</w:t>
      </w:r>
    </w:p>
    <w:p w14:paraId="2CC97546">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4</w:t>
      </w:r>
      <w:r>
        <w:rPr>
          <w:rFonts w:hint="eastAsia" w:ascii="仿宋" w:hAnsi="仿宋" w:eastAsia="仿宋" w:cs="仿宋"/>
          <w:bCs/>
          <w:color w:val="auto"/>
          <w:sz w:val="22"/>
          <w:szCs w:val="22"/>
          <w:highlight w:val="none"/>
        </w:rPr>
        <w:t>.10</w:t>
      </w:r>
      <w:r>
        <w:rPr>
          <w:rFonts w:hint="eastAsia" w:ascii="仿宋" w:hAnsi="仿宋" w:eastAsia="仿宋" w:cs="仿宋"/>
          <w:color w:val="auto"/>
          <w:sz w:val="22"/>
          <w:szCs w:val="22"/>
          <w:highlight w:val="none"/>
        </w:rPr>
        <w:t>采购代理机构将在采购文件规定的开标时间通过政府采购云平台组织开标、开启响应文件，所有投标人均应准时在线参加。</w:t>
      </w:r>
    </w:p>
    <w:p w14:paraId="5FDDAFE2">
      <w:pPr>
        <w:spacing w:line="430" w:lineRule="exact"/>
        <w:ind w:firstLine="420"/>
        <w:jc w:val="lef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4</w:t>
      </w:r>
      <w:r>
        <w:rPr>
          <w:rFonts w:hint="eastAsia" w:ascii="仿宋" w:hAnsi="仿宋" w:eastAsia="仿宋" w:cs="仿宋"/>
          <w:bCs/>
          <w:color w:val="auto"/>
          <w:sz w:val="22"/>
          <w:szCs w:val="22"/>
          <w:highlight w:val="none"/>
        </w:rPr>
        <w:t>.11本公告发布媒体：浙江政府采购网（zfcg.czt.zj.gov.cn）、浙江省公共资源交易服务平台（https://ggzy.zj.gov.cn）、宁波政府采购(www.nbzfcg.cn)、宁波市公共资源交易电子服务系统（https://jyxt.zwb.ningbo.gov.cn:4011/website/home）、中国政府采购网(http://www.ccgp.gov.cn/)</w:t>
      </w:r>
      <w:r>
        <w:rPr>
          <w:rFonts w:hint="eastAsia" w:ascii="仿宋" w:hAnsi="仿宋" w:eastAsia="仿宋" w:cs="仿宋"/>
          <w:color w:val="auto"/>
          <w:sz w:val="22"/>
          <w:szCs w:val="22"/>
          <w:highlight w:val="none"/>
        </w:rPr>
        <w:t>(www.nbzfcg.cn)。</w:t>
      </w:r>
    </w:p>
    <w:p w14:paraId="1A752CA4">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八、凡对本次采购提出询问，请按以下方式联系。</w:t>
      </w:r>
    </w:p>
    <w:p w14:paraId="3FDE0860">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1.采购人信息</w:t>
      </w:r>
    </w:p>
    <w:p w14:paraId="390F0819">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r>
        <w:rPr>
          <w:rFonts w:hint="eastAsia" w:ascii="仿宋" w:hAnsi="仿宋" w:eastAsia="仿宋" w:cs="仿宋"/>
          <w:color w:val="auto"/>
          <w:sz w:val="22"/>
          <w:szCs w:val="22"/>
          <w:highlight w:val="none"/>
          <w:lang w:eastAsia="zh-CN"/>
        </w:rPr>
        <w:t>宁波市海曙区横街镇人民政府</w:t>
      </w:r>
    </w:p>
    <w:p w14:paraId="5E001A6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w:t>
      </w:r>
      <w:r>
        <w:rPr>
          <w:rFonts w:hint="eastAsia" w:ascii="仿宋" w:hAnsi="仿宋" w:eastAsia="仿宋" w:cs="仿宋"/>
          <w:color w:val="auto"/>
          <w:sz w:val="22"/>
          <w:szCs w:val="22"/>
          <w:highlight w:val="none"/>
          <w:lang w:eastAsia="zh-CN"/>
        </w:rPr>
        <w:t>址：</w:t>
      </w:r>
      <w:r>
        <w:rPr>
          <w:rFonts w:hint="eastAsia" w:ascii="仿宋" w:hAnsi="仿宋" w:eastAsia="仿宋" w:cs="仿宋"/>
          <w:color w:val="auto"/>
          <w:sz w:val="22"/>
          <w:szCs w:val="22"/>
          <w:highlight w:val="none"/>
          <w:lang w:val="zh-CN" w:eastAsia="zh-CN"/>
        </w:rPr>
        <w:t>宁波市海曙区横街镇横街南路</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lang w:val="zh-CN" w:eastAsia="zh-CN"/>
        </w:rPr>
        <w:t>8号</w:t>
      </w:r>
    </w:p>
    <w:p w14:paraId="245BC624">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传真：/</w:t>
      </w:r>
    </w:p>
    <w:p w14:paraId="376C0E2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项目联系人（询问）：</w:t>
      </w:r>
      <w:r>
        <w:rPr>
          <w:rFonts w:hint="eastAsia" w:ascii="仿宋" w:hAnsi="仿宋" w:eastAsia="仿宋" w:cs="仿宋"/>
          <w:color w:val="auto"/>
          <w:sz w:val="22"/>
          <w:szCs w:val="22"/>
          <w:highlight w:val="none"/>
          <w:lang w:val="en-US" w:eastAsia="zh-CN"/>
        </w:rPr>
        <w:t xml:space="preserve">李老师 </w:t>
      </w:r>
    </w:p>
    <w:p w14:paraId="5E1EF804">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项目联系方式（询问）：</w:t>
      </w:r>
      <w:r>
        <w:rPr>
          <w:rFonts w:hint="eastAsia" w:ascii="仿宋" w:hAnsi="仿宋" w:eastAsia="仿宋" w:cs="仿宋"/>
          <w:color w:val="auto"/>
          <w:sz w:val="22"/>
          <w:szCs w:val="22"/>
          <w:highlight w:val="none"/>
          <w:lang w:val="en-US" w:eastAsia="zh-CN"/>
        </w:rPr>
        <w:t>0574-88426615</w:t>
      </w:r>
    </w:p>
    <w:p w14:paraId="4DC1DC8A">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质疑联系人:戴老师</w:t>
      </w:r>
    </w:p>
    <w:p w14:paraId="1FF47B06">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质疑联系方式:0574-88271600</w:t>
      </w:r>
    </w:p>
    <w:p w14:paraId="5E83BBE3">
      <w:pPr>
        <w:spacing w:line="430" w:lineRule="exact"/>
        <w:ind w:firstLine="440" w:firstLineChars="200"/>
        <w:rPr>
          <w:rFonts w:hint="eastAsia" w:ascii="仿宋" w:hAnsi="仿宋" w:eastAsia="仿宋" w:cs="仿宋"/>
          <w:color w:val="auto"/>
          <w:sz w:val="22"/>
          <w:szCs w:val="22"/>
          <w:highlight w:val="none"/>
          <w:lang w:val="en-US" w:eastAsia="zh-CN"/>
        </w:rPr>
      </w:pPr>
    </w:p>
    <w:p w14:paraId="2BD7544A">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2.采购代理机构信息</w:t>
      </w:r>
    </w:p>
    <w:p w14:paraId="6E266AF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r>
        <w:rPr>
          <w:rFonts w:hint="eastAsia" w:ascii="仿宋" w:hAnsi="仿宋" w:eastAsia="仿宋" w:cs="仿宋"/>
          <w:color w:val="auto"/>
          <w:sz w:val="22"/>
          <w:szCs w:val="22"/>
          <w:highlight w:val="none"/>
          <w:lang w:eastAsia="zh-CN"/>
        </w:rPr>
        <w:t>宁波市倬正项目管理</w:t>
      </w:r>
      <w:r>
        <w:rPr>
          <w:rFonts w:hint="eastAsia" w:ascii="仿宋" w:hAnsi="仿宋" w:eastAsia="仿宋" w:cs="仿宋"/>
          <w:color w:val="auto"/>
          <w:sz w:val="22"/>
          <w:szCs w:val="22"/>
          <w:highlight w:val="none"/>
        </w:rPr>
        <w:t>咨询有限公司</w:t>
      </w:r>
    </w:p>
    <w:p w14:paraId="13CE4AE6">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地址：浙江省宁波市鄞州区</w:t>
      </w:r>
      <w:r>
        <w:rPr>
          <w:rFonts w:hint="eastAsia" w:ascii="仿宋" w:hAnsi="仿宋" w:eastAsia="仿宋" w:cs="仿宋"/>
          <w:color w:val="auto"/>
          <w:sz w:val="22"/>
          <w:szCs w:val="22"/>
          <w:highlight w:val="none"/>
          <w:lang w:eastAsia="zh-CN"/>
        </w:rPr>
        <w:t>四明中路</w:t>
      </w:r>
      <w:r>
        <w:rPr>
          <w:rFonts w:hint="eastAsia" w:ascii="仿宋" w:hAnsi="仿宋" w:eastAsia="仿宋" w:cs="仿宋"/>
          <w:color w:val="auto"/>
          <w:sz w:val="22"/>
          <w:szCs w:val="22"/>
          <w:highlight w:val="none"/>
          <w:lang w:val="en-US" w:eastAsia="zh-CN"/>
        </w:rPr>
        <w:t>NB568电商园7号楼1楼</w:t>
      </w:r>
    </w:p>
    <w:p w14:paraId="12AD2416">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传真：</w:t>
      </w:r>
      <w:r>
        <w:rPr>
          <w:rFonts w:hint="eastAsia" w:ascii="仿宋" w:hAnsi="仿宋" w:eastAsia="仿宋" w:cs="仿宋"/>
          <w:color w:val="auto"/>
          <w:sz w:val="22"/>
          <w:szCs w:val="22"/>
          <w:highlight w:val="none"/>
          <w:lang w:val="en-US" w:eastAsia="zh-CN"/>
        </w:rPr>
        <w:t>/</w:t>
      </w:r>
    </w:p>
    <w:p w14:paraId="3BB6377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项目联系人（询问）：</w:t>
      </w:r>
      <w:r>
        <w:rPr>
          <w:rFonts w:hint="eastAsia" w:ascii="仿宋" w:hAnsi="仿宋" w:eastAsia="仿宋" w:cs="仿宋"/>
          <w:color w:val="auto"/>
          <w:sz w:val="22"/>
          <w:szCs w:val="22"/>
          <w:highlight w:val="none"/>
          <w:lang w:eastAsia="zh-CN"/>
        </w:rPr>
        <w:t>张维</w:t>
      </w:r>
    </w:p>
    <w:p w14:paraId="7756B0FA">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项目联系方式（询问）：</w:t>
      </w:r>
      <w:r>
        <w:rPr>
          <w:rFonts w:hint="eastAsia" w:ascii="仿宋" w:hAnsi="仿宋" w:eastAsia="仿宋" w:cs="仿宋"/>
          <w:color w:val="auto"/>
          <w:sz w:val="22"/>
          <w:szCs w:val="22"/>
          <w:highlight w:val="none"/>
          <w:lang w:val="en-US" w:eastAsia="zh-CN"/>
        </w:rPr>
        <w:t>18968273586</w:t>
      </w:r>
    </w:p>
    <w:p w14:paraId="77418624">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质疑联系人：</w:t>
      </w:r>
      <w:r>
        <w:rPr>
          <w:rFonts w:hint="eastAsia" w:ascii="仿宋" w:hAnsi="仿宋" w:eastAsia="仿宋" w:cs="仿宋"/>
          <w:color w:val="auto"/>
          <w:sz w:val="22"/>
          <w:szCs w:val="22"/>
          <w:highlight w:val="none"/>
          <w:lang w:val="en-US" w:eastAsia="zh-CN"/>
        </w:rPr>
        <w:t>过敏</w:t>
      </w:r>
    </w:p>
    <w:p w14:paraId="44B1D6B4">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质疑联系方式：</w:t>
      </w:r>
      <w:r>
        <w:rPr>
          <w:rFonts w:hint="eastAsia" w:ascii="仿宋" w:hAnsi="仿宋" w:eastAsia="仿宋" w:cs="仿宋"/>
          <w:color w:val="auto"/>
          <w:sz w:val="22"/>
          <w:szCs w:val="22"/>
          <w:highlight w:val="none"/>
          <w:lang w:val="en-US" w:eastAsia="zh-CN"/>
        </w:rPr>
        <w:t>0574-87139132</w:t>
      </w:r>
    </w:p>
    <w:p w14:paraId="0E5E1D6D">
      <w:pPr>
        <w:outlineLvl w:val="9"/>
        <w:rPr>
          <w:rFonts w:hint="eastAsia"/>
          <w:lang w:val="en-US" w:eastAsia="zh-CN"/>
        </w:rPr>
      </w:pPr>
    </w:p>
    <w:p w14:paraId="0A8CBA3D">
      <w:pPr>
        <w:spacing w:line="43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3.同级政府采购监督管理部门</w:t>
      </w:r>
    </w:p>
    <w:p w14:paraId="121D542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 称：宁波市海曙区采购管理办公室</w:t>
      </w:r>
    </w:p>
    <w:p w14:paraId="71DB5A4C">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 址：宁波市海曙区天之海大厦海曙财政局214办公室</w:t>
      </w:r>
    </w:p>
    <w:p w14:paraId="6A4E384E">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 真：/</w:t>
      </w:r>
    </w:p>
    <w:p w14:paraId="5AE7BDC1">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联系人：</w:t>
      </w:r>
      <w:r>
        <w:rPr>
          <w:rFonts w:hint="eastAsia" w:ascii="仿宋" w:hAnsi="仿宋" w:eastAsia="仿宋" w:cs="仿宋"/>
          <w:color w:val="auto"/>
          <w:sz w:val="22"/>
          <w:szCs w:val="22"/>
          <w:highlight w:val="none"/>
          <w:lang w:val="en-US" w:eastAsia="zh-CN"/>
        </w:rPr>
        <w:t>王</w:t>
      </w:r>
      <w:r>
        <w:rPr>
          <w:rFonts w:hint="eastAsia" w:ascii="仿宋" w:hAnsi="仿宋" w:eastAsia="仿宋" w:cs="仿宋"/>
          <w:color w:val="auto"/>
          <w:sz w:val="22"/>
          <w:szCs w:val="22"/>
          <w:highlight w:val="none"/>
        </w:rPr>
        <w:t>老师</w:t>
      </w:r>
    </w:p>
    <w:p w14:paraId="215EFB1B">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监督投诉电话：0574-87</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9</w:t>
      </w:r>
      <w:r>
        <w:rPr>
          <w:rFonts w:hint="eastAsia" w:ascii="仿宋" w:hAnsi="仿宋" w:eastAsia="仿宋" w:cs="仿宋"/>
          <w:color w:val="auto"/>
          <w:sz w:val="22"/>
          <w:szCs w:val="22"/>
          <w:highlight w:val="none"/>
          <w:lang w:val="en-US" w:eastAsia="zh-CN"/>
        </w:rPr>
        <w:t>7540</w:t>
      </w:r>
    </w:p>
    <w:p w14:paraId="4E3DCD30">
      <w:pPr>
        <w:spacing w:line="430" w:lineRule="exact"/>
        <w:ind w:firstLine="442" w:firstLineChars="200"/>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温馨提示：</w:t>
      </w:r>
    </w:p>
    <w:p w14:paraId="2DD84C19">
      <w:pPr>
        <w:spacing w:line="430" w:lineRule="exact"/>
        <w:ind w:firstLine="442" w:firstLineChars="200"/>
        <w:jc w:val="left"/>
        <w:rPr>
          <w:rFonts w:hint="eastAsia" w:ascii="仿宋" w:hAnsi="仿宋" w:eastAsia="仿宋" w:cs="仿宋"/>
          <w:color w:val="auto"/>
          <w:sz w:val="22"/>
          <w:szCs w:val="22"/>
          <w:highlight w:val="none"/>
        </w:rPr>
      </w:pPr>
      <w:r>
        <w:rPr>
          <w:rFonts w:hint="eastAsia" w:ascii="仿宋" w:hAnsi="仿宋" w:eastAsia="仿宋" w:cs="仿宋"/>
          <w:b/>
          <w:bCs/>
          <w:color w:val="auto"/>
          <w:kern w:val="0"/>
          <w:sz w:val="22"/>
          <w:szCs w:val="22"/>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仿宋"/>
          <w:b/>
          <w:bCs/>
          <w:color w:val="auto"/>
          <w:sz w:val="22"/>
          <w:szCs w:val="22"/>
          <w:highlight w:val="none"/>
        </w:rPr>
        <w:t>95763</w:t>
      </w:r>
      <w:r>
        <w:rPr>
          <w:rFonts w:hint="eastAsia" w:ascii="仿宋" w:hAnsi="仿宋" w:eastAsia="仿宋" w:cs="仿宋"/>
          <w:b/>
          <w:bCs/>
          <w:color w:val="auto"/>
          <w:kern w:val="0"/>
          <w:sz w:val="22"/>
          <w:szCs w:val="22"/>
          <w:highlight w:val="none"/>
        </w:rPr>
        <w:t>获取热线服务帮助。CA问题联系电话（人工）：汇信CA 400-888-4636；天谷CA 400-087-8198。</w:t>
      </w:r>
    </w:p>
    <w:p w14:paraId="1C601967">
      <w:pPr>
        <w:pStyle w:val="2"/>
        <w:spacing w:before="0" w:after="0" w:line="440" w:lineRule="exact"/>
        <w:rPr>
          <w:rFonts w:hint="eastAsia" w:ascii="仿宋" w:hAnsi="仿宋" w:eastAsia="仿宋" w:cs="仿宋"/>
          <w:color w:val="auto"/>
          <w:highlight w:val="none"/>
        </w:rPr>
      </w:pPr>
      <w:r>
        <w:rPr>
          <w:rFonts w:hint="eastAsia" w:ascii="仿宋" w:hAnsi="仿宋" w:eastAsia="仿宋" w:cs="仿宋"/>
          <w:color w:val="auto"/>
          <w:sz w:val="22"/>
          <w:szCs w:val="22"/>
          <w:highlight w:val="none"/>
        </w:rPr>
        <w:br w:type="page"/>
      </w:r>
      <w:bookmarkStart w:id="1" w:name="_Toc30441"/>
      <w:r>
        <w:rPr>
          <w:rFonts w:hint="eastAsia" w:ascii="仿宋" w:hAnsi="仿宋" w:eastAsia="仿宋" w:cs="仿宋"/>
          <w:color w:val="auto"/>
          <w:highlight w:val="none"/>
        </w:rPr>
        <w:t>第二章  采购需求</w:t>
      </w:r>
      <w:bookmarkEnd w:id="1"/>
    </w:p>
    <w:p w14:paraId="52CAA163">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一、项目情况</w:t>
      </w:r>
    </w:p>
    <w:p w14:paraId="53AAE2CB">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1、工程概况：</w:t>
      </w:r>
    </w:p>
    <w:p w14:paraId="22A9465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2、建设地点：宁波市海曙区</w:t>
      </w:r>
      <w:r>
        <w:rPr>
          <w:rFonts w:hint="eastAsia" w:ascii="仿宋" w:hAnsi="仿宋" w:eastAsia="仿宋" w:cs="仿宋"/>
          <w:color w:val="auto"/>
          <w:sz w:val="22"/>
          <w:szCs w:val="22"/>
          <w:highlight w:val="none"/>
          <w:lang w:val="en-US" w:eastAsia="zh-CN"/>
        </w:rPr>
        <w:t>横街</w:t>
      </w:r>
      <w:r>
        <w:rPr>
          <w:rFonts w:hint="eastAsia" w:ascii="仿宋" w:hAnsi="仿宋" w:eastAsia="仿宋" w:cs="仿宋"/>
          <w:color w:val="auto"/>
          <w:sz w:val="22"/>
          <w:szCs w:val="22"/>
          <w:highlight w:val="none"/>
        </w:rPr>
        <w:t>镇。</w:t>
      </w:r>
    </w:p>
    <w:p w14:paraId="7190110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①投标人应自行组织现场踏勘，以充分了解项目实施位置、服务范围、周边情况、施工所需的进出现场的方式、手段、路径以及任何其他足以影响报价的情况各投标人在投标时应予以充分考虑。任何因忽视或误解现场或延误工期情况而导致的索赔或费用申请将不予受理。②投标人在自行组织现场踏勘过程中如发现任何破损应及时向采购人反映，未及时反映的默认服务范围内服务标的均完好，中标后以服务标的原本破损为理由提出的索赔或费用申请将不予受理。</w:t>
      </w:r>
    </w:p>
    <w:p w14:paraId="4B6F4429">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二、人员要求</w:t>
      </w:r>
    </w:p>
    <w:p w14:paraId="5B373CD3">
      <w:pPr>
        <w:spacing w:line="360" w:lineRule="auto"/>
        <w:ind w:firstLine="440" w:firstLineChars="200"/>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对投入本项目的人员最低要求见下表：</w:t>
      </w:r>
    </w:p>
    <w:tbl>
      <w:tblPr>
        <w:tblStyle w:val="21"/>
        <w:tblW w:w="9129" w:type="dxa"/>
        <w:tblInd w:w="-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1356"/>
        <w:gridCol w:w="6588"/>
        <w:gridCol w:w="669"/>
      </w:tblGrid>
      <w:tr w14:paraId="41FD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0B34B505">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1356" w:type="dxa"/>
            <w:noWrap w:val="0"/>
            <w:vAlign w:val="center"/>
          </w:tcPr>
          <w:p w14:paraId="18806C7C">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专业岗位</w:t>
            </w:r>
          </w:p>
        </w:tc>
        <w:tc>
          <w:tcPr>
            <w:tcW w:w="6588" w:type="dxa"/>
            <w:noWrap w:val="0"/>
            <w:vAlign w:val="center"/>
          </w:tcPr>
          <w:p w14:paraId="34BBB572">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资格要求</w:t>
            </w:r>
          </w:p>
        </w:tc>
        <w:tc>
          <w:tcPr>
            <w:tcW w:w="669" w:type="dxa"/>
            <w:noWrap w:val="0"/>
            <w:vAlign w:val="center"/>
          </w:tcPr>
          <w:p w14:paraId="2F33ADF1">
            <w:pP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数量要求</w:t>
            </w:r>
          </w:p>
        </w:tc>
      </w:tr>
      <w:tr w14:paraId="3472B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16" w:type="dxa"/>
            <w:noWrap w:val="0"/>
            <w:vAlign w:val="center"/>
          </w:tcPr>
          <w:p w14:paraId="516DAF4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1356" w:type="dxa"/>
            <w:noWrap w:val="0"/>
            <w:vAlign w:val="center"/>
          </w:tcPr>
          <w:p w14:paraId="5A3C724A">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项目负责人</w:t>
            </w:r>
          </w:p>
        </w:tc>
        <w:tc>
          <w:tcPr>
            <w:tcW w:w="6588" w:type="dxa"/>
            <w:noWrap w:val="0"/>
            <w:vAlign w:val="center"/>
          </w:tcPr>
          <w:p w14:paraId="701F2A18">
            <w:pPr>
              <w:tabs>
                <w:tab w:val="left" w:pos="540"/>
              </w:tabs>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具有水利水电工程专业贰级及以上建造师注册证书，并取得省级及以上水行政主管部门颁发的安全生产考核合格证书（B证）。</w:t>
            </w:r>
          </w:p>
        </w:tc>
        <w:tc>
          <w:tcPr>
            <w:tcW w:w="669" w:type="dxa"/>
            <w:noWrap w:val="0"/>
            <w:vAlign w:val="center"/>
          </w:tcPr>
          <w:p w14:paraId="4750BC26">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4306D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5732761B">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356" w:type="dxa"/>
            <w:noWrap w:val="0"/>
            <w:vAlign w:val="center"/>
          </w:tcPr>
          <w:p w14:paraId="59568D10">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技术负责人</w:t>
            </w:r>
          </w:p>
        </w:tc>
        <w:tc>
          <w:tcPr>
            <w:tcW w:w="6588" w:type="dxa"/>
            <w:noWrap w:val="0"/>
            <w:vAlign w:val="center"/>
          </w:tcPr>
          <w:p w14:paraId="1A7C6C38">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具有水利水电工程专业贰级及以上建造师注册证书</w:t>
            </w:r>
            <w:r>
              <w:rPr>
                <w:rFonts w:hint="eastAsia" w:ascii="仿宋" w:hAnsi="仿宋" w:eastAsia="仿宋" w:cs="仿宋"/>
                <w:color w:val="auto"/>
                <w:sz w:val="22"/>
                <w:szCs w:val="22"/>
                <w:highlight w:val="none"/>
                <w:shd w:val="clear" w:color="auto" w:fill="FFFFFF"/>
              </w:rPr>
              <w:t>或具有水利水电工程专业工程师及以上技术职称。</w:t>
            </w:r>
          </w:p>
        </w:tc>
        <w:tc>
          <w:tcPr>
            <w:tcW w:w="669" w:type="dxa"/>
            <w:noWrap w:val="0"/>
            <w:vAlign w:val="center"/>
          </w:tcPr>
          <w:p w14:paraId="1CDF6FC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098A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016D8C2E">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356" w:type="dxa"/>
            <w:noWrap w:val="0"/>
            <w:vAlign w:val="center"/>
          </w:tcPr>
          <w:p w14:paraId="4A1477F7">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施工员</w:t>
            </w:r>
          </w:p>
        </w:tc>
        <w:tc>
          <w:tcPr>
            <w:tcW w:w="6588" w:type="dxa"/>
            <w:noWrap w:val="0"/>
            <w:vAlign w:val="center"/>
          </w:tcPr>
          <w:p w14:paraId="266059B1">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noWrap w:val="0"/>
            <w:vAlign w:val="center"/>
          </w:tcPr>
          <w:p w14:paraId="702D60D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3612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5FE1EADD">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356" w:type="dxa"/>
            <w:noWrap w:val="0"/>
            <w:vAlign w:val="center"/>
          </w:tcPr>
          <w:p w14:paraId="34F71718">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质检员</w:t>
            </w:r>
          </w:p>
        </w:tc>
        <w:tc>
          <w:tcPr>
            <w:tcW w:w="6588" w:type="dxa"/>
            <w:noWrap w:val="0"/>
            <w:vAlign w:val="center"/>
          </w:tcPr>
          <w:p w14:paraId="07CA29BF">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noWrap w:val="0"/>
            <w:vAlign w:val="center"/>
          </w:tcPr>
          <w:p w14:paraId="1F9D8473">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76731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52E5F184">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1356" w:type="dxa"/>
            <w:noWrap w:val="0"/>
            <w:vAlign w:val="center"/>
          </w:tcPr>
          <w:p w14:paraId="67E0556C">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安全员</w:t>
            </w:r>
          </w:p>
        </w:tc>
        <w:tc>
          <w:tcPr>
            <w:tcW w:w="6588" w:type="dxa"/>
            <w:noWrap w:val="0"/>
            <w:vAlign w:val="center"/>
          </w:tcPr>
          <w:p w14:paraId="55CF277C">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noWrap w:val="0"/>
            <w:vAlign w:val="center"/>
          </w:tcPr>
          <w:p w14:paraId="7F9DF32C">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7FE74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516" w:type="dxa"/>
            <w:noWrap w:val="0"/>
            <w:vAlign w:val="center"/>
          </w:tcPr>
          <w:p w14:paraId="1CAECBC8">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1356" w:type="dxa"/>
            <w:noWrap w:val="0"/>
            <w:vAlign w:val="center"/>
          </w:tcPr>
          <w:p w14:paraId="2EF32710">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专职安全生产管理人员</w:t>
            </w:r>
          </w:p>
        </w:tc>
        <w:tc>
          <w:tcPr>
            <w:tcW w:w="6588" w:type="dxa"/>
            <w:noWrap w:val="0"/>
            <w:vAlign w:val="center"/>
          </w:tcPr>
          <w:p w14:paraId="63035E0C">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shd w:val="clear" w:color="auto" w:fill="FFFFFF"/>
              </w:rPr>
              <w:t>具有省级及以上水行政主管部门颁发的安全生产考核合格证书（C证）。</w:t>
            </w:r>
          </w:p>
        </w:tc>
        <w:tc>
          <w:tcPr>
            <w:tcW w:w="669" w:type="dxa"/>
            <w:noWrap w:val="0"/>
            <w:vAlign w:val="center"/>
          </w:tcPr>
          <w:p w14:paraId="4F8147EE">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bl>
    <w:p w14:paraId="62F00577">
      <w:pPr>
        <w:spacing w:line="360" w:lineRule="auto"/>
        <w:ind w:firstLine="420" w:firstLineChars="200"/>
        <w:rPr>
          <w:rFonts w:hint="eastAsia" w:ascii="仿宋" w:hAnsi="仿宋" w:eastAsia="仿宋" w:cs="仿宋"/>
          <w:b/>
          <w:bCs/>
          <w:color w:val="auto"/>
          <w:sz w:val="22"/>
          <w:szCs w:val="22"/>
          <w:highlight w:val="none"/>
        </w:rPr>
      </w:pPr>
      <w:r>
        <w:rPr>
          <w:rFonts w:hint="eastAsia" w:ascii="仿宋" w:hAnsi="仿宋" w:eastAsia="仿宋" w:cs="仿宋"/>
          <w:color w:val="auto"/>
          <w:kern w:val="0"/>
          <w:sz w:val="21"/>
          <w:szCs w:val="21"/>
          <w:highlight w:val="none"/>
          <w:lang w:val="en-US" w:eastAsia="zh-CN" w:bidi="ar-SA"/>
        </w:rPr>
        <w:t>注:中标人与采购人签订合同前必须配备以上人员，中</w:t>
      </w:r>
      <w:r>
        <w:rPr>
          <w:rFonts w:hint="eastAsia" w:ascii="仿宋" w:hAnsi="仿宋" w:eastAsia="仿宋" w:cs="仿宋"/>
          <w:color w:val="auto"/>
          <w:sz w:val="21"/>
          <w:szCs w:val="21"/>
          <w:highlight w:val="none"/>
        </w:rPr>
        <w:t>标人可按</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实际需要增设，不得删减</w:t>
      </w:r>
      <w:r>
        <w:rPr>
          <w:rFonts w:hint="eastAsia" w:ascii="仿宋" w:hAnsi="仿宋" w:eastAsia="仿宋" w:cs="仿宋"/>
          <w:color w:val="auto"/>
          <w:sz w:val="21"/>
          <w:szCs w:val="21"/>
          <w:highlight w:val="none"/>
          <w:lang w:eastAsia="zh-CN"/>
        </w:rPr>
        <w:t>。</w:t>
      </w:r>
    </w:p>
    <w:p w14:paraId="4D2171DD">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三、其他要求</w:t>
      </w:r>
    </w:p>
    <w:p w14:paraId="6C14A90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1、本工程要求中标人做好现场安全文明施工；现场悬挂安全文明施工警示牌、对施工造成的道路上的洒落进行清理、材料堆放要求整齐并做好维护等。</w:t>
      </w:r>
    </w:p>
    <w:p w14:paraId="0606CCC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2、采购人无施工设备和临时设施提供，均需由中标人自行提供，中标人须配备满足施工要求的主要施工机械设备。</w:t>
      </w:r>
    </w:p>
    <w:p w14:paraId="0B0432E3">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3、中标人须配备满足施工要求的主要施工人员（包括但不限于项目负责人、技术负责人、施工员、质检员、安全员、专职安全生产管理人员等）。</w:t>
      </w:r>
    </w:p>
    <w:p w14:paraId="1512AA98">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项目负责人和技术负责人原则上不得更换，中标人擅自更换项目负责人的，每次扣除5万元的合同价款，中标人擅自更换技术负责人的，每次扣除2万元的合同价款。情节严重或给采购人造成重大损失的，采购人有权解除合同。中标人擅自更换安全员、质检员、施工员、专职安全生产管理人员的，每次扣除1万元的合同价款，</w:t>
      </w:r>
    </w:p>
    <w:p w14:paraId="1F59D23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5、中标人应保证弃土外运、材料运输等交通安全，严格遵守有关的法律、法规，服从相关部门的管理，按规定实施道路管理和路面清洁工作，以确保安全目标的实现。</w:t>
      </w:r>
    </w:p>
    <w:p w14:paraId="19A7D9AC">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6、施工过程中应注意对现状各种管线的保护，工程完工后应及时修复道路等设施，保证相关设施的正常运行。</w:t>
      </w:r>
    </w:p>
    <w:p w14:paraId="4734AD2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7、中标人不得拖欠工作人员的工资或劳务费，如发生违反规定或克扣民工工资行为，由此造成的不良后果全部由中标人负责处理，并承担由此引起的一切法律责任和经济责任。</w:t>
      </w:r>
    </w:p>
    <w:p w14:paraId="715D7B9E">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8、缺陷责任期（工程质量保修期）：从工程通过合同工程完工验收之日起开始计算。本工程缺陷责任期为</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年。</w:t>
      </w:r>
    </w:p>
    <w:p w14:paraId="3AFAFCD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9、中标人须落实安全生产措施，在施工中发生的一切生产安全事故及其它事故由中标人负责，与采购人无涉。</w:t>
      </w:r>
    </w:p>
    <w:p w14:paraId="7F62E04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10、中标人</w:t>
      </w:r>
      <w:r>
        <w:rPr>
          <w:rFonts w:hint="eastAsia" w:ascii="仿宋" w:hAnsi="仿宋" w:eastAsia="仿宋" w:cs="仿宋"/>
          <w:color w:val="auto"/>
          <w:sz w:val="22"/>
          <w:szCs w:val="22"/>
          <w:highlight w:val="none"/>
          <w:lang w:val="zh-CN"/>
        </w:rPr>
        <w:t>在合同有效期内，不得无理由终止合同，确有特殊情况的，须提前向采购人提出书面申请，经采购人同意后，方可终止合同。因</w:t>
      </w:r>
      <w:r>
        <w:rPr>
          <w:rFonts w:hint="eastAsia" w:ascii="仿宋" w:hAnsi="仿宋" w:eastAsia="仿宋" w:cs="仿宋"/>
          <w:color w:val="auto"/>
          <w:sz w:val="22"/>
          <w:szCs w:val="22"/>
          <w:highlight w:val="none"/>
        </w:rPr>
        <w:t>中标</w:t>
      </w:r>
      <w:r>
        <w:rPr>
          <w:rFonts w:hint="eastAsia" w:ascii="仿宋" w:hAnsi="仿宋" w:eastAsia="仿宋" w:cs="仿宋"/>
          <w:color w:val="auto"/>
          <w:sz w:val="22"/>
          <w:szCs w:val="22"/>
          <w:highlight w:val="none"/>
          <w:lang w:val="zh-CN"/>
        </w:rPr>
        <w:t>人不能保证工作质量，或发生重大差错事故的，采购人可有权终止合同，</w:t>
      </w:r>
      <w:r>
        <w:rPr>
          <w:rFonts w:hint="eastAsia" w:ascii="仿宋" w:hAnsi="仿宋" w:eastAsia="仿宋" w:cs="仿宋"/>
          <w:color w:val="auto"/>
          <w:sz w:val="22"/>
          <w:szCs w:val="22"/>
          <w:highlight w:val="none"/>
        </w:rPr>
        <w:t>中标</w:t>
      </w:r>
      <w:r>
        <w:rPr>
          <w:rFonts w:hint="eastAsia" w:ascii="仿宋" w:hAnsi="仿宋" w:eastAsia="仿宋" w:cs="仿宋"/>
          <w:color w:val="auto"/>
          <w:sz w:val="22"/>
          <w:szCs w:val="22"/>
          <w:highlight w:val="none"/>
          <w:lang w:val="zh-CN"/>
        </w:rPr>
        <w:t>人承担全部责任</w:t>
      </w:r>
      <w:r>
        <w:rPr>
          <w:rFonts w:hint="eastAsia" w:ascii="仿宋" w:hAnsi="仿宋" w:eastAsia="仿宋" w:cs="仿宋"/>
          <w:color w:val="auto"/>
          <w:sz w:val="22"/>
          <w:szCs w:val="22"/>
          <w:highlight w:val="none"/>
        </w:rPr>
        <w:t>和经济损失</w:t>
      </w:r>
      <w:r>
        <w:rPr>
          <w:rFonts w:hint="eastAsia" w:ascii="仿宋" w:hAnsi="仿宋" w:eastAsia="仿宋" w:cs="仿宋"/>
          <w:color w:val="auto"/>
          <w:sz w:val="22"/>
          <w:szCs w:val="22"/>
          <w:highlight w:val="none"/>
          <w:lang w:val="zh-CN"/>
        </w:rPr>
        <w:t>。</w:t>
      </w:r>
    </w:p>
    <w:p w14:paraId="56B808EF">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★四、商务要求</w:t>
      </w:r>
    </w:p>
    <w:p w14:paraId="763A785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1、工期:自开工令发出之日起180日历天内完成。</w:t>
      </w:r>
    </w:p>
    <w:p w14:paraId="1477B22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2、施工范围:</w:t>
      </w:r>
      <w:r>
        <w:rPr>
          <w:rFonts w:hint="eastAsia" w:ascii="仿宋" w:hAnsi="仿宋" w:eastAsia="仿宋" w:cs="仿宋"/>
          <w:color w:val="auto"/>
          <w:sz w:val="22"/>
          <w:szCs w:val="22"/>
          <w:highlight w:val="none"/>
          <w:lang w:eastAsia="zh-CN"/>
        </w:rPr>
        <w:t>横街镇郑夹岙山塘、西南方山塘治漏排险工程</w:t>
      </w:r>
      <w:r>
        <w:rPr>
          <w:rFonts w:hint="eastAsia" w:ascii="仿宋" w:hAnsi="仿宋" w:eastAsia="仿宋" w:cs="仿宋"/>
          <w:color w:val="auto"/>
          <w:sz w:val="22"/>
          <w:szCs w:val="22"/>
          <w:highlight w:val="none"/>
        </w:rPr>
        <w:t>，详见工程量清单及图纸。</w:t>
      </w:r>
    </w:p>
    <w:p w14:paraId="42A62AE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3、工程量清单、图纸、编制说明</w:t>
      </w:r>
    </w:p>
    <w:p w14:paraId="028EAC42">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详见采购文件附件1：工程量清单；附件2：编制说明；附件3：图纸。</w:t>
      </w:r>
    </w:p>
    <w:p w14:paraId="011EB849">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4、质量要求:</w:t>
      </w:r>
      <w:r>
        <w:rPr>
          <w:rFonts w:hint="eastAsia" w:ascii="仿宋" w:hAnsi="仿宋" w:eastAsia="仿宋" w:cs="仿宋"/>
          <w:color w:val="auto"/>
          <w:sz w:val="22"/>
          <w:szCs w:val="22"/>
          <w:highlight w:val="none"/>
          <w:shd w:val="clear" w:color="auto" w:fill="FFFFFF"/>
        </w:rPr>
        <w:t>按国家和行业施工验收规范一次性验收合格。</w:t>
      </w:r>
    </w:p>
    <w:p w14:paraId="7CABAEF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5、安全要求:合格。</w:t>
      </w:r>
    </w:p>
    <w:p w14:paraId="6AE03D8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6、履约保证金:</w:t>
      </w:r>
    </w:p>
    <w:p w14:paraId="65050AC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(1)履约保证金金额：暂定合同价的1%。</w:t>
      </w:r>
    </w:p>
    <w:p w14:paraId="4ACDCDF3">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(2)履约保证金形式：电汇、网银、支票、保险保单、银行保函。</w:t>
      </w:r>
    </w:p>
    <w:p w14:paraId="4EB039B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(3)履约保证金提交时间：合同签订后一周内提交。</w:t>
      </w:r>
    </w:p>
    <w:p w14:paraId="28C2930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(4)履约保证金提交人：中标人。</w:t>
      </w:r>
    </w:p>
    <w:p w14:paraId="775C10A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(5)履约保证金接收人：采购人。</w:t>
      </w:r>
    </w:p>
    <w:p w14:paraId="04F62B28">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(6)履约保证金退还时间：待项目竣工验收合格，扣除中标人应承担的违约金后十五日内退还。</w:t>
      </w:r>
    </w:p>
    <w:p w14:paraId="494739AB">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7、付款方式 </w:t>
      </w:r>
    </w:p>
    <w:p w14:paraId="1B6564A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合同生效以及具备实施条件后7个工作日内，采购人支付暂定合同价的</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0%作为工程预付款；工程完工验收合格后，采购人支付至暂定合同价的85%；中标人提供完整的工程资料，审计结束后，采购人支付至审计结算价的98.5%，余审计结算价的1.5%作为工程质量保证金，待缺陷责任期满后28天内扣除中标人应承担的保修费用后退回余款。</w:t>
      </w:r>
    </w:p>
    <w:p w14:paraId="528BCA3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注:(1)工程量按实际结算。</w:t>
      </w:r>
    </w:p>
    <w:p w14:paraId="5FB6BBB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(2)在签订合同时，如中标人明确表示无需预付款或者主动要求降低预付款比例的，可不适用前述规定。</w:t>
      </w:r>
    </w:p>
    <w:p w14:paraId="7F93548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在采购人支付合同金额前，中标人先行向采购人提供对应金额且符合税法规定的增值税发票。采购人在收到中标人提供的增值税发票后在合同约定的时间支付相应款项，否则采购人有权延迟支付相应费用而不被视为违约，亦无须承担任何违约责任。如因中标人未按期提供发票或发票不合规等原因，自行承担由此对采购人造成的一切损失。</w:t>
      </w:r>
    </w:p>
    <w:p w14:paraId="46C0234A">
      <w:pPr>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8、</w:t>
      </w:r>
      <w:r>
        <w:rPr>
          <w:rFonts w:hint="eastAsia" w:ascii="仿宋" w:hAnsi="仿宋" w:eastAsia="仿宋" w:cs="仿宋"/>
          <w:color w:val="auto"/>
          <w:sz w:val="22"/>
          <w:szCs w:val="22"/>
          <w:highlight w:val="none"/>
        </w:rPr>
        <w:t>缺陷责任期：从工程通过合同工程完工验收之日起开始计算。本工程缺陷责任期为</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年。</w:t>
      </w:r>
    </w:p>
    <w:p w14:paraId="721847EB">
      <w:pPr>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9、质量保证金</w:t>
      </w:r>
    </w:p>
    <w:p w14:paraId="24395522">
      <w:pPr>
        <w:spacing w:line="360" w:lineRule="auto"/>
        <w:ind w:firstLine="440" w:firstLineChars="200"/>
        <w:rPr>
          <w:rFonts w:hint="default" w:ascii="仿宋" w:hAnsi="仿宋" w:eastAsia="仿宋" w:cs="仿宋"/>
          <w:color w:val="auto"/>
          <w:sz w:val="22"/>
          <w:szCs w:val="22"/>
          <w:highlight w:val="none"/>
          <w:lang w:val="en-US" w:eastAsia="zh-CN"/>
        </w:rPr>
      </w:pPr>
      <w:r>
        <w:rPr>
          <w:rFonts w:hint="default" w:ascii="仿宋" w:hAnsi="仿宋" w:eastAsia="仿宋" w:cs="仿宋"/>
          <w:color w:val="auto"/>
          <w:sz w:val="22"/>
          <w:szCs w:val="22"/>
          <w:highlight w:val="none"/>
          <w:lang w:val="en-US" w:eastAsia="zh-CN"/>
        </w:rPr>
        <w:t>质量保证金总额为完工结算价款总额的</w:t>
      </w:r>
      <w:r>
        <w:rPr>
          <w:rFonts w:hint="eastAsia" w:ascii="仿宋" w:hAnsi="仿宋" w:eastAsia="仿宋" w:cs="仿宋"/>
          <w:color w:val="auto"/>
          <w:sz w:val="22"/>
          <w:szCs w:val="22"/>
          <w:highlight w:val="none"/>
          <w:lang w:val="en-US" w:eastAsia="zh-CN"/>
        </w:rPr>
        <w:t>1.5</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lang w:val="en-US" w:eastAsia="zh-CN"/>
        </w:rPr>
        <w:t>。</w:t>
      </w:r>
    </w:p>
    <w:p w14:paraId="0CE2FD68">
      <w:pPr>
        <w:spacing w:line="360" w:lineRule="auto"/>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质量保证金的形式</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lang w:val="en-US" w:eastAsia="zh-CN"/>
        </w:rPr>
        <w:t>（ A、质量保证金保函；/ B、质量保证金；/ C、质量保证金保险）。</w:t>
      </w:r>
    </w:p>
    <w:p w14:paraId="6C849FB9">
      <w:pPr>
        <w:spacing w:line="360" w:lineRule="auto"/>
        <w:ind w:firstLine="440" w:firstLineChars="200"/>
        <w:rPr>
          <w:rFonts w:hint="eastAsia" w:ascii="仿宋" w:hAnsi="仿宋" w:eastAsia="仿宋" w:cs="仿宋"/>
          <w:color w:val="auto"/>
          <w:sz w:val="22"/>
          <w:szCs w:val="22"/>
          <w:highlight w:val="none"/>
        </w:rPr>
      </w:pPr>
      <w:r>
        <w:rPr>
          <w:rFonts w:hint="default" w:ascii="仿宋" w:hAnsi="仿宋" w:eastAsia="仿宋" w:cs="仿宋"/>
          <w:color w:val="auto"/>
          <w:sz w:val="22"/>
          <w:szCs w:val="22"/>
          <w:highlight w:val="none"/>
          <w:lang w:val="en-US" w:eastAsia="zh-CN"/>
        </w:rPr>
        <w:t>质量保证金的退还：待缺陷责任期满后28天内扣除</w:t>
      </w:r>
      <w:r>
        <w:rPr>
          <w:rFonts w:hint="eastAsia" w:ascii="仿宋" w:hAnsi="仿宋" w:eastAsia="仿宋" w:cs="仿宋"/>
          <w:color w:val="auto"/>
          <w:sz w:val="22"/>
          <w:szCs w:val="22"/>
          <w:highlight w:val="none"/>
          <w:lang w:val="en-US" w:eastAsia="zh-CN"/>
        </w:rPr>
        <w:t>中标</w:t>
      </w:r>
      <w:r>
        <w:rPr>
          <w:rFonts w:hint="default" w:ascii="仿宋" w:hAnsi="仿宋" w:eastAsia="仿宋" w:cs="仿宋"/>
          <w:color w:val="auto"/>
          <w:sz w:val="22"/>
          <w:szCs w:val="22"/>
          <w:highlight w:val="none"/>
          <w:lang w:val="en-US" w:eastAsia="zh-CN"/>
        </w:rPr>
        <w:t>人应承担的保修费用后退回余款</w:t>
      </w:r>
      <w:r>
        <w:rPr>
          <w:rFonts w:hint="eastAsia" w:ascii="仿宋" w:hAnsi="仿宋" w:eastAsia="仿宋" w:cs="仿宋"/>
          <w:color w:val="auto"/>
          <w:sz w:val="22"/>
          <w:szCs w:val="22"/>
          <w:highlight w:val="none"/>
          <w:lang w:val="en-US" w:eastAsia="zh-CN"/>
        </w:rPr>
        <w:t>。</w:t>
      </w:r>
    </w:p>
    <w:p w14:paraId="6DC7FAA9">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10</w:t>
      </w:r>
      <w:r>
        <w:rPr>
          <w:rFonts w:hint="eastAsia" w:ascii="仿宋" w:hAnsi="仿宋" w:eastAsia="仿宋" w:cs="仿宋"/>
          <w:color w:val="auto"/>
          <w:sz w:val="22"/>
          <w:szCs w:val="22"/>
          <w:highlight w:val="none"/>
        </w:rPr>
        <w:t>、本项目工程量清单是根据采购文件中有合同约束力的图纸以及有关工程量清单的国家标准、行业标准、合同条款中约定的工程量计算规则编制。计量采用中华人民共和国法定计量单位。</w:t>
      </w:r>
    </w:p>
    <w:p w14:paraId="3FE44AC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11</w:t>
      </w:r>
      <w:r>
        <w:rPr>
          <w:rFonts w:hint="eastAsia" w:ascii="仿宋" w:hAnsi="仿宋" w:eastAsia="仿宋" w:cs="仿宋"/>
          <w:color w:val="auto"/>
          <w:sz w:val="22"/>
          <w:szCs w:val="22"/>
          <w:highlight w:val="none"/>
        </w:rPr>
        <w:t>、本项目工程量清单应与采购文件中的竞争性磋商须知、合同条款、技术标准和要求及图纸（如有）等一起阅读和理解。</w:t>
      </w:r>
    </w:p>
    <w:p w14:paraId="2F0FD673">
      <w:pPr>
        <w:spacing w:line="360" w:lineRule="auto"/>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1</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、投标人按采购文件提供的《工程量清单》报投标折扣率</w:t>
      </w:r>
      <w:r>
        <w:rPr>
          <w:rFonts w:hint="eastAsia" w:ascii="仿宋" w:hAnsi="仿宋" w:eastAsia="仿宋" w:cs="仿宋"/>
          <w:color w:val="auto"/>
          <w:sz w:val="22"/>
          <w:szCs w:val="22"/>
          <w:highlight w:val="none"/>
          <w:lang w:val="en-US" w:eastAsia="zh-CN"/>
        </w:rPr>
        <w:t>和投标报价</w:t>
      </w:r>
      <w:r>
        <w:rPr>
          <w:rFonts w:hint="eastAsia" w:ascii="仿宋" w:hAnsi="仿宋" w:eastAsia="仿宋" w:cs="仿宋"/>
          <w:color w:val="auto"/>
          <w:sz w:val="22"/>
          <w:szCs w:val="22"/>
          <w:highlight w:val="none"/>
        </w:rPr>
        <w:t>,不可竞争费[暂估价(建筑渣土处置费)、预留金]不参与下浮，投标折扣率为统一的折扣率</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投标折扣率=（磋商报价-预留金-暂定价）/（最高限价-预留金-暂定价）*100%</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本项目最高投标限价3228266元，暂定价0元，预留金200000元。</w:t>
      </w:r>
    </w:p>
    <w:p w14:paraId="762CC0BE">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投标人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类分项工程量清单项目与施工图纸相对应的项目就具体构造、作法、用材等出现矛盾时，磋商时以采购人提供的工程量清单为准，结算时按实际工程量调整。</w:t>
      </w:r>
    </w:p>
    <w:p w14:paraId="451730F2">
      <w:pPr>
        <w:jc w:val="center"/>
        <w:outlineLvl w:val="0"/>
        <w:rPr>
          <w:rFonts w:hint="eastAsia" w:ascii="仿宋" w:hAnsi="仿宋" w:eastAsia="仿宋" w:cs="仿宋"/>
          <w:b/>
          <w:bCs/>
          <w:color w:val="auto"/>
          <w:sz w:val="30"/>
          <w:szCs w:val="30"/>
          <w:highlight w:val="none"/>
        </w:rPr>
      </w:pPr>
      <w:bookmarkStart w:id="2" w:name="_Toc31714"/>
      <w:r>
        <w:rPr>
          <w:rFonts w:hint="eastAsia" w:ascii="仿宋" w:hAnsi="仿宋" w:eastAsia="仿宋" w:cs="仿宋"/>
          <w:b/>
          <w:bCs/>
          <w:color w:val="auto"/>
          <w:sz w:val="30"/>
          <w:szCs w:val="30"/>
          <w:highlight w:val="none"/>
        </w:rPr>
        <w:t>第三章  投标人须知</w:t>
      </w:r>
      <w:bookmarkEnd w:id="2"/>
    </w:p>
    <w:p w14:paraId="456F7ACD">
      <w:pPr>
        <w:spacing w:line="40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前附表</w:t>
      </w:r>
    </w:p>
    <w:tbl>
      <w:tblPr>
        <w:tblStyle w:val="21"/>
        <w:tblW w:w="924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1"/>
        <w:gridCol w:w="8529"/>
      </w:tblGrid>
      <w:tr w14:paraId="2F5ADC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6AD60F0">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8529" w:type="dxa"/>
            <w:noWrap w:val="0"/>
            <w:vAlign w:val="center"/>
          </w:tcPr>
          <w:p w14:paraId="70280DA1">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内容、要求</w:t>
            </w:r>
          </w:p>
        </w:tc>
      </w:tr>
      <w:tr w14:paraId="79FCF2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11" w:type="dxa"/>
            <w:noWrap w:val="0"/>
            <w:vAlign w:val="center"/>
          </w:tcPr>
          <w:p w14:paraId="1C115414">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8529" w:type="dxa"/>
            <w:noWrap w:val="0"/>
            <w:vAlign w:val="center"/>
          </w:tcPr>
          <w:p w14:paraId="3363AD3E">
            <w:pPr>
              <w:spacing w:line="380" w:lineRule="exact"/>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项目名称：</w:t>
            </w:r>
            <w:r>
              <w:rPr>
                <w:rFonts w:hint="eastAsia" w:ascii="仿宋" w:hAnsi="仿宋" w:eastAsia="仿宋" w:cs="仿宋"/>
                <w:color w:val="auto"/>
                <w:sz w:val="22"/>
                <w:szCs w:val="22"/>
                <w:highlight w:val="none"/>
                <w:lang w:eastAsia="zh-CN"/>
              </w:rPr>
              <w:t>横街镇郑夹岙山塘、西南方山塘治漏排险工程</w:t>
            </w:r>
          </w:p>
        </w:tc>
      </w:tr>
      <w:tr w14:paraId="2D5C66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711" w:type="dxa"/>
            <w:noWrap w:val="0"/>
            <w:vAlign w:val="center"/>
          </w:tcPr>
          <w:p w14:paraId="7107571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2</w:t>
            </w:r>
          </w:p>
        </w:tc>
        <w:tc>
          <w:tcPr>
            <w:tcW w:w="8529" w:type="dxa"/>
            <w:noWrap w:val="0"/>
            <w:vAlign w:val="center"/>
          </w:tcPr>
          <w:p w14:paraId="6D9EDCA9">
            <w:pPr>
              <w:widowControl/>
              <w:numPr>
                <w:ilvl w:val="0"/>
                <w:numId w:val="0"/>
              </w:numPr>
              <w:spacing w:line="380" w:lineRule="exact"/>
              <w:jc w:val="left"/>
              <w:rPr>
                <w:rFonts w:hint="eastAsia" w:ascii="仿宋" w:hAnsi="仿宋" w:eastAsia="仿宋" w:cs="仿宋"/>
                <w:color w:val="auto"/>
                <w:sz w:val="22"/>
                <w:szCs w:val="22"/>
                <w:highlight w:val="none"/>
              </w:rPr>
            </w:pPr>
            <w:bookmarkStart w:id="3" w:name="_Hlk20081732"/>
            <w:r>
              <w:rPr>
                <w:rFonts w:hint="eastAsia" w:ascii="仿宋" w:hAnsi="仿宋" w:eastAsia="仿宋" w:cs="仿宋"/>
                <w:color w:val="auto"/>
                <w:kern w:val="2"/>
                <w:sz w:val="22"/>
                <w:szCs w:val="22"/>
                <w:highlight w:val="none"/>
                <w:lang w:val="en-US" w:eastAsia="zh-CN" w:bidi="ar-SA"/>
              </w:rPr>
              <w:t>1、</w:t>
            </w:r>
            <w:r>
              <w:rPr>
                <w:rFonts w:hint="eastAsia" w:ascii="仿宋" w:hAnsi="仿宋" w:eastAsia="仿宋" w:cs="仿宋"/>
                <w:color w:val="auto"/>
                <w:sz w:val="22"/>
                <w:szCs w:val="22"/>
                <w:highlight w:val="none"/>
              </w:rPr>
              <w:t>磋商响应报价应以人民币进行报价，有关本项目实施所需的所有费用（含税费）均计入报价。本项目包含但不限于完成服务所需的人员工资、福利、劳动保障、劳保用品、车辆、机械工具及其维修、迎检加班和突发处置费用等作业成本以及适当的管理费用、利润、税金、风险（保险、处理一切伤亡事故等费用）、成交服务费等与本项目有关的一切费用。</w:t>
            </w:r>
          </w:p>
          <w:p w14:paraId="7DA35691">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本次报价形式：固定单价，可调总价。</w:t>
            </w:r>
          </w:p>
          <w:p w14:paraId="463F2CDB">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本工程合同综合单价应以采购人磋商时提供的预算编制报告为基础，按中标下浮率（合同下浮率）进行浮动后的价格（其中：暂定价项目除外，暂定价项目投标报价时应与采购人约定的相一致，合同结算办法详见合同专用条款）。</w:t>
            </w:r>
          </w:p>
          <w:p w14:paraId="0FB34E1B">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所有有效供应商应在规定时间内（第二次报价开启后的30分钟内）在线提交第二次报价（即最终报价），磋商小组以第二次报价（即最终报价）作为价格评议的标准。</w:t>
            </w:r>
          </w:p>
          <w:bookmarkEnd w:id="3"/>
          <w:p w14:paraId="5A5A6FB8">
            <w:pPr>
              <w:spacing w:line="380" w:lineRule="exact"/>
              <w:rPr>
                <w:rFonts w:hint="eastAsia" w:ascii="仿宋" w:hAnsi="仿宋" w:eastAsia="仿宋" w:cs="仿宋"/>
                <w:bCs/>
                <w:color w:val="auto"/>
                <w:sz w:val="22"/>
                <w:szCs w:val="22"/>
                <w:highlight w:val="none"/>
              </w:rPr>
            </w:pPr>
            <w:r>
              <w:rPr>
                <w:rFonts w:hint="eastAsia" w:ascii="仿宋" w:hAnsi="仿宋" w:eastAsia="仿宋" w:cs="仿宋"/>
                <w:b/>
                <w:bCs/>
                <w:color w:val="auto"/>
                <w:sz w:val="22"/>
                <w:szCs w:val="22"/>
                <w:highlight w:val="none"/>
              </w:rPr>
              <w:t>2、</w:t>
            </w:r>
            <w:r>
              <w:rPr>
                <w:rFonts w:hint="eastAsia" w:ascii="仿宋" w:hAnsi="仿宋" w:eastAsia="仿宋" w:cs="仿宋"/>
                <w:color w:val="auto"/>
                <w:sz w:val="22"/>
                <w:szCs w:val="22"/>
                <w:highlight w:val="none"/>
              </w:rPr>
              <w:t>不论成交结果如何，投标人均应自行承担所有与采购有关的全部费用。</w:t>
            </w:r>
          </w:p>
          <w:p w14:paraId="58E27A5F">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、招标代理费收取标准：</w:t>
            </w:r>
            <w:r>
              <w:rPr>
                <w:rFonts w:hint="eastAsia" w:ascii="仿宋" w:hAnsi="仿宋" w:eastAsia="仿宋" w:cs="仿宋"/>
                <w:color w:val="auto"/>
                <w:szCs w:val="22"/>
                <w:highlight w:val="none"/>
              </w:rPr>
              <w:t>招标代理机构按照宁波市中介超市网就本项目竞报价格向中标人进行收取，此费用在中标通知书发出前一次性缴纳。</w:t>
            </w:r>
          </w:p>
          <w:p w14:paraId="4D3D7B58">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招标代理费收款账户信息：</w:t>
            </w:r>
          </w:p>
          <w:p w14:paraId="778054A9">
            <w:pPr>
              <w:spacing w:line="380" w:lineRule="exact"/>
              <w:rPr>
                <w:rFonts w:hint="eastAsia" w:ascii="仿宋" w:hAnsi="仿宋" w:eastAsia="仿宋" w:cs="仿宋"/>
                <w:color w:val="auto"/>
                <w:szCs w:val="22"/>
                <w:highlight w:val="none"/>
              </w:rPr>
            </w:pPr>
            <w:r>
              <w:rPr>
                <w:rFonts w:hint="eastAsia" w:ascii="仿宋" w:hAnsi="仿宋" w:eastAsia="仿宋" w:cs="仿宋"/>
                <w:color w:val="auto"/>
                <w:szCs w:val="22"/>
                <w:highlight w:val="none"/>
              </w:rPr>
              <w:t xml:space="preserve">收款单位（户名）：宁波市倬正项目管理咨询有限公司 </w:t>
            </w:r>
          </w:p>
          <w:p w14:paraId="3D0F1E56">
            <w:pPr>
              <w:spacing w:line="380" w:lineRule="exact"/>
              <w:rPr>
                <w:rFonts w:hint="eastAsia" w:ascii="仿宋" w:hAnsi="仿宋" w:eastAsia="仿宋" w:cs="仿宋"/>
                <w:color w:val="auto"/>
                <w:szCs w:val="22"/>
                <w:highlight w:val="none"/>
              </w:rPr>
            </w:pPr>
            <w:r>
              <w:rPr>
                <w:rFonts w:hint="eastAsia" w:ascii="仿宋" w:hAnsi="仿宋" w:eastAsia="仿宋" w:cs="仿宋"/>
                <w:color w:val="auto"/>
                <w:szCs w:val="22"/>
                <w:highlight w:val="none"/>
              </w:rPr>
              <w:t>开户：台州银行宁波鄞州支行</w:t>
            </w:r>
          </w:p>
          <w:p w14:paraId="3E2AB95B">
            <w:pPr>
              <w:spacing w:line="380" w:lineRule="exact"/>
              <w:rPr>
                <w:rFonts w:hint="eastAsia" w:ascii="仿宋" w:hAnsi="仿宋" w:eastAsia="仿宋" w:cs="仿宋"/>
                <w:bCs/>
                <w:color w:val="auto"/>
                <w:sz w:val="22"/>
                <w:szCs w:val="22"/>
                <w:highlight w:val="none"/>
              </w:rPr>
            </w:pPr>
            <w:r>
              <w:rPr>
                <w:rFonts w:hint="eastAsia" w:ascii="仿宋" w:hAnsi="仿宋" w:eastAsia="仿宋" w:cs="仿宋"/>
                <w:color w:val="auto"/>
                <w:szCs w:val="22"/>
                <w:highlight w:val="none"/>
              </w:rPr>
              <w:t xml:space="preserve">账号：550708607200015 </w:t>
            </w:r>
          </w:p>
        </w:tc>
      </w:tr>
      <w:tr w14:paraId="26F7B7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1D736DCB">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8529" w:type="dxa"/>
            <w:noWrap w:val="0"/>
            <w:vAlign w:val="center"/>
          </w:tcPr>
          <w:p w14:paraId="0A8CE836">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磋商保证金：无</w:t>
            </w:r>
          </w:p>
        </w:tc>
      </w:tr>
      <w:tr w14:paraId="59A70A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11" w:type="dxa"/>
            <w:noWrap w:val="0"/>
            <w:vAlign w:val="center"/>
          </w:tcPr>
          <w:p w14:paraId="67BB300F">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8529" w:type="dxa"/>
            <w:noWrap w:val="0"/>
            <w:vAlign w:val="center"/>
          </w:tcPr>
          <w:p w14:paraId="01C7A3BA">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答疑与澄清：投标人依法获取磋商文件，如认为磋商文件表述不清晰、存在歧视性、排他性或者其他违法内容的，应当于递交磋商响应文件截止时间5日前，以书面形式要求采购人作出书面解释、澄清或者向采购人提出书面质疑，逾期不予受理；采购人将不专门组织答疑；如有答疑，答疑内容是磋商文件的组成部份，将在浙江政府采购云平台上发布。</w:t>
            </w:r>
          </w:p>
        </w:tc>
      </w:tr>
      <w:tr w14:paraId="57E835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711" w:type="dxa"/>
            <w:noWrap w:val="0"/>
            <w:vAlign w:val="center"/>
          </w:tcPr>
          <w:p w14:paraId="5AC3719E">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8529" w:type="dxa"/>
            <w:noWrap w:val="0"/>
            <w:vAlign w:val="center"/>
          </w:tcPr>
          <w:p w14:paraId="535404C7">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评审办法及评审标准：具体见第四章</w:t>
            </w:r>
          </w:p>
        </w:tc>
      </w:tr>
      <w:tr w14:paraId="300DD4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5B3A6CA0">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8529" w:type="dxa"/>
            <w:noWrap w:val="0"/>
            <w:vAlign w:val="center"/>
          </w:tcPr>
          <w:p w14:paraId="65336666">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成交结果公告：评标结束后，经采购人确认后，成交结果公示于采购公告发布网站。</w:t>
            </w:r>
          </w:p>
        </w:tc>
      </w:tr>
      <w:tr w14:paraId="24AB22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11" w:type="dxa"/>
            <w:noWrap w:val="0"/>
            <w:vAlign w:val="center"/>
          </w:tcPr>
          <w:p w14:paraId="1EED466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8529" w:type="dxa"/>
            <w:noWrap w:val="0"/>
            <w:vAlign w:val="center"/>
          </w:tcPr>
          <w:p w14:paraId="0A8B9A37">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注意事项：</w:t>
            </w:r>
          </w:p>
          <w:p w14:paraId="4752E1A5">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1.本项目通过“政府采购云平台”实行在线磋商（电子投标）。若投标人参与磋商，自行承担磋商一切费用。</w:t>
            </w:r>
          </w:p>
          <w:p w14:paraId="72C2CBF9">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2.制作电子响应文件的系统配置要求：64位的windows7及以上操作系统。</w:t>
            </w:r>
          </w:p>
          <w:p w14:paraId="1AA8BB0D">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磋商前的准备：各投标人应在磋商前应确保成为浙江省政府采购网正式注册入库投标人，并完成CA数字证书办理。因未注册入库、未办理CA数字证书等原因造成无法获取磋商文件、无法参加磋商或磋商失败等后果由投标人自行承担。</w:t>
            </w:r>
          </w:p>
          <w:p w14:paraId="54D39DA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磋商响应文件由：资格证明文件、技术商务文件以及报价文件三个部分组成，投标人应按照本磋商文件和“政府采购云平台”的要求，通过“政采云电子交易客户端”编制并加密磋商响应文件。同时，投标人可递交“电子备份磋商响应文件”用于异常情况处理。</w:t>
            </w:r>
          </w:p>
          <w:p w14:paraId="5C088098">
            <w:pPr>
              <w:pStyle w:val="27"/>
              <w:spacing w:line="380" w:lineRule="exact"/>
              <w:ind w:left="0"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5.投标人授权代表应自带电脑、CA锁用于“电子加密磋商响应文件”的解密。</w:t>
            </w:r>
          </w:p>
        </w:tc>
      </w:tr>
      <w:tr w14:paraId="1CA52D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1D8CB97D">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w:t>
            </w:r>
          </w:p>
        </w:tc>
        <w:tc>
          <w:tcPr>
            <w:tcW w:w="8529" w:type="dxa"/>
            <w:noWrap w:val="0"/>
            <w:vAlign w:val="center"/>
          </w:tcPr>
          <w:p w14:paraId="0E953E8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签订合同时间：成交通知书发出之日起30日内</w:t>
            </w:r>
          </w:p>
        </w:tc>
      </w:tr>
      <w:tr w14:paraId="7D7B50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5AF613C">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w:t>
            </w:r>
          </w:p>
        </w:tc>
        <w:tc>
          <w:tcPr>
            <w:tcW w:w="8529" w:type="dxa"/>
            <w:noWrap w:val="0"/>
            <w:vAlign w:val="center"/>
          </w:tcPr>
          <w:p w14:paraId="5800994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采购资金来源：预算资金</w:t>
            </w:r>
          </w:p>
        </w:tc>
      </w:tr>
      <w:tr w14:paraId="24F215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83014C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10</w:t>
            </w:r>
          </w:p>
        </w:tc>
        <w:tc>
          <w:tcPr>
            <w:tcW w:w="8529" w:type="dxa"/>
            <w:noWrap w:val="0"/>
            <w:vAlign w:val="center"/>
          </w:tcPr>
          <w:p w14:paraId="36486540">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响应文件有效期：自递交首次响应文件截止日起 120 天</w:t>
            </w:r>
          </w:p>
        </w:tc>
      </w:tr>
      <w:tr w14:paraId="17BE3D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BC95D24">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11</w:t>
            </w:r>
          </w:p>
        </w:tc>
        <w:tc>
          <w:tcPr>
            <w:tcW w:w="8529" w:type="dxa"/>
            <w:noWrap w:val="0"/>
            <w:vAlign w:val="center"/>
          </w:tcPr>
          <w:p w14:paraId="033BDB03">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解释：本磋商文件的解释权属于采购人。</w:t>
            </w:r>
          </w:p>
        </w:tc>
      </w:tr>
    </w:tbl>
    <w:p w14:paraId="524D734F">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br w:type="page"/>
      </w:r>
      <w:r>
        <w:rPr>
          <w:rFonts w:hint="eastAsia" w:ascii="仿宋" w:hAnsi="仿宋" w:eastAsia="仿宋" w:cs="仿宋"/>
          <w:b/>
          <w:color w:val="auto"/>
          <w:sz w:val="22"/>
          <w:szCs w:val="22"/>
          <w:highlight w:val="none"/>
        </w:rPr>
        <w:t>一、总  则</w:t>
      </w:r>
    </w:p>
    <w:p w14:paraId="329F59D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 适用范围</w:t>
      </w:r>
    </w:p>
    <w:p w14:paraId="26C7EA7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本磋商文件适用于本项目的磋商公告、响应、评审、验收、合同履约、付款等行为（法律、法规另有规定的，从其规定）。</w:t>
      </w:r>
    </w:p>
    <w:p w14:paraId="4AE57C5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（二）定义</w:t>
      </w:r>
    </w:p>
    <w:p w14:paraId="77FE40C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 采购人系指组织本次竞争性磋商的代理机构和采购人。</w:t>
      </w:r>
    </w:p>
    <w:p w14:paraId="2AE96B4B">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2.“投标人”系指向采购人提交响应文件的单位或个人。</w:t>
      </w:r>
    </w:p>
    <w:p w14:paraId="4B8EA976">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3.“产品”系指供方按采购文件规定，须向采购人提供的一切服务相关的产品、保险、税金、手册及其它有关技术资料和材料。</w:t>
      </w:r>
    </w:p>
    <w:p w14:paraId="1BE69A58">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4.“服务”系指磋商文件规定投标人须提供的本项目相关服务以及其他类似的义务。</w:t>
      </w:r>
    </w:p>
    <w:p w14:paraId="61704D0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5.“项目”系指投标人按采购文件规定向采购人提供的服务和相关产品。</w:t>
      </w:r>
    </w:p>
    <w:p w14:paraId="0F463DD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6.“书面形式”包括信函、传真、电报等。</w:t>
      </w:r>
    </w:p>
    <w:p w14:paraId="45A24CED">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7.“★”系指实质性要求条款。</w:t>
      </w:r>
    </w:p>
    <w:p w14:paraId="3B12F50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（三）采购方式</w:t>
      </w:r>
    </w:p>
    <w:p w14:paraId="0690E78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3.1响应文件的签署人应当为投标人的法定代表人或其授权代表。响应文件的签署人为投标人的法定代表人时，响应文件中必须提供法定代表人身份证正反面复印件；响应文件的签署人非投标人的法定代表人时，响应文件中必须提供投标人的法定代表人出具的授权委托书及法定代表人授权代表的身份证正反面复印件。</w:t>
      </w:r>
    </w:p>
    <w:p w14:paraId="62ED439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3.2区域性分支机构、个体工商户、个人独资企业、合伙企业等非法人单位由单位注册登记证明上的单位负责人签署的响应文件与磋商文件规定由投标人法定代表人签署的响应文件具有同等效力。</w:t>
      </w:r>
    </w:p>
    <w:p w14:paraId="58B43BE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（四）磋商委托</w:t>
      </w:r>
    </w:p>
    <w:p w14:paraId="4301418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投标人代表须携带有效身份证件。如投标人代表不是法定代表人（负责人），须有法定代表人（负责人）出具的授权委托书。</w:t>
      </w:r>
    </w:p>
    <w:p w14:paraId="5C94F465">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（五）磋商响应费用</w:t>
      </w:r>
    </w:p>
    <w:p w14:paraId="75FD025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不论采购结果如何，投标人均应自行承担所有与采购有关的全部费用（采购文件有相关规定除外）。</w:t>
      </w:r>
    </w:p>
    <w:p w14:paraId="235C2A89">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（六）联合体磋商</w:t>
      </w:r>
    </w:p>
    <w:p w14:paraId="4FB59FA9">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本项目不接受联合体</w:t>
      </w:r>
      <w:r>
        <w:rPr>
          <w:rStyle w:val="25"/>
          <w:rFonts w:hint="eastAsia" w:ascii="仿宋" w:hAnsi="仿宋" w:eastAsia="仿宋" w:cs="仿宋"/>
          <w:color w:val="auto"/>
          <w:sz w:val="22"/>
          <w:szCs w:val="22"/>
          <w:highlight w:val="none"/>
        </w:rPr>
        <w:t>参加</w:t>
      </w:r>
      <w:r>
        <w:rPr>
          <w:rFonts w:hint="eastAsia" w:ascii="仿宋" w:hAnsi="仿宋" w:eastAsia="仿宋" w:cs="仿宋"/>
          <w:bCs/>
          <w:color w:val="auto"/>
          <w:sz w:val="22"/>
          <w:szCs w:val="22"/>
          <w:highlight w:val="none"/>
        </w:rPr>
        <w:t>磋商。</w:t>
      </w:r>
    </w:p>
    <w:p w14:paraId="122C9595">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（七）转包与分包</w:t>
      </w:r>
    </w:p>
    <w:p w14:paraId="10A35492">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bCs/>
          <w:color w:val="auto"/>
          <w:sz w:val="22"/>
          <w:szCs w:val="22"/>
          <w:highlight w:val="none"/>
        </w:rPr>
        <w:t>本项目不允许转包，未经采购人同意，不得分包。</w:t>
      </w:r>
    </w:p>
    <w:p w14:paraId="1022868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（八）特别说明：</w:t>
      </w:r>
    </w:p>
    <w:p w14:paraId="3816FC87">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1.投标人磋商所使用的资格、信誉、荣誉、业绩与企业认证必须为本单位所拥有。</w:t>
      </w:r>
    </w:p>
    <w:p w14:paraId="4A545FF8">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★2.投标人应仔细阅读磋商文件的所有内容，按照磋商文件的要求提交响应文件，并对所提供的全部资料的真实性承担法律责任。</w:t>
      </w:r>
    </w:p>
    <w:p w14:paraId="055842C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★3.投标人应委托本单位的人员作为其代理人。</w:t>
      </w:r>
    </w:p>
    <w:p w14:paraId="452CAD61">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4.投标人在磋商活动中提供任何虚假材料,其磋商无效，并报监管部门查处。</w:t>
      </w:r>
    </w:p>
    <w:p w14:paraId="52B41C5C">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5.关于知识产权</w:t>
      </w:r>
    </w:p>
    <w:p w14:paraId="19519401">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5.1、投标人必须保证，采购人在中华人民共和国境内使用磋商货物、资料、技术、服务或其任何一部分时，享有不受限制的无偿使用权，如有第三方向采购人提出侵犯其专利权、商标权或其它知识产权的主张，该责任应由投标人承担。</w:t>
      </w:r>
    </w:p>
    <w:p w14:paraId="5D61AF2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5.2、磋商报价应包含所有应向所有权人支付的专利权、商标权或其它知识产权的一切相关费用。</w:t>
      </w:r>
    </w:p>
    <w:p w14:paraId="7A3BA06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5.3、系统软件、通用软件必须是具有在中国境内的合法使用权或版权的正版软件，涉及到第三方提出侵权或知识产权的起诉及支付版税等费用由投标人承担所有责任及费用。</w:t>
      </w:r>
    </w:p>
    <w:p w14:paraId="45A63A06">
      <w:pPr>
        <w:pStyle w:val="14"/>
        <w:spacing w:beforeLines="0" w:afterLines="0" w:line="360" w:lineRule="auto"/>
        <w:ind w:firstLine="431" w:firstLineChars="196"/>
        <w:contextualSpacing/>
        <w:outlineLvl w:val="9"/>
        <w:rPr>
          <w:rFonts w:hint="eastAsia" w:ascii="仿宋" w:hAnsi="仿宋" w:eastAsia="仿宋" w:cs="仿宋"/>
          <w:color w:val="auto"/>
          <w:sz w:val="22"/>
          <w:szCs w:val="22"/>
          <w:highlight w:val="none"/>
        </w:rPr>
      </w:pPr>
      <w:bookmarkStart w:id="4" w:name="_Toc29704"/>
      <w:bookmarkStart w:id="5" w:name="_Toc13807"/>
      <w:r>
        <w:rPr>
          <w:rFonts w:hint="eastAsia" w:ascii="仿宋" w:hAnsi="仿宋" w:eastAsia="仿宋" w:cs="仿宋"/>
          <w:color w:val="auto"/>
          <w:sz w:val="22"/>
          <w:szCs w:val="22"/>
          <w:highlight w:val="none"/>
        </w:rPr>
        <w:t>6.关于分公司参加磋商</w:t>
      </w:r>
      <w:bookmarkEnd w:id="4"/>
      <w:bookmarkEnd w:id="5"/>
    </w:p>
    <w:p w14:paraId="67ED094A">
      <w:pPr>
        <w:pStyle w:val="14"/>
        <w:spacing w:beforeLines="0" w:afterLines="0" w:line="360" w:lineRule="auto"/>
        <w:ind w:firstLine="431" w:firstLineChars="196"/>
        <w:contextualSpacing/>
        <w:outlineLvl w:val="9"/>
        <w:rPr>
          <w:rFonts w:hint="eastAsia" w:ascii="仿宋" w:hAnsi="仿宋" w:eastAsia="仿宋" w:cs="仿宋"/>
          <w:color w:val="auto"/>
          <w:sz w:val="22"/>
          <w:szCs w:val="22"/>
          <w:highlight w:val="none"/>
        </w:rPr>
      </w:pPr>
      <w:bookmarkStart w:id="6" w:name="_Toc14303"/>
      <w:bookmarkStart w:id="7" w:name="_Toc25897"/>
      <w:r>
        <w:rPr>
          <w:rFonts w:hint="eastAsia" w:ascii="仿宋" w:hAnsi="仿宋" w:eastAsia="仿宋" w:cs="仿宋"/>
          <w:color w:val="auto"/>
          <w:sz w:val="22"/>
          <w:szCs w:val="22"/>
          <w:highlight w:val="none"/>
        </w:rPr>
        <w:t>除银行、保险、石油石化、电力、电信、移动、联通等行业外，不允许其他分公司参加本次采购活动。分公司参加的，需提供总公司营业执照及授权书，如为复印件需加盖公章。</w:t>
      </w:r>
      <w:bookmarkEnd w:id="6"/>
      <w:bookmarkEnd w:id="7"/>
    </w:p>
    <w:p w14:paraId="7481E296">
      <w:pPr>
        <w:pStyle w:val="4"/>
        <w:widowControl w:val="0"/>
        <w:numPr>
          <w:ilvl w:val="0"/>
          <w:numId w:val="0"/>
        </w:numPr>
        <w:tabs>
          <w:tab w:val="left" w:pos="720"/>
          <w:tab w:val="clear" w:pos="360"/>
        </w:tabs>
        <w:snapToGrid w:val="0"/>
        <w:spacing w:after="0" w:afterLines="0" w:line="440" w:lineRule="exact"/>
        <w:ind w:leftChars="200"/>
        <w:outlineLvl w:val="9"/>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（九）质疑和投诉</w:t>
      </w:r>
    </w:p>
    <w:p w14:paraId="47F53215">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1.投标人认为磋商文件、磋商过程、成交结果使自己的权益受到损害的，须在应知其利益受损之日起七个工作日内以书面形式向采购人、采购代理机构提出质疑。投标人应当在法定质疑期内一次性提出针对同一采购程序环节的质疑。</w:t>
      </w:r>
    </w:p>
    <w:p w14:paraId="777311AC">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2.提出质疑的投标人应当是参与所质疑项目采购活动的投标人。未依法获取采购文件的，不得就采购文件提出质疑；未提交磋商响应文件的投标人，视为与成交结果没有利害关系，不得就采购响应截止时间后的磋商采购过程、成交结果提出质疑。</w:t>
      </w:r>
    </w:p>
    <w:p w14:paraId="3D59C7BD">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3.投标人提出质疑应当提交质疑函和必要的证明材料，质疑函应当面以书面形式提出，质疑函格式和内容须符合财政部《质疑函范本》要求，投标人可到中国政府采购网自行下载财政部《质疑函范本》。</w:t>
      </w:r>
    </w:p>
    <w:p w14:paraId="5A6F5FB7">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磋商文件第一章有关联系方式。</w:t>
      </w:r>
    </w:p>
    <w:p w14:paraId="48C08D46">
      <w:pPr>
        <w:widowControl/>
        <w:spacing w:line="440" w:lineRule="exact"/>
        <w:ind w:firstLine="440" w:firstLineChars="200"/>
        <w:jc w:val="left"/>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5.投标人对采购人或采购代理机构的质疑答复不满意或者采购人或采购代理机构未在规定时间内作出答复的，可以在答复期满后十五个工作日内向同级采购监管部门投诉。</w:t>
      </w:r>
    </w:p>
    <w:p w14:paraId="580F63A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6.投标人未按磋商公告要求依法获取磋商文件的，采购代理机构及采购人不予接收其针对本项目提出的任何质疑及投诉。</w:t>
      </w:r>
    </w:p>
    <w:p w14:paraId="1A288100">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二、磋商文件</w:t>
      </w:r>
    </w:p>
    <w:p w14:paraId="0C6E1CC5">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（一）磋商文件的构成。本磋商文件由以下部分组成：</w:t>
      </w:r>
    </w:p>
    <w:p w14:paraId="3BDEC86B">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1.竞争性磋商公告</w:t>
      </w:r>
    </w:p>
    <w:p w14:paraId="5DA7016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2.采购需求</w:t>
      </w:r>
    </w:p>
    <w:p w14:paraId="6ECC3A3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3.投标人须知</w:t>
      </w:r>
    </w:p>
    <w:p w14:paraId="105C941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4.评审办法及评分标准</w:t>
      </w:r>
    </w:p>
    <w:p w14:paraId="73E156A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5.采购合同草案条款</w:t>
      </w:r>
    </w:p>
    <w:p w14:paraId="294696A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6.响应文件格式</w:t>
      </w:r>
    </w:p>
    <w:p w14:paraId="61E7CEE2">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7.本项目磋商文件的澄清、答复、修改、补充的内容</w:t>
      </w:r>
    </w:p>
    <w:p w14:paraId="05208A26">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（二）投标人的风险</w:t>
      </w:r>
    </w:p>
    <w:p w14:paraId="44D4C1C0">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投标人应详细阅读采购文件中的全部内容和要求，按照采购文件的要求提交首次磋商响应文件，没有按照采购文件要求提供磋商响应文件和资料导致的风险由投标人承担,并对所提供的全部资料的真实性承担法律责任。</w:t>
      </w:r>
    </w:p>
    <w:p w14:paraId="7628F9CC">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2.投标人没有按照磋商文件要求提供全部资料，或者投标人没有对磋商文件在各方面作出实质性响应是投标人的风险，并可能导致其响应文件被拒绝。</w:t>
      </w:r>
    </w:p>
    <w:p w14:paraId="24D1622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3.无论因何种原因导致本次采购活动终止致投标人损失的，相关责任人均不承担任何责任。</w:t>
      </w:r>
    </w:p>
    <w:p w14:paraId="3A079E6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 xml:space="preserve">（三）磋商文件的澄清与修改 </w:t>
      </w:r>
    </w:p>
    <w:p w14:paraId="1D745F3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1.采购人对已发出的磋商文件进行必要的澄清和修改时，将在递交首次响应文件截止时间前五日内，</w:t>
      </w:r>
      <w:r>
        <w:rPr>
          <w:rFonts w:hint="eastAsia" w:ascii="仿宋" w:hAnsi="仿宋" w:eastAsia="仿宋" w:cs="仿宋"/>
          <w:color w:val="auto"/>
          <w:sz w:val="22"/>
          <w:szCs w:val="22"/>
          <w:highlight w:val="none"/>
          <w:lang w:bidi="ar"/>
        </w:rPr>
        <w:t>在采购信息发布网站上发布更正公告</w:t>
      </w:r>
      <w:r>
        <w:rPr>
          <w:rFonts w:hint="eastAsia" w:ascii="仿宋" w:hAnsi="仿宋" w:eastAsia="仿宋" w:cs="仿宋"/>
          <w:color w:val="auto"/>
          <w:sz w:val="22"/>
          <w:szCs w:val="22"/>
          <w:highlight w:val="none"/>
        </w:rPr>
        <w:t>。不足五日的，采购人将顺延提交首次响应文件截止时间。</w:t>
      </w:r>
    </w:p>
    <w:p w14:paraId="6876C90E">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bidi="ar"/>
        </w:rPr>
        <w:t>更正公告为磋商文件的组成部分，一经在网站发布，视同已通知所有磋商文件的收受人，不再采用其它方式传达相关信息, 若因未能及时了解到上述网站上发布的相关信息而导致的一切后果自行承担。</w:t>
      </w:r>
    </w:p>
    <w:p w14:paraId="415400F2">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3.如更正公告有重新发布电子磋商文件的，投标人应自行下载最新发布的电子磋商文件制作磋商响应文件。</w:t>
      </w:r>
    </w:p>
    <w:p w14:paraId="707A3C3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4.购买磋商文件的潜在投标人对磋商文件有异议，应知其权益受到损害之日起七个工作日内提出。逾期提出的将不予受理。对磋商文件的异议应有法定代表人或其委托代理人签字，并盖投标人公章和注明日期。</w:t>
      </w:r>
    </w:p>
    <w:p w14:paraId="0B58FBE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没有提出异议且又参与了该项目磋商的投标人将被视为完全认同磋商文件。</w:t>
      </w:r>
    </w:p>
    <w:p w14:paraId="3000FDD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三、响应文件的编制</w:t>
      </w:r>
    </w:p>
    <w:p w14:paraId="722E2408">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（一）磋商响应文件的形式和效力</w:t>
      </w:r>
    </w:p>
    <w:p w14:paraId="7603EFE7">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1.磋商响应文件分为：“电子加密磋商响应文件”、“电子备份磋商响应文件”。</w:t>
      </w:r>
    </w:p>
    <w:p w14:paraId="443D99D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2.电子响应文件，按“政采云投标人项目采购-电子招投标操作指南”及本采购文件要求制作、加密并递交。</w:t>
      </w:r>
    </w:p>
    <w:p w14:paraId="04F1C86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3.“电子备份磋商响应文件”是指与“电子加密磋商响应文件”同时生成的数据电文形式的电子文件，其他方式编制的“电子备份磋商响应文件”视为无效备份磋商响应文件。</w:t>
      </w:r>
    </w:p>
    <w:p w14:paraId="5B5F948F">
      <w:pPr>
        <w:spacing w:line="360" w:lineRule="auto"/>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4.磋商响应文件的效力：</w:t>
      </w:r>
    </w:p>
    <w:p w14:paraId="61B52E32">
      <w:pPr>
        <w:spacing w:line="360" w:lineRule="auto"/>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响应文件的启用，按先后顺位分别为电子响应文件、以介质存储的数据电文形式的备份文件、纸质备份文件。在下一顺位的响应文件启用时，前一顺位的响应文件自动失效。</w:t>
      </w:r>
    </w:p>
    <w:p w14:paraId="39DBE0DB">
      <w:pPr>
        <w:spacing w:line="360" w:lineRule="auto"/>
        <w:ind w:firstLine="431" w:firstLineChars="196"/>
        <w:contextualSpacing/>
        <w:jc w:val="left"/>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响应文件未按时解密，投标人提供了备份响应文件的，以备份响应文件作为依据，否则视为响应文件撤回。响应文件已按时解密的，备份响应文件自动失效。</w:t>
      </w:r>
    </w:p>
    <w:p w14:paraId="5ED1FBD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5.当“政府采购云平台”无法正常运行，或者无法保证在线电子磋商的公平、公正和安全时或发生下列其他情况的，采购组织机构可中止电子交易活动。</w:t>
      </w:r>
    </w:p>
    <w:p w14:paraId="26FA970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A.“政府采购云平台”发生故障而无法登录访问的； </w:t>
      </w:r>
    </w:p>
    <w:p w14:paraId="5C82E00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B.“政府采购云平台”应用或数据库出现错误，不能进行正常操作的；</w:t>
      </w:r>
    </w:p>
    <w:p w14:paraId="7097CD7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C.“政府采购云平台”发现严重安全漏洞，有潜在泄密危险的；</w:t>
      </w:r>
    </w:p>
    <w:p w14:paraId="6B98C12E">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D.病毒发作导致不能进行正常操作的； </w:t>
      </w:r>
    </w:p>
    <w:p w14:paraId="4B8D2C07">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E.其他无法保证电子交易的公平、公正和安全的情况</w:t>
      </w:r>
      <w:r>
        <w:rPr>
          <w:rFonts w:hint="eastAsia" w:ascii="仿宋" w:hAnsi="仿宋" w:eastAsia="仿宋" w:cs="仿宋"/>
          <w:bCs/>
          <w:color w:val="auto"/>
          <w:sz w:val="22"/>
          <w:szCs w:val="22"/>
          <w:highlight w:val="none"/>
        </w:rPr>
        <w:t>。</w:t>
      </w:r>
    </w:p>
    <w:p w14:paraId="515B6E02">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449F84E8">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（二）响应文件的组成</w:t>
      </w:r>
    </w:p>
    <w:p w14:paraId="2C108A7A">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响应文件包含以下三个部分</w:t>
      </w:r>
      <w:r>
        <w:rPr>
          <w:rFonts w:hint="eastAsia" w:ascii="仿宋" w:hAnsi="仿宋" w:eastAsia="仿宋" w:cs="仿宋"/>
          <w:color w:val="auto"/>
          <w:sz w:val="22"/>
          <w:szCs w:val="22"/>
          <w:highlight w:val="none"/>
        </w:rPr>
        <w:t>：</w:t>
      </w:r>
    </w:p>
    <w:p w14:paraId="4AA17940">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1、资格证明文件：</w:t>
      </w:r>
    </w:p>
    <w:p w14:paraId="741D7061">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8" w:name="_Toc4274"/>
      <w:bookmarkStart w:id="9" w:name="_Toc22220"/>
      <w:bookmarkStart w:id="10" w:name="_Toc40789378"/>
      <w:bookmarkStart w:id="11" w:name="_Toc46489024"/>
      <w:r>
        <w:rPr>
          <w:rFonts w:hint="eastAsia" w:ascii="仿宋" w:hAnsi="仿宋" w:eastAsia="仿宋" w:cs="仿宋"/>
          <w:color w:val="auto"/>
          <w:sz w:val="22"/>
          <w:szCs w:val="22"/>
          <w:highlight w:val="none"/>
        </w:rPr>
        <w:t>（1）提供有效的法人营业执照</w:t>
      </w:r>
      <w:bookmarkEnd w:id="8"/>
      <w:bookmarkEnd w:id="9"/>
      <w:r>
        <w:rPr>
          <w:rFonts w:hint="eastAsia" w:ascii="仿宋" w:hAnsi="仿宋" w:eastAsia="仿宋" w:cs="仿宋"/>
          <w:color w:val="auto"/>
          <w:sz w:val="22"/>
          <w:szCs w:val="22"/>
          <w:highlight w:val="none"/>
        </w:rPr>
        <w:t>扫描件加盖公章；</w:t>
      </w:r>
    </w:p>
    <w:p w14:paraId="6F85F0FE">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2" w:name="_Toc32155"/>
      <w:bookmarkStart w:id="13" w:name="_Toc28325"/>
      <w:r>
        <w:rPr>
          <w:rFonts w:hint="eastAsia" w:ascii="仿宋" w:hAnsi="仿宋" w:eastAsia="仿宋" w:cs="仿宋"/>
          <w:color w:val="auto"/>
          <w:sz w:val="22"/>
          <w:szCs w:val="22"/>
          <w:highlight w:val="none"/>
        </w:rPr>
        <w:t>（2）投标人的水利水电工程施工总承包叁级及以上资质证书扫描件加盖公章；</w:t>
      </w:r>
      <w:bookmarkEnd w:id="12"/>
      <w:bookmarkEnd w:id="13"/>
    </w:p>
    <w:p w14:paraId="02F858F9">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（3）投标人的安全生产许可证扫描件加盖公章；</w:t>
      </w:r>
    </w:p>
    <w:bookmarkEnd w:id="10"/>
    <w:bookmarkEnd w:id="11"/>
    <w:p w14:paraId="22B3FD0D">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4" w:name="_Toc46489025"/>
      <w:bookmarkStart w:id="15" w:name="_Toc40789380"/>
      <w:bookmarkStart w:id="16" w:name="_Toc23351"/>
      <w:bookmarkStart w:id="17" w:name="_Toc26872"/>
      <w:r>
        <w:rPr>
          <w:rFonts w:hint="eastAsia" w:ascii="仿宋" w:hAnsi="仿宋" w:eastAsia="仿宋" w:cs="仿宋"/>
          <w:color w:val="auto"/>
          <w:sz w:val="22"/>
          <w:szCs w:val="22"/>
          <w:highlight w:val="none"/>
        </w:rPr>
        <w:t>（4）符合参加政府采购活动应当具备的一般条件的承诺函，格式详见第六章响应文件格式；</w:t>
      </w:r>
    </w:p>
    <w:p w14:paraId="6BA4D2DB">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（5）投标人自觉抵制政府采购领域商业贿赂行为承诺书，格式详见第六章响应文件格式；</w:t>
      </w:r>
      <w:bookmarkEnd w:id="14"/>
      <w:bookmarkEnd w:id="15"/>
      <w:bookmarkEnd w:id="16"/>
      <w:bookmarkEnd w:id="17"/>
    </w:p>
    <w:p w14:paraId="7C16D6E5">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8" w:name="_Toc13225"/>
      <w:bookmarkStart w:id="19" w:name="_Toc46489032"/>
      <w:bookmarkStart w:id="20" w:name="_Toc4191"/>
      <w:bookmarkStart w:id="21" w:name="_Toc46489029"/>
      <w:r>
        <w:rPr>
          <w:rFonts w:hint="eastAsia" w:ascii="仿宋" w:hAnsi="仿宋" w:eastAsia="仿宋" w:cs="仿宋"/>
          <w:color w:val="auto"/>
          <w:sz w:val="22"/>
          <w:szCs w:val="22"/>
          <w:highlight w:val="none"/>
        </w:rPr>
        <w:t>（6）中小企业声明函，格式详见第六章响应文件格式；</w:t>
      </w:r>
      <w:bookmarkEnd w:id="18"/>
      <w:bookmarkEnd w:id="19"/>
      <w:bookmarkEnd w:id="20"/>
    </w:p>
    <w:p w14:paraId="4473C2C5">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2" w:name="_Toc8294"/>
      <w:bookmarkStart w:id="23" w:name="_Toc46489033"/>
      <w:bookmarkStart w:id="24" w:name="_Toc28027"/>
      <w:r>
        <w:rPr>
          <w:rFonts w:hint="eastAsia" w:ascii="仿宋" w:hAnsi="仿宋" w:eastAsia="仿宋" w:cs="仿宋"/>
          <w:color w:val="auto"/>
          <w:sz w:val="22"/>
          <w:szCs w:val="22"/>
          <w:highlight w:val="none"/>
        </w:rPr>
        <w:t>（7）残疾人福利性单位声明函（若有则提供），格式详见第六章响应文件格式；</w:t>
      </w:r>
      <w:bookmarkEnd w:id="22"/>
      <w:bookmarkEnd w:id="23"/>
      <w:bookmarkEnd w:id="24"/>
    </w:p>
    <w:bookmarkEnd w:id="21"/>
    <w:p w14:paraId="2026A4EF">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（8）监狱企业声明函（若有则提供），格式详见第六章响应文件格式；</w:t>
      </w:r>
    </w:p>
    <w:p w14:paraId="70845764">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2、技术商务文件</w:t>
      </w:r>
    </w:p>
    <w:p w14:paraId="4C295CF8">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（1）法定代表人身份证明书，格式详见第六章响应文件格式；</w:t>
      </w:r>
    </w:p>
    <w:p w14:paraId="6E54747D">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（2）法定代表人授权委托书(若有则提供)，格式详见第六章响应文件格式；</w:t>
      </w:r>
    </w:p>
    <w:p w14:paraId="6B6786E3">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r>
        <w:rPr>
          <w:rFonts w:hint="eastAsia" w:ascii="仿宋" w:hAnsi="仿宋" w:eastAsia="仿宋" w:cs="仿宋"/>
          <w:color w:val="auto"/>
          <w:sz w:val="22"/>
          <w:szCs w:val="22"/>
          <w:highlight w:val="none"/>
          <w:lang w:val="zh-CN"/>
        </w:rPr>
        <w:t>投标人基本情况表</w:t>
      </w:r>
      <w:r>
        <w:rPr>
          <w:rFonts w:hint="eastAsia" w:ascii="仿宋" w:hAnsi="仿宋" w:eastAsia="仿宋" w:cs="仿宋"/>
          <w:color w:val="auto"/>
          <w:sz w:val="22"/>
          <w:szCs w:val="22"/>
          <w:highlight w:val="none"/>
        </w:rPr>
        <w:t>，格式详见第六章响应文件格式；</w:t>
      </w:r>
    </w:p>
    <w:p w14:paraId="3509523F">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r>
        <w:rPr>
          <w:rFonts w:hint="eastAsia" w:ascii="仿宋" w:hAnsi="仿宋" w:eastAsia="仿宋" w:cs="仿宋"/>
          <w:color w:val="auto"/>
          <w:sz w:val="22"/>
          <w:szCs w:val="22"/>
          <w:highlight w:val="none"/>
          <w:lang w:val="zh-CN"/>
        </w:rPr>
        <w:t>技术商务条款响应（偏离）表</w:t>
      </w:r>
      <w:r>
        <w:rPr>
          <w:rFonts w:hint="eastAsia" w:ascii="仿宋" w:hAnsi="仿宋" w:eastAsia="仿宋" w:cs="仿宋"/>
          <w:color w:val="auto"/>
          <w:sz w:val="22"/>
          <w:szCs w:val="22"/>
          <w:highlight w:val="none"/>
        </w:rPr>
        <w:t>，格式详见第六章响应文件格式；</w:t>
      </w:r>
    </w:p>
    <w:p w14:paraId="13B00F9F">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（5）</w:t>
      </w:r>
      <w:r>
        <w:rPr>
          <w:rFonts w:hint="eastAsia" w:ascii="仿宋" w:hAnsi="仿宋" w:eastAsia="仿宋" w:cs="仿宋"/>
          <w:color w:val="auto"/>
          <w:sz w:val="22"/>
          <w:szCs w:val="22"/>
          <w:highlight w:val="none"/>
          <w:lang w:val="zh-CN"/>
        </w:rPr>
        <w:t>拟派本项目人员配备汇总表</w:t>
      </w:r>
      <w:r>
        <w:rPr>
          <w:rFonts w:hint="eastAsia" w:ascii="仿宋" w:hAnsi="仿宋" w:eastAsia="仿宋" w:cs="仿宋"/>
          <w:color w:val="auto"/>
          <w:sz w:val="22"/>
          <w:szCs w:val="22"/>
          <w:highlight w:val="none"/>
        </w:rPr>
        <w:t>，格式详见第六章响应文件格式；</w:t>
      </w:r>
    </w:p>
    <w:p w14:paraId="092A4AF8">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（6）</w:t>
      </w:r>
      <w:r>
        <w:rPr>
          <w:rFonts w:hint="eastAsia" w:ascii="仿宋" w:hAnsi="仿宋" w:eastAsia="仿宋" w:cs="仿宋"/>
          <w:color w:val="auto"/>
          <w:sz w:val="22"/>
          <w:szCs w:val="22"/>
          <w:highlight w:val="none"/>
          <w:lang w:val="zh-CN"/>
        </w:rPr>
        <w:t>拟派项目负责人简历表</w:t>
      </w:r>
      <w:r>
        <w:rPr>
          <w:rFonts w:hint="eastAsia" w:ascii="仿宋" w:hAnsi="仿宋" w:eastAsia="仿宋" w:cs="仿宋"/>
          <w:color w:val="auto"/>
          <w:sz w:val="22"/>
          <w:szCs w:val="22"/>
          <w:highlight w:val="none"/>
        </w:rPr>
        <w:t>，格式详见第六章响应文件格式；</w:t>
      </w:r>
    </w:p>
    <w:p w14:paraId="2FD24940">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（7）</w:t>
      </w:r>
      <w:r>
        <w:rPr>
          <w:rFonts w:hint="eastAsia" w:ascii="仿宋" w:hAnsi="仿宋" w:eastAsia="仿宋" w:cs="仿宋"/>
          <w:color w:val="auto"/>
          <w:sz w:val="22"/>
          <w:szCs w:val="22"/>
          <w:highlight w:val="none"/>
          <w:lang w:val="zh-CN"/>
        </w:rPr>
        <w:t>机械设备仪器配置表</w:t>
      </w:r>
      <w:r>
        <w:rPr>
          <w:rFonts w:hint="eastAsia" w:ascii="仿宋" w:hAnsi="仿宋" w:eastAsia="仿宋" w:cs="仿宋"/>
          <w:color w:val="auto"/>
          <w:sz w:val="22"/>
          <w:szCs w:val="22"/>
          <w:highlight w:val="none"/>
        </w:rPr>
        <w:t>，格式详见第六章响应文件格式；</w:t>
      </w:r>
    </w:p>
    <w:p w14:paraId="77E2287D">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（8）其它采购需求或评分标准所需资料及方案（或投标人认为需提供的其它资料）。</w:t>
      </w:r>
    </w:p>
    <w:p w14:paraId="2C41EA99">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3、报价文件</w:t>
      </w:r>
    </w:p>
    <w:p w14:paraId="0E05ED79">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5" w:name="_Toc2915"/>
      <w:bookmarkStart w:id="26" w:name="_Toc26482"/>
      <w:bookmarkStart w:id="27" w:name="_Toc46489030"/>
      <w:r>
        <w:rPr>
          <w:rFonts w:hint="eastAsia" w:ascii="仿宋" w:hAnsi="仿宋" w:eastAsia="仿宋" w:cs="仿宋"/>
          <w:color w:val="auto"/>
          <w:sz w:val="22"/>
          <w:szCs w:val="22"/>
          <w:highlight w:val="none"/>
        </w:rPr>
        <w:t>（1）投标人声明</w:t>
      </w:r>
      <w:bookmarkEnd w:id="25"/>
      <w:bookmarkEnd w:id="26"/>
      <w:bookmarkEnd w:id="27"/>
      <w:r>
        <w:rPr>
          <w:rFonts w:hint="eastAsia" w:ascii="仿宋" w:hAnsi="仿宋" w:eastAsia="仿宋" w:cs="仿宋"/>
          <w:color w:val="auto"/>
          <w:sz w:val="22"/>
          <w:szCs w:val="22"/>
          <w:highlight w:val="none"/>
        </w:rPr>
        <w:t>，格式详见第六章响应文件格式；</w:t>
      </w:r>
    </w:p>
    <w:p w14:paraId="4F3CC721">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8" w:name="_Toc32093"/>
      <w:bookmarkStart w:id="29" w:name="_Toc25152"/>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val="zh-CN"/>
        </w:rPr>
        <w:t>报价</w:t>
      </w:r>
      <w:r>
        <w:rPr>
          <w:rFonts w:hint="eastAsia" w:ascii="仿宋" w:hAnsi="仿宋" w:eastAsia="仿宋" w:cs="仿宋"/>
          <w:color w:val="auto"/>
          <w:sz w:val="22"/>
          <w:szCs w:val="22"/>
          <w:highlight w:val="none"/>
          <w:lang w:val="en-US" w:eastAsia="zh-CN"/>
        </w:rPr>
        <w:t>一览</w:t>
      </w:r>
      <w:r>
        <w:rPr>
          <w:rFonts w:hint="eastAsia" w:ascii="仿宋" w:hAnsi="仿宋" w:eastAsia="仿宋" w:cs="仿宋"/>
          <w:color w:val="auto"/>
          <w:sz w:val="22"/>
          <w:szCs w:val="22"/>
          <w:highlight w:val="none"/>
          <w:lang w:val="zh-CN"/>
        </w:rPr>
        <w:t>表</w:t>
      </w:r>
      <w:bookmarkEnd w:id="28"/>
      <w:bookmarkEnd w:id="29"/>
      <w:r>
        <w:rPr>
          <w:rFonts w:hint="eastAsia" w:ascii="仿宋" w:hAnsi="仿宋" w:eastAsia="仿宋" w:cs="仿宋"/>
          <w:color w:val="auto"/>
          <w:sz w:val="22"/>
          <w:szCs w:val="22"/>
          <w:highlight w:val="none"/>
        </w:rPr>
        <w:t>，格式详见第六章响应文件格式；</w:t>
      </w:r>
    </w:p>
    <w:p w14:paraId="2432496B">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30" w:name="_Toc18711"/>
      <w:bookmarkStart w:id="31" w:name="_Toc21468"/>
      <w:r>
        <w:rPr>
          <w:rFonts w:hint="eastAsia" w:ascii="仿宋" w:hAnsi="仿宋" w:eastAsia="仿宋" w:cs="仿宋"/>
          <w:color w:val="auto"/>
          <w:sz w:val="22"/>
          <w:szCs w:val="22"/>
          <w:highlight w:val="none"/>
        </w:rPr>
        <w:t>（3）已标价的工程量清单</w:t>
      </w:r>
      <w:bookmarkEnd w:id="30"/>
      <w:bookmarkEnd w:id="31"/>
      <w:bookmarkStart w:id="32" w:name="_Toc12967"/>
      <w:bookmarkStart w:id="33" w:name="_Toc9050"/>
      <w:r>
        <w:rPr>
          <w:rFonts w:hint="eastAsia" w:ascii="仿宋" w:hAnsi="仿宋" w:eastAsia="仿宋" w:cs="仿宋"/>
          <w:color w:val="auto"/>
          <w:sz w:val="22"/>
          <w:szCs w:val="22"/>
          <w:highlight w:val="none"/>
        </w:rPr>
        <w:t>(投标人仅需提供采购人和采购代理机构提供的已标价的工程量清单和编制说明，无需重新组价)；</w:t>
      </w:r>
      <w:bookmarkEnd w:id="32"/>
      <w:bookmarkEnd w:id="33"/>
    </w:p>
    <w:p w14:paraId="475127B3">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34" w:name="_Toc28720"/>
      <w:bookmarkStart w:id="35" w:name="_Toc29471"/>
      <w:bookmarkStart w:id="36" w:name="_Toc46489034"/>
      <w:r>
        <w:rPr>
          <w:rFonts w:hint="eastAsia" w:ascii="仿宋" w:hAnsi="仿宋" w:eastAsia="仿宋" w:cs="仿宋"/>
          <w:color w:val="auto"/>
          <w:sz w:val="22"/>
          <w:szCs w:val="22"/>
          <w:highlight w:val="none"/>
        </w:rPr>
        <w:t>（4）投标人针对报价需要说明的其他文件和说明。</w:t>
      </w:r>
      <w:bookmarkEnd w:id="34"/>
      <w:bookmarkEnd w:id="35"/>
      <w:bookmarkEnd w:id="36"/>
    </w:p>
    <w:p w14:paraId="0D0FE915">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注：1.上述组成响应文件的各项资料中本磋商文件的有规定格式的，应统一按本磋商文件的规定格式填写。未有规定格式的资料，投标人应自行编制，但至少要包含以上要求的内容。</w:t>
      </w:r>
    </w:p>
    <w:p w14:paraId="3A66B579">
      <w:pPr>
        <w:widowControl/>
        <w:numPr>
          <w:ilvl w:val="0"/>
          <w:numId w:val="3"/>
        </w:numPr>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在提供对投标技术条款响应的应答时，对磋商文件有技术数值要求的参数，必须以投标货物的具体技术数值据实应答；对于磋商文件无数值要求的参数的应答，必须作出明确、直接、无导致两种理解可能的应答。</w:t>
      </w:r>
    </w:p>
    <w:p w14:paraId="27FE08FF">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（三）响应文件的语言及计量</w:t>
      </w:r>
    </w:p>
    <w:p w14:paraId="41875643">
      <w:pPr>
        <w:snapToGrid w:val="0"/>
        <w:spacing w:line="440" w:lineRule="exact"/>
        <w:ind w:firstLine="442" w:firstLineChars="200"/>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★1.响应文件以及投标人与采购人就有关磋商事宜的所有来往函电，均应以中文汉语书写。除签名、盖章、专用名称等特殊情形外，以中文汉语以外的文字表述的响应文件视同未提供。</w:t>
      </w:r>
    </w:p>
    <w:p w14:paraId="311D3D5A">
      <w:pPr>
        <w:snapToGrid w:val="0"/>
        <w:spacing w:line="440" w:lineRule="exact"/>
        <w:ind w:firstLine="442" w:firstLineChars="200"/>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★2.报价计量单位：磋商文件已有明确规定的，使用磋商文件规定的计量单位；磋商文件没有规定的，应采用中华人民共和国法定计量单位（货币单位：人民币元），否则视同未响应。</w:t>
      </w:r>
    </w:p>
    <w:p w14:paraId="0E77FD43">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（四）报价要求</w:t>
      </w:r>
    </w:p>
    <w:p w14:paraId="6C58A74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1.报价应按磋商文件中相关附表格式填写。</w:t>
      </w:r>
    </w:p>
    <w:p w14:paraId="3562CF2A">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★2.响应文件只允许有一个总报价，有选择的或有条件的报价将不予接受。</w:t>
      </w:r>
    </w:p>
    <w:p w14:paraId="212FAFCF">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（五）响应文件的有效期</w:t>
      </w:r>
    </w:p>
    <w:p w14:paraId="7B7A89B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★1.自递交首次响应文件截止日起</w:t>
      </w:r>
      <w:r>
        <w:rPr>
          <w:rFonts w:hint="eastAsia" w:ascii="仿宋" w:hAnsi="仿宋" w:eastAsia="仿宋" w:cs="仿宋"/>
          <w:b/>
          <w:color w:val="auto"/>
          <w:sz w:val="22"/>
          <w:szCs w:val="22"/>
          <w:highlight w:val="none"/>
          <w:u w:val="single"/>
        </w:rPr>
        <w:t xml:space="preserve">120 </w:t>
      </w:r>
      <w:r>
        <w:rPr>
          <w:rFonts w:hint="eastAsia" w:ascii="仿宋" w:hAnsi="仿宋" w:eastAsia="仿宋" w:cs="仿宋"/>
          <w:b/>
          <w:color w:val="auto"/>
          <w:sz w:val="22"/>
          <w:szCs w:val="22"/>
          <w:highlight w:val="none"/>
        </w:rPr>
        <w:t>天响应文件应保持有效。有效期不足的响应文件将被拒绝。</w:t>
      </w:r>
    </w:p>
    <w:p w14:paraId="185B598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2.在特殊情况下，采购人可与投标人协商延长响应文件的有效期，这种要求和答复均以书面形式进行。</w:t>
      </w:r>
    </w:p>
    <w:p w14:paraId="1B924E40">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（六）响应文件的签署和份数</w:t>
      </w:r>
    </w:p>
    <w:p w14:paraId="1C1B46CD">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投标人应按照本磋商文件规定的格式和顺序以及“政府采购云平台”的要求，通过“政采云电子交易客户端”编制磋商响应文件并进行关联定位，同时对磋商响应文件进行加密。资格证明文件以及技术商务文件中不得出现报价内容，如因投标人编制原因提前泄露报价，是投标人的责任。</w:t>
      </w:r>
    </w:p>
    <w:p w14:paraId="48EDBD9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2.磋商响应文件内容不完整、编排混乱导致磋商响应文件被误读、漏读或者查找不到相关内容的，是投标人的责任。</w:t>
      </w:r>
    </w:p>
    <w:p w14:paraId="659D786A">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3.磋商响应文件须由投标人在规定位置盖章并由法定代表人或法定代表人的授权委托人签署，投标人应写全称。法定代表人授权委托书必须由法定代表人签名并加盖单位公章。</w:t>
      </w:r>
    </w:p>
    <w:p w14:paraId="53C7145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4.磋商响应文件不得涂改，若有修改错漏处，须加盖单位公章或者法定代表人或授权委托人签名或盖章。磋商响应文件因版面模糊或表达不清所引起的后果由投标人负责。</w:t>
      </w:r>
    </w:p>
    <w:p w14:paraId="48C0422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5.投标人递交的企业宣传册、产品宣传册，不属于磋商响应文件有效组成资料，不作为评审依据。</w:t>
      </w:r>
    </w:p>
    <w:p w14:paraId="310E33D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6.磋商响应文件份数：“电子加密磋商响应文件”一份（包含：资格证明文件、技术商务文件、报价文件三部分）；“电子备份磋商响应文件”一份（包含：资格证明文件、技术商务文件、报价文件三部分）。</w:t>
      </w:r>
    </w:p>
    <w:p w14:paraId="0BCB38C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7.“电子备份磋商响应文件”以介质（U盘）存储，单独密封包装，外包装封面上应注明投标人名称、投标人地址、磋商响应文件名称（“电子备份磋商响应文件”）、项目名称、项目编号、及“在  年  月  日  时  分之前不得启封”字样，并加盖投标人公章。</w:t>
      </w:r>
    </w:p>
    <w:p w14:paraId="6A55FA8C">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（七）</w:t>
      </w:r>
      <w:r>
        <w:rPr>
          <w:rFonts w:hint="eastAsia" w:ascii="仿宋" w:hAnsi="仿宋" w:eastAsia="仿宋" w:cs="仿宋"/>
          <w:b/>
          <w:color w:val="auto"/>
          <w:sz w:val="22"/>
          <w:szCs w:val="22"/>
          <w:highlight w:val="none"/>
          <w:lang w:bidi="ar"/>
        </w:rPr>
        <w:t>磋商响应文件的修改和撤回</w:t>
      </w:r>
    </w:p>
    <w:p w14:paraId="196CF5E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投标人应当在提交首次磋商响应文件截止时间前完成磋商响应文件的上传和递交，并可以补充、修改或者撤回磋商响应文件。补充或者修改磋商响应文件的，应当先行撤回原文件，补充、修改后重新上传和递交。提交首次磋商响应文件截止时间前未完成上传和递交的，视为撤回磋商响应文件。提交首次磋商响应文件截止时间后上传和递交的磋商响应文件，将被拒收。</w:t>
      </w:r>
    </w:p>
    <w:p w14:paraId="75762B0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2.提交首次磋商响应文件截止时间后，投标人不得撤回、修改磋商响应文件。</w:t>
      </w:r>
    </w:p>
    <w:p w14:paraId="1EF50A61">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（八）响应无效的情形</w:t>
      </w:r>
    </w:p>
    <w:p w14:paraId="4D9CD6EC">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实质上没有响应磋商文件要求的响应文件将被视为无效响应，投标人不得通过修正或撤消不合要求的偏离或保留从而使其响应成为实质上响应的文件。但磋商小组可以要求投标人在限期内对响应文件中含义不明确、同类问题表述不一致或者有明显文字和计算错误的内容等作出必要的澄清、说明或者更正。投标人的澄清、说明或更正不得超出响应文件的范围或者改变响应文件的实质性内容。投标人的澄清、说明或更正应当以书面形式作出。投标人的澄清、说明或者更正应当由法定代表人或其授权代表签字或者加盖公章。由授权代表签字的，应当附法定代表人授权书。限期内不补正或经补正后仍不符合磋商文件要求的，应认定其响应无效。投标人澄清、说明或更正后，不影响磋商小组对其响应文件所作的评价和评分结果。</w:t>
      </w:r>
    </w:p>
    <w:p w14:paraId="75F5F2C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1.在符合性审查和商务评审时，如发现下列情形之一的，响应文件将被视为无效：</w:t>
      </w:r>
    </w:p>
    <w:p w14:paraId="3CD0E91D">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（1）磋商响应文件无《竞争性磋商文件》规定的法定代表人签字或盖章，或未提供法定代表人授权委托书（若有授权代表的）、投标人声明书或者填写项目不齐全的；</w:t>
      </w:r>
    </w:p>
    <w:p w14:paraId="184C70F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（2）投标人代表人未能出具身份证明或与法定代表人授权委托人身份不符的； </w:t>
      </w:r>
    </w:p>
    <w:p w14:paraId="5EB0E4FA">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（3）磋商响应文件项目不齐全或者内容虚假的；</w:t>
      </w:r>
    </w:p>
    <w:p w14:paraId="45F8278C">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（4）磋商响应文件的实质性内容未使用中文表述、意思表述不明确、前后矛盾或者使用计量单位不符合磋商文件要求的（经磋商小组认定并允许其当场更正的笔误除外）；</w:t>
      </w:r>
    </w:p>
    <w:p w14:paraId="5A93473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（5）磋商响应文件有效期不能满足磋商文件要求的；</w:t>
      </w:r>
    </w:p>
    <w:p w14:paraId="03778FD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（6）未实质性响应磋商文件要求或者响应文件有采购人不能接受的附加条件的；</w:t>
      </w:r>
    </w:p>
    <w:p w14:paraId="022CB40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（7）超过递交响应文件截止时间送达的或未按规定地点送达的；</w:t>
      </w:r>
    </w:p>
    <w:p w14:paraId="6B3DF57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（8）未按规定密封、签章的；</w:t>
      </w:r>
    </w:p>
    <w:p w14:paraId="59394A4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（9）磋商响应文件的关键内容字迹模糊、无法辨认的,或者响应文件中经修正的内容字迹模糊难以辩认或者修改处未按规定签名盖章的； </w:t>
      </w:r>
    </w:p>
    <w:p w14:paraId="0E0F3810">
      <w:pPr>
        <w:pStyle w:val="9"/>
        <w:snapToGrid w:val="0"/>
        <w:spacing w:line="440" w:lineRule="exact"/>
        <w:ind w:firstLine="426"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2.在技术评审时，如发现下列情形之一的，响应文件将被视为无效：</w:t>
      </w:r>
    </w:p>
    <w:p w14:paraId="157F258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（1）响应文件标明的响应或偏离与事实不符或虚假响应的；</w:t>
      </w:r>
    </w:p>
    <w:p w14:paraId="426A55E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（2）明显不符合磋商文件要求的，或者与磋商文件中标“★”的条款发生实质性偏离的；</w:t>
      </w:r>
    </w:p>
    <w:p w14:paraId="77DF77F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（3）响应文件技术方案不明确，存在一个或一个以上备选（替代）方案的；</w:t>
      </w:r>
    </w:p>
    <w:p w14:paraId="5FD51F49">
      <w:pPr>
        <w:pStyle w:val="9"/>
        <w:snapToGrid w:val="0"/>
        <w:spacing w:line="440" w:lineRule="exact"/>
        <w:ind w:firstLine="426"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3.在报价评审时，如发现下列情形之一的，响应文件将被视为无效：</w:t>
      </w:r>
    </w:p>
    <w:p w14:paraId="55388E4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（1）未采用响应文件要求的报价形式或超过采购预算（最高限价）报价的；</w:t>
      </w:r>
    </w:p>
    <w:p w14:paraId="32D86BF3">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小组委员会认为投标人的报价明显低于其他通过符合性审查投标人的报价，有可能影响产品质量或者不能诚信履约的，要求其在现场合理的时间内提供书面说明，必要时提供相关证明材料；且投标人不能证明其报价合理性的；不符合法律、法规和本磋商文件规定的其他实质性要求的。</w:t>
      </w:r>
    </w:p>
    <w:p w14:paraId="3C70FC9B">
      <w:pPr>
        <w:pStyle w:val="9"/>
        <w:snapToGrid w:val="0"/>
        <w:spacing w:line="440" w:lineRule="exact"/>
        <w:ind w:firstLine="426"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4.被拒绝的响应文件为无效。</w:t>
      </w:r>
    </w:p>
    <w:p w14:paraId="24BBEADF">
      <w:pPr>
        <w:pStyle w:val="9"/>
        <w:snapToGrid w:val="0"/>
        <w:spacing w:line="440" w:lineRule="exact"/>
        <w:ind w:firstLine="426"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5.如采购过程中发现投标人有行贿犯罪记录的视为无效响应或取消成交资格。</w:t>
      </w:r>
    </w:p>
    <w:p w14:paraId="0693BE53">
      <w:pPr>
        <w:pStyle w:val="9"/>
        <w:snapToGrid w:val="0"/>
        <w:spacing w:line="440" w:lineRule="exact"/>
        <w:ind w:firstLine="426" w:firstLineChars="200"/>
        <w:rPr>
          <w:rFonts w:hint="eastAsia" w:ascii="仿宋" w:hAnsi="仿宋" w:eastAsia="仿宋" w:cs="仿宋"/>
          <w:color w:val="auto"/>
          <w:highlight w:val="none"/>
        </w:rPr>
      </w:pPr>
      <w:r>
        <w:rPr>
          <w:rFonts w:hint="eastAsia" w:ascii="仿宋" w:hAnsi="仿宋" w:eastAsia="仿宋" w:cs="仿宋"/>
          <w:b/>
          <w:color w:val="auto"/>
          <w:sz w:val="22"/>
          <w:szCs w:val="22"/>
          <w:highlight w:val="none"/>
          <w:u w:val="single"/>
        </w:rPr>
        <w:t>注：经查实（或中标后查实），两家或两家以上投标人提供的响应文件出自同一终端设备的，或在相同Internet主机分配地址（相同IP地址）投标的，则上述投标人响应文件作无效投标处理或取消其中标（成交）资格，视为串标围标及失信行为记录并上报。</w:t>
      </w:r>
    </w:p>
    <w:p w14:paraId="0591DBDB">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四、磋商程序</w:t>
      </w:r>
    </w:p>
    <w:p w14:paraId="7C7CA279">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（一）磋商准备</w:t>
      </w:r>
    </w:p>
    <w:p w14:paraId="0DA1EFC7">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采购代理机构将在规定的时间和地点进行磋商，投标人的法定代表人或其授权代表应按要求参加磋商。</w:t>
      </w:r>
    </w:p>
    <w:p w14:paraId="679E9A71">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（二）磋商程序：</w:t>
      </w:r>
    </w:p>
    <w:p w14:paraId="0E757AA6">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电子招投标开标程序：</w:t>
      </w:r>
    </w:p>
    <w:p w14:paraId="51DA7BF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1、第一阶段：</w:t>
      </w:r>
    </w:p>
    <w:p w14:paraId="323FA530">
      <w:pPr>
        <w:pStyle w:val="9"/>
        <w:numPr>
          <w:ilvl w:val="0"/>
          <w:numId w:val="4"/>
        </w:numPr>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提交首次磋商响应文件截止时间后，采购代理机构向各投标人发出“电子加密磋商响应文件”开始解密通知。投标人登录“政府采购云平台”，按要求在规定时间内完成解密。在线解密“电子加密磋商响应文件”时间为提交首次磋商响应文件截止时间起30分钟内。在规定的时间内投标人因故无法完成“政府采购云平台”的“电子加密磋商响应文件”解密的，如已按规定在提交首次磋商响应文件截止时间前向采购代理机构递交了“电子备份磋商响应文件”的（若投标人未向采购代理机构递交“电子备份磋商响应文件”的，视为响应文件撤回），将由采购代理机构按“政府采购云平台”操作规范将“电子备份磋商响应文件”上传至“政府采购云平台”进行解密，上传并解密成功后，原“电子加密磋商响应文件”自动失效。评审时以“电子备份磋商响应文件”为准。</w:t>
      </w:r>
    </w:p>
    <w:p w14:paraId="7C02EEB6">
      <w:pPr>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2、第二阶段：</w:t>
      </w:r>
    </w:p>
    <w:p w14:paraId="3A3A09D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（1）采购人或采购代理机构对磋商响应投标人的资格进行审查，资格审查结束后进入符合性审查评审工作。</w:t>
      </w:r>
    </w:p>
    <w:p w14:paraId="3F8534F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（2）符合性审查结束后，对有效磋商响应投标人进入技术商务评审，并在“政府采购云平台”上进行在线磋商。</w:t>
      </w:r>
    </w:p>
    <w:p w14:paraId="10136E7E">
      <w:pPr>
        <w:pStyle w:val="9"/>
        <w:snapToGrid w:val="0"/>
        <w:spacing w:line="440" w:lineRule="exact"/>
        <w:ind w:firstLine="440" w:firstLineChars="200"/>
        <w:rPr>
          <w:rFonts w:hint="eastAsia" w:ascii="仿宋" w:hAnsi="仿宋" w:eastAsia="仿宋" w:cs="仿宋"/>
          <w:color w:val="auto"/>
          <w:highlight w:val="none"/>
        </w:rPr>
      </w:pPr>
      <w:r>
        <w:rPr>
          <w:rFonts w:hint="eastAsia" w:ascii="仿宋" w:hAnsi="仿宋" w:eastAsia="仿宋" w:cs="仿宋"/>
          <w:color w:val="auto"/>
          <w:spacing w:val="0"/>
          <w:sz w:val="22"/>
          <w:szCs w:val="22"/>
          <w:highlight w:val="none"/>
        </w:rPr>
        <w:t>（3）在磋商过程中，磋商小组可以根据磋商文件和磋商情况实质性变动采购需求中的技术、服务要求（即本磋商文件第二章 采购需求）以及合同草案条款（即本磋商文件第五章 拟签订的合同文本）；对磋商文件作出的实质性变动是磋商文件的有效组成部分，磋商小组以在线询标的形式同时通知所有参加磋商的投标人。投标人按照磋商文件的变动情况和磋商小组的要求在规定时间内提交响应文件（或补充文件），并由其法定代表人或授权代表签名或加盖公章。递交的响应文件（或补充文件）具有相应的法律效力；磋商结束后，磋商小组要求所有实质性响应的投标人在规定时间内在线提交最终报价。最终报价是投标人响应文件的有效组成部分。</w:t>
      </w:r>
    </w:p>
    <w:p w14:paraId="7F89EE8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经磋商小组评审及磋商结束后，要求所有实质性响应的投标人在规定时间内提交最后报价，采购代理机构向各磋商响应投标人发出最终报价文件通知，由投标人按磋商文件规定的时间内自行填写最终报价加盖签章并上传。</w:t>
      </w:r>
    </w:p>
    <w:p w14:paraId="76BB3883">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（5）最后报价是磋商响应文件的有效组成部分。</w:t>
      </w:r>
    </w:p>
    <w:p w14:paraId="5828590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（6）已提交首次磋商响应文件的投标人，在提交最后报价之前，若因磋商文件实质性变动导致投标人无法满足采购需求的，允许投标人退出磋商。</w:t>
      </w:r>
    </w:p>
    <w:p w14:paraId="32AB2CFF">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（7）公布其得分情况。投标人予以确认。（不予确认的应说明理由，否则视为无异议）</w:t>
      </w:r>
    </w:p>
    <w:p w14:paraId="6103641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8）磋商小组根据综合评分情况，按照评审得分由高到低顺序推荐3名以上成交候选投标人，并编写评审报告（提交最后报价的投标人为2家时，磋商小组可以推荐2家成交候选人）。若评审得分相同，则报价低者为成交候选人；评审得分且最终报价相同的则由抽签决定成交候选人。</w:t>
      </w:r>
    </w:p>
    <w:p w14:paraId="5D6AFDF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（9）评审结束后，公布成交候选投标人名单，及采购人最终确定成交投标人名单的时间和公告方式等。</w:t>
      </w:r>
    </w:p>
    <w:p w14:paraId="75DA9EA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注：采购过程中出现以下情形，导致电子交易平台无法正常运行，或者无法保证电子交易的公平、公正和安全时，采购人（或代理机构）可中止电子交易活动：</w:t>
      </w:r>
    </w:p>
    <w:p w14:paraId="7137914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①电子交易平台发生故障而无法登录、访问、解密的； </w:t>
      </w:r>
    </w:p>
    <w:p w14:paraId="53CB62E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②电子交易平台应用或数据库出现错误，不能进行正常操作的；</w:t>
      </w:r>
    </w:p>
    <w:p w14:paraId="0B1B5D6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③电子交易平台发现严重安全漏洞，有潜在泄密危险的；</w:t>
      </w:r>
    </w:p>
    <w:p w14:paraId="0725E4D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④病毒发作导致不能进行正常操作的； </w:t>
      </w:r>
    </w:p>
    <w:p w14:paraId="587D58A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⑤其他无法保证电子交易的公平、公正和安全的情况。</w:t>
      </w:r>
    </w:p>
    <w:p w14:paraId="2D9DC7C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出现前款规定情形，不影响采购公平、公正性的，采购人（或代理机构）可以待上述情形消除后继续组织电子交易活动。</w:t>
      </w:r>
    </w:p>
    <w:p w14:paraId="637D007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未开启的备份响应文件不予以退还。</w:t>
      </w:r>
    </w:p>
    <w:p w14:paraId="369D99F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五、评审</w:t>
      </w:r>
    </w:p>
    <w:p w14:paraId="6E7C6E78">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（一）组建磋商小组</w:t>
      </w:r>
    </w:p>
    <w:p w14:paraId="1F59701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磋商小组由政府采购评审专家或采购人代表共3人或以上单数组成，其中评审专家人数不得少于磋商小组成员总数的2/3。</w:t>
      </w:r>
    </w:p>
    <w:p w14:paraId="49F424B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评审中因磋商小组成员缺席、回避或健康等特殊原因导致磋商小组组成不符合规定的，采购人或者采购代理机构应当依法补足后继续评审。被更换的磋商小组成员所作出的评审意见无效。</w:t>
      </w:r>
    </w:p>
    <w:p w14:paraId="65D25BE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无法及时补足磋商小组成员的，采购人或者采购代理机构停止评审活动，封存所有响应文件和开标、评审资料，依法重新组建磋商小组进行评审。原磋商小组作出的评审意见无效。</w:t>
      </w:r>
    </w:p>
    <w:p w14:paraId="461FA3BD">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（二）评审的方式</w:t>
      </w:r>
    </w:p>
    <w:p w14:paraId="7766A4C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本项目采用不公开方式评审，评审的依据为磋商文件和响应文件。</w:t>
      </w:r>
    </w:p>
    <w:p w14:paraId="43BEB585">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w:t>
      </w:r>
      <w:r>
        <w:rPr>
          <w:rFonts w:hint="eastAsia" w:ascii="仿宋" w:hAnsi="仿宋" w:eastAsia="仿宋" w:cs="仿宋"/>
          <w:b/>
          <w:bCs/>
          <w:color w:val="auto"/>
          <w:sz w:val="22"/>
          <w:szCs w:val="22"/>
          <w:highlight w:val="none"/>
        </w:rPr>
        <w:t>评审程序</w:t>
      </w:r>
    </w:p>
    <w:p w14:paraId="1514BE2A">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1.形式审查</w:t>
      </w:r>
    </w:p>
    <w:p w14:paraId="486B6F86">
      <w:pPr>
        <w:snapToGrid w:val="0"/>
        <w:spacing w:line="440" w:lineRule="exact"/>
        <w:ind w:firstLine="440" w:firstLineChars="200"/>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lang w:bidi="ar"/>
        </w:rPr>
        <w:t>采购人代表和代理机构工作人员协助磋商小组对投标人的资格和响应文件的完整性、合法性等进行审查。</w:t>
      </w:r>
    </w:p>
    <w:p w14:paraId="3F00A9F9">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2.实质审查与比较</w:t>
      </w:r>
    </w:p>
    <w:p w14:paraId="253E675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（1）磋商小组审查响应文件的实质性内容是否符合磋商文件的实质性要求。</w:t>
      </w:r>
    </w:p>
    <w:p w14:paraId="41729F9F">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（2）磋商小组将根据投标人的响应文件进行审查、核对,如有疑问,将对投标人进行询问,投标人要向磋商小组澄清有关问题,并最终以书面形式进行答复。</w:t>
      </w:r>
    </w:p>
    <w:p w14:paraId="60922B9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投标人代表未到场（在线）或者拒绝澄清或者澄清的内容改变了响应文件的实质性内容的，磋商小组有权对该响应文件作出不利于投标人的评判。</w:t>
      </w:r>
    </w:p>
    <w:p w14:paraId="29A96DF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（3）各投标人的技术商务得分为所有磋商小组成员的有效评分的算术平均数。</w:t>
      </w:r>
    </w:p>
    <w:p w14:paraId="4BCAD86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（4）代理机构工作人员协助磋商小组根据本项目的评分标准计算各投标人的报价得分。</w:t>
      </w:r>
    </w:p>
    <w:p w14:paraId="4E2AC38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（5）磋商小组完成评审后,评审成员对各部分得分汇总，计算出本项目最终得分。磋商小组按评审原则推荐成交候选投标人同时起草评审报告。</w:t>
      </w:r>
    </w:p>
    <w:p w14:paraId="5174312B">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（四）澄清问题的形式</w:t>
      </w:r>
    </w:p>
    <w:p w14:paraId="6A30B5E3">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对响应文件中含义不明确、同类问题表述不一致或者有明显文字和计算错误的内容，磋商小组可要求投标人作出必要的澄清、说明或者更正。投标人的澄清、说明或者更正应当采用书面形式，由法定代表人或其授权代表签字或盖章确认，并不得超出响应文件的范围或者改变响应文件的实质性内容。</w:t>
      </w:r>
    </w:p>
    <w:p w14:paraId="277708AE">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（五）错误修正</w:t>
      </w:r>
    </w:p>
    <w:p w14:paraId="08BD72E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响应文件如果出现计算或表达上的错误，修正错误的原则如下：</w:t>
      </w:r>
    </w:p>
    <w:p w14:paraId="03739EA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1、响应文件的大写金额和小写金额不一致的，以大写金额为准；</w:t>
      </w:r>
    </w:p>
    <w:p w14:paraId="6F64979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2、总价与按单价汇总金额不一致的，以单价金额计算结果为准；</w:t>
      </w:r>
    </w:p>
    <w:p w14:paraId="48E54CB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3、对不同文字文本响应文件的解释发生异议的，以中文文本为准。</w:t>
      </w:r>
    </w:p>
    <w:p w14:paraId="0BF55CC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4、正本与副本不一致的，以正本为准。</w:t>
      </w:r>
    </w:p>
    <w:p w14:paraId="437D632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同时出现两种以上不一致的，按照前款规定的顺序修正。修正后的报价按照响应文件澄清的规定经投标人确认后产生约束力，投标人不确认的，其投标无效。</w:t>
      </w:r>
    </w:p>
    <w:p w14:paraId="335BE21C">
      <w:pPr>
        <w:pStyle w:val="19"/>
        <w:widowControl w:val="0"/>
        <w:tabs>
          <w:tab w:val="left" w:pos="630"/>
        </w:tabs>
        <w:snapToGrid w:val="0"/>
        <w:spacing w:before="0" w:beforeAutospacing="0" w:after="0" w:afterAutospacing="0" w:line="440" w:lineRule="exact"/>
        <w:ind w:firstLine="442" w:firstLineChars="200"/>
        <w:jc w:val="both"/>
        <w:rPr>
          <w:rFonts w:hint="eastAsia" w:ascii="仿宋" w:hAnsi="仿宋" w:eastAsia="仿宋" w:cs="仿宋"/>
          <w:b/>
          <w:color w:val="auto"/>
          <w:sz w:val="22"/>
          <w:szCs w:val="22"/>
          <w:highlight w:val="none"/>
        </w:rPr>
      </w:pPr>
      <w:r>
        <w:rPr>
          <w:rFonts w:hint="eastAsia" w:ascii="仿宋" w:hAnsi="仿宋" w:eastAsia="仿宋" w:cs="仿宋"/>
          <w:b/>
          <w:color w:val="auto"/>
          <w:kern w:val="2"/>
          <w:sz w:val="22"/>
          <w:szCs w:val="22"/>
          <w:highlight w:val="none"/>
          <w:lang w:bidi="ar"/>
        </w:rPr>
        <w:t>（六）评审原则和评审办法</w:t>
      </w:r>
    </w:p>
    <w:p w14:paraId="5D92BF3B">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1.评审原则。磋商小组必须公平、公正、客观，不带任何倾向性和启发性；不得向外界透露任何与评审有关的内容；任何单位和个人不得干扰、影响评审的正常进行；磋商小组及有关工作人员不得私下与投标人接触。</w:t>
      </w:r>
    </w:p>
    <w:p w14:paraId="09E85B6A">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2.评审办法。本项目评审办法是</w:t>
      </w:r>
      <w:r>
        <w:rPr>
          <w:rFonts w:hint="eastAsia" w:ascii="仿宋" w:hAnsi="仿宋" w:eastAsia="仿宋" w:cs="仿宋"/>
          <w:b/>
          <w:color w:val="auto"/>
          <w:kern w:val="2"/>
          <w:sz w:val="22"/>
          <w:szCs w:val="22"/>
          <w:highlight w:val="none"/>
          <w:u w:val="single"/>
          <w:lang w:bidi="ar"/>
        </w:rPr>
        <w:t>综合评分法</w:t>
      </w:r>
      <w:r>
        <w:rPr>
          <w:rFonts w:hint="eastAsia" w:ascii="仿宋" w:hAnsi="仿宋" w:eastAsia="仿宋" w:cs="仿宋"/>
          <w:color w:val="auto"/>
          <w:kern w:val="2"/>
          <w:sz w:val="22"/>
          <w:szCs w:val="22"/>
          <w:highlight w:val="none"/>
          <w:u w:val="single"/>
          <w:lang w:bidi="ar"/>
        </w:rPr>
        <w:t xml:space="preserve"> </w:t>
      </w:r>
      <w:r>
        <w:rPr>
          <w:rFonts w:hint="eastAsia" w:ascii="仿宋" w:hAnsi="仿宋" w:eastAsia="仿宋" w:cs="仿宋"/>
          <w:color w:val="auto"/>
          <w:kern w:val="2"/>
          <w:sz w:val="22"/>
          <w:szCs w:val="22"/>
          <w:highlight w:val="none"/>
          <w:lang w:bidi="ar"/>
        </w:rPr>
        <w:t>，具体评审内容及评分标准等具体见《第四章：评审办法及评分标准》。</w:t>
      </w:r>
    </w:p>
    <w:p w14:paraId="69B5D39A">
      <w:pPr>
        <w:pStyle w:val="19"/>
        <w:widowControl w:val="0"/>
        <w:snapToGrid w:val="0"/>
        <w:spacing w:before="0" w:beforeAutospacing="0" w:after="0" w:afterAutospacing="0" w:line="440" w:lineRule="exact"/>
        <w:ind w:firstLine="442" w:firstLineChars="200"/>
        <w:jc w:val="both"/>
        <w:rPr>
          <w:rFonts w:hint="eastAsia" w:ascii="仿宋" w:hAnsi="仿宋" w:eastAsia="仿宋" w:cs="仿宋"/>
          <w:b/>
          <w:bCs/>
          <w:color w:val="auto"/>
          <w:sz w:val="22"/>
          <w:szCs w:val="22"/>
          <w:highlight w:val="none"/>
        </w:rPr>
      </w:pPr>
      <w:r>
        <w:rPr>
          <w:rFonts w:hint="eastAsia" w:ascii="仿宋" w:hAnsi="仿宋" w:eastAsia="仿宋" w:cs="仿宋"/>
          <w:b/>
          <w:color w:val="auto"/>
          <w:kern w:val="2"/>
          <w:sz w:val="22"/>
          <w:szCs w:val="22"/>
          <w:highlight w:val="none"/>
          <w:lang w:bidi="ar"/>
        </w:rPr>
        <w:t>六、确定成交投标人：</w:t>
      </w:r>
    </w:p>
    <w:p w14:paraId="0F396D00">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1.本项目确定1名成交投标人。本项目由磋商小组推荐成交候选人，采购人不得在磋商小组推荐的成交候选人以外确定成交候选人。</w:t>
      </w:r>
    </w:p>
    <w:p w14:paraId="05A27320">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2.采购代理机构在评标结束后2个工作日内将评审报告交采购人确认，采购人自收到评审报告之日起5个工作日内在评审报告推荐的成交候选投标人中按由高到低的顺序确定成交投标人。</w:t>
      </w:r>
    </w:p>
    <w:p w14:paraId="6CF27B93">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3.代理机构自成交投标人确定之日起2个工作日内，在发布招标公告的网站上对成交结果进行公示，成交结果公告期限为1个工作日。</w:t>
      </w:r>
    </w:p>
    <w:p w14:paraId="37BDCDB0">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4.凡发现成交投标人有下列行为之一的，将移交政府采购监督管理部门依法处理：</w:t>
      </w:r>
    </w:p>
    <w:p w14:paraId="0D753D11">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（1）提供虚假材料谋取成交的；</w:t>
      </w:r>
    </w:p>
    <w:p w14:paraId="7DF7B2AD">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（2）采取不正当手段诋毁、排挤其他投标人的；</w:t>
      </w:r>
    </w:p>
    <w:p w14:paraId="084E090E">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（3）与采购人、其他投标人或者代理机构工作人员恶意串通的；</w:t>
      </w:r>
    </w:p>
    <w:p w14:paraId="19419F8B">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（4）向采购人或代理机构人员行贿或者提供其他不正当利益的；</w:t>
      </w:r>
    </w:p>
    <w:p w14:paraId="56D36269">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（5）拒绝有关部门监督检查或者提供虚假情况的；</w:t>
      </w:r>
    </w:p>
    <w:p w14:paraId="57C47E88">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（6）有法律、法规规定的其他损害采购人利益和社会公共利益情形的。</w:t>
      </w:r>
    </w:p>
    <w:p w14:paraId="26205F80">
      <w:pPr>
        <w:pStyle w:val="19"/>
        <w:widowControl w:val="0"/>
        <w:snapToGrid w:val="0"/>
        <w:spacing w:before="0" w:beforeAutospacing="0" w:after="0" w:afterAutospacing="0" w:line="440" w:lineRule="exact"/>
        <w:ind w:firstLine="442" w:firstLineChars="200"/>
        <w:jc w:val="both"/>
        <w:rPr>
          <w:rFonts w:hint="eastAsia" w:ascii="仿宋" w:hAnsi="仿宋" w:eastAsia="仿宋" w:cs="仿宋"/>
          <w:b/>
          <w:color w:val="auto"/>
          <w:sz w:val="22"/>
          <w:szCs w:val="22"/>
          <w:highlight w:val="none"/>
        </w:rPr>
      </w:pPr>
      <w:r>
        <w:rPr>
          <w:rFonts w:hint="eastAsia" w:ascii="仿宋" w:hAnsi="仿宋" w:eastAsia="仿宋" w:cs="仿宋"/>
          <w:b/>
          <w:color w:val="auto"/>
          <w:kern w:val="2"/>
          <w:sz w:val="22"/>
          <w:szCs w:val="22"/>
          <w:highlight w:val="none"/>
          <w:lang w:bidi="ar"/>
        </w:rPr>
        <w:t>七、合同授予</w:t>
      </w:r>
    </w:p>
    <w:p w14:paraId="321985E0">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1.采购人与成交投标人应当在《成交通知书》发出之日起</w:t>
      </w:r>
      <w:r>
        <w:rPr>
          <w:rFonts w:hint="eastAsia" w:ascii="仿宋" w:hAnsi="仿宋" w:eastAsia="仿宋" w:cs="仿宋"/>
          <w:b/>
          <w:color w:val="auto"/>
          <w:sz w:val="22"/>
          <w:szCs w:val="22"/>
          <w:highlight w:val="none"/>
          <w:u w:val="single"/>
          <w:lang w:bidi="ar"/>
        </w:rPr>
        <w:t>30</w:t>
      </w:r>
      <w:r>
        <w:rPr>
          <w:rFonts w:hint="eastAsia" w:ascii="仿宋" w:hAnsi="仿宋" w:eastAsia="仿宋" w:cs="仿宋"/>
          <w:color w:val="auto"/>
          <w:sz w:val="22"/>
          <w:szCs w:val="22"/>
          <w:highlight w:val="none"/>
          <w:lang w:bidi="ar"/>
        </w:rPr>
        <w:t>日内签订合同。</w:t>
      </w:r>
    </w:p>
    <w:p w14:paraId="7DE4F171">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2.成交投标人拖延、拒签合同的,将被取消成交资格。</w:t>
      </w:r>
    </w:p>
    <w:p w14:paraId="4F6AF75C">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3.成交投标人拒绝与采购人签订合同的，采购人可以按照评审报告推荐的成交候选投标人名单排序，确定下一候选人为成交投标人或重新采购。拒绝签订政府采购合同的成交投标人不得参加该项目重新开展的采购活动。</w:t>
      </w:r>
    </w:p>
    <w:p w14:paraId="1699B3B6">
      <w:pPr>
        <w:tabs>
          <w:tab w:val="left" w:pos="518"/>
        </w:tabs>
        <w:adjustRightInd w:val="0"/>
        <w:snapToGrid w:val="0"/>
        <w:spacing w:line="44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lang w:bidi="ar"/>
        </w:rPr>
        <w:t>八、特别说明</w:t>
      </w:r>
    </w:p>
    <w:p w14:paraId="2509411B">
      <w:pPr>
        <w:tabs>
          <w:tab w:val="left" w:pos="0"/>
        </w:tabs>
        <w:spacing w:line="360" w:lineRule="auto"/>
        <w:ind w:left="420" w:leftChars="200"/>
        <w:contextualSpacing/>
        <w:rPr>
          <w:rFonts w:hint="eastAsia" w:ascii="仿宋" w:hAnsi="仿宋" w:eastAsia="仿宋" w:cs="仿宋"/>
          <w:bCs/>
          <w:color w:val="auto"/>
          <w:sz w:val="22"/>
          <w:szCs w:val="22"/>
          <w:highlight w:val="none"/>
        </w:rPr>
      </w:pPr>
      <w:bookmarkStart w:id="37" w:name="_Toc23195"/>
      <w:r>
        <w:rPr>
          <w:rFonts w:hint="eastAsia" w:ascii="仿宋" w:hAnsi="仿宋" w:eastAsia="仿宋" w:cs="仿宋"/>
          <w:color w:val="auto"/>
          <w:sz w:val="22"/>
          <w:szCs w:val="22"/>
          <w:highlight w:val="none"/>
        </w:rPr>
        <w:t>1、</w:t>
      </w:r>
      <w:r>
        <w:rPr>
          <w:rFonts w:hint="eastAsia" w:ascii="仿宋" w:hAnsi="仿宋" w:eastAsia="仿宋" w:cs="仿宋"/>
          <w:bCs/>
          <w:color w:val="auto"/>
          <w:sz w:val="22"/>
          <w:szCs w:val="22"/>
          <w:highlight w:val="none"/>
        </w:rPr>
        <w:t>本项目属于</w:t>
      </w:r>
      <w:r>
        <w:rPr>
          <w:rFonts w:hint="eastAsia" w:ascii="仿宋" w:hAnsi="仿宋" w:eastAsia="仿宋" w:cs="仿宋"/>
          <w:b/>
          <w:color w:val="auto"/>
          <w:sz w:val="22"/>
          <w:szCs w:val="22"/>
          <w:highlight w:val="none"/>
          <w:u w:val="single"/>
        </w:rPr>
        <w:t>专门面向中小企业采购</w:t>
      </w:r>
      <w:r>
        <w:rPr>
          <w:rFonts w:hint="eastAsia" w:ascii="仿宋" w:hAnsi="仿宋" w:eastAsia="仿宋" w:cs="仿宋"/>
          <w:bCs/>
          <w:color w:val="auto"/>
          <w:sz w:val="22"/>
          <w:szCs w:val="22"/>
          <w:highlight w:val="none"/>
        </w:rPr>
        <w:t>的项目。</w:t>
      </w:r>
    </w:p>
    <w:p w14:paraId="6C6990C9">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2、本项目对应的中小企业划分标准所属行业：</w:t>
      </w:r>
      <w:r>
        <w:rPr>
          <w:rFonts w:hint="eastAsia" w:ascii="仿宋" w:hAnsi="仿宋" w:eastAsia="仿宋" w:cs="仿宋"/>
          <w:b/>
          <w:color w:val="auto"/>
          <w:sz w:val="22"/>
          <w:szCs w:val="22"/>
          <w:highlight w:val="none"/>
          <w:u w:val="single"/>
        </w:rPr>
        <w:t>建筑业</w:t>
      </w:r>
      <w:r>
        <w:rPr>
          <w:rFonts w:hint="eastAsia" w:ascii="仿宋" w:hAnsi="仿宋" w:eastAsia="仿宋" w:cs="仿宋"/>
          <w:bCs/>
          <w:color w:val="auto"/>
          <w:sz w:val="22"/>
          <w:szCs w:val="22"/>
          <w:highlight w:val="none"/>
        </w:rPr>
        <w:t>。</w:t>
      </w:r>
    </w:p>
    <w:p w14:paraId="0955F497">
      <w:pPr>
        <w:tabs>
          <w:tab w:val="left" w:pos="0"/>
        </w:tabs>
        <w:spacing w:line="360" w:lineRule="auto"/>
        <w:ind w:left="420" w:left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3、小微企业是指中华人民共和国境内依法设立，依据国务院批准的中小企业划分标准确</w:t>
      </w:r>
    </w:p>
    <w:p w14:paraId="180DD168">
      <w:pPr>
        <w:tabs>
          <w:tab w:val="left" w:pos="0"/>
        </w:tabs>
        <w:spacing w:line="360" w:lineRule="auto"/>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定的小型企业和微型企业，但与大企业的负责人为同一人，或者与大企业存在直接控股、管理关系的除外。</w:t>
      </w:r>
    </w:p>
    <w:p w14:paraId="03F7F28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符合中小企业划分标准的个体工商户，在政府采购活动中视同中小企业。</w:t>
      </w:r>
    </w:p>
    <w:p w14:paraId="21EF5C9C">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国务院批准的中小企业划分标准：具体见工信部联企业[2011]300号。</w:t>
      </w:r>
    </w:p>
    <w:p w14:paraId="382CB30D">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4、小微企业应按照招标文件格式要求提供《中小企业声明函》。</w:t>
      </w:r>
    </w:p>
    <w:p w14:paraId="5221153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62BFB2C6">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6、按规定享受扶持政策获得政府采购合同的，小微企业不得将合同分包给大中型企业，中型企业不得将合同分包给大型企业。</w:t>
      </w:r>
    </w:p>
    <w:p w14:paraId="6D8F58B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根据《关于促进残疾人就业政府采购政策的通知》（财库[2017]141号）规定，在政府采购活动中，残疾人福利性单位视同小型、微型企业。残疾人福利性单位参加政府采购活动时，提供《残疾人福利性单位声明函》。</w:t>
      </w:r>
    </w:p>
    <w:p w14:paraId="6886A306">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8、投标人按照《政府采购促进中小企业发展管理办法》（财库﹝2020﹞46号）规定提供声明函内容不实的，投标人需承担相应的法律责任。</w:t>
      </w:r>
    </w:p>
    <w:p w14:paraId="22145317">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9、《中小企业声明函》由参加投标的投标人提交，如投标人为代理商，须自行采集制造商的中小企业划分类型信息填入相应栏目并对其真实性负责。</w:t>
      </w:r>
    </w:p>
    <w:p w14:paraId="526C858F">
      <w:pPr>
        <w:pStyle w:val="6"/>
        <w:rPr>
          <w:rFonts w:hint="eastAsia" w:ascii="仿宋" w:hAnsi="仿宋" w:eastAsia="仿宋" w:cs="仿宋"/>
          <w:color w:val="auto"/>
          <w:sz w:val="22"/>
          <w:szCs w:val="22"/>
          <w:highlight w:val="none"/>
        </w:rPr>
      </w:pPr>
    </w:p>
    <w:p w14:paraId="5A930D47">
      <w:pPr>
        <w:pStyle w:val="7"/>
        <w:ind w:firstLine="210"/>
        <w:rPr>
          <w:rFonts w:hint="eastAsia" w:ascii="仿宋" w:hAnsi="仿宋" w:eastAsia="仿宋" w:cs="仿宋"/>
          <w:color w:val="auto"/>
          <w:highlight w:val="none"/>
        </w:rPr>
      </w:pPr>
    </w:p>
    <w:p w14:paraId="7A222397">
      <w:pPr>
        <w:spacing w:line="460" w:lineRule="exact"/>
        <w:jc w:val="center"/>
        <w:outlineLvl w:val="0"/>
        <w:rPr>
          <w:rFonts w:hint="eastAsia" w:ascii="仿宋" w:hAnsi="仿宋" w:eastAsia="仿宋" w:cs="仿宋"/>
          <w:b/>
          <w:bCs/>
          <w:color w:val="auto"/>
          <w:sz w:val="30"/>
          <w:szCs w:val="30"/>
          <w:highlight w:val="none"/>
        </w:rPr>
      </w:pPr>
      <w:r>
        <w:rPr>
          <w:rFonts w:hint="eastAsia" w:ascii="仿宋" w:hAnsi="仿宋" w:eastAsia="仿宋" w:cs="仿宋"/>
          <w:color w:val="auto"/>
          <w:highlight w:val="none"/>
        </w:rPr>
        <w:br w:type="page"/>
      </w:r>
      <w:bookmarkStart w:id="38" w:name="_Toc26524"/>
      <w:r>
        <w:rPr>
          <w:rFonts w:hint="eastAsia" w:ascii="仿宋" w:hAnsi="仿宋" w:eastAsia="仿宋" w:cs="仿宋"/>
          <w:b/>
          <w:bCs/>
          <w:color w:val="auto"/>
          <w:sz w:val="30"/>
          <w:szCs w:val="30"/>
          <w:highlight w:val="none"/>
        </w:rPr>
        <w:t>第四章  评审办法及评分标准</w:t>
      </w:r>
      <w:bookmarkEnd w:id="37"/>
      <w:bookmarkEnd w:id="38"/>
    </w:p>
    <w:p w14:paraId="291FF0D6">
      <w:pPr>
        <w:pStyle w:val="15"/>
        <w:spacing w:line="46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本办法严格遵照《中华人民共和国政府采购法》、《中华人民共和国政府采购法实施条例》、《政府采购竞争性磋商采购方式管理暂行办法》，结合项目所在地政府有关政府采购规定和项目的实际情况制定。</w:t>
      </w:r>
    </w:p>
    <w:p w14:paraId="44F597F2">
      <w:pPr>
        <w:spacing w:before="0" w:after="0" w:line="460" w:lineRule="exact"/>
        <w:ind w:firstLine="442" w:firstLineChars="200"/>
        <w:contextualSpacing/>
        <w:outlineLvl w:val="9"/>
        <w:rPr>
          <w:rFonts w:hint="eastAsia" w:ascii="仿宋" w:hAnsi="仿宋" w:eastAsia="仿宋" w:cs="仿宋"/>
          <w:b/>
          <w:color w:val="auto"/>
          <w:sz w:val="22"/>
          <w:szCs w:val="22"/>
          <w:highlight w:val="none"/>
        </w:rPr>
      </w:pPr>
      <w:bookmarkStart w:id="39" w:name="_Toc17357"/>
      <w:bookmarkStart w:id="40" w:name="_Toc46489036"/>
      <w:bookmarkStart w:id="41" w:name="_Toc21808"/>
      <w:r>
        <w:rPr>
          <w:rFonts w:hint="eastAsia" w:ascii="仿宋" w:hAnsi="仿宋" w:eastAsia="仿宋" w:cs="仿宋"/>
          <w:b/>
          <w:color w:val="auto"/>
          <w:sz w:val="22"/>
          <w:szCs w:val="22"/>
          <w:highlight w:val="none"/>
        </w:rPr>
        <w:t>一、评标办法</w:t>
      </w:r>
      <w:r>
        <w:rPr>
          <w:rFonts w:hint="eastAsia" w:ascii="仿宋" w:hAnsi="仿宋" w:eastAsia="仿宋" w:cs="仿宋"/>
          <w:color w:val="auto"/>
          <w:sz w:val="22"/>
          <w:szCs w:val="22"/>
          <w:highlight w:val="none"/>
        </w:rPr>
        <w:t>：</w:t>
      </w:r>
      <w:r>
        <w:rPr>
          <w:rFonts w:hint="eastAsia" w:ascii="仿宋" w:hAnsi="仿宋" w:eastAsia="仿宋" w:cs="仿宋"/>
          <w:b/>
          <w:color w:val="auto"/>
          <w:sz w:val="22"/>
          <w:szCs w:val="22"/>
          <w:highlight w:val="none"/>
        </w:rPr>
        <w:t>综合评分法</w:t>
      </w:r>
      <w:bookmarkEnd w:id="39"/>
      <w:bookmarkEnd w:id="40"/>
      <w:bookmarkEnd w:id="41"/>
    </w:p>
    <w:p w14:paraId="12FFD608">
      <w:pPr>
        <w:spacing w:before="0" w:after="0" w:line="460" w:lineRule="exact"/>
        <w:ind w:firstLine="442" w:firstLineChars="200"/>
        <w:contextualSpacing/>
        <w:outlineLvl w:val="9"/>
        <w:rPr>
          <w:rFonts w:hint="eastAsia" w:ascii="仿宋" w:hAnsi="仿宋" w:eastAsia="仿宋" w:cs="仿宋"/>
          <w:b/>
          <w:color w:val="auto"/>
          <w:sz w:val="22"/>
          <w:szCs w:val="22"/>
          <w:highlight w:val="none"/>
        </w:rPr>
      </w:pPr>
      <w:bookmarkStart w:id="42" w:name="_Toc46489037"/>
      <w:bookmarkStart w:id="43" w:name="_Toc250837976"/>
      <w:bookmarkStart w:id="44" w:name="_Toc9501"/>
      <w:bookmarkStart w:id="45" w:name="_Toc21607"/>
      <w:bookmarkStart w:id="46" w:name="_Toc263083253"/>
      <w:r>
        <w:rPr>
          <w:rFonts w:hint="eastAsia" w:ascii="仿宋" w:hAnsi="仿宋" w:eastAsia="仿宋" w:cs="仿宋"/>
          <w:b/>
          <w:color w:val="auto"/>
          <w:sz w:val="22"/>
          <w:szCs w:val="22"/>
          <w:highlight w:val="none"/>
        </w:rPr>
        <w:t>二、评标细则</w:t>
      </w:r>
      <w:bookmarkEnd w:id="42"/>
      <w:bookmarkEnd w:id="43"/>
      <w:bookmarkEnd w:id="44"/>
      <w:bookmarkEnd w:id="45"/>
      <w:bookmarkEnd w:id="46"/>
    </w:p>
    <w:p w14:paraId="198D4A93">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1、对初步审查（含资格审查、符合性审查）合格者进行评分。</w:t>
      </w:r>
    </w:p>
    <w:p w14:paraId="30CB2B28">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2、每位评委根据《评分标准》独立逐栏打分，每栏分值不得超出规定的分值范围；各评分因素分值保留小数点后二位。</w:t>
      </w:r>
    </w:p>
    <w:p w14:paraId="229544BC">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小组认为投标人报价明显低于其它通过符合性审查投标人的报价，有可能影响服务质量或者不能诚信履约的，应当要求其在评审现场合理的时间内提供书面说明，必要时提供相关证明材料；投标人不能证明其报价合理性的，磋商小组应当将其作为无效标处理。</w:t>
      </w:r>
    </w:p>
    <w:p w14:paraId="629D8C59">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代理机构可协助磋商小组组长对打分结果进行校对、核对并汇总统计；对明显畸高、畸低的评分（其总评分偏离平均分30%以上的），磋商小组组长应提醒相关磋商小组成员进行复核或书面说明理由，磋商小组成员拒绝说明的，由现场监督员据实记录；磋商小组成员的评审、修改记录应保留原件，随项目其他资料一并存档。</w:t>
      </w:r>
    </w:p>
    <w:p w14:paraId="755179F8">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价格评审基准价格与价格评审：有效投标中提交最终报价的最低评审价为基准价格，其投标价格分得满分。其余投标价格分得分计算按照“评分标准”中评审得分公式计算，以四舍五入方法整合到小数点后二位。</w:t>
      </w:r>
    </w:p>
    <w:p w14:paraId="3CC9BB8C">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4、最终得分：各评委技术商务得分的算术平均值+最终投标报价得分=最终得分，以四舍五入法整合到小数点后二位。</w:t>
      </w:r>
    </w:p>
    <w:p w14:paraId="25733F7E">
      <w:pPr>
        <w:spacing w:line="46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三.评审程序</w:t>
      </w:r>
    </w:p>
    <w:p w14:paraId="011D00EC">
      <w:pPr>
        <w:pStyle w:val="19"/>
        <w:widowControl w:val="0"/>
        <w:snapToGrid w:val="0"/>
        <w:spacing w:before="0" w:beforeAutospacing="0" w:after="0" w:afterAutospacing="0" w:line="46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1. 响应文件初审。初审分为资格性检查和符合性检查。</w:t>
      </w:r>
    </w:p>
    <w:p w14:paraId="4FB87814">
      <w:pPr>
        <w:spacing w:line="46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资格性检查：</w:t>
      </w:r>
    </w:p>
    <w:tbl>
      <w:tblPr>
        <w:tblStyle w:val="21"/>
        <w:tblW w:w="8559" w:type="dxa"/>
        <w:tblInd w:w="29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7329"/>
      </w:tblGrid>
      <w:tr w14:paraId="4E1343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230" w:type="dxa"/>
            <w:noWrap w:val="0"/>
            <w:vAlign w:val="center"/>
          </w:tcPr>
          <w:p w14:paraId="1D124D1B">
            <w:pPr>
              <w:spacing w:line="3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审查类别</w:t>
            </w:r>
          </w:p>
        </w:tc>
        <w:tc>
          <w:tcPr>
            <w:tcW w:w="7329" w:type="dxa"/>
            <w:noWrap w:val="0"/>
            <w:vAlign w:val="center"/>
          </w:tcPr>
          <w:p w14:paraId="218BE428">
            <w:pPr>
              <w:spacing w:line="3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审查内容</w:t>
            </w:r>
          </w:p>
        </w:tc>
      </w:tr>
      <w:tr w14:paraId="3343A1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30" w:type="dxa"/>
            <w:vMerge w:val="restart"/>
            <w:noWrap w:val="0"/>
            <w:vAlign w:val="center"/>
          </w:tcPr>
          <w:p w14:paraId="0AFB5F25">
            <w:pPr>
              <w:spacing w:line="3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资格条件审查</w:t>
            </w:r>
          </w:p>
        </w:tc>
        <w:tc>
          <w:tcPr>
            <w:tcW w:w="7329" w:type="dxa"/>
            <w:noWrap w:val="0"/>
            <w:vAlign w:val="center"/>
          </w:tcPr>
          <w:p w14:paraId="3D390C3B">
            <w:pPr>
              <w:spacing w:line="3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符合《中华人民共和国政府采购法》第二十二条规定的投标人资格条件。</w:t>
            </w:r>
          </w:p>
        </w:tc>
      </w:tr>
      <w:tr w14:paraId="39CAF2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30" w:type="dxa"/>
            <w:vMerge w:val="continue"/>
            <w:noWrap w:val="0"/>
            <w:vAlign w:val="center"/>
          </w:tcPr>
          <w:p w14:paraId="2D7E07EA">
            <w:pPr>
              <w:spacing w:line="340" w:lineRule="exact"/>
              <w:jc w:val="center"/>
              <w:rPr>
                <w:rFonts w:hint="eastAsia" w:ascii="仿宋" w:hAnsi="仿宋" w:eastAsia="仿宋" w:cs="仿宋"/>
                <w:color w:val="auto"/>
                <w:sz w:val="22"/>
                <w:szCs w:val="22"/>
                <w:highlight w:val="none"/>
              </w:rPr>
            </w:pPr>
          </w:p>
        </w:tc>
        <w:tc>
          <w:tcPr>
            <w:tcW w:w="7329" w:type="dxa"/>
            <w:noWrap w:val="0"/>
            <w:vAlign w:val="center"/>
          </w:tcPr>
          <w:p w14:paraId="1436FEB2">
            <w:pPr>
              <w:spacing w:line="340" w:lineRule="exac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符合落实政府采购政策需满足的资格要求。</w:t>
            </w:r>
          </w:p>
        </w:tc>
      </w:tr>
      <w:tr w14:paraId="46E95A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230" w:type="dxa"/>
            <w:vMerge w:val="continue"/>
            <w:noWrap w:val="0"/>
            <w:vAlign w:val="center"/>
          </w:tcPr>
          <w:p w14:paraId="176495A6">
            <w:pPr>
              <w:spacing w:line="340" w:lineRule="exact"/>
              <w:jc w:val="center"/>
              <w:rPr>
                <w:rFonts w:hint="eastAsia" w:ascii="仿宋" w:hAnsi="仿宋" w:eastAsia="仿宋" w:cs="仿宋"/>
                <w:color w:val="auto"/>
                <w:sz w:val="22"/>
                <w:szCs w:val="22"/>
                <w:highlight w:val="none"/>
              </w:rPr>
            </w:pPr>
          </w:p>
        </w:tc>
        <w:tc>
          <w:tcPr>
            <w:tcW w:w="7329" w:type="dxa"/>
            <w:noWrap w:val="0"/>
            <w:vAlign w:val="center"/>
          </w:tcPr>
          <w:p w14:paraId="44C4D3B6">
            <w:pPr>
              <w:spacing w:line="3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符合招标公告规定的投标人特定资格条件。</w:t>
            </w:r>
          </w:p>
        </w:tc>
      </w:tr>
    </w:tbl>
    <w:p w14:paraId="7771B543">
      <w:pPr>
        <w:spacing w:line="4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符合性检查：</w:t>
      </w:r>
    </w:p>
    <w:tbl>
      <w:tblPr>
        <w:tblStyle w:val="21"/>
        <w:tblW w:w="85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151"/>
      </w:tblGrid>
      <w:tr w14:paraId="631DAB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418" w:type="dxa"/>
            <w:noWrap w:val="0"/>
            <w:vAlign w:val="center"/>
          </w:tcPr>
          <w:p w14:paraId="42E7670F">
            <w:pPr>
              <w:spacing w:line="32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审查类别</w:t>
            </w:r>
          </w:p>
        </w:tc>
        <w:tc>
          <w:tcPr>
            <w:tcW w:w="7151" w:type="dxa"/>
            <w:noWrap w:val="0"/>
            <w:vAlign w:val="center"/>
          </w:tcPr>
          <w:p w14:paraId="7FC3A8FA">
            <w:pPr>
              <w:spacing w:line="32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审查内容</w:t>
            </w:r>
          </w:p>
        </w:tc>
      </w:tr>
      <w:tr w14:paraId="6993E5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 w:hRule="atLeast"/>
          <w:jc w:val="center"/>
        </w:trPr>
        <w:tc>
          <w:tcPr>
            <w:tcW w:w="1418" w:type="dxa"/>
            <w:vMerge w:val="restart"/>
            <w:noWrap w:val="0"/>
            <w:vAlign w:val="center"/>
          </w:tcPr>
          <w:p w14:paraId="083AE253">
            <w:pPr>
              <w:spacing w:line="320" w:lineRule="exact"/>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符合性审查</w:t>
            </w:r>
            <w:r>
              <w:rPr>
                <w:rFonts w:hint="eastAsia"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rPr>
              <w:t>技术商务文件</w:t>
            </w:r>
            <w:r>
              <w:rPr>
                <w:rFonts w:hint="eastAsia" w:ascii="仿宋" w:hAnsi="仿宋" w:eastAsia="仿宋" w:cs="仿宋"/>
                <w:color w:val="auto"/>
                <w:sz w:val="22"/>
                <w:szCs w:val="22"/>
                <w:highlight w:val="none"/>
                <w:lang w:val="en-US" w:eastAsia="zh-CN"/>
              </w:rPr>
              <w:t>)</w:t>
            </w:r>
          </w:p>
        </w:tc>
        <w:tc>
          <w:tcPr>
            <w:tcW w:w="7151" w:type="dxa"/>
            <w:noWrap w:val="0"/>
            <w:vAlign w:val="center"/>
          </w:tcPr>
          <w:p w14:paraId="18F186E7">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按磋商文件要求签署、签章。</w:t>
            </w:r>
          </w:p>
        </w:tc>
      </w:tr>
      <w:tr w14:paraId="430E27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5903F71E">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07768769">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投标有效期满足磋商文件要求。</w:t>
            </w:r>
          </w:p>
        </w:tc>
      </w:tr>
      <w:tr w14:paraId="72A6F0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1418" w:type="dxa"/>
            <w:vMerge w:val="continue"/>
            <w:noWrap w:val="0"/>
            <w:vAlign w:val="center"/>
          </w:tcPr>
          <w:p w14:paraId="36F0FF7B">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48BEDB55">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符合磋商文件要求的，未发生与磋商文件中标注“★”的条款实质性偏离的。</w:t>
            </w:r>
          </w:p>
        </w:tc>
      </w:tr>
      <w:tr w14:paraId="0C3714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2ABC892C">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58B7B75">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不含有采购人不能接受的附加条件。</w:t>
            </w:r>
          </w:p>
        </w:tc>
      </w:tr>
      <w:tr w14:paraId="4A3BCE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 w:hRule="atLeast"/>
          <w:jc w:val="center"/>
        </w:trPr>
        <w:tc>
          <w:tcPr>
            <w:tcW w:w="1418" w:type="dxa"/>
            <w:vMerge w:val="continue"/>
            <w:noWrap w:val="0"/>
            <w:vAlign w:val="center"/>
          </w:tcPr>
          <w:p w14:paraId="07F83172">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01C31F82">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投标声明书具有法定代表人签名，或委托人提供法定代表人授权委托书、填写项目齐全。</w:t>
            </w:r>
          </w:p>
        </w:tc>
      </w:tr>
      <w:tr w14:paraId="679F10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5EE3FB64">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00211BE">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投标文件格式规范、提供资料齐全或者未提供虚假内容。</w:t>
            </w:r>
          </w:p>
        </w:tc>
      </w:tr>
      <w:tr w14:paraId="24B960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1418" w:type="dxa"/>
            <w:vMerge w:val="continue"/>
            <w:noWrap w:val="0"/>
            <w:vAlign w:val="center"/>
          </w:tcPr>
          <w:p w14:paraId="3614EC33">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719610A8">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投标文件的实质性内容使用中文表述、表述明确、前后不矛盾或者使用计量单位符合磋商文件要求的（经磋商小组认定并允许其当场更正的笔误除外）。</w:t>
            </w:r>
          </w:p>
        </w:tc>
      </w:tr>
      <w:tr w14:paraId="026DF3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418" w:type="dxa"/>
            <w:vMerge w:val="continue"/>
            <w:noWrap w:val="0"/>
            <w:vAlign w:val="center"/>
          </w:tcPr>
          <w:p w14:paraId="7A11D644">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3AD974FD">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投标文件的关键内容字迹清晰、易辨认的，或者投标文件中经修正的内容字迹易辩认或者修改处按规定签署、盖章。</w:t>
            </w:r>
          </w:p>
        </w:tc>
      </w:tr>
      <w:tr w14:paraId="61ADA5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3957DE71">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E69C946">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未发现法律、法规和磋商文件规定的其他无效情形。</w:t>
            </w:r>
          </w:p>
        </w:tc>
      </w:tr>
      <w:tr w14:paraId="57B9EB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418" w:type="dxa"/>
            <w:vMerge w:val="continue"/>
            <w:noWrap w:val="0"/>
            <w:vAlign w:val="center"/>
          </w:tcPr>
          <w:p w14:paraId="3A4CD73C">
            <w:pPr>
              <w:spacing w:line="320" w:lineRule="exact"/>
              <w:jc w:val="center"/>
              <w:rPr>
                <w:rFonts w:hint="eastAsia" w:ascii="仿宋" w:hAnsi="仿宋" w:eastAsia="仿宋" w:cs="仿宋"/>
                <w:color w:val="auto"/>
                <w:sz w:val="22"/>
                <w:szCs w:val="22"/>
                <w:highlight w:val="none"/>
              </w:rPr>
            </w:pPr>
          </w:p>
        </w:tc>
        <w:tc>
          <w:tcPr>
            <w:tcW w:w="7151" w:type="dxa"/>
            <w:noWrap w:val="0"/>
            <w:vAlign w:val="center"/>
          </w:tcPr>
          <w:p w14:paraId="1BA4E64E">
            <w:pPr>
              <w:pStyle w:val="9"/>
              <w:widowControl/>
              <w:spacing w:line="320" w:lineRule="exact"/>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如实提供投标工程技术参数且投标文件标明的响应或偏离与事实符合，未发现虚假投标。</w:t>
            </w:r>
          </w:p>
        </w:tc>
      </w:tr>
      <w:tr w14:paraId="367C42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6F1FE318">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7E1C884">
            <w:pPr>
              <w:pStyle w:val="9"/>
              <w:widowControl/>
              <w:spacing w:line="320" w:lineRule="exact"/>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投标技术方案明确，不存在一个或一个以上备选（替代）投标方案的。</w:t>
            </w:r>
          </w:p>
        </w:tc>
      </w:tr>
      <w:tr w14:paraId="77F43F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restart"/>
            <w:noWrap w:val="0"/>
            <w:vAlign w:val="center"/>
          </w:tcPr>
          <w:p w14:paraId="52C79394">
            <w:pPr>
              <w:widowControl/>
              <w:spacing w:line="320" w:lineRule="exact"/>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符合性审查</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文件</w:t>
            </w:r>
            <w:r>
              <w:rPr>
                <w:rFonts w:hint="eastAsia" w:ascii="仿宋" w:hAnsi="仿宋" w:eastAsia="仿宋" w:cs="仿宋"/>
                <w:color w:val="auto"/>
                <w:sz w:val="22"/>
                <w:szCs w:val="22"/>
                <w:highlight w:val="none"/>
                <w:lang w:val="en-US" w:eastAsia="zh-CN"/>
              </w:rPr>
              <w:t>)</w:t>
            </w:r>
          </w:p>
        </w:tc>
        <w:tc>
          <w:tcPr>
            <w:tcW w:w="7151" w:type="dxa"/>
            <w:noWrap w:val="0"/>
            <w:vAlign w:val="center"/>
          </w:tcPr>
          <w:p w14:paraId="77EFFCA0">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按磋商文件要求签署、签章。</w:t>
            </w:r>
          </w:p>
        </w:tc>
      </w:tr>
      <w:tr w14:paraId="51CC35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339F616A">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4FDAB6E">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投标文件格式规范、提供资料齐全或者未提供虚假内容。</w:t>
            </w:r>
          </w:p>
        </w:tc>
      </w:tr>
      <w:tr w14:paraId="2AC417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67D5AB1A">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74D22EB0">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采用人民币报价或者按照采购文件标明的币种报价的。</w:t>
            </w:r>
          </w:p>
        </w:tc>
      </w:tr>
      <w:tr w14:paraId="6F03A3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E8C8030">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5B925B16">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不存在报价超出最高限价，或者超出采购预算金额，采购人不能支付的情形。</w:t>
            </w:r>
          </w:p>
        </w:tc>
      </w:tr>
      <w:tr w14:paraId="465D38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24DF00D">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552433DA">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不存在投标报价具有选择性的情形。</w:t>
            </w:r>
          </w:p>
        </w:tc>
      </w:tr>
      <w:tr w14:paraId="6BB004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9900FB3">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0387B6E4">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投标报价中未出现重大缺项、漏项。</w:t>
            </w:r>
          </w:p>
        </w:tc>
      </w:tr>
      <w:tr w14:paraId="5ADCED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63C4F63B">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3D758527">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不存在评标委员会认为投标人的报价明显低于其他通过符合性审查投标人的报价，有可能影响质量或者不能诚信履约的且不能在评标现场合理时间内提供相关证明材料说明其报价的合理性的情形。</w:t>
            </w:r>
          </w:p>
        </w:tc>
      </w:tr>
      <w:tr w14:paraId="677C66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88CE2C2">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22382E46">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投标文件（报价文件）内容与投标文件（技术商务文件）内容不存在重大差异的。</w:t>
            </w:r>
          </w:p>
        </w:tc>
      </w:tr>
      <w:tr w14:paraId="308F9D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36453896">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54D17A0D">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不存在法律、法规和采购文件规定的其他无效情形。</w:t>
            </w:r>
          </w:p>
        </w:tc>
      </w:tr>
      <w:tr w14:paraId="39A638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4E59A06D">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26F027E9">
            <w:pPr>
              <w:pStyle w:val="9"/>
              <w:widowControl/>
              <w:spacing w:line="320" w:lineRule="exact"/>
              <w:ind w:firstLine="0"/>
              <w:rPr>
                <w:rFonts w:hint="eastAsia" w:ascii="仿宋" w:hAnsi="仿宋" w:eastAsia="仿宋" w:cs="仿宋"/>
                <w:color w:val="auto"/>
                <w:spacing w:val="0"/>
                <w:kern w:val="2"/>
                <w:sz w:val="22"/>
                <w:szCs w:val="22"/>
                <w:highlight w:val="none"/>
                <w:lang w:val="en-US" w:eastAsia="zh-CN" w:bidi="ar-SA"/>
              </w:rPr>
            </w:pPr>
            <w:r>
              <w:rPr>
                <w:rFonts w:hint="eastAsia" w:ascii="仿宋" w:hAnsi="仿宋" w:eastAsia="仿宋" w:cs="仿宋"/>
                <w:color w:val="auto"/>
                <w:spacing w:val="0"/>
                <w:kern w:val="2"/>
                <w:sz w:val="22"/>
                <w:szCs w:val="22"/>
                <w:highlight w:val="none"/>
                <w:lang w:val="en-US" w:eastAsia="zh-CN" w:bidi="ar-SA"/>
              </w:rPr>
              <w:t>报价文件不存在采购文件所规定的其它无效投标条款要求。</w:t>
            </w:r>
          </w:p>
        </w:tc>
      </w:tr>
    </w:tbl>
    <w:p w14:paraId="207A6998">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2.澄清问题</w:t>
      </w:r>
    </w:p>
    <w:p w14:paraId="32926A8F">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对响应文件中含义不明确、同类问题表述不一致或者有明显文字和计算错误的内容，磋商小组要求投标人作出必要的澄清、说明或者纠正。投标人的澄清、说明或者补正应当采用书面形式，由其授权的代表签字，并不得超出响应文件的范围或者改变响应文件的实质性内容。</w:t>
      </w:r>
    </w:p>
    <w:p w14:paraId="69778B7B">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3.详细评审</w:t>
      </w:r>
    </w:p>
    <w:p w14:paraId="37B4A9FF">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磋商小组对初步评审合格的响应文件，依照本办法对技术商务内容作进一步评审、比较。磋商小组成员经过阅标、审标和询标，对投标人进行综合打分。</w:t>
      </w:r>
    </w:p>
    <w:p w14:paraId="504062E4">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评委打分参照本部分附表：评分标准表。其中技术商务部分由各磋商小组成员打分，根据投标人的响应文件及相关澄清文件，进行独立打分。评委打分采用记名方式。报价分经磋商小组评审后按评分标准表进行统一计算。</w:t>
      </w:r>
    </w:p>
    <w:p w14:paraId="26DC5715">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4.采用竞争性磋商采购方式采购的政府购买服务项目（含政府和社会资本合作项目），在采购过程中符合要求的投标人（社会资本）只有2家的，竞争性磋商采购活动可以继续进行。采购过程中符合要求的投标人（社会资本）只有 1 家的，采购人（项目实施机构）或者采购代理机构应当终止竞争性磋商采购活动，发布项目终止公告并说明原因，重新开展采购活动。</w:t>
      </w:r>
    </w:p>
    <w:p w14:paraId="13F8D60F">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kern w:val="2"/>
          <w:sz w:val="22"/>
          <w:szCs w:val="22"/>
          <w:highlight w:val="none"/>
          <w:lang w:bidi="ar"/>
        </w:rPr>
      </w:pPr>
      <w:r>
        <w:rPr>
          <w:rFonts w:hint="eastAsia" w:ascii="仿宋" w:hAnsi="仿宋" w:eastAsia="仿宋" w:cs="仿宋"/>
          <w:color w:val="auto"/>
          <w:kern w:val="2"/>
          <w:sz w:val="22"/>
          <w:szCs w:val="22"/>
          <w:highlight w:val="none"/>
          <w:lang w:bidi="ar"/>
        </w:rPr>
        <w:t>5.成交结果公告</w:t>
      </w:r>
    </w:p>
    <w:p w14:paraId="4611AC36">
      <w:pPr>
        <w:widowControl/>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采购机构将成交结果在政府采购指定媒体上公示，根据成交结果公告和决标结果，向成交人发出确定成交通知书。</w:t>
      </w:r>
    </w:p>
    <w:p w14:paraId="10200F75">
      <w:pPr>
        <w:pStyle w:val="15"/>
        <w:spacing w:line="240" w:lineRule="auto"/>
        <w:ind w:firstLine="440" w:firstLineChars="200"/>
        <w:rPr>
          <w:rFonts w:hint="eastAsia" w:ascii="仿宋" w:hAnsi="仿宋" w:eastAsia="仿宋" w:cs="仿宋"/>
          <w:color w:val="auto"/>
          <w:highlight w:val="none"/>
        </w:rPr>
      </w:pPr>
      <w:r>
        <w:rPr>
          <w:rFonts w:hint="eastAsia" w:ascii="仿宋" w:hAnsi="仿宋" w:eastAsia="仿宋" w:cs="仿宋"/>
          <w:b w:val="0"/>
          <w:color w:val="auto"/>
          <w:sz w:val="22"/>
          <w:szCs w:val="22"/>
          <w:highlight w:val="none"/>
          <w:lang w:bidi="ar"/>
        </w:rPr>
        <w:t>6、评分标准</w:t>
      </w:r>
    </w:p>
    <w:tbl>
      <w:tblPr>
        <w:tblStyle w:val="22"/>
        <w:tblW w:w="9757"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197"/>
        <w:gridCol w:w="738"/>
        <w:gridCol w:w="753"/>
        <w:gridCol w:w="6331"/>
      </w:tblGrid>
      <w:tr w14:paraId="15B6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738" w:type="dxa"/>
            <w:vAlign w:val="center"/>
          </w:tcPr>
          <w:p w14:paraId="0401661A">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序号</w:t>
            </w:r>
          </w:p>
        </w:tc>
        <w:tc>
          <w:tcPr>
            <w:tcW w:w="1197" w:type="dxa"/>
            <w:vAlign w:val="center"/>
          </w:tcPr>
          <w:p w14:paraId="5CEBCAA2">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评分项目</w:t>
            </w:r>
          </w:p>
        </w:tc>
        <w:tc>
          <w:tcPr>
            <w:tcW w:w="738" w:type="dxa"/>
            <w:vAlign w:val="center"/>
          </w:tcPr>
          <w:p w14:paraId="30C3996B">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分值</w:t>
            </w:r>
          </w:p>
        </w:tc>
        <w:tc>
          <w:tcPr>
            <w:tcW w:w="753" w:type="dxa"/>
            <w:vAlign w:val="center"/>
          </w:tcPr>
          <w:p w14:paraId="79ADA7F0">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分值类型</w:t>
            </w:r>
          </w:p>
        </w:tc>
        <w:tc>
          <w:tcPr>
            <w:tcW w:w="6331" w:type="dxa"/>
            <w:vAlign w:val="center"/>
          </w:tcPr>
          <w:p w14:paraId="7B3AD867">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评分内容</w:t>
            </w:r>
          </w:p>
        </w:tc>
      </w:tr>
      <w:tr w14:paraId="42A80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8" w:type="dxa"/>
            <w:vAlign w:val="center"/>
          </w:tcPr>
          <w:p w14:paraId="51116811">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1</w:t>
            </w:r>
          </w:p>
        </w:tc>
        <w:tc>
          <w:tcPr>
            <w:tcW w:w="1197" w:type="dxa"/>
            <w:vAlign w:val="center"/>
          </w:tcPr>
          <w:p w14:paraId="51692D63">
            <w:pPr>
              <w:widowControl/>
              <w:spacing w:line="240" w:lineRule="auto"/>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业绩</w:t>
            </w:r>
          </w:p>
        </w:tc>
        <w:tc>
          <w:tcPr>
            <w:tcW w:w="738" w:type="dxa"/>
            <w:vAlign w:val="center"/>
          </w:tcPr>
          <w:p w14:paraId="4C4CA585">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1</w:t>
            </w:r>
          </w:p>
        </w:tc>
        <w:tc>
          <w:tcPr>
            <w:tcW w:w="753" w:type="dxa"/>
            <w:vAlign w:val="center"/>
          </w:tcPr>
          <w:p w14:paraId="7763455A">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客观</w:t>
            </w:r>
          </w:p>
        </w:tc>
        <w:tc>
          <w:tcPr>
            <w:tcW w:w="6331" w:type="dxa"/>
            <w:vAlign w:val="center"/>
          </w:tcPr>
          <w:p w14:paraId="535B03F1">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自2021年1月1日至投标截止日止（时间以工程</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工日期或</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工验收日期为准），</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完成过类似项目。每具有</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个业绩得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分，最高得</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分。</w:t>
            </w:r>
          </w:p>
          <w:p w14:paraId="15EB0FD2">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评分依据为：</w:t>
            </w:r>
          </w:p>
          <w:p w14:paraId="5896088B">
            <w:pPr>
              <w:widowControl/>
              <w:spacing w:line="240" w:lineRule="auto"/>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①中标通知书（如有，法定招标时需提供）、②施工合同、③</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工验收资料（提供的</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验收资料需有建设单位、设计单位、施工单位、监理单位盖章方有效，缺一不可），三项资料确认（若前述三项资料不能体现评审因素的，还需提供合同中甲方出具的证明资料或让磋商小组足以信服的其他证明资料，否则该项业绩不予计分）。</w:t>
            </w:r>
          </w:p>
        </w:tc>
      </w:tr>
      <w:tr w14:paraId="48B6F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trPr>
        <w:tc>
          <w:tcPr>
            <w:tcW w:w="738" w:type="dxa"/>
            <w:vAlign w:val="center"/>
          </w:tcPr>
          <w:p w14:paraId="40739DAD">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2</w:t>
            </w:r>
          </w:p>
        </w:tc>
        <w:tc>
          <w:tcPr>
            <w:tcW w:w="1197" w:type="dxa"/>
            <w:vAlign w:val="center"/>
          </w:tcPr>
          <w:p w14:paraId="1B3E7E9B">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信用等级</w:t>
            </w:r>
          </w:p>
        </w:tc>
        <w:tc>
          <w:tcPr>
            <w:tcW w:w="738" w:type="dxa"/>
            <w:vAlign w:val="center"/>
          </w:tcPr>
          <w:p w14:paraId="089B5F6E">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p>
        </w:tc>
        <w:tc>
          <w:tcPr>
            <w:tcW w:w="753" w:type="dxa"/>
            <w:vAlign w:val="center"/>
          </w:tcPr>
          <w:p w14:paraId="14F52386">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客观</w:t>
            </w:r>
          </w:p>
        </w:tc>
        <w:tc>
          <w:tcPr>
            <w:tcW w:w="6331" w:type="dxa"/>
            <w:vAlign w:val="center"/>
          </w:tcPr>
          <w:p w14:paraId="3CD798FD">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以开标当天</w:t>
            </w:r>
            <w:r>
              <w:rPr>
                <w:rFonts w:hint="eastAsia" w:ascii="仿宋" w:hAnsi="仿宋" w:eastAsia="仿宋" w:cs="仿宋"/>
                <w:color w:val="auto"/>
                <w:sz w:val="22"/>
                <w:szCs w:val="22"/>
                <w:highlight w:val="none"/>
                <w:lang w:val="en-US" w:eastAsia="zh-CN"/>
              </w:rPr>
              <w:t>全国</w:t>
            </w:r>
            <w:r>
              <w:rPr>
                <w:rFonts w:hint="eastAsia" w:ascii="仿宋" w:hAnsi="仿宋" w:eastAsia="仿宋" w:cs="仿宋"/>
                <w:color w:val="auto"/>
                <w:sz w:val="22"/>
                <w:szCs w:val="22"/>
                <w:highlight w:val="none"/>
              </w:rPr>
              <w:t>水利建设市场</w:t>
            </w:r>
            <w:r>
              <w:rPr>
                <w:rFonts w:hint="eastAsia" w:ascii="仿宋" w:hAnsi="仿宋" w:eastAsia="仿宋" w:cs="仿宋"/>
                <w:color w:val="auto"/>
                <w:sz w:val="22"/>
                <w:szCs w:val="22"/>
                <w:highlight w:val="none"/>
                <w:lang w:val="en-US" w:eastAsia="zh-CN"/>
              </w:rPr>
              <w:t>监管平台</w:t>
            </w:r>
            <w:r>
              <w:rPr>
                <w:rFonts w:hint="eastAsia" w:ascii="仿宋" w:hAnsi="仿宋" w:eastAsia="仿宋" w:cs="仿宋"/>
                <w:color w:val="auto"/>
                <w:sz w:val="22"/>
                <w:szCs w:val="22"/>
                <w:highlight w:val="none"/>
              </w:rPr>
              <w:t>信用评价等级（施工类）为准：</w:t>
            </w:r>
          </w:p>
          <w:p w14:paraId="30DA410B">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信用评价等级为AA级及以上的，得5分。信用评价等级为A级的，得3分。信用评价等级为B级的，得1分。其他情形，得0分。</w:t>
            </w:r>
          </w:p>
        </w:tc>
      </w:tr>
      <w:tr w14:paraId="3ED87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trPr>
        <w:tc>
          <w:tcPr>
            <w:tcW w:w="738" w:type="dxa"/>
            <w:vAlign w:val="center"/>
          </w:tcPr>
          <w:p w14:paraId="6E4F77E7">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3</w:t>
            </w:r>
          </w:p>
        </w:tc>
        <w:tc>
          <w:tcPr>
            <w:tcW w:w="1197" w:type="dxa"/>
            <w:vAlign w:val="center"/>
          </w:tcPr>
          <w:p w14:paraId="301C6805">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项目组其他成员</w:t>
            </w:r>
          </w:p>
        </w:tc>
        <w:tc>
          <w:tcPr>
            <w:tcW w:w="738" w:type="dxa"/>
            <w:vAlign w:val="center"/>
          </w:tcPr>
          <w:p w14:paraId="58C61342">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6</w:t>
            </w:r>
          </w:p>
        </w:tc>
        <w:tc>
          <w:tcPr>
            <w:tcW w:w="753" w:type="dxa"/>
            <w:vAlign w:val="center"/>
          </w:tcPr>
          <w:p w14:paraId="2AF6D494">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7AED40B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提供的拟派本项目除项目经理外的其他管理人员的技术能力、工作履历、类似项目从业经验情况进行综合评议：</w:t>
            </w:r>
          </w:p>
          <w:p w14:paraId="2C286C8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68CAEA4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AAB1C1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3F08E4C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2A52BBC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03415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738" w:type="dxa"/>
            <w:vAlign w:val="center"/>
          </w:tcPr>
          <w:p w14:paraId="458C3A80">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4</w:t>
            </w:r>
          </w:p>
        </w:tc>
        <w:tc>
          <w:tcPr>
            <w:tcW w:w="1197" w:type="dxa"/>
            <w:vAlign w:val="center"/>
          </w:tcPr>
          <w:p w14:paraId="5C8C257C">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本项目现状的调查与问题剖析</w:t>
            </w:r>
          </w:p>
        </w:tc>
        <w:tc>
          <w:tcPr>
            <w:tcW w:w="738" w:type="dxa"/>
            <w:vAlign w:val="center"/>
          </w:tcPr>
          <w:p w14:paraId="12A248C9">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0639B0C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A54044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分析本项目的实际现状、总结施工过程中可能存在的相应问题并提出相应的解决措施进行综合评议：</w:t>
            </w:r>
          </w:p>
          <w:p w14:paraId="2E59F3B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13ED91A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633D366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08EF3DC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w:t>
            </w:r>
            <w:r>
              <w:rPr>
                <w:rFonts w:hint="eastAsia" w:ascii="仿宋" w:hAnsi="仿宋" w:eastAsia="仿宋" w:cs="仿宋"/>
                <w:color w:val="auto"/>
                <w:sz w:val="22"/>
                <w:szCs w:val="22"/>
                <w:highlight w:val="none"/>
                <w:lang w:val="en-US" w:eastAsia="zh-CN"/>
              </w:rPr>
              <w:t>差的</w:t>
            </w:r>
            <w:r>
              <w:rPr>
                <w:rFonts w:hint="eastAsia" w:ascii="仿宋" w:hAnsi="仿宋" w:eastAsia="仿宋" w:cs="仿宋"/>
                <w:color w:val="auto"/>
                <w:sz w:val="22"/>
                <w:szCs w:val="22"/>
                <w:highlight w:val="none"/>
              </w:rPr>
              <w:t>，无针对性的，得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010C526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5）未提供的，得0分。</w:t>
            </w:r>
          </w:p>
        </w:tc>
      </w:tr>
      <w:tr w14:paraId="16BB6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72B2D143">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5</w:t>
            </w:r>
          </w:p>
        </w:tc>
        <w:tc>
          <w:tcPr>
            <w:tcW w:w="1197" w:type="dxa"/>
            <w:vAlign w:val="center"/>
          </w:tcPr>
          <w:p w14:paraId="4811D3A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施工方案</w:t>
            </w:r>
          </w:p>
        </w:tc>
        <w:tc>
          <w:tcPr>
            <w:tcW w:w="738" w:type="dxa"/>
            <w:vAlign w:val="center"/>
          </w:tcPr>
          <w:p w14:paraId="30A43FE3">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753" w:type="dxa"/>
            <w:vAlign w:val="center"/>
          </w:tcPr>
          <w:p w14:paraId="1A03060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60D6D096">
            <w:pPr>
              <w:widowControl/>
              <w:rPr>
                <w:rFonts w:hint="eastAsia" w:ascii="仿宋" w:hAnsi="仿宋" w:eastAsia="仿宋" w:cs="仿宋"/>
                <w:color w:val="auto"/>
                <w:sz w:val="22"/>
                <w:szCs w:val="22"/>
                <w:highlight w:val="none"/>
                <w:lang w:val="en-US"/>
              </w:rPr>
            </w:pPr>
            <w:r>
              <w:rPr>
                <w:rFonts w:hint="eastAsia" w:ascii="仿宋" w:hAnsi="仿宋" w:eastAsia="仿宋" w:cs="仿宋"/>
                <w:color w:val="auto"/>
                <w:sz w:val="22"/>
                <w:szCs w:val="22"/>
                <w:highlight w:val="none"/>
                <w:lang w:val="en-US"/>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lang w:val="en-US"/>
              </w:rPr>
              <w:t>整体施工方案的完整性、详细程度、合理性，进行评分：</w:t>
            </w:r>
          </w:p>
          <w:p w14:paraId="459F8F9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6AE4860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1B3730C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6E3C0C7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）描述差的，无针对性的，得0.5分；</w:t>
            </w:r>
          </w:p>
          <w:p w14:paraId="2387B8E8">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3AFDD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45B6A3E5">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1197" w:type="dxa"/>
            <w:vAlign w:val="center"/>
          </w:tcPr>
          <w:p w14:paraId="3D00CF3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施工现场平面布置</w:t>
            </w:r>
          </w:p>
        </w:tc>
        <w:tc>
          <w:tcPr>
            <w:tcW w:w="738" w:type="dxa"/>
            <w:vAlign w:val="center"/>
          </w:tcPr>
          <w:p w14:paraId="30D6ABB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02A8CB7E">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68234D7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针对本项目拟定的施工现场平面布置情况进行综合评议。</w:t>
            </w:r>
          </w:p>
          <w:p w14:paraId="6E2551F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1）拟定的施工现场平面布置情况优秀，得5分；</w:t>
            </w:r>
          </w:p>
          <w:p w14:paraId="6065529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2）拟定的施工现场平面布置情况良好，得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845563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3）拟定的施工现场平面布置情况一般，得3分；</w:t>
            </w:r>
          </w:p>
          <w:p w14:paraId="455445F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4）拟定的施工现场平面布置情况差的，得0.5分；</w:t>
            </w:r>
          </w:p>
          <w:p w14:paraId="399972D4">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6690E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4" w:hRule="atLeast"/>
        </w:trPr>
        <w:tc>
          <w:tcPr>
            <w:tcW w:w="738" w:type="dxa"/>
            <w:vAlign w:val="center"/>
          </w:tcPr>
          <w:p w14:paraId="700B42F1">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7</w:t>
            </w:r>
          </w:p>
        </w:tc>
        <w:tc>
          <w:tcPr>
            <w:tcW w:w="1197" w:type="dxa"/>
            <w:vAlign w:val="center"/>
          </w:tcPr>
          <w:p w14:paraId="28AE221A">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zh-CN"/>
              </w:rPr>
              <w:t>工程质量保证措施</w:t>
            </w:r>
          </w:p>
        </w:tc>
        <w:tc>
          <w:tcPr>
            <w:tcW w:w="738" w:type="dxa"/>
            <w:vAlign w:val="center"/>
          </w:tcPr>
          <w:p w14:paraId="6399B5E6">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753" w:type="dxa"/>
            <w:vAlign w:val="center"/>
          </w:tcPr>
          <w:p w14:paraId="32A9324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16F1318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检验手段进行综合评议。</w:t>
            </w:r>
          </w:p>
          <w:p w14:paraId="56ED1DB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检验手段完整、合理的，得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5995987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检验手段基本合理，得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779AE0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70053AA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检验手段差的，得0.5分；</w:t>
            </w:r>
          </w:p>
          <w:p w14:paraId="2CB65362">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r>
              <w:rPr>
                <w:rFonts w:hint="eastAsia" w:ascii="仿宋" w:hAnsi="仿宋" w:eastAsia="仿宋" w:cs="仿宋"/>
                <w:color w:val="auto"/>
                <w:sz w:val="22"/>
                <w:szCs w:val="22"/>
                <w:highlight w:val="none"/>
                <w:lang w:eastAsia="zh-CN"/>
              </w:rPr>
              <w:t>。</w:t>
            </w:r>
          </w:p>
        </w:tc>
      </w:tr>
      <w:tr w14:paraId="407C9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1DBF5B66">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8</w:t>
            </w:r>
          </w:p>
        </w:tc>
        <w:tc>
          <w:tcPr>
            <w:tcW w:w="1197" w:type="dxa"/>
            <w:vAlign w:val="center"/>
          </w:tcPr>
          <w:p w14:paraId="3097067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施工进度计划及保证措施</w:t>
            </w:r>
          </w:p>
        </w:tc>
        <w:tc>
          <w:tcPr>
            <w:tcW w:w="738" w:type="dxa"/>
            <w:vAlign w:val="center"/>
          </w:tcPr>
          <w:p w14:paraId="26B46F88">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753" w:type="dxa"/>
            <w:vAlign w:val="center"/>
          </w:tcPr>
          <w:p w14:paraId="7BB9EA40">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4F9A23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针对本项目拟定的施工进度计划及保证措施进行综合评议。</w:t>
            </w:r>
          </w:p>
          <w:p w14:paraId="3758919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1）拟定的施工进度计划及保证措施优秀的，得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768472B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2）拟定的施工进度计划及保证措施良好的，得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CCCCFC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3）拟定的施工进度计划及保证措施一般的，得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4A6ACA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4）拟定的施工进度计划及保证措施差的，得0.5分；</w:t>
            </w:r>
          </w:p>
          <w:p w14:paraId="491CD2C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66750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3" w:hRule="atLeast"/>
        </w:trPr>
        <w:tc>
          <w:tcPr>
            <w:tcW w:w="738" w:type="dxa"/>
            <w:vAlign w:val="center"/>
          </w:tcPr>
          <w:p w14:paraId="6D45FF0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9</w:t>
            </w:r>
          </w:p>
        </w:tc>
        <w:tc>
          <w:tcPr>
            <w:tcW w:w="1197" w:type="dxa"/>
            <w:vAlign w:val="center"/>
          </w:tcPr>
          <w:p w14:paraId="1DA6FAA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劳动力及材料供应计划措施</w:t>
            </w:r>
          </w:p>
        </w:tc>
        <w:tc>
          <w:tcPr>
            <w:tcW w:w="738" w:type="dxa"/>
            <w:vAlign w:val="center"/>
          </w:tcPr>
          <w:p w14:paraId="10737423">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A5FF90F">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60F5A9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根据供应商提供的劳动力及材料供应计划措施（包含但不仅限于人员需求分析、工作安排、员工管理、材料需求分析、材料采购计划、库存管理等）进行综合评议。</w:t>
            </w:r>
          </w:p>
          <w:p w14:paraId="3AAE4E2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员工管理、库存管理方案内容齐全，人员需求分析、工作安排、材料需求分析、材料采购计划明确的得5分；</w:t>
            </w:r>
          </w:p>
          <w:p w14:paraId="0EF73D6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员工管理、库存管理方案内容较齐全，人员需求分析、工作安排、材料需求分析、材料采购计划较明确的得3.5分；</w:t>
            </w:r>
          </w:p>
          <w:p w14:paraId="11D1447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员工管理、库存管理方案内容不够齐全，人员需求分析、工作安排、材料需求分析、材料采购计划不够明确的得2分；</w:t>
            </w:r>
          </w:p>
          <w:p w14:paraId="06929509">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员工管理、库存管理方案内容不齐全，人员需求分析、工作安排、材料需求分析、材料采购计划不明确的得0.5分；</w:t>
            </w:r>
          </w:p>
          <w:p w14:paraId="44713290">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25C81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6" w:hRule="atLeast"/>
        </w:trPr>
        <w:tc>
          <w:tcPr>
            <w:tcW w:w="738" w:type="dxa"/>
            <w:vAlign w:val="center"/>
          </w:tcPr>
          <w:p w14:paraId="60695BB1">
            <w:pPr>
              <w:widowControl/>
              <w:jc w:val="center"/>
              <w:rPr>
                <w:rFonts w:hint="eastAsia" w:ascii="仿宋" w:hAnsi="仿宋" w:eastAsia="仿宋" w:cs="仿宋"/>
                <w:sz w:val="22"/>
                <w:szCs w:val="22"/>
                <w:vertAlign w:val="baseline"/>
                <w:lang w:val="en-US"/>
              </w:rPr>
            </w:pPr>
            <w:r>
              <w:rPr>
                <w:rFonts w:hint="eastAsia" w:ascii="仿宋" w:hAnsi="仿宋" w:eastAsia="仿宋" w:cs="仿宋"/>
                <w:color w:val="auto"/>
                <w:sz w:val="22"/>
                <w:szCs w:val="22"/>
                <w:highlight w:val="none"/>
                <w:lang w:val="en-US" w:eastAsia="zh-CN"/>
              </w:rPr>
              <w:t>10</w:t>
            </w:r>
          </w:p>
        </w:tc>
        <w:tc>
          <w:tcPr>
            <w:tcW w:w="1197" w:type="dxa"/>
            <w:vAlign w:val="center"/>
          </w:tcPr>
          <w:p w14:paraId="42E48CB9">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管理协调办法</w:t>
            </w:r>
          </w:p>
        </w:tc>
        <w:tc>
          <w:tcPr>
            <w:tcW w:w="738" w:type="dxa"/>
            <w:vAlign w:val="center"/>
          </w:tcPr>
          <w:p w14:paraId="14264E0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414662F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7E943D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根据供应商提供的项目实施过程中管理协调办法</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包含但不仅限于</w:t>
            </w:r>
            <w:r>
              <w:rPr>
                <w:rFonts w:hint="eastAsia" w:ascii="仿宋" w:hAnsi="仿宋" w:eastAsia="仿宋" w:cs="仿宋"/>
                <w:color w:val="auto"/>
                <w:sz w:val="22"/>
                <w:szCs w:val="22"/>
                <w:highlight w:val="none"/>
                <w:lang w:eastAsia="zh-CN"/>
              </w:rPr>
              <w:t>项目管理内部协调、与建设单位及监理单位的配合、与外部有关单位的协调与配合</w:t>
            </w:r>
            <w:r>
              <w:rPr>
                <w:rFonts w:hint="eastAsia" w:ascii="仿宋" w:hAnsi="仿宋" w:eastAsia="仿宋" w:cs="仿宋"/>
                <w:color w:val="auto"/>
                <w:sz w:val="22"/>
                <w:szCs w:val="22"/>
                <w:highlight w:val="none"/>
              </w:rPr>
              <w:t>等）</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进行综合评议</w:t>
            </w:r>
            <w:r>
              <w:rPr>
                <w:rFonts w:hint="eastAsia" w:ascii="仿宋" w:hAnsi="仿宋" w:eastAsia="仿宋" w:cs="仿宋"/>
                <w:color w:val="auto"/>
                <w:sz w:val="22"/>
                <w:szCs w:val="22"/>
                <w:highlight w:val="none"/>
                <w:lang w:eastAsia="zh-CN"/>
              </w:rPr>
              <w:t>。</w:t>
            </w:r>
          </w:p>
          <w:p w14:paraId="77179BD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项目管理内部协调、与建设单位及监理单位的配合、与外部有关单位的协调与配合内容齐全</w:t>
            </w:r>
            <w:r>
              <w:rPr>
                <w:rFonts w:hint="eastAsia" w:ascii="仿宋" w:hAnsi="仿宋" w:eastAsia="仿宋" w:cs="仿宋"/>
                <w:color w:val="auto"/>
                <w:sz w:val="22"/>
                <w:szCs w:val="22"/>
                <w:highlight w:val="none"/>
              </w:rPr>
              <w:t>的得5分；</w:t>
            </w:r>
          </w:p>
          <w:p w14:paraId="53E966C7">
            <w:pPr>
              <w:widowControl/>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项目管理内部协调、与建设单位及监理单位的配合、与外部有关单位的协调与配合内容较齐全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0D129D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项目管理内部协调、与建设单位及监理单位的配合、与外部有关单位的协调与配合内容不够齐全的得</w:t>
            </w:r>
            <w:r>
              <w:rPr>
                <w:rFonts w:hint="eastAsia" w:ascii="仿宋" w:hAnsi="仿宋" w:eastAsia="仿宋" w:cs="仿宋"/>
                <w:color w:val="auto"/>
                <w:sz w:val="22"/>
                <w:szCs w:val="22"/>
                <w:highlight w:val="none"/>
                <w:lang w:val="en-US" w:eastAsia="zh-CN"/>
              </w:rPr>
              <w:t>2分</w:t>
            </w:r>
            <w:r>
              <w:rPr>
                <w:rFonts w:hint="eastAsia" w:ascii="仿宋" w:hAnsi="仿宋" w:eastAsia="仿宋" w:cs="仿宋"/>
                <w:color w:val="auto"/>
                <w:sz w:val="22"/>
                <w:szCs w:val="22"/>
                <w:highlight w:val="none"/>
                <w:lang w:eastAsia="zh-CN"/>
              </w:rPr>
              <w:t>；</w:t>
            </w:r>
          </w:p>
          <w:p w14:paraId="460C63D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项目管理内部协调、与建设单位及监理单位的配合、与外部有关单位的协调与配合内容不齐全</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lang w:eastAsia="zh-CN"/>
              </w:rPr>
              <w:t>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2284C47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7336E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6" w:hRule="atLeast"/>
        </w:trPr>
        <w:tc>
          <w:tcPr>
            <w:tcW w:w="738" w:type="dxa"/>
            <w:vAlign w:val="center"/>
          </w:tcPr>
          <w:p w14:paraId="2F036141">
            <w:pPr>
              <w:widowControl/>
              <w:jc w:val="center"/>
              <w:rPr>
                <w:rFonts w:hint="eastAsia" w:ascii="仿宋" w:hAnsi="仿宋" w:eastAsia="仿宋" w:cs="仿宋"/>
                <w:sz w:val="22"/>
                <w:szCs w:val="22"/>
                <w:vertAlign w:val="baseline"/>
                <w:lang w:val="en-US"/>
              </w:rPr>
            </w:pPr>
            <w:r>
              <w:rPr>
                <w:rFonts w:hint="eastAsia" w:ascii="仿宋" w:hAnsi="仿宋" w:eastAsia="仿宋" w:cs="仿宋"/>
                <w:color w:val="auto"/>
                <w:sz w:val="22"/>
                <w:szCs w:val="22"/>
                <w:highlight w:val="none"/>
                <w:lang w:val="en-US" w:eastAsia="zh-CN"/>
              </w:rPr>
              <w:t>11</w:t>
            </w:r>
          </w:p>
        </w:tc>
        <w:tc>
          <w:tcPr>
            <w:tcW w:w="1197" w:type="dxa"/>
            <w:vAlign w:val="center"/>
          </w:tcPr>
          <w:p w14:paraId="234EFDE2">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施工环境维护保障措施</w:t>
            </w:r>
          </w:p>
        </w:tc>
        <w:tc>
          <w:tcPr>
            <w:tcW w:w="738" w:type="dxa"/>
            <w:vAlign w:val="center"/>
          </w:tcPr>
          <w:p w14:paraId="256DB27D">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410CCFC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29B85FEA">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根据供应商提供的施工环境维护保障措施（包含但不仅限于防噪音、防扬尘、防刺鼻气味，空气检测、空气治理等施工环境维护保障措施等）进行综合评议</w:t>
            </w:r>
            <w:r>
              <w:rPr>
                <w:rFonts w:hint="eastAsia" w:ascii="仿宋" w:hAnsi="仿宋" w:eastAsia="仿宋" w:cs="仿宋"/>
                <w:color w:val="auto"/>
                <w:sz w:val="22"/>
                <w:szCs w:val="22"/>
                <w:highlight w:val="none"/>
                <w:lang w:eastAsia="zh-CN"/>
              </w:rPr>
              <w:t>。</w:t>
            </w:r>
          </w:p>
          <w:p w14:paraId="127BC53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分；</w:t>
            </w:r>
          </w:p>
          <w:p w14:paraId="76A915A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较齐全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020ABD9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不够齐全</w:t>
            </w:r>
            <w:r>
              <w:rPr>
                <w:rFonts w:hint="eastAsia" w:ascii="仿宋" w:hAnsi="仿宋" w:eastAsia="仿宋" w:cs="仿宋"/>
                <w:color w:val="auto"/>
                <w:sz w:val="22"/>
                <w:szCs w:val="22"/>
                <w:highlight w:val="none"/>
              </w:rPr>
              <w:t>的得2分；</w:t>
            </w:r>
          </w:p>
          <w:p w14:paraId="62B94392">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不齐全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513A40B5">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7EEBD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trPr>
        <w:tc>
          <w:tcPr>
            <w:tcW w:w="738" w:type="dxa"/>
            <w:vAlign w:val="center"/>
          </w:tcPr>
          <w:p w14:paraId="76DAC63D">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sz w:val="22"/>
                <w:szCs w:val="22"/>
                <w:vertAlign w:val="baseline"/>
                <w:lang w:val="en-US" w:eastAsia="zh-CN"/>
              </w:rPr>
              <w:t>12</w:t>
            </w:r>
          </w:p>
        </w:tc>
        <w:tc>
          <w:tcPr>
            <w:tcW w:w="1197" w:type="dxa"/>
            <w:vAlign w:val="center"/>
          </w:tcPr>
          <w:p w14:paraId="14681B7F">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成品保护措施</w:t>
            </w:r>
          </w:p>
        </w:tc>
        <w:tc>
          <w:tcPr>
            <w:tcW w:w="738" w:type="dxa"/>
            <w:vAlign w:val="center"/>
          </w:tcPr>
          <w:p w14:paraId="37B4EBE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B0F697E">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35114589">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根据供应商提供的项目实施过程中针对成品保护的各项措施（包含但不仅限于成品保护的范围、保护的方法等）进行综合评议，最高得5分：</w:t>
            </w:r>
          </w:p>
          <w:p w14:paraId="1E5C8207">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成品保护的范围、保护的方法可行的得5分；</w:t>
            </w:r>
          </w:p>
          <w:p w14:paraId="142BEB47">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成品保护的范围、保护的方法较可行的得3.5分；</w:t>
            </w:r>
          </w:p>
          <w:p w14:paraId="3468BECA">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成品保护的范围、保护的方法不够可行的得2分；</w:t>
            </w:r>
          </w:p>
          <w:p w14:paraId="3779B441">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成品保护的范围、保护的方法不可行的得0.5分；</w:t>
            </w:r>
          </w:p>
          <w:p w14:paraId="2CBE8EC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16927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74C6BAEF">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13</w:t>
            </w:r>
          </w:p>
        </w:tc>
        <w:tc>
          <w:tcPr>
            <w:tcW w:w="1197" w:type="dxa"/>
            <w:vAlign w:val="center"/>
          </w:tcPr>
          <w:p w14:paraId="73657F09">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zh-CN"/>
              </w:rPr>
              <w:t>安全生产、文明施工</w:t>
            </w:r>
          </w:p>
        </w:tc>
        <w:tc>
          <w:tcPr>
            <w:tcW w:w="738" w:type="dxa"/>
            <w:vAlign w:val="center"/>
          </w:tcPr>
          <w:p w14:paraId="3D4B4088">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51243EE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1E183E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进行综合评议。</w:t>
            </w:r>
          </w:p>
          <w:p w14:paraId="32090B8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完整、合理的，得5分；</w:t>
            </w:r>
          </w:p>
          <w:p w14:paraId="47D1715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基本合理，得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1C157EA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1A61D42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差的，得0.5分；</w:t>
            </w:r>
          </w:p>
          <w:p w14:paraId="15A920C9">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597E7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1FB8C078">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14</w:t>
            </w:r>
          </w:p>
        </w:tc>
        <w:tc>
          <w:tcPr>
            <w:tcW w:w="1197" w:type="dxa"/>
            <w:vAlign w:val="center"/>
          </w:tcPr>
          <w:p w14:paraId="51ECB4BA">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施工关键点、重难点分析</w:t>
            </w:r>
          </w:p>
        </w:tc>
        <w:tc>
          <w:tcPr>
            <w:tcW w:w="738" w:type="dxa"/>
            <w:vAlign w:val="center"/>
          </w:tcPr>
          <w:p w14:paraId="5C736572">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1312B2F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2050E3D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针对本项目拟定的施工关键点、重难点分析进行综合评议。</w:t>
            </w:r>
          </w:p>
          <w:p w14:paraId="58B6257A">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6F2F954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56385B7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D5B825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24B3A464">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0D547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6" w:hRule="atLeast"/>
        </w:trPr>
        <w:tc>
          <w:tcPr>
            <w:tcW w:w="738" w:type="dxa"/>
            <w:vAlign w:val="center"/>
          </w:tcPr>
          <w:p w14:paraId="4E6BB964">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15</w:t>
            </w:r>
          </w:p>
        </w:tc>
        <w:tc>
          <w:tcPr>
            <w:tcW w:w="1197" w:type="dxa"/>
            <w:vAlign w:val="center"/>
          </w:tcPr>
          <w:p w14:paraId="16228A1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w:t>
            </w:r>
          </w:p>
        </w:tc>
        <w:tc>
          <w:tcPr>
            <w:tcW w:w="738" w:type="dxa"/>
            <w:vAlign w:val="center"/>
          </w:tcPr>
          <w:p w14:paraId="4F88E367">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3E8476EF">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BFB312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工资料整理方案完善性、合理性情况，进行综合评议。</w:t>
            </w:r>
          </w:p>
          <w:p w14:paraId="40A54FB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工资料整理方案完善性、合理性优秀的，得5分；</w:t>
            </w:r>
          </w:p>
          <w:p w14:paraId="1AC0A2B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工资料整理方案完善性、合理性良好的，得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FB7100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699AEBFA">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工资料整理方案完善性、合理性差的，得0.5分；</w:t>
            </w:r>
          </w:p>
          <w:p w14:paraId="397E8B65">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54349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1E0B6BDD">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16</w:t>
            </w:r>
          </w:p>
        </w:tc>
        <w:tc>
          <w:tcPr>
            <w:tcW w:w="1197" w:type="dxa"/>
            <w:vAlign w:val="center"/>
          </w:tcPr>
          <w:p w14:paraId="3527FF8A">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具体实施管理方案（汛期、非汛期）</w:t>
            </w:r>
          </w:p>
        </w:tc>
        <w:tc>
          <w:tcPr>
            <w:tcW w:w="738" w:type="dxa"/>
            <w:vAlign w:val="center"/>
          </w:tcPr>
          <w:p w14:paraId="6D328509">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EC373D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9F48FC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针对汛期和非汛期方案内容详实，符合项目实际需求，切实可行进行综合评议。</w:t>
            </w:r>
          </w:p>
          <w:p w14:paraId="5C3DE4E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3C35631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6A27A7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0C53A7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619D7B48">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70D94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trPr>
        <w:tc>
          <w:tcPr>
            <w:tcW w:w="738" w:type="dxa"/>
            <w:vAlign w:val="center"/>
          </w:tcPr>
          <w:p w14:paraId="17423297">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17</w:t>
            </w:r>
          </w:p>
        </w:tc>
        <w:tc>
          <w:tcPr>
            <w:tcW w:w="1197" w:type="dxa"/>
            <w:vAlign w:val="center"/>
          </w:tcPr>
          <w:p w14:paraId="40D0FDA7">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应急保障措施</w:t>
            </w:r>
          </w:p>
        </w:tc>
        <w:tc>
          <w:tcPr>
            <w:tcW w:w="738" w:type="dxa"/>
            <w:vAlign w:val="center"/>
          </w:tcPr>
          <w:p w14:paraId="5EFEED2B">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16509CCD">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D4E6A5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en-US" w:eastAsia="zh-CN"/>
              </w:rPr>
              <w:t>应急保障措施</w:t>
            </w:r>
            <w:r>
              <w:rPr>
                <w:rFonts w:hint="eastAsia" w:ascii="仿宋" w:hAnsi="仿宋" w:eastAsia="仿宋" w:cs="仿宋"/>
                <w:color w:val="auto"/>
                <w:sz w:val="22"/>
                <w:szCs w:val="22"/>
                <w:highlight w:val="none"/>
              </w:rPr>
              <w:t>进行综合评议。</w:t>
            </w:r>
          </w:p>
          <w:p w14:paraId="4073144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保障措施可行有效、详细</w:t>
            </w:r>
            <w:r>
              <w:rPr>
                <w:rFonts w:hint="eastAsia" w:ascii="仿宋" w:hAnsi="仿宋" w:eastAsia="仿宋" w:cs="仿宋"/>
                <w:color w:val="auto"/>
                <w:sz w:val="22"/>
                <w:szCs w:val="22"/>
                <w:highlight w:val="none"/>
                <w:lang w:val="zh-CN"/>
              </w:rPr>
              <w:t>细致</w:t>
            </w:r>
            <w:r>
              <w:rPr>
                <w:rFonts w:hint="eastAsia" w:ascii="仿宋" w:hAnsi="仿宋" w:eastAsia="仿宋" w:cs="仿宋"/>
                <w:color w:val="auto"/>
                <w:sz w:val="22"/>
                <w:szCs w:val="22"/>
                <w:highlight w:val="none"/>
              </w:rPr>
              <w:t>，严谨合理的得5分；</w:t>
            </w:r>
          </w:p>
          <w:p w14:paraId="03A0AE0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保障措施相对</w:t>
            </w:r>
            <w:r>
              <w:rPr>
                <w:rFonts w:hint="eastAsia" w:ascii="仿宋" w:hAnsi="仿宋" w:eastAsia="仿宋" w:cs="仿宋"/>
                <w:color w:val="auto"/>
                <w:sz w:val="22"/>
                <w:szCs w:val="22"/>
                <w:highlight w:val="none"/>
                <w:lang w:val="zh-CN"/>
              </w:rPr>
              <w:t>可行有效、合理的得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r>
              <w:rPr>
                <w:rFonts w:hint="eastAsia" w:ascii="仿宋" w:hAnsi="仿宋" w:eastAsia="仿宋" w:cs="仿宋"/>
                <w:color w:val="auto"/>
                <w:sz w:val="22"/>
                <w:szCs w:val="22"/>
                <w:highlight w:val="none"/>
                <w:lang w:val="zh-CN"/>
              </w:rPr>
              <w:t>；</w:t>
            </w:r>
          </w:p>
          <w:p w14:paraId="2713FC5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w:t>
            </w:r>
            <w:r>
              <w:rPr>
                <w:rFonts w:hint="eastAsia" w:ascii="仿宋" w:hAnsi="仿宋" w:eastAsia="仿宋" w:cs="仿宋"/>
                <w:color w:val="auto"/>
                <w:sz w:val="22"/>
                <w:szCs w:val="22"/>
                <w:highlight w:val="none"/>
                <w:lang w:val="zh-CN"/>
              </w:rPr>
              <w:t>可行性、合理性一般的得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DA4F3D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保障措施可行性较差</w:t>
            </w:r>
            <w:r>
              <w:rPr>
                <w:rFonts w:hint="eastAsia" w:ascii="仿宋" w:hAnsi="仿宋" w:eastAsia="仿宋" w:cs="仿宋"/>
                <w:color w:val="auto"/>
                <w:sz w:val="22"/>
                <w:szCs w:val="22"/>
                <w:highlight w:val="none"/>
                <w:lang w:val="zh-CN"/>
              </w:rPr>
              <w:t>，内容不全的得</w:t>
            </w:r>
            <w:r>
              <w:rPr>
                <w:rFonts w:hint="eastAsia" w:ascii="仿宋" w:hAnsi="仿宋" w:eastAsia="仿宋" w:cs="仿宋"/>
                <w:color w:val="auto"/>
                <w:sz w:val="22"/>
                <w:szCs w:val="22"/>
                <w:highlight w:val="none"/>
              </w:rPr>
              <w:t>0.5</w:t>
            </w:r>
            <w:r>
              <w:rPr>
                <w:rFonts w:hint="eastAsia" w:ascii="仿宋" w:hAnsi="仿宋" w:eastAsia="仿宋" w:cs="仿宋"/>
                <w:color w:val="auto"/>
                <w:sz w:val="22"/>
                <w:szCs w:val="22"/>
                <w:highlight w:val="none"/>
                <w:lang w:val="zh-CN"/>
              </w:rPr>
              <w:t>分；</w:t>
            </w:r>
          </w:p>
          <w:p w14:paraId="0DF7BC9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缺未提供的，得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r>
              <w:rPr>
                <w:rFonts w:hint="eastAsia" w:ascii="仿宋" w:hAnsi="仿宋" w:eastAsia="仿宋" w:cs="仿宋"/>
                <w:color w:val="auto"/>
                <w:sz w:val="22"/>
                <w:szCs w:val="22"/>
                <w:highlight w:val="none"/>
                <w:lang w:val="zh-CN"/>
              </w:rPr>
              <w:t>。</w:t>
            </w:r>
          </w:p>
        </w:tc>
      </w:tr>
      <w:tr w14:paraId="742F7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3" w:hRule="atLeast"/>
        </w:trPr>
        <w:tc>
          <w:tcPr>
            <w:tcW w:w="738" w:type="dxa"/>
            <w:vAlign w:val="center"/>
          </w:tcPr>
          <w:p w14:paraId="33BB659F">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18</w:t>
            </w:r>
          </w:p>
        </w:tc>
        <w:tc>
          <w:tcPr>
            <w:tcW w:w="1197" w:type="dxa"/>
            <w:vAlign w:val="center"/>
          </w:tcPr>
          <w:p w14:paraId="3C2AB83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应急保障机构设置</w:t>
            </w:r>
          </w:p>
        </w:tc>
        <w:tc>
          <w:tcPr>
            <w:tcW w:w="738" w:type="dxa"/>
            <w:vAlign w:val="center"/>
          </w:tcPr>
          <w:p w14:paraId="4450B97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2112877">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31C711DE">
            <w:pPr>
              <w:widowControl/>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根据供应商提供的售后服务响应情况（包含但不仅限于确保按时到达的承诺、故障响应，处理及时响应，服务措施）进行综合评议</w:t>
            </w:r>
            <w:r>
              <w:rPr>
                <w:rFonts w:hint="eastAsia" w:ascii="仿宋" w:hAnsi="仿宋" w:eastAsia="仿宋" w:cs="仿宋"/>
                <w:color w:val="auto"/>
                <w:sz w:val="22"/>
                <w:szCs w:val="22"/>
                <w:highlight w:val="none"/>
                <w:lang w:eastAsia="zh-CN"/>
              </w:rPr>
              <w:t>。</w:t>
            </w:r>
          </w:p>
          <w:p w14:paraId="186B491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确保按时到达的承诺、故障响应，处理及时响应，服务措施响应情况齐全的得5分；</w:t>
            </w:r>
          </w:p>
          <w:p w14:paraId="74FD822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确保按时到达的承诺、故障响应，处理及时响应，服务措施响应情况较齐全的得3.5分；</w:t>
            </w:r>
          </w:p>
          <w:p w14:paraId="1D030ED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确保按时到达的承诺、故障响应，处理及时响应，服务措施响应情况不够齐全的得2分；</w:t>
            </w:r>
          </w:p>
          <w:p w14:paraId="72E447A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确保按时到达的承诺、故障响应，处理及时响应，服务措施响应情况不齐全的得0.5分；</w:t>
            </w:r>
          </w:p>
          <w:p w14:paraId="787AC8D1">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1CA49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7" w:hRule="atLeast"/>
        </w:trPr>
        <w:tc>
          <w:tcPr>
            <w:tcW w:w="738" w:type="dxa"/>
            <w:vAlign w:val="center"/>
          </w:tcPr>
          <w:p w14:paraId="57FFA14F">
            <w:pPr>
              <w:widowControl/>
              <w:jc w:val="center"/>
              <w:rPr>
                <w:rFonts w:hint="eastAsia" w:ascii="仿宋" w:hAnsi="仿宋" w:eastAsia="仿宋" w:cs="仿宋"/>
                <w:sz w:val="22"/>
                <w:szCs w:val="22"/>
                <w:vertAlign w:val="baseline"/>
                <w:lang w:val="en-US"/>
              </w:rPr>
            </w:pPr>
            <w:r>
              <w:rPr>
                <w:rFonts w:hint="eastAsia" w:ascii="仿宋" w:hAnsi="仿宋" w:eastAsia="仿宋" w:cs="仿宋"/>
                <w:color w:val="auto"/>
                <w:sz w:val="22"/>
                <w:szCs w:val="22"/>
                <w:highlight w:val="none"/>
                <w:lang w:val="en-US" w:eastAsia="zh-CN"/>
              </w:rPr>
              <w:t>19</w:t>
            </w:r>
          </w:p>
        </w:tc>
        <w:tc>
          <w:tcPr>
            <w:tcW w:w="1197" w:type="dxa"/>
            <w:vAlign w:val="center"/>
          </w:tcPr>
          <w:p w14:paraId="13D12664">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价格部分</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0分</w:t>
            </w:r>
          </w:p>
        </w:tc>
        <w:tc>
          <w:tcPr>
            <w:tcW w:w="738" w:type="dxa"/>
            <w:vAlign w:val="center"/>
          </w:tcPr>
          <w:p w14:paraId="0C2F66DB">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0</w:t>
            </w:r>
          </w:p>
        </w:tc>
        <w:tc>
          <w:tcPr>
            <w:tcW w:w="753" w:type="dxa"/>
            <w:vAlign w:val="center"/>
          </w:tcPr>
          <w:p w14:paraId="6F44599A">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投标报价</w:t>
            </w:r>
          </w:p>
        </w:tc>
        <w:tc>
          <w:tcPr>
            <w:tcW w:w="6331" w:type="dxa"/>
            <w:vAlign w:val="center"/>
          </w:tcPr>
          <w:p w14:paraId="0CC22B5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参与评审的</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=有效投标</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（最后磋商</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w:t>
            </w:r>
          </w:p>
          <w:p w14:paraId="6599763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磋商基准价=满足磋商文件要求且最后</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最低的价格为磋商基准价</w:t>
            </w:r>
          </w:p>
          <w:p w14:paraId="3ADD9D3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基准价得分为满分10分，其他投标人报价得分计算公式如下：</w:t>
            </w:r>
          </w:p>
          <w:p w14:paraId="608418D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其他投标人报价得分=（磋商基准价/参与评审的</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）×10%×100</w:t>
            </w:r>
          </w:p>
          <w:p w14:paraId="2CAA618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投标报价得分以四舍五入保留小数点后二位。</w:t>
            </w:r>
          </w:p>
        </w:tc>
      </w:tr>
    </w:tbl>
    <w:p w14:paraId="22C49588">
      <w:pPr>
        <w:outlineLvl w:val="9"/>
        <w:rPr>
          <w:rFonts w:hint="eastAsia"/>
          <w:color w:val="auto"/>
          <w:highlight w:val="none"/>
        </w:rPr>
      </w:pPr>
    </w:p>
    <w:p w14:paraId="48EE428D">
      <w:pPr>
        <w:outlineLvl w:val="9"/>
        <w:rPr>
          <w:rFonts w:hint="eastAsia"/>
          <w:color w:val="auto"/>
          <w:highlight w:val="none"/>
        </w:rPr>
      </w:pPr>
    </w:p>
    <w:p w14:paraId="488B3E53">
      <w:pPr>
        <w:outlineLvl w:val="9"/>
        <w:rPr>
          <w:rFonts w:hint="eastAsia"/>
          <w:color w:val="auto"/>
          <w:highlight w:val="none"/>
        </w:rPr>
      </w:pPr>
    </w:p>
    <w:p w14:paraId="5638DEFB">
      <w:pPr>
        <w:outlineLvl w:val="9"/>
        <w:rPr>
          <w:rFonts w:hint="eastAsia"/>
        </w:rPr>
      </w:pPr>
    </w:p>
    <w:p w14:paraId="5F623D07">
      <w:pPr>
        <w:outlineLvl w:val="9"/>
        <w:rPr>
          <w:rFonts w:hint="eastAsia"/>
        </w:rPr>
      </w:pPr>
    </w:p>
    <w:p w14:paraId="356E1510">
      <w:pPr>
        <w:outlineLvl w:val="9"/>
        <w:rPr>
          <w:rFonts w:hint="eastAsia"/>
        </w:rPr>
      </w:pPr>
    </w:p>
    <w:p w14:paraId="2C111B29">
      <w:pPr>
        <w:outlineLvl w:val="9"/>
        <w:rPr>
          <w:rFonts w:hint="eastAsia"/>
        </w:rPr>
      </w:pPr>
    </w:p>
    <w:p w14:paraId="3C5C988A">
      <w:pPr>
        <w:outlineLvl w:val="9"/>
        <w:rPr>
          <w:rFonts w:hint="eastAsia"/>
        </w:rPr>
      </w:pPr>
    </w:p>
    <w:p w14:paraId="3250E12E">
      <w:pPr>
        <w:outlineLvl w:val="9"/>
        <w:rPr>
          <w:rFonts w:hint="eastAsia"/>
        </w:rPr>
      </w:pPr>
    </w:p>
    <w:p w14:paraId="02D0B78D">
      <w:pPr>
        <w:outlineLvl w:val="9"/>
        <w:rPr>
          <w:rFonts w:hint="eastAsia"/>
        </w:rPr>
      </w:pPr>
    </w:p>
    <w:p w14:paraId="1EBBAC7C">
      <w:pPr>
        <w:rPr>
          <w:rFonts w:hint="eastAsia"/>
        </w:rPr>
      </w:pPr>
    </w:p>
    <w:p w14:paraId="50938BCB">
      <w:pPr>
        <w:outlineLvl w:val="9"/>
        <w:rPr>
          <w:rFonts w:hint="eastAsia"/>
        </w:rPr>
      </w:pPr>
    </w:p>
    <w:p w14:paraId="6C7F1179">
      <w:pPr>
        <w:pStyle w:val="2"/>
        <w:spacing w:before="0" w:after="0" w:line="460" w:lineRule="exact"/>
        <w:rPr>
          <w:rFonts w:hint="eastAsia" w:ascii="仿宋" w:hAnsi="仿宋" w:eastAsia="仿宋" w:cs="仿宋"/>
          <w:bCs w:val="0"/>
          <w:color w:val="auto"/>
          <w:kern w:val="2"/>
          <w:sz w:val="22"/>
          <w:szCs w:val="22"/>
          <w:highlight w:val="none"/>
        </w:rPr>
      </w:pPr>
      <w:bookmarkStart w:id="47" w:name="_Toc20990"/>
      <w:bookmarkStart w:id="48" w:name="_Toc23992"/>
      <w:r>
        <w:rPr>
          <w:rFonts w:hint="eastAsia" w:ascii="仿宋" w:hAnsi="仿宋" w:eastAsia="仿宋" w:cs="仿宋"/>
          <w:color w:val="auto"/>
          <w:highlight w:val="none"/>
        </w:rPr>
        <w:t xml:space="preserve">第五章  </w:t>
      </w:r>
      <w:bookmarkEnd w:id="47"/>
      <w:bookmarkEnd w:id="48"/>
      <w:r>
        <w:rPr>
          <w:rFonts w:hint="eastAsia" w:ascii="仿宋" w:hAnsi="仿宋" w:eastAsia="仿宋" w:cs="仿宋"/>
          <w:color w:val="auto"/>
          <w:highlight w:val="none"/>
        </w:rPr>
        <w:t>拟签订的合同文本</w:t>
      </w:r>
    </w:p>
    <w:p w14:paraId="275F38BD">
      <w:pPr>
        <w:keepLines/>
        <w:autoSpaceDE w:val="0"/>
        <w:autoSpaceDN w:val="0"/>
        <w:snapToGrid w:val="0"/>
        <w:spacing w:line="360" w:lineRule="auto"/>
        <w:jc w:val="center"/>
        <w:textAlignment w:val="baseline"/>
        <w:outlineLvl w:val="9"/>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第一节 通用合同条款</w:t>
      </w:r>
    </w:p>
    <w:p w14:paraId="45C8BF62">
      <w:pPr>
        <w:autoSpaceDE w:val="0"/>
        <w:autoSpaceDN w:val="0"/>
        <w:spacing w:line="500" w:lineRule="exact"/>
        <w:textAlignment w:val="baseline"/>
        <w:outlineLvl w:val="9"/>
        <w:rPr>
          <w:rFonts w:hint="eastAsia" w:ascii="仿宋" w:hAnsi="仿宋" w:eastAsia="仿宋" w:cs="仿宋"/>
          <w:snapToGrid w:val="0"/>
          <w:color w:val="auto"/>
          <w:sz w:val="22"/>
          <w:szCs w:val="22"/>
          <w:highlight w:val="none"/>
        </w:rPr>
      </w:pPr>
      <w:r>
        <w:rPr>
          <w:rFonts w:hint="eastAsia" w:ascii="仿宋" w:hAnsi="仿宋" w:eastAsia="仿宋" w:cs="仿宋"/>
          <w:b/>
          <w:snapToGrid w:val="0"/>
          <w:color w:val="auto"/>
          <w:sz w:val="22"/>
          <w:szCs w:val="22"/>
          <w:highlight w:val="none"/>
        </w:rPr>
        <w:t xml:space="preserve"> </w:t>
      </w:r>
      <w:r>
        <w:rPr>
          <w:rFonts w:hint="eastAsia" w:ascii="仿宋" w:hAnsi="仿宋" w:eastAsia="仿宋" w:cs="仿宋"/>
          <w:snapToGrid w:val="0"/>
          <w:color w:val="auto"/>
          <w:sz w:val="22"/>
          <w:szCs w:val="22"/>
          <w:highlight w:val="none"/>
        </w:rPr>
        <w:t xml:space="preserve">  全文引用《浙江省水利水电工程施工招标文件示范文本》2022年版第4章第1节的通用合同条款。</w:t>
      </w:r>
    </w:p>
    <w:p w14:paraId="666D0F69">
      <w:pPr>
        <w:autoSpaceDE w:val="0"/>
        <w:autoSpaceDN w:val="0"/>
        <w:ind w:firstLine="480"/>
        <w:textAlignment w:val="baseline"/>
        <w:outlineLvl w:val="9"/>
        <w:rPr>
          <w:rFonts w:hint="eastAsia" w:ascii="仿宋" w:hAnsi="仿宋" w:eastAsia="仿宋" w:cs="仿宋"/>
          <w:snapToGrid w:val="0"/>
          <w:color w:val="auto"/>
          <w:sz w:val="22"/>
          <w:szCs w:val="22"/>
          <w:highlight w:val="none"/>
        </w:rPr>
      </w:pPr>
    </w:p>
    <w:p w14:paraId="34B81081">
      <w:pPr>
        <w:keepLines/>
        <w:autoSpaceDE w:val="0"/>
        <w:autoSpaceDN w:val="0"/>
        <w:snapToGrid w:val="0"/>
        <w:spacing w:line="360" w:lineRule="auto"/>
        <w:jc w:val="center"/>
        <w:textAlignment w:val="baseline"/>
        <w:outlineLvl w:val="9"/>
        <w:rPr>
          <w:rFonts w:hint="eastAsia" w:ascii="仿宋" w:hAnsi="仿宋" w:eastAsia="仿宋" w:cs="仿宋"/>
          <w:b/>
          <w:snapToGrid w:val="0"/>
          <w:color w:val="auto"/>
          <w:sz w:val="22"/>
          <w:szCs w:val="22"/>
          <w:highlight w:val="none"/>
        </w:rPr>
      </w:pPr>
      <w:bookmarkStart w:id="49" w:name="_Toc370459049"/>
      <w:bookmarkStart w:id="50" w:name="_Toc26883"/>
      <w:bookmarkStart w:id="51" w:name="_Toc362883272"/>
      <w:bookmarkStart w:id="52" w:name="_Toc381776142"/>
      <w:r>
        <w:rPr>
          <w:rFonts w:hint="eastAsia" w:ascii="仿宋" w:hAnsi="仿宋" w:eastAsia="仿宋" w:cs="仿宋"/>
          <w:b/>
          <w:snapToGrid w:val="0"/>
          <w:color w:val="auto"/>
          <w:sz w:val="22"/>
          <w:szCs w:val="22"/>
          <w:highlight w:val="none"/>
        </w:rPr>
        <w:t>第二节 专用合同条款</w:t>
      </w:r>
      <w:bookmarkEnd w:id="49"/>
      <w:bookmarkEnd w:id="50"/>
      <w:bookmarkEnd w:id="51"/>
      <w:bookmarkEnd w:id="52"/>
    </w:p>
    <w:p w14:paraId="6C3A1E45">
      <w:pPr>
        <w:keepLines/>
        <w:autoSpaceDE w:val="0"/>
        <w:autoSpaceDN w:val="0"/>
        <w:snapToGrid w:val="0"/>
        <w:spacing w:line="400" w:lineRule="exact"/>
        <w:textAlignment w:val="baseline"/>
        <w:outlineLvl w:val="9"/>
        <w:rPr>
          <w:rFonts w:hint="eastAsia" w:ascii="仿宋" w:hAnsi="仿宋" w:eastAsia="仿宋" w:cs="仿宋"/>
          <w:b/>
          <w:snapToGrid w:val="0"/>
          <w:color w:val="auto"/>
          <w:sz w:val="22"/>
          <w:szCs w:val="22"/>
          <w:highlight w:val="none"/>
        </w:rPr>
      </w:pPr>
      <w:bookmarkStart w:id="53" w:name="_Toc362883273"/>
      <w:bookmarkStart w:id="54" w:name="_Toc307478972"/>
      <w:bookmarkStart w:id="55" w:name="_Toc381776143"/>
      <w:bookmarkStart w:id="56" w:name="_Toc370459050"/>
      <w:bookmarkStart w:id="57" w:name="_Toc217819038"/>
      <w:bookmarkStart w:id="58" w:name="_Toc266998242"/>
      <w:bookmarkStart w:id="59" w:name="_Toc344282749"/>
      <w:r>
        <w:rPr>
          <w:rFonts w:hint="eastAsia" w:ascii="仿宋" w:hAnsi="仿宋" w:eastAsia="仿宋" w:cs="仿宋"/>
          <w:b/>
          <w:snapToGrid w:val="0"/>
          <w:color w:val="auto"/>
          <w:sz w:val="22"/>
          <w:szCs w:val="22"/>
          <w:highlight w:val="none"/>
        </w:rPr>
        <w:t>1 一般约定</w:t>
      </w:r>
      <w:bookmarkEnd w:id="53"/>
      <w:bookmarkEnd w:id="54"/>
      <w:bookmarkEnd w:id="55"/>
      <w:bookmarkEnd w:id="56"/>
      <w:bookmarkEnd w:id="57"/>
      <w:bookmarkEnd w:id="58"/>
      <w:bookmarkEnd w:id="59"/>
    </w:p>
    <w:p w14:paraId="3D4F998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1.1 词语定义</w:t>
      </w:r>
    </w:p>
    <w:p w14:paraId="332A3652">
      <w:pPr>
        <w:autoSpaceDE w:val="0"/>
        <w:autoSpaceDN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 xml:space="preserve">    1.1.1 合同</w:t>
      </w:r>
    </w:p>
    <w:p w14:paraId="5C2BD804">
      <w:pPr>
        <w:autoSpaceDE w:val="0"/>
        <w:autoSpaceDN w:val="0"/>
        <w:spacing w:line="400" w:lineRule="exact"/>
        <w:textAlignment w:val="baseline"/>
        <w:rPr>
          <w:rFonts w:hint="eastAsia" w:ascii="仿宋" w:hAnsi="仿宋" w:eastAsia="仿宋" w:cs="仿宋"/>
          <w:color w:val="auto"/>
          <w:sz w:val="22"/>
          <w:szCs w:val="22"/>
          <w:highlight w:val="none"/>
        </w:rPr>
      </w:pPr>
      <w:r>
        <w:rPr>
          <w:rFonts w:hint="eastAsia" w:ascii="仿宋" w:hAnsi="仿宋" w:eastAsia="仿宋" w:cs="仿宋"/>
          <w:snapToGrid w:val="0"/>
          <w:color w:val="auto"/>
          <w:sz w:val="22"/>
          <w:szCs w:val="22"/>
          <w:highlight w:val="none"/>
        </w:rPr>
        <w:t xml:space="preserve">    1.1.1.9其他合同文件包括：</w:t>
      </w:r>
      <w:r>
        <w:rPr>
          <w:rFonts w:hint="eastAsia" w:ascii="仿宋" w:hAnsi="仿宋" w:eastAsia="仿宋" w:cs="仿宋"/>
          <w:snapToGrid w:val="0"/>
          <w:color w:val="auto"/>
          <w:sz w:val="22"/>
          <w:szCs w:val="22"/>
          <w:highlight w:val="none"/>
          <w:u w:val="single"/>
        </w:rPr>
        <w:t>招标文件以及双方与合同有关的工程设计变更联系单、洽商、签证等书面协议或文件。</w:t>
      </w:r>
      <w:r>
        <w:rPr>
          <w:rFonts w:hint="eastAsia" w:ascii="仿宋" w:hAnsi="仿宋" w:eastAsia="仿宋" w:cs="仿宋"/>
          <w:snapToGrid w:val="0"/>
          <w:color w:val="auto"/>
          <w:sz w:val="22"/>
          <w:szCs w:val="22"/>
          <w:highlight w:val="none"/>
        </w:rPr>
        <w:t xml:space="preserve">   </w:t>
      </w:r>
    </w:p>
    <w:p w14:paraId="1E05CEBE">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1.1.2 合同当事人和人员</w:t>
      </w:r>
    </w:p>
    <w:p w14:paraId="7EDF3D5E">
      <w:pPr>
        <w:tabs>
          <w:tab w:val="left" w:pos="36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1.1.2.2 发包人：</w:t>
      </w:r>
      <w:r>
        <w:rPr>
          <w:rFonts w:hint="eastAsia" w:ascii="仿宋" w:hAnsi="仿宋" w:eastAsia="仿宋" w:cs="仿宋"/>
          <w:snapToGrid w:val="0"/>
          <w:color w:val="auto"/>
          <w:sz w:val="22"/>
          <w:szCs w:val="22"/>
          <w:highlight w:val="none"/>
          <w:u w:val="single"/>
        </w:rPr>
        <w:t>宁波市海曙区</w:t>
      </w:r>
      <w:r>
        <w:rPr>
          <w:rFonts w:hint="eastAsia" w:ascii="仿宋" w:hAnsi="仿宋" w:eastAsia="仿宋" w:cs="仿宋"/>
          <w:snapToGrid w:val="0"/>
          <w:color w:val="auto"/>
          <w:sz w:val="22"/>
          <w:szCs w:val="22"/>
          <w:highlight w:val="none"/>
          <w:u w:val="single"/>
          <w:lang w:val="en-US" w:eastAsia="zh-CN"/>
        </w:rPr>
        <w:t>横街</w:t>
      </w:r>
      <w:r>
        <w:rPr>
          <w:rFonts w:hint="eastAsia" w:ascii="仿宋" w:hAnsi="仿宋" w:eastAsia="仿宋" w:cs="仿宋"/>
          <w:snapToGrid w:val="0"/>
          <w:color w:val="auto"/>
          <w:sz w:val="22"/>
          <w:szCs w:val="22"/>
          <w:highlight w:val="none"/>
          <w:u w:val="single"/>
        </w:rPr>
        <w:t>镇人民政府</w:t>
      </w:r>
      <w:r>
        <w:rPr>
          <w:rFonts w:hint="eastAsia" w:ascii="仿宋" w:hAnsi="仿宋" w:eastAsia="仿宋" w:cs="仿宋"/>
          <w:snapToGrid w:val="0"/>
          <w:color w:val="auto"/>
          <w:sz w:val="22"/>
          <w:szCs w:val="22"/>
          <w:highlight w:val="none"/>
        </w:rPr>
        <w:t>。</w:t>
      </w:r>
    </w:p>
    <w:p w14:paraId="7F8D502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1.1.2.3 承包人：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（签约后填入）。</w:t>
      </w:r>
    </w:p>
    <w:p w14:paraId="47D2A1FB">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1.1.2.5 分包人：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4FE032C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1.1.2.6 监理人：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5EEB5ABB">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1.1.4 日期</w:t>
      </w:r>
    </w:p>
    <w:p w14:paraId="03B99AE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1.1.4.5 </w:t>
      </w:r>
      <w:bookmarkStart w:id="60" w:name="_Toc134275845"/>
      <w:bookmarkStart w:id="61" w:name="_Toc113763821"/>
      <w:bookmarkStart w:id="62" w:name="_Toc140459354"/>
      <w:bookmarkStart w:id="63" w:name="_Toc140459440"/>
      <w:bookmarkStart w:id="64" w:name="_Toc212607207"/>
      <w:bookmarkStart w:id="65" w:name="_Toc118022200"/>
      <w:r>
        <w:rPr>
          <w:rFonts w:hint="eastAsia" w:ascii="仿宋" w:hAnsi="仿宋" w:eastAsia="仿宋" w:cs="仿宋"/>
          <w:snapToGrid w:val="0"/>
          <w:color w:val="auto"/>
          <w:sz w:val="22"/>
          <w:szCs w:val="22"/>
          <w:highlight w:val="none"/>
        </w:rPr>
        <w:t>从工程通过合同工程完工验收之日起开始计算。</w:t>
      </w:r>
      <w:r>
        <w:rPr>
          <w:rFonts w:hint="eastAsia" w:ascii="仿宋" w:hAnsi="仿宋" w:eastAsia="仿宋" w:cs="仿宋"/>
          <w:b/>
          <w:bCs/>
          <w:snapToGrid w:val="0"/>
          <w:color w:val="auto"/>
          <w:sz w:val="22"/>
          <w:szCs w:val="22"/>
          <w:highlight w:val="none"/>
        </w:rPr>
        <w:t>本工程缺陷责任期为</w:t>
      </w:r>
      <w:r>
        <w:rPr>
          <w:rFonts w:hint="eastAsia" w:ascii="仿宋" w:hAnsi="仿宋" w:eastAsia="仿宋" w:cs="仿宋"/>
          <w:b/>
          <w:bCs/>
          <w:snapToGrid w:val="0"/>
          <w:color w:val="auto"/>
          <w:sz w:val="22"/>
          <w:szCs w:val="22"/>
          <w:highlight w:val="none"/>
          <w:lang w:val="en-US" w:eastAsia="zh-CN"/>
        </w:rPr>
        <w:t>1</w:t>
      </w:r>
      <w:r>
        <w:rPr>
          <w:rFonts w:hint="eastAsia" w:ascii="仿宋" w:hAnsi="仿宋" w:eastAsia="仿宋" w:cs="仿宋"/>
          <w:b/>
          <w:bCs/>
          <w:snapToGrid w:val="0"/>
          <w:color w:val="auto"/>
          <w:sz w:val="22"/>
          <w:szCs w:val="22"/>
          <w:highlight w:val="none"/>
        </w:rPr>
        <w:t>年。</w:t>
      </w:r>
    </w:p>
    <w:p w14:paraId="62E0229D">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1.1.6 其他</w:t>
      </w:r>
    </w:p>
    <w:p w14:paraId="01D5BEF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1.1.6.2 完工验收：指《水利水电建设工程验收规程》中的合同工程完工验收。通用合同条款中“竣工验收”一词具有相同含义。</w:t>
      </w:r>
    </w:p>
    <w:p w14:paraId="12A7A89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1.4 合同文件的优先顺序</w:t>
      </w:r>
      <w:bookmarkEnd w:id="60"/>
      <w:bookmarkEnd w:id="61"/>
      <w:bookmarkEnd w:id="62"/>
      <w:bookmarkEnd w:id="63"/>
      <w:bookmarkEnd w:id="64"/>
      <w:bookmarkEnd w:id="65"/>
    </w:p>
    <w:p w14:paraId="6A807DC5">
      <w:pPr>
        <w:autoSpaceDE w:val="0"/>
        <w:autoSpaceDN w:val="0"/>
        <w:snapToGrid w:val="0"/>
        <w:spacing w:line="400" w:lineRule="exact"/>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除合同另有规定外，解释合同文件的优先顺序如下： </w:t>
      </w:r>
    </w:p>
    <w:p w14:paraId="1015A1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合同协议书（包括补充协议书）；</w:t>
      </w:r>
    </w:p>
    <w:p w14:paraId="79F374E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⑵ 中标通知书；</w:t>
      </w:r>
    </w:p>
    <w:p w14:paraId="7657232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⑶ 开标记录表；</w:t>
      </w:r>
    </w:p>
    <w:p w14:paraId="2BB726D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⑷ 招投标文件澄清问题、澄清问题的复函、补充通知等相关资料；</w:t>
      </w:r>
    </w:p>
    <w:p w14:paraId="1534AC3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⑸ 专用合同条款；</w:t>
      </w:r>
    </w:p>
    <w:p w14:paraId="14592CD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⑹ 通用合同条款；</w:t>
      </w:r>
    </w:p>
    <w:p w14:paraId="028E9A5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⑺ 技术标准和要求；</w:t>
      </w:r>
    </w:p>
    <w:p w14:paraId="211D444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⑻ 图纸；</w:t>
      </w:r>
    </w:p>
    <w:p w14:paraId="0CFEB38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⑼ 已标价的工程量清单</w:t>
      </w:r>
    </w:p>
    <w:p w14:paraId="35FBDB5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⑽ 经双方确认进入合同的其他文件。</w:t>
      </w:r>
    </w:p>
    <w:p w14:paraId="11DF57D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66" w:name="_Toc217819044"/>
      <w:r>
        <w:rPr>
          <w:rFonts w:hint="eastAsia" w:ascii="仿宋" w:hAnsi="仿宋" w:eastAsia="仿宋" w:cs="仿宋"/>
          <w:b/>
          <w:color w:val="auto"/>
          <w:spacing w:val="20"/>
          <w:sz w:val="22"/>
          <w:szCs w:val="22"/>
          <w:highlight w:val="none"/>
        </w:rPr>
        <w:t>1.7 联络</w:t>
      </w:r>
    </w:p>
    <w:p w14:paraId="19C5A60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1.7.2 来往函件均应按技术标准和要求（合同技术条款）约定的期限送达</w:t>
      </w:r>
      <w:r>
        <w:rPr>
          <w:rFonts w:hint="eastAsia" w:ascii="仿宋" w:hAnsi="仿宋" w:eastAsia="仿宋" w:cs="仿宋"/>
          <w:snapToGrid w:val="0"/>
          <w:color w:val="auto"/>
          <w:sz w:val="22"/>
          <w:szCs w:val="22"/>
          <w:highlight w:val="none"/>
          <w:u w:val="single"/>
        </w:rPr>
        <w:t>宁波市海曙区</w:t>
      </w:r>
      <w:r>
        <w:rPr>
          <w:rFonts w:hint="eastAsia" w:ascii="仿宋" w:hAnsi="仿宋" w:eastAsia="仿宋" w:cs="仿宋"/>
          <w:snapToGrid w:val="0"/>
          <w:color w:val="auto"/>
          <w:sz w:val="22"/>
          <w:szCs w:val="22"/>
          <w:highlight w:val="none"/>
          <w:u w:val="single"/>
          <w:lang w:val="en-US" w:eastAsia="zh-CN"/>
        </w:rPr>
        <w:t>横街</w:t>
      </w:r>
      <w:r>
        <w:rPr>
          <w:rFonts w:hint="eastAsia" w:ascii="仿宋" w:hAnsi="仿宋" w:eastAsia="仿宋" w:cs="仿宋"/>
          <w:snapToGrid w:val="0"/>
          <w:color w:val="auto"/>
          <w:sz w:val="22"/>
          <w:szCs w:val="22"/>
          <w:highlight w:val="none"/>
          <w:u w:val="single"/>
        </w:rPr>
        <w:t>镇人民政府</w:t>
      </w:r>
      <w:r>
        <w:rPr>
          <w:rFonts w:hint="eastAsia" w:ascii="仿宋" w:hAnsi="仿宋" w:eastAsia="仿宋" w:cs="仿宋"/>
          <w:snapToGrid w:val="0"/>
          <w:color w:val="auto"/>
          <w:sz w:val="22"/>
          <w:szCs w:val="22"/>
          <w:highlight w:val="none"/>
        </w:rPr>
        <w:t>。</w:t>
      </w:r>
    </w:p>
    <w:p w14:paraId="59A230DB">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67" w:name="_Toc381776144"/>
      <w:bookmarkStart w:id="68" w:name="_Toc344282750"/>
      <w:bookmarkStart w:id="69" w:name="_Toc370459051"/>
      <w:bookmarkStart w:id="70" w:name="_Toc307478973"/>
      <w:bookmarkStart w:id="71" w:name="_Toc266998243"/>
      <w:bookmarkStart w:id="72" w:name="_Toc362883274"/>
      <w:r>
        <w:rPr>
          <w:rFonts w:hint="eastAsia" w:ascii="仿宋" w:hAnsi="仿宋" w:eastAsia="仿宋" w:cs="仿宋"/>
          <w:b/>
          <w:snapToGrid w:val="0"/>
          <w:color w:val="auto"/>
          <w:sz w:val="22"/>
          <w:szCs w:val="22"/>
          <w:highlight w:val="none"/>
        </w:rPr>
        <w:t>2 发包人义务</w:t>
      </w:r>
      <w:bookmarkEnd w:id="66"/>
      <w:bookmarkEnd w:id="67"/>
      <w:bookmarkEnd w:id="68"/>
      <w:bookmarkEnd w:id="69"/>
      <w:bookmarkEnd w:id="70"/>
      <w:bookmarkEnd w:id="71"/>
      <w:bookmarkEnd w:id="72"/>
    </w:p>
    <w:p w14:paraId="0D5D9238">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73" w:name="_Toc211414960"/>
      <w:r>
        <w:rPr>
          <w:rFonts w:hint="eastAsia" w:ascii="仿宋" w:hAnsi="仿宋" w:eastAsia="仿宋" w:cs="仿宋"/>
          <w:b/>
          <w:color w:val="auto"/>
          <w:spacing w:val="20"/>
          <w:sz w:val="22"/>
          <w:szCs w:val="22"/>
          <w:highlight w:val="none"/>
        </w:rPr>
        <w:t>2.3 提供施工场地</w:t>
      </w:r>
    </w:p>
    <w:bookmarkEnd w:id="73"/>
    <w:p w14:paraId="469CAE0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2.3.2 发包人提供的用地范围为：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u w:val="single"/>
        </w:rPr>
        <w:t>按施工图示范围</w:t>
      </w:r>
      <w:r>
        <w:rPr>
          <w:rFonts w:hint="eastAsia" w:ascii="仿宋" w:hAnsi="仿宋" w:eastAsia="仿宋" w:cs="仿宋"/>
          <w:snapToGrid w:val="0"/>
          <w:color w:val="auto"/>
          <w:sz w:val="22"/>
          <w:szCs w:val="22"/>
          <w:highlight w:val="none"/>
        </w:rPr>
        <w:t>。</w:t>
      </w:r>
    </w:p>
    <w:p w14:paraId="20135F9A">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74" w:name="_Toc370459052"/>
      <w:bookmarkStart w:id="75" w:name="_Toc266998244"/>
      <w:bookmarkStart w:id="76" w:name="_Toc217819045"/>
      <w:bookmarkStart w:id="77" w:name="_Toc362883275"/>
      <w:bookmarkStart w:id="78" w:name="_Toc344282751"/>
      <w:bookmarkStart w:id="79" w:name="_Toc307478974"/>
      <w:bookmarkStart w:id="80" w:name="_Toc381776145"/>
      <w:r>
        <w:rPr>
          <w:rFonts w:hint="eastAsia" w:ascii="仿宋" w:hAnsi="仿宋" w:eastAsia="仿宋" w:cs="仿宋"/>
          <w:b/>
          <w:snapToGrid w:val="0"/>
          <w:color w:val="auto"/>
          <w:sz w:val="22"/>
          <w:szCs w:val="22"/>
          <w:highlight w:val="none"/>
        </w:rPr>
        <w:t>3 监理人</w:t>
      </w:r>
      <w:bookmarkEnd w:id="74"/>
      <w:bookmarkEnd w:id="75"/>
      <w:bookmarkEnd w:id="76"/>
      <w:bookmarkEnd w:id="77"/>
      <w:bookmarkEnd w:id="78"/>
      <w:bookmarkEnd w:id="79"/>
      <w:bookmarkEnd w:id="80"/>
    </w:p>
    <w:p w14:paraId="790CC3F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81" w:name="_Toc211414965"/>
      <w:bookmarkStart w:id="82" w:name="_Toc140459445"/>
      <w:bookmarkStart w:id="83" w:name="_Toc118022205"/>
      <w:bookmarkStart w:id="84" w:name="_Toc134275850"/>
      <w:bookmarkStart w:id="85" w:name="_Toc140459359"/>
      <w:bookmarkStart w:id="86" w:name="_Toc113763826"/>
      <w:r>
        <w:rPr>
          <w:rFonts w:hint="eastAsia" w:ascii="仿宋" w:hAnsi="仿宋" w:eastAsia="仿宋" w:cs="仿宋"/>
          <w:b/>
          <w:color w:val="auto"/>
          <w:spacing w:val="20"/>
          <w:sz w:val="22"/>
          <w:szCs w:val="22"/>
          <w:highlight w:val="none"/>
        </w:rPr>
        <w:t xml:space="preserve">3.1 </w:t>
      </w:r>
      <w:bookmarkEnd w:id="81"/>
      <w:bookmarkEnd w:id="82"/>
      <w:bookmarkEnd w:id="83"/>
      <w:bookmarkEnd w:id="84"/>
      <w:bookmarkEnd w:id="85"/>
      <w:bookmarkEnd w:id="86"/>
      <w:bookmarkStart w:id="87" w:name="_Toc113763827"/>
      <w:bookmarkStart w:id="88" w:name="_Toc118022206"/>
      <w:r>
        <w:rPr>
          <w:rFonts w:hint="eastAsia" w:ascii="仿宋" w:hAnsi="仿宋" w:eastAsia="仿宋" w:cs="仿宋"/>
          <w:b/>
          <w:color w:val="auto"/>
          <w:spacing w:val="20"/>
          <w:sz w:val="22"/>
          <w:szCs w:val="22"/>
          <w:highlight w:val="none"/>
        </w:rPr>
        <w:t>监理人的职责和权力</w:t>
      </w:r>
      <w:bookmarkEnd w:id="87"/>
      <w:bookmarkEnd w:id="88"/>
    </w:p>
    <w:p w14:paraId="7491576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3.1.1 监理人在行使下列权力前须得到发包人的事先批准：</w:t>
      </w:r>
    </w:p>
    <w:p w14:paraId="3CEB4D0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w:t>
      </w:r>
      <w:r>
        <w:rPr>
          <w:rFonts w:hint="eastAsia" w:ascii="仿宋" w:hAnsi="仿宋" w:eastAsia="仿宋" w:cs="仿宋"/>
          <w:snapToGrid w:val="0"/>
          <w:color w:val="auto"/>
          <w:sz w:val="22"/>
          <w:szCs w:val="22"/>
          <w:highlight w:val="none"/>
          <w:u w:val="single"/>
        </w:rPr>
        <w:t xml:space="preserve"> 按第11.3款规定，确定延长完工期限 </w:t>
      </w:r>
      <w:r>
        <w:rPr>
          <w:rFonts w:hint="eastAsia" w:ascii="仿宋" w:hAnsi="仿宋" w:eastAsia="仿宋" w:cs="仿宋"/>
          <w:snapToGrid w:val="0"/>
          <w:color w:val="auto"/>
          <w:sz w:val="22"/>
          <w:szCs w:val="22"/>
          <w:highlight w:val="none"/>
        </w:rPr>
        <w:t>；</w:t>
      </w:r>
    </w:p>
    <w:p w14:paraId="1EC1946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w:t>
      </w:r>
      <w:r>
        <w:rPr>
          <w:rFonts w:hint="eastAsia" w:ascii="仿宋" w:hAnsi="仿宋" w:eastAsia="仿宋" w:cs="仿宋"/>
          <w:snapToGrid w:val="0"/>
          <w:color w:val="auto"/>
          <w:sz w:val="22"/>
          <w:szCs w:val="22"/>
          <w:highlight w:val="none"/>
          <w:u w:val="single"/>
        </w:rPr>
        <w:t xml:space="preserve"> 按第15.6条规定，批准暂列金额的使用 </w:t>
      </w:r>
      <w:r>
        <w:rPr>
          <w:rFonts w:hint="eastAsia" w:ascii="仿宋" w:hAnsi="仿宋" w:eastAsia="仿宋" w:cs="仿宋"/>
          <w:snapToGrid w:val="0"/>
          <w:color w:val="auto"/>
          <w:sz w:val="22"/>
          <w:szCs w:val="22"/>
          <w:highlight w:val="none"/>
        </w:rPr>
        <w:t>；</w:t>
      </w:r>
    </w:p>
    <w:p w14:paraId="27045590">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89" w:name="_Toc259456738"/>
      <w:bookmarkStart w:id="90" w:name="_Toc381776146"/>
      <w:bookmarkStart w:id="91" w:name="_Toc370459053"/>
      <w:bookmarkStart w:id="92" w:name="_Toc362883276"/>
      <w:bookmarkStart w:id="93" w:name="_Toc307478975"/>
      <w:bookmarkStart w:id="94" w:name="_Toc344282752"/>
      <w:bookmarkStart w:id="95" w:name="_Toc266998245"/>
      <w:bookmarkStart w:id="96" w:name="_Toc259451999"/>
      <w:r>
        <w:rPr>
          <w:rFonts w:hint="eastAsia" w:ascii="仿宋" w:hAnsi="仿宋" w:eastAsia="仿宋" w:cs="仿宋"/>
          <w:b/>
          <w:snapToGrid w:val="0"/>
          <w:color w:val="auto"/>
          <w:sz w:val="22"/>
          <w:szCs w:val="22"/>
          <w:highlight w:val="none"/>
        </w:rPr>
        <w:t>4 承包人</w:t>
      </w:r>
      <w:bookmarkEnd w:id="89"/>
      <w:bookmarkEnd w:id="90"/>
      <w:bookmarkEnd w:id="91"/>
      <w:bookmarkEnd w:id="92"/>
      <w:bookmarkEnd w:id="93"/>
      <w:bookmarkEnd w:id="94"/>
      <w:bookmarkEnd w:id="95"/>
      <w:bookmarkEnd w:id="96"/>
    </w:p>
    <w:p w14:paraId="19D2C28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4.1 承包人一般义务</w:t>
      </w:r>
    </w:p>
    <w:p w14:paraId="76C5A5C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4.1.10 其它义务</w:t>
      </w:r>
    </w:p>
    <w:p w14:paraId="361949F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(1)承担施工安全保卫工作及施工照明的责任和要求：根据工程需要，提供和维修施工使用的照明、围栏设施，并负责安全保卫。</w:t>
      </w:r>
    </w:p>
    <w:p w14:paraId="7DAAEC1E">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(2)需承包人办理的有关施工场地交通、环卫和施工噪音管理等手续：遵守政府有关主管部门对施工场地交通、施工噪音以及环境保护和安全生产等的管理规定，办理相关手续、并以书面形式通知发包人；施工过程中由承包人负责处理自身原因涉及市政、环保、卫生、交通、污水处理和自身原因引起的一切纠纷、事故赔偿责任和社会治安等关系。其中施工期间生产的泥浆等废排水，承包人应根据施工组织设计并结合现场情况考虑制定处理措施方案。</w:t>
      </w:r>
    </w:p>
    <w:p w14:paraId="707DF3E4">
      <w:pPr>
        <w:autoSpaceDE w:val="0"/>
        <w:autoSpaceDN w:val="0"/>
        <w:snapToGrid w:val="0"/>
        <w:spacing w:line="400" w:lineRule="exact"/>
        <w:ind w:firstLine="330" w:firstLineChars="15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完工工程成品保护的特殊要求及费用承担：已竣工工程未交付发包人之前，由承包人负责已完工程的保护工作，保护期间发生损坏，承包人自费予以修复。发包人要求承包人采取特殊措施保护的工程部位，承包人必须按照发包人的要求完成。</w:t>
      </w:r>
    </w:p>
    <w:p w14:paraId="0B3E47CC">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（4）施工现场清洁卫生的要求：保证施工场地清洁符合环境卫生管理的有关规定，竣工验收通过后30天内工完场清，并承担因自身原因违反有关规定造成的损失和罚款。</w:t>
      </w:r>
    </w:p>
    <w:p w14:paraId="738D4355">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（5）双方约定承包人应做的其他工作：</w:t>
      </w:r>
    </w:p>
    <w:p w14:paraId="6225EB41">
      <w:pPr>
        <w:autoSpaceDE w:val="0"/>
        <w:autoSpaceDN w:val="0"/>
        <w:snapToGrid w:val="0"/>
        <w:spacing w:line="400" w:lineRule="exact"/>
        <w:ind w:firstLine="488"/>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1) 按时向发包人（或工程师）提交开竣工报告、隐蔽工程验收报告、质量自检记录、交工验收报告及工程事故报告等资料。 </w:t>
      </w:r>
    </w:p>
    <w:p w14:paraId="46C4AA6C">
      <w:pPr>
        <w:autoSpaceDE w:val="0"/>
        <w:autoSpaceDN w:val="0"/>
        <w:snapToGrid w:val="0"/>
        <w:spacing w:line="400" w:lineRule="exact"/>
        <w:ind w:firstLine="440" w:firstLineChars="20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 文明施工按海曙区政府有关部门颁发的文明施工要求及招标文件中技术条款执行。施工区域范围内必须采取全封闭措施，搞好市容环境卫生，并接受有关主管部门和发包人、工程师的检查；环境保护按招标文件的要求执行。因承包人原因造成工程损失或人身伤害，由承包人承担全部责任及费用。</w:t>
      </w:r>
    </w:p>
    <w:p w14:paraId="51902CC4">
      <w:pPr>
        <w:autoSpaceDE w:val="0"/>
        <w:autoSpaceDN w:val="0"/>
        <w:snapToGrid w:val="0"/>
        <w:spacing w:line="400" w:lineRule="exact"/>
        <w:ind w:firstLine="440" w:firstLineChars="20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 负责放样、测量(如有)。每次测量成果均应有复核记录，并及时将测量成果记录书面送交监理人确认。承包人应对测量成果承担全部责任。</w:t>
      </w:r>
    </w:p>
    <w:p w14:paraId="2F98654F">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4) 必须接受发包人的管理或其委托的监理单位的监理，并为其开展工作和生活提供方便，按照要求提供完整真实的原始记录、检测记录等技术资料及各种报表。</w:t>
      </w:r>
    </w:p>
    <w:p w14:paraId="1853D5FE">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5) 承包人必须开展工程施工合同质量管理，密切配合工程师全面质量管理、环境管理和职业安全健康管理等工作的进行。</w:t>
      </w:r>
    </w:p>
    <w:p w14:paraId="2790406D">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6) 承包人不按合同约定完成以上工作，发包人有权限令其停止施工并进行整改，由此引起的损失由承包人承担。</w:t>
      </w:r>
    </w:p>
    <w:p w14:paraId="7E98175D">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7) 承包人应执行发包人对工程管理所制定的各项管理制度。</w:t>
      </w:r>
    </w:p>
    <w:p w14:paraId="19B1B9E6">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8) 发生工程质量事故或工伤事故后，须按水利部、海曙区有关规定及时电话联系发包人或监理，按规定上报事故书面报告一式二份，同时按政府有关部门要求采取措施，发生的费用由承包人承担。</w:t>
      </w:r>
    </w:p>
    <w:p w14:paraId="79177493">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9) 参加发包人召开的与本工程相关的会议，并作好会前有关资料的准备。在保修期内要及时做好回访工作，属保修责任范围的事项应及时按质检标准修好。</w:t>
      </w:r>
    </w:p>
    <w:p w14:paraId="5BDF4A76">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 承包人做好工程开工仪式现场相关准备工作，主要工作内容包括：必要的临时设施布置、场地平整，会场平台搭设，必要的施工机械设备、施工队伍展示等工作。</w:t>
      </w:r>
    </w:p>
    <w:p w14:paraId="61F6CBED">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（6）上述（1）至（5）各条款涉及的各类费用均应列入措施费内，发包人不再向承包人另行支付。如因此类原因导致工期延误，工期不予顺延，并由承包人承担相应的责任及费用。</w:t>
      </w:r>
    </w:p>
    <w:p w14:paraId="37C11F2A">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（7）其他参建单位可无偿共用承包人建造的道路、码头等交通设施。</w:t>
      </w:r>
    </w:p>
    <w:p w14:paraId="77D9B052">
      <w:pPr>
        <w:autoSpaceDE w:val="0"/>
        <w:autoSpaceDN w:val="0"/>
        <w:snapToGrid w:val="0"/>
        <w:spacing w:line="400" w:lineRule="exact"/>
        <w:textAlignment w:val="bottom"/>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4.2  履约担保</w:t>
      </w:r>
    </w:p>
    <w:p w14:paraId="1767C620">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(1)履约保证金金额：暂定合同价的1%。</w:t>
      </w:r>
    </w:p>
    <w:p w14:paraId="051F2742">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(2)履约保证金形式：电汇、网银、支票、保险保单、银行保函。</w:t>
      </w:r>
    </w:p>
    <w:p w14:paraId="4A9AA99C">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(3)履约保证金提交时间：合同签订后一周内提交。</w:t>
      </w:r>
    </w:p>
    <w:p w14:paraId="0AD27F3A">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(4)履约保证金提交人：乙方。</w:t>
      </w:r>
    </w:p>
    <w:p w14:paraId="75CF5CA8">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(5)履约保证金接收人：甲方。</w:t>
      </w:r>
    </w:p>
    <w:p w14:paraId="08957BB8">
      <w:pPr>
        <w:autoSpaceDE w:val="0"/>
        <w:autoSpaceDN w:val="0"/>
        <w:snapToGrid w:val="0"/>
        <w:spacing w:line="400" w:lineRule="exact"/>
        <w:ind w:firstLine="432"/>
        <w:textAlignment w:val="bottom"/>
        <w:rPr>
          <w:rFonts w:hint="eastAsia" w:ascii="仿宋" w:hAnsi="仿宋" w:eastAsia="仿宋" w:cs="仿宋"/>
          <w:b/>
          <w:snapToGrid w:val="0"/>
          <w:color w:val="auto"/>
          <w:sz w:val="22"/>
          <w:szCs w:val="22"/>
          <w:highlight w:val="none"/>
        </w:rPr>
      </w:pPr>
      <w:r>
        <w:rPr>
          <w:rFonts w:hint="eastAsia" w:ascii="仿宋" w:hAnsi="仿宋" w:eastAsia="仿宋" w:cs="仿宋"/>
          <w:snapToGrid w:val="0"/>
          <w:color w:val="auto"/>
          <w:sz w:val="22"/>
          <w:szCs w:val="22"/>
          <w:highlight w:val="none"/>
        </w:rPr>
        <w:t>(6)履约保证金退还时间：待项目竣工验收合格，扣除乙方应承担的违约金后十五日内退还。</w:t>
      </w:r>
    </w:p>
    <w:p w14:paraId="4494D04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4.3 分包</w:t>
      </w:r>
    </w:p>
    <w:p w14:paraId="290AD9B9">
      <w:pPr>
        <w:autoSpaceDE w:val="0"/>
        <w:autoSpaceDN w:val="0"/>
        <w:snapToGrid w:val="0"/>
        <w:spacing w:line="400" w:lineRule="exact"/>
        <w:ind w:firstLine="440" w:firstLineChars="200"/>
        <w:textAlignment w:val="baseline"/>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本项目不允许分包。</w:t>
      </w:r>
    </w:p>
    <w:p w14:paraId="6674F99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4.5 承包人项目负责人</w:t>
      </w:r>
    </w:p>
    <w:p w14:paraId="65F3887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补充4.5.5款：</w:t>
      </w:r>
    </w:p>
    <w:p w14:paraId="6B5970E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4.5.5 项目负责人每月驻工地的天数不少于22天。</w:t>
      </w:r>
    </w:p>
    <w:p w14:paraId="187D938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4.6承包人人员的管理</w:t>
      </w:r>
    </w:p>
    <w:p w14:paraId="7A36807B">
      <w:pPr>
        <w:tabs>
          <w:tab w:val="left" w:pos="618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补充4.6.5款：</w:t>
      </w:r>
      <w:r>
        <w:rPr>
          <w:rFonts w:hint="eastAsia" w:ascii="仿宋" w:hAnsi="仿宋" w:eastAsia="仿宋" w:cs="仿宋"/>
          <w:snapToGrid w:val="0"/>
          <w:color w:val="auto"/>
          <w:sz w:val="22"/>
          <w:szCs w:val="22"/>
          <w:highlight w:val="none"/>
        </w:rPr>
        <w:tab/>
      </w:r>
    </w:p>
    <w:p w14:paraId="4C15B83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4.6.5 项目技术负责人每月驻工地时间不得少于</w:t>
      </w:r>
      <w:r>
        <w:rPr>
          <w:rFonts w:hint="eastAsia" w:ascii="仿宋" w:hAnsi="仿宋" w:eastAsia="仿宋" w:cs="仿宋"/>
          <w:snapToGrid w:val="0"/>
          <w:color w:val="auto"/>
          <w:sz w:val="22"/>
          <w:szCs w:val="22"/>
          <w:highlight w:val="none"/>
          <w:u w:val="single"/>
        </w:rPr>
        <w:t xml:space="preserve"> 22 </w:t>
      </w:r>
      <w:r>
        <w:rPr>
          <w:rFonts w:hint="eastAsia" w:ascii="仿宋" w:hAnsi="仿宋" w:eastAsia="仿宋" w:cs="仿宋"/>
          <w:snapToGrid w:val="0"/>
          <w:color w:val="auto"/>
          <w:sz w:val="22"/>
          <w:szCs w:val="22"/>
          <w:highlight w:val="none"/>
        </w:rPr>
        <w:t>天。</w:t>
      </w:r>
    </w:p>
    <w:p w14:paraId="46B99FF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4.6.6 项目施工员、质检（量）员、安全员每月驻工地时间不得少于</w:t>
      </w:r>
      <w:r>
        <w:rPr>
          <w:rFonts w:hint="eastAsia" w:ascii="仿宋" w:hAnsi="仿宋" w:eastAsia="仿宋" w:cs="仿宋"/>
          <w:snapToGrid w:val="0"/>
          <w:color w:val="auto"/>
          <w:sz w:val="22"/>
          <w:szCs w:val="22"/>
          <w:highlight w:val="none"/>
          <w:u w:val="single"/>
        </w:rPr>
        <w:t xml:space="preserve"> 25 </w:t>
      </w:r>
      <w:r>
        <w:rPr>
          <w:rFonts w:hint="eastAsia" w:ascii="仿宋" w:hAnsi="仿宋" w:eastAsia="仿宋" w:cs="仿宋"/>
          <w:snapToGrid w:val="0"/>
          <w:color w:val="auto"/>
          <w:sz w:val="22"/>
          <w:szCs w:val="22"/>
          <w:highlight w:val="none"/>
        </w:rPr>
        <w:t>天。</w:t>
      </w:r>
    </w:p>
    <w:p w14:paraId="3332269A">
      <w:pPr>
        <w:autoSpaceDE w:val="0"/>
        <w:autoSpaceDN w:val="0"/>
        <w:snapToGrid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4.11  不利物质条件</w:t>
      </w:r>
    </w:p>
    <w:p w14:paraId="1D0836D4">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4.11.1 不利物质条件的范围：施工中遇到文物或古迹，但不包括气候条件。</w:t>
      </w:r>
    </w:p>
    <w:p w14:paraId="6B7B627E">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97" w:name="_Toc370459054"/>
      <w:bookmarkStart w:id="98" w:name="_Toc362883277"/>
      <w:bookmarkStart w:id="99" w:name="_Toc344282753"/>
      <w:bookmarkStart w:id="100" w:name="_Toc217819047"/>
      <w:bookmarkStart w:id="101" w:name="_Toc307478976"/>
      <w:bookmarkStart w:id="102" w:name="_Toc381776147"/>
      <w:bookmarkStart w:id="103" w:name="_Toc266998246"/>
      <w:r>
        <w:rPr>
          <w:rFonts w:hint="eastAsia" w:ascii="仿宋" w:hAnsi="仿宋" w:eastAsia="仿宋" w:cs="仿宋"/>
          <w:b/>
          <w:snapToGrid w:val="0"/>
          <w:color w:val="auto"/>
          <w:sz w:val="22"/>
          <w:szCs w:val="22"/>
          <w:highlight w:val="none"/>
        </w:rPr>
        <w:t>5 材料和工程设备</w:t>
      </w:r>
      <w:bookmarkEnd w:id="97"/>
      <w:bookmarkEnd w:id="98"/>
      <w:bookmarkEnd w:id="99"/>
      <w:bookmarkEnd w:id="100"/>
      <w:bookmarkEnd w:id="101"/>
      <w:bookmarkEnd w:id="102"/>
      <w:bookmarkEnd w:id="103"/>
    </w:p>
    <w:p w14:paraId="79F08DAB">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04" w:name="_Toc381776148"/>
      <w:bookmarkStart w:id="105" w:name="_Toc362883278"/>
      <w:bookmarkStart w:id="106" w:name="_Toc370459055"/>
      <w:r>
        <w:rPr>
          <w:rFonts w:hint="eastAsia" w:ascii="仿宋" w:hAnsi="仿宋" w:eastAsia="仿宋" w:cs="仿宋"/>
          <w:b/>
          <w:color w:val="auto"/>
          <w:spacing w:val="20"/>
          <w:sz w:val="22"/>
          <w:szCs w:val="22"/>
          <w:highlight w:val="none"/>
        </w:rPr>
        <w:t>5.2 发包人提供的材料和工程设备</w:t>
      </w:r>
      <w:bookmarkEnd w:id="104"/>
      <w:bookmarkEnd w:id="105"/>
      <w:bookmarkEnd w:id="106"/>
    </w:p>
    <w:p w14:paraId="73D94E3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bookmarkStart w:id="107" w:name="_Toc241374751"/>
      <w:r>
        <w:rPr>
          <w:rFonts w:hint="eastAsia" w:ascii="仿宋" w:hAnsi="仿宋" w:eastAsia="仿宋" w:cs="仿宋"/>
          <w:snapToGrid w:val="0"/>
          <w:color w:val="auto"/>
          <w:sz w:val="22"/>
          <w:szCs w:val="22"/>
          <w:highlight w:val="none"/>
        </w:rPr>
        <w:t>删除本款全文，代之以：</w:t>
      </w:r>
    </w:p>
    <w:p w14:paraId="0819C8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发包人不提供材料和工程设备</w:t>
      </w:r>
      <w:r>
        <w:rPr>
          <w:rFonts w:hint="eastAsia" w:ascii="仿宋" w:hAnsi="仿宋" w:eastAsia="仿宋" w:cs="仿宋"/>
          <w:snapToGrid w:val="0"/>
          <w:color w:val="auto"/>
          <w:sz w:val="22"/>
          <w:szCs w:val="22"/>
          <w:highlight w:val="none"/>
        </w:rPr>
        <w:t>。</w:t>
      </w:r>
    </w:p>
    <w:p w14:paraId="075242D5">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08" w:name="_Toc344282754"/>
      <w:bookmarkStart w:id="109" w:name="_Toc307478977"/>
      <w:bookmarkStart w:id="110" w:name="_Toc381776149"/>
      <w:bookmarkStart w:id="111" w:name="_Toc370459056"/>
      <w:bookmarkStart w:id="112" w:name="_Toc362883279"/>
      <w:bookmarkStart w:id="113" w:name="_Toc266998247"/>
      <w:r>
        <w:rPr>
          <w:rFonts w:hint="eastAsia" w:ascii="仿宋" w:hAnsi="仿宋" w:eastAsia="仿宋" w:cs="仿宋"/>
          <w:b/>
          <w:snapToGrid w:val="0"/>
          <w:color w:val="auto"/>
          <w:sz w:val="22"/>
          <w:szCs w:val="22"/>
          <w:highlight w:val="none"/>
        </w:rPr>
        <w:t>6 施工设备和临时设施</w:t>
      </w:r>
      <w:bookmarkEnd w:id="107"/>
      <w:bookmarkEnd w:id="108"/>
      <w:bookmarkEnd w:id="109"/>
      <w:bookmarkEnd w:id="110"/>
      <w:bookmarkEnd w:id="111"/>
      <w:bookmarkEnd w:id="112"/>
      <w:bookmarkEnd w:id="113"/>
    </w:p>
    <w:p w14:paraId="4322600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14" w:name="_Toc370459057"/>
      <w:bookmarkStart w:id="115" w:name="_Toc381776150"/>
      <w:bookmarkStart w:id="116" w:name="_Toc362883280"/>
      <w:r>
        <w:rPr>
          <w:rFonts w:hint="eastAsia" w:ascii="仿宋" w:hAnsi="仿宋" w:eastAsia="仿宋" w:cs="仿宋"/>
          <w:b/>
          <w:color w:val="auto"/>
          <w:spacing w:val="20"/>
          <w:sz w:val="22"/>
          <w:szCs w:val="22"/>
          <w:highlight w:val="none"/>
        </w:rPr>
        <w:t>6.1 承包人提供的施工设备和临时设施</w:t>
      </w:r>
    </w:p>
    <w:p w14:paraId="20820664">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snapToGrid w:val="0"/>
          <w:color w:val="auto"/>
          <w:sz w:val="22"/>
          <w:szCs w:val="22"/>
          <w:highlight w:val="none"/>
        </w:rPr>
        <w:t xml:space="preserve">6.1.2 </w:t>
      </w:r>
      <w:r>
        <w:rPr>
          <w:rFonts w:hint="eastAsia" w:ascii="仿宋" w:hAnsi="仿宋" w:eastAsia="仿宋" w:cs="仿宋"/>
          <w:color w:val="auto"/>
          <w:sz w:val="22"/>
          <w:szCs w:val="22"/>
          <w:highlight w:val="none"/>
        </w:rPr>
        <w:t>承包人应提供合理的临时用地方案，报发包人同意；发包人有权指定临时用地</w:t>
      </w:r>
      <w:r>
        <w:rPr>
          <w:rFonts w:hint="eastAsia" w:ascii="仿宋" w:hAnsi="仿宋" w:eastAsia="仿宋" w:cs="仿宋"/>
          <w:snapToGrid w:val="0"/>
          <w:color w:val="auto"/>
          <w:sz w:val="22"/>
          <w:szCs w:val="22"/>
          <w:highlight w:val="none"/>
        </w:rPr>
        <w:t>。</w:t>
      </w:r>
      <w:r>
        <w:rPr>
          <w:rFonts w:hint="eastAsia" w:ascii="仿宋" w:hAnsi="仿宋" w:eastAsia="仿宋" w:cs="仿宋"/>
          <w:color w:val="auto"/>
          <w:sz w:val="22"/>
          <w:szCs w:val="22"/>
          <w:highlight w:val="none"/>
        </w:rPr>
        <w:t>临时用地审批及租赁费由发包人负责，承包人应自行承担修建临时设施的费用。</w:t>
      </w:r>
    </w:p>
    <w:p w14:paraId="0DEE51E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6.2 发包人提供的施工设备和临时设施</w:t>
      </w:r>
      <w:bookmarkEnd w:id="114"/>
      <w:bookmarkEnd w:id="115"/>
      <w:bookmarkEnd w:id="116"/>
    </w:p>
    <w:p w14:paraId="75976685">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color w:val="auto"/>
          <w:sz w:val="22"/>
          <w:szCs w:val="22"/>
          <w:highlight w:val="none"/>
        </w:rPr>
        <w:t>发包人无施工设备和临时设施提供，均需由承包人自行提供，承包人须配备满足施工要求的主要施工机械设备</w:t>
      </w:r>
      <w:r>
        <w:rPr>
          <w:rFonts w:hint="eastAsia" w:ascii="仿宋" w:hAnsi="仿宋" w:eastAsia="仿宋" w:cs="仿宋"/>
          <w:snapToGrid w:val="0"/>
          <w:color w:val="auto"/>
          <w:sz w:val="22"/>
          <w:szCs w:val="22"/>
          <w:highlight w:val="none"/>
        </w:rPr>
        <w:t xml:space="preserve">。  </w:t>
      </w:r>
    </w:p>
    <w:p w14:paraId="3490898A">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17" w:name="_Toc344282756"/>
      <w:bookmarkStart w:id="118" w:name="_Toc140637786"/>
      <w:bookmarkStart w:id="119" w:name="_Toc45083852"/>
      <w:bookmarkStart w:id="120" w:name="_Toc370459059"/>
      <w:bookmarkStart w:id="121" w:name="_Toc266998249"/>
      <w:bookmarkStart w:id="122" w:name="_Toc211414973"/>
      <w:bookmarkStart w:id="123" w:name="_Toc42486664"/>
      <w:bookmarkStart w:id="124" w:name="_Toc307478979"/>
      <w:bookmarkStart w:id="125" w:name="_Toc217819050"/>
      <w:bookmarkStart w:id="126" w:name="_Toc139938722"/>
      <w:bookmarkStart w:id="127" w:name="_Toc362883282"/>
      <w:bookmarkStart w:id="128" w:name="_Toc205630997"/>
      <w:bookmarkStart w:id="129" w:name="_Toc381776152"/>
      <w:bookmarkStart w:id="130" w:name="_Toc180571570"/>
      <w:r>
        <w:rPr>
          <w:rFonts w:hint="eastAsia" w:ascii="仿宋" w:hAnsi="仿宋" w:eastAsia="仿宋" w:cs="仿宋"/>
          <w:b/>
          <w:snapToGrid w:val="0"/>
          <w:color w:val="auto"/>
          <w:sz w:val="22"/>
          <w:szCs w:val="22"/>
          <w:highlight w:val="none"/>
        </w:rPr>
        <w:t>7.交通运输</w:t>
      </w:r>
    </w:p>
    <w:p w14:paraId="4AA27FE6">
      <w:pPr>
        <w:keepLines/>
        <w:autoSpaceDE w:val="0"/>
        <w:autoSpaceDN w:val="0"/>
        <w:snapToGrid w:val="0"/>
        <w:spacing w:line="400" w:lineRule="exact"/>
        <w:ind w:firstLine="442" w:firstLineChars="200"/>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7.1道路通行权和场外设施道路通行权和场外设施的约定：</w:t>
      </w:r>
    </w:p>
    <w:p w14:paraId="6BA775A7">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(1)施工期间，公路的使用权，由承包人与当地有关部门协商解决。承包人在使用公路期间，应做好路面清扫、交通安全管理等工作，费用由承包人自行解决。</w:t>
      </w:r>
    </w:p>
    <w:p w14:paraId="36B4C07D">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(2)工程完工前承包人应对因施工造成的原有道路、排水等设施的损坏进行修缮，恢复原有使用功能，并包括到养护、道路部门办理所有相关手续，施工中应保证现状道路的安全畅通。</w:t>
      </w:r>
    </w:p>
    <w:p w14:paraId="048345BF">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(3)由承包人自行办理相关手续并承担费用。</w:t>
      </w:r>
    </w:p>
    <w:p w14:paraId="585EF176">
      <w:pPr>
        <w:keepLines/>
        <w:autoSpaceDE w:val="0"/>
        <w:autoSpaceDN w:val="0"/>
        <w:snapToGrid w:val="0"/>
        <w:spacing w:line="400" w:lineRule="exact"/>
        <w:ind w:firstLine="442" w:firstLineChars="200"/>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7.2场内施工道路</w:t>
      </w:r>
    </w:p>
    <w:p w14:paraId="011EE1D9">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7.2.1款修改为：因施工所需的施工范围内的全部临时道路和交通设施由承包人负责修建、维修、养护和管理，并承担相应费用。</w:t>
      </w:r>
    </w:p>
    <w:p w14:paraId="618D33D9">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8 测量放线</w:t>
      </w:r>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14:paraId="1664193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31" w:name="_Toc42486665"/>
      <w:bookmarkStart w:id="132" w:name="_Toc180571571"/>
      <w:bookmarkStart w:id="133" w:name="_Toc140637787"/>
      <w:bookmarkStart w:id="134" w:name="_Toc45083853"/>
      <w:bookmarkStart w:id="135" w:name="_Toc139938723"/>
      <w:r>
        <w:rPr>
          <w:rFonts w:hint="eastAsia" w:ascii="仿宋" w:hAnsi="仿宋" w:eastAsia="仿宋" w:cs="仿宋"/>
          <w:b/>
          <w:color w:val="auto"/>
          <w:spacing w:val="20"/>
          <w:sz w:val="22"/>
          <w:szCs w:val="22"/>
          <w:highlight w:val="none"/>
        </w:rPr>
        <w:t>8.1 施工控制网</w:t>
      </w:r>
      <w:bookmarkEnd w:id="131"/>
      <w:bookmarkEnd w:id="132"/>
      <w:bookmarkEnd w:id="133"/>
      <w:bookmarkEnd w:id="134"/>
      <w:bookmarkEnd w:id="135"/>
    </w:p>
    <w:p w14:paraId="69D684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8.1.1 施工控制网的约定：</w:t>
      </w:r>
      <w:r>
        <w:rPr>
          <w:rFonts w:hint="eastAsia" w:ascii="仿宋" w:hAnsi="仿宋" w:eastAsia="仿宋" w:cs="仿宋"/>
          <w:snapToGrid w:val="0"/>
          <w:color w:val="auto"/>
          <w:sz w:val="22"/>
          <w:szCs w:val="22"/>
          <w:highlight w:val="none"/>
          <w:u w:val="single"/>
        </w:rPr>
        <w:t>发包人应在本合同协议书签订后的14天内，通过监理人向承包人提供测量基准点布置图、基准线和水准点及其书面资料。承包人在接到测量基准点布置图后14天内完成施工控制网布设，并将施工控制网资料报送监理人审批。监理人应在收到报批件后14天内批复承包人。</w:t>
      </w:r>
    </w:p>
    <w:p w14:paraId="473D620C">
      <w:pPr>
        <w:spacing w:line="360" w:lineRule="auto"/>
        <w:rPr>
          <w:rFonts w:hint="eastAsia" w:ascii="仿宋" w:hAnsi="仿宋" w:eastAsia="仿宋" w:cs="仿宋"/>
          <w:b/>
          <w:bCs/>
          <w:color w:val="auto"/>
          <w:sz w:val="22"/>
          <w:szCs w:val="22"/>
          <w:highlight w:val="none"/>
        </w:rPr>
      </w:pPr>
      <w:bookmarkStart w:id="136" w:name="_Toc344282757"/>
      <w:bookmarkStart w:id="137" w:name="_Toc362883283"/>
      <w:bookmarkStart w:id="138" w:name="_Toc307478980"/>
      <w:bookmarkStart w:id="139" w:name="_Toc266998250"/>
      <w:bookmarkStart w:id="140" w:name="_Toc370459060"/>
      <w:bookmarkStart w:id="141" w:name="_Toc259802231"/>
      <w:bookmarkStart w:id="142" w:name="_Toc381776153"/>
      <w:r>
        <w:rPr>
          <w:rFonts w:hint="eastAsia" w:ascii="仿宋" w:hAnsi="仿宋" w:eastAsia="仿宋" w:cs="仿宋"/>
          <w:b/>
          <w:bCs/>
          <w:color w:val="auto"/>
          <w:sz w:val="22"/>
          <w:szCs w:val="22"/>
          <w:highlight w:val="none"/>
        </w:rPr>
        <w:t>9 施工安全、治安保卫和环境保护</w:t>
      </w:r>
      <w:bookmarkEnd w:id="136"/>
      <w:bookmarkEnd w:id="137"/>
      <w:bookmarkEnd w:id="138"/>
      <w:bookmarkEnd w:id="139"/>
      <w:bookmarkEnd w:id="140"/>
      <w:bookmarkEnd w:id="141"/>
      <w:bookmarkEnd w:id="142"/>
    </w:p>
    <w:p w14:paraId="125B3058">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9.2 承包人的施工安全责任</w:t>
      </w:r>
    </w:p>
    <w:p w14:paraId="73821C5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款增加：承包人应保证本工程施工安全（包括土方外运、材料运输等交通安全），严格遵守有关的法律、法规，服从相关部门的管理，并按照发包人要求配备道路交通安全管理员和路面保洁人员，按规定实施道路管理和路面清洁工作，以确保安全目标的实现。上述人员承包人应按规定为其办理安全保险手续并承担保险缴费，施工场地承包人要按照规定做好警示标志。承包人因自身原因未实现合同约定的安全目标，支付违约金为履约担保金额的100%。每发生一次死亡事故或重大安全事故按有关安全规定，追究项目负责人及相关人员责任，上述违约金，发包人从履约担保中扣除或受偿，不足部分在当期工程进度款中直接扣除。</w:t>
      </w:r>
    </w:p>
    <w:p w14:paraId="68E5180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9.7 文明工地</w:t>
      </w:r>
    </w:p>
    <w:p w14:paraId="4B61A7B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bookmarkStart w:id="143" w:name="_Toc283728729"/>
      <w:bookmarkStart w:id="144" w:name="_Toc294467361"/>
      <w:bookmarkStart w:id="145" w:name="_Toc281852224"/>
      <w:bookmarkStart w:id="146" w:name="_Toc307478981"/>
      <w:bookmarkStart w:id="147" w:name="_Toc281852088"/>
      <w:bookmarkStart w:id="148" w:name="_Toc344282758"/>
      <w:bookmarkStart w:id="149" w:name="_Toc381776154"/>
      <w:bookmarkStart w:id="150" w:name="_Toc362883284"/>
      <w:bookmarkStart w:id="151" w:name="_Toc370459061"/>
      <w:r>
        <w:rPr>
          <w:rFonts w:hint="eastAsia" w:ascii="仿宋" w:hAnsi="仿宋" w:eastAsia="仿宋" w:cs="仿宋"/>
          <w:snapToGrid w:val="0"/>
          <w:color w:val="auto"/>
          <w:sz w:val="22"/>
          <w:szCs w:val="22"/>
          <w:highlight w:val="none"/>
        </w:rPr>
        <w:t>本合同文明工地的约定：合格。</w:t>
      </w:r>
    </w:p>
    <w:p w14:paraId="7B9D520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合同当事人对文明施工的要求：承包人应遵守工程建设安全生产管理有关规定，严格执行按照安全标准组织施工、全面做到安全生产。安全施工与检查、安全防护等费用均由承包人承担。因承包人的原因造成安全事故的一切责任和费用由承包人承担。承包人对承包范围内所有工程项目的施工现场的安全生产负总责。承包人的安全生产管理机构和专职安全生产管理人员负责对安全文明施工措施的组织实施进行现场监督检查。监理人和发包人有权随时对承包人的安全文明施工措施的组织实施进行监督检查。</w:t>
      </w:r>
    </w:p>
    <w:p w14:paraId="4DF06508">
      <w:pPr>
        <w:autoSpaceDE w:val="0"/>
        <w:autoSpaceDN w:val="0"/>
        <w:snapToGrid w:val="0"/>
        <w:spacing w:line="400" w:lineRule="exact"/>
        <w:ind w:firstLine="442" w:firstLineChars="200"/>
        <w:textAlignment w:val="baseline"/>
        <w:rPr>
          <w:rFonts w:hint="eastAsia" w:ascii="仿宋" w:hAnsi="仿宋" w:eastAsia="仿宋" w:cs="仿宋"/>
          <w:b/>
          <w:bCs/>
          <w:snapToGrid w:val="0"/>
          <w:color w:val="auto"/>
          <w:sz w:val="22"/>
          <w:szCs w:val="22"/>
          <w:highlight w:val="none"/>
        </w:rPr>
      </w:pPr>
      <w:r>
        <w:rPr>
          <w:rFonts w:hint="eastAsia" w:ascii="仿宋" w:hAnsi="仿宋" w:eastAsia="仿宋" w:cs="仿宋"/>
          <w:b/>
          <w:bCs/>
          <w:snapToGrid w:val="0"/>
          <w:color w:val="auto"/>
          <w:sz w:val="22"/>
          <w:szCs w:val="22"/>
          <w:highlight w:val="none"/>
        </w:rPr>
        <w:t>9.8防汛度汛</w:t>
      </w:r>
    </w:p>
    <w:p w14:paraId="48865C4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9.8.3汛期前，承包人应编制防洪度汛预案，并按《水利水电工程施工通用安全技术规程》相关规定，制定切实可行的预防和减灾措施。</w:t>
      </w:r>
    </w:p>
    <w:p w14:paraId="61F0E073">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 开工和竣工（完工</w:t>
      </w:r>
      <w:bookmarkEnd w:id="143"/>
      <w:bookmarkEnd w:id="144"/>
      <w:bookmarkEnd w:id="145"/>
      <w:bookmarkEnd w:id="146"/>
      <w:bookmarkEnd w:id="147"/>
      <w:bookmarkEnd w:id="148"/>
      <w:r>
        <w:rPr>
          <w:rFonts w:hint="eastAsia" w:ascii="仿宋" w:hAnsi="仿宋" w:eastAsia="仿宋" w:cs="仿宋"/>
          <w:b/>
          <w:snapToGrid w:val="0"/>
          <w:color w:val="auto"/>
          <w:sz w:val="22"/>
          <w:szCs w:val="22"/>
          <w:highlight w:val="none"/>
        </w:rPr>
        <w:t>）</w:t>
      </w:r>
      <w:bookmarkEnd w:id="149"/>
      <w:bookmarkEnd w:id="150"/>
      <w:bookmarkEnd w:id="151"/>
    </w:p>
    <w:p w14:paraId="7BFD269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52" w:name="_Toc381776155"/>
      <w:bookmarkStart w:id="153" w:name="_Toc370459062"/>
      <w:bookmarkStart w:id="154" w:name="_Toc283728730"/>
      <w:bookmarkStart w:id="155" w:name="_Toc362883285"/>
      <w:r>
        <w:rPr>
          <w:rFonts w:hint="eastAsia" w:ascii="仿宋" w:hAnsi="仿宋" w:eastAsia="仿宋" w:cs="仿宋"/>
          <w:b/>
          <w:color w:val="auto"/>
          <w:spacing w:val="20"/>
          <w:sz w:val="22"/>
          <w:szCs w:val="22"/>
          <w:highlight w:val="none"/>
        </w:rPr>
        <w:t>11.4 异常恶劣的气候条件</w:t>
      </w:r>
      <w:bookmarkEnd w:id="152"/>
      <w:bookmarkEnd w:id="153"/>
      <w:bookmarkEnd w:id="154"/>
      <w:bookmarkEnd w:id="155"/>
    </w:p>
    <w:p w14:paraId="3499AE6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11.4.3 本合同工程界定异常恶劣的气候条件的范围为：</w:t>
      </w:r>
    </w:p>
    <w:p w14:paraId="17AE25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(1)日降雨量大于50mm的雨日超过1天；</w:t>
      </w:r>
    </w:p>
    <w:p w14:paraId="2C24C3E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(2)风速大于17.2m/s的8级以上台风灾害；</w:t>
      </w:r>
    </w:p>
    <w:p w14:paraId="32FE518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(3)日气温超过40°C的高温大于5天；</w:t>
      </w:r>
    </w:p>
    <w:p w14:paraId="02F172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(4)日气温低于-5°C的严寒大于5天；</w:t>
      </w:r>
    </w:p>
    <w:p w14:paraId="716FE62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(5)造成工程损失的冰雹和大雪灾害；</w:t>
      </w:r>
    </w:p>
    <w:p w14:paraId="1B00E6C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(6)政府有关部分通知停工的其它异常恶劣气候灾害。</w:t>
      </w:r>
    </w:p>
    <w:p w14:paraId="3DFB650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56" w:name="_Toc370459063"/>
      <w:bookmarkStart w:id="157" w:name="_Toc381776156"/>
      <w:bookmarkStart w:id="158" w:name="_Toc362883286"/>
      <w:bookmarkStart w:id="159" w:name="_Toc283728731"/>
      <w:r>
        <w:rPr>
          <w:rFonts w:hint="eastAsia" w:ascii="仿宋" w:hAnsi="仿宋" w:eastAsia="仿宋" w:cs="仿宋"/>
          <w:b/>
          <w:color w:val="auto"/>
          <w:spacing w:val="20"/>
          <w:sz w:val="22"/>
          <w:szCs w:val="22"/>
          <w:highlight w:val="none"/>
        </w:rPr>
        <w:t>11.5 承包人的工期延误</w:t>
      </w:r>
      <w:bookmarkEnd w:id="156"/>
      <w:bookmarkEnd w:id="157"/>
      <w:bookmarkEnd w:id="158"/>
      <w:bookmarkEnd w:id="159"/>
    </w:p>
    <w:p w14:paraId="1D734B7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逾期完工违约金表。</w:t>
      </w:r>
    </w:p>
    <w:p w14:paraId="2117E3D1">
      <w:pPr>
        <w:autoSpaceDE w:val="0"/>
        <w:autoSpaceDN w:val="0"/>
        <w:snapToGrid w:val="0"/>
        <w:spacing w:line="400" w:lineRule="exact"/>
        <w:ind w:firstLine="442" w:firstLineChars="200"/>
        <w:jc w:val="center"/>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逾期完工违约金表</w:t>
      </w:r>
    </w:p>
    <w:tbl>
      <w:tblPr>
        <w:tblStyle w:val="21"/>
        <w:tblW w:w="9040" w:type="dxa"/>
        <w:tblInd w:w="2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957"/>
        <w:gridCol w:w="2306"/>
        <w:gridCol w:w="3881"/>
        <w:gridCol w:w="1896"/>
      </w:tblGrid>
      <w:tr w14:paraId="41C747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43" w:hRule="atLeast"/>
        </w:trPr>
        <w:tc>
          <w:tcPr>
            <w:tcW w:w="957" w:type="dxa"/>
            <w:noWrap w:val="0"/>
            <w:vAlign w:val="center"/>
          </w:tcPr>
          <w:p w14:paraId="212D59C6">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序号</w:t>
            </w:r>
          </w:p>
        </w:tc>
        <w:tc>
          <w:tcPr>
            <w:tcW w:w="2306" w:type="dxa"/>
            <w:noWrap w:val="0"/>
            <w:vAlign w:val="center"/>
          </w:tcPr>
          <w:p w14:paraId="7AE48354">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项目及其说明</w:t>
            </w:r>
          </w:p>
        </w:tc>
        <w:tc>
          <w:tcPr>
            <w:tcW w:w="3881" w:type="dxa"/>
            <w:noWrap w:val="0"/>
            <w:vAlign w:val="center"/>
          </w:tcPr>
          <w:p w14:paraId="63230BFC">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要求完工日期</w:t>
            </w:r>
          </w:p>
        </w:tc>
        <w:tc>
          <w:tcPr>
            <w:tcW w:w="1896" w:type="dxa"/>
            <w:noWrap w:val="0"/>
            <w:vAlign w:val="center"/>
          </w:tcPr>
          <w:p w14:paraId="20A38541">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违约金（元/天）</w:t>
            </w:r>
          </w:p>
        </w:tc>
      </w:tr>
      <w:tr w14:paraId="4655DF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41" w:hRule="atLeast"/>
        </w:trPr>
        <w:tc>
          <w:tcPr>
            <w:tcW w:w="957" w:type="dxa"/>
            <w:noWrap w:val="0"/>
            <w:vAlign w:val="center"/>
          </w:tcPr>
          <w:p w14:paraId="732AE7BB">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w:t>
            </w:r>
          </w:p>
        </w:tc>
        <w:tc>
          <w:tcPr>
            <w:tcW w:w="2306" w:type="dxa"/>
            <w:noWrap w:val="0"/>
            <w:vAlign w:val="center"/>
          </w:tcPr>
          <w:p w14:paraId="50AF7800">
            <w:pPr>
              <w:autoSpaceDE w:val="0"/>
              <w:autoSpaceDN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全部工程</w:t>
            </w:r>
          </w:p>
        </w:tc>
        <w:tc>
          <w:tcPr>
            <w:tcW w:w="3881" w:type="dxa"/>
            <w:noWrap w:val="0"/>
            <w:vAlign w:val="center"/>
          </w:tcPr>
          <w:p w14:paraId="1932DC3C">
            <w:pPr>
              <w:autoSpaceDE w:val="0"/>
              <w:autoSpaceDN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自开工令发出之日起</w:t>
            </w:r>
            <w:r>
              <w:rPr>
                <w:rFonts w:hint="eastAsia" w:ascii="仿宋" w:hAnsi="仿宋" w:eastAsia="仿宋" w:cs="仿宋"/>
                <w:snapToGrid w:val="0"/>
                <w:color w:val="auto"/>
                <w:sz w:val="22"/>
                <w:szCs w:val="22"/>
                <w:highlight w:val="none"/>
                <w:lang w:val="en-US" w:eastAsia="zh-CN"/>
              </w:rPr>
              <w:t>180</w:t>
            </w:r>
            <w:r>
              <w:rPr>
                <w:rFonts w:hint="eastAsia" w:ascii="仿宋" w:hAnsi="仿宋" w:eastAsia="仿宋" w:cs="仿宋"/>
                <w:snapToGrid w:val="0"/>
                <w:color w:val="auto"/>
                <w:sz w:val="22"/>
                <w:szCs w:val="22"/>
                <w:highlight w:val="none"/>
              </w:rPr>
              <w:t>日历天内完成</w:t>
            </w:r>
          </w:p>
        </w:tc>
        <w:tc>
          <w:tcPr>
            <w:tcW w:w="1896" w:type="dxa"/>
            <w:noWrap w:val="0"/>
            <w:vAlign w:val="center"/>
          </w:tcPr>
          <w:p w14:paraId="71F14F9B">
            <w:pPr>
              <w:autoSpaceDE w:val="0"/>
              <w:autoSpaceDN w:val="0"/>
              <w:spacing w:line="400" w:lineRule="exact"/>
              <w:ind w:left="22" w:hanging="22" w:hangingChars="10"/>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2000</w:t>
            </w:r>
          </w:p>
        </w:tc>
      </w:tr>
    </w:tbl>
    <w:p w14:paraId="4B6E574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⑵ 全部逾期完工违约金的总限额为不超过履约保证金的</w:t>
      </w:r>
      <w:r>
        <w:rPr>
          <w:rFonts w:hint="eastAsia" w:ascii="仿宋" w:hAnsi="仿宋" w:eastAsia="仿宋" w:cs="仿宋"/>
          <w:snapToGrid w:val="0"/>
          <w:color w:val="auto"/>
          <w:sz w:val="22"/>
          <w:szCs w:val="22"/>
          <w:highlight w:val="none"/>
          <w:u w:val="single"/>
        </w:rPr>
        <w:t xml:space="preserve"> 100 </w:t>
      </w:r>
      <w:r>
        <w:rPr>
          <w:rFonts w:hint="eastAsia" w:ascii="仿宋" w:hAnsi="仿宋" w:eastAsia="仿宋" w:cs="仿宋"/>
          <w:snapToGrid w:val="0"/>
          <w:color w:val="auto"/>
          <w:sz w:val="22"/>
          <w:szCs w:val="22"/>
          <w:highlight w:val="none"/>
        </w:rPr>
        <w:t>%。</w:t>
      </w:r>
    </w:p>
    <w:p w14:paraId="407D611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60" w:name="_Toc381776157"/>
      <w:bookmarkStart w:id="161" w:name="_Toc362883287"/>
      <w:bookmarkStart w:id="162" w:name="_Toc370459064"/>
      <w:bookmarkStart w:id="163" w:name="_Toc283728732"/>
      <w:r>
        <w:rPr>
          <w:rFonts w:hint="eastAsia" w:ascii="仿宋" w:hAnsi="仿宋" w:eastAsia="仿宋" w:cs="仿宋"/>
          <w:b/>
          <w:color w:val="auto"/>
          <w:spacing w:val="20"/>
          <w:sz w:val="22"/>
          <w:szCs w:val="22"/>
          <w:highlight w:val="none"/>
        </w:rPr>
        <w:t>11.6 工期提前</w:t>
      </w:r>
      <w:bookmarkEnd w:id="160"/>
      <w:bookmarkEnd w:id="161"/>
      <w:bookmarkEnd w:id="162"/>
      <w:bookmarkEnd w:id="163"/>
    </w:p>
    <w:p w14:paraId="4CE75BE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工期提前的奖金约定：</w:t>
      </w:r>
      <w:r>
        <w:rPr>
          <w:rFonts w:hint="eastAsia" w:ascii="仿宋" w:hAnsi="仿宋" w:eastAsia="仿宋" w:cs="仿宋"/>
          <w:snapToGrid w:val="0"/>
          <w:color w:val="auto"/>
          <w:sz w:val="22"/>
          <w:szCs w:val="22"/>
          <w:highlight w:val="none"/>
          <w:u w:val="single"/>
        </w:rPr>
        <w:t xml:space="preserve"> 工期提前不奖励 </w:t>
      </w:r>
      <w:r>
        <w:rPr>
          <w:rFonts w:hint="eastAsia" w:ascii="仿宋" w:hAnsi="仿宋" w:eastAsia="仿宋" w:cs="仿宋"/>
          <w:snapToGrid w:val="0"/>
          <w:color w:val="auto"/>
          <w:sz w:val="22"/>
          <w:szCs w:val="22"/>
          <w:highlight w:val="none"/>
        </w:rPr>
        <w:t>。</w:t>
      </w:r>
    </w:p>
    <w:p w14:paraId="6500A3B0">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64" w:name="_Toc381776158"/>
      <w:bookmarkStart w:id="165" w:name="_Toc362883288"/>
      <w:bookmarkStart w:id="166" w:name="_Toc344282759"/>
      <w:bookmarkStart w:id="167" w:name="_Toc370459065"/>
      <w:bookmarkStart w:id="168" w:name="_Toc259802233"/>
      <w:bookmarkStart w:id="169" w:name="_Toc266998253"/>
      <w:bookmarkStart w:id="170" w:name="_Toc307478982"/>
      <w:bookmarkStart w:id="171" w:name="_Toc217819052"/>
      <w:r>
        <w:rPr>
          <w:rFonts w:hint="eastAsia" w:ascii="仿宋" w:hAnsi="仿宋" w:eastAsia="仿宋" w:cs="仿宋"/>
          <w:b/>
          <w:snapToGrid w:val="0"/>
          <w:color w:val="auto"/>
          <w:sz w:val="22"/>
          <w:szCs w:val="22"/>
          <w:highlight w:val="none"/>
        </w:rPr>
        <w:t>12 暂停施工</w:t>
      </w:r>
      <w:bookmarkEnd w:id="164"/>
      <w:bookmarkEnd w:id="165"/>
      <w:bookmarkEnd w:id="166"/>
      <w:bookmarkEnd w:id="167"/>
      <w:bookmarkEnd w:id="168"/>
      <w:bookmarkEnd w:id="169"/>
      <w:bookmarkEnd w:id="170"/>
    </w:p>
    <w:p w14:paraId="0007B09E">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12.1 承包人暂停施工的责任</w:t>
      </w:r>
    </w:p>
    <w:p w14:paraId="1907B90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⑸ 承包人承担暂停施工责任的其他情形：</w:t>
      </w:r>
      <w:r>
        <w:rPr>
          <w:rFonts w:hint="eastAsia" w:ascii="仿宋" w:hAnsi="仿宋" w:eastAsia="仿宋" w:cs="仿宋"/>
          <w:snapToGrid w:val="0"/>
          <w:color w:val="auto"/>
          <w:sz w:val="22"/>
          <w:szCs w:val="22"/>
          <w:highlight w:val="none"/>
          <w:u w:val="single"/>
        </w:rPr>
        <w:t xml:space="preserve"> 现场气候条件导致的必要停工（第11.4.3项规定的异常恶劣的气候条件除外） </w:t>
      </w:r>
      <w:r>
        <w:rPr>
          <w:rFonts w:hint="eastAsia" w:ascii="仿宋" w:hAnsi="仿宋" w:eastAsia="仿宋" w:cs="仿宋"/>
          <w:snapToGrid w:val="0"/>
          <w:color w:val="auto"/>
          <w:sz w:val="22"/>
          <w:szCs w:val="22"/>
          <w:highlight w:val="none"/>
        </w:rPr>
        <w:t>。</w:t>
      </w:r>
    </w:p>
    <w:p w14:paraId="08B33741">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12.2 发包人暂停施工的责任</w:t>
      </w:r>
    </w:p>
    <w:p w14:paraId="10D0A89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⑶ 发包人承担暂停施工责任的其他情形：</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5754577E">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72" w:name="_Toc344282760"/>
      <w:bookmarkStart w:id="173" w:name="_Toc370459066"/>
      <w:bookmarkStart w:id="174" w:name="_Toc266998254"/>
      <w:bookmarkStart w:id="175" w:name="_Toc381776159"/>
      <w:bookmarkStart w:id="176" w:name="_Toc307478983"/>
      <w:bookmarkStart w:id="177" w:name="_Toc362883289"/>
      <w:r>
        <w:rPr>
          <w:rFonts w:hint="eastAsia" w:ascii="仿宋" w:hAnsi="仿宋" w:eastAsia="仿宋" w:cs="仿宋"/>
          <w:b/>
          <w:snapToGrid w:val="0"/>
          <w:color w:val="auto"/>
          <w:sz w:val="22"/>
          <w:szCs w:val="22"/>
          <w:highlight w:val="none"/>
        </w:rPr>
        <w:t>13 工程质量</w:t>
      </w:r>
      <w:bookmarkEnd w:id="171"/>
      <w:bookmarkEnd w:id="172"/>
      <w:bookmarkEnd w:id="173"/>
      <w:bookmarkEnd w:id="174"/>
      <w:bookmarkEnd w:id="175"/>
      <w:bookmarkEnd w:id="176"/>
      <w:bookmarkEnd w:id="177"/>
    </w:p>
    <w:p w14:paraId="4D4EB54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78" w:name="_Toc370459067"/>
      <w:bookmarkStart w:id="179" w:name="_Toc362883290"/>
      <w:bookmarkStart w:id="180" w:name="_Toc381776160"/>
      <w:bookmarkStart w:id="181" w:name="_Toc217819053"/>
      <w:r>
        <w:rPr>
          <w:rFonts w:hint="eastAsia" w:ascii="仿宋" w:hAnsi="仿宋" w:eastAsia="仿宋" w:cs="仿宋"/>
          <w:b/>
          <w:color w:val="auto"/>
          <w:spacing w:val="20"/>
          <w:sz w:val="22"/>
          <w:szCs w:val="22"/>
          <w:highlight w:val="none"/>
        </w:rPr>
        <w:t>13.7 质量评定</w:t>
      </w:r>
      <w:bookmarkEnd w:id="178"/>
      <w:bookmarkEnd w:id="179"/>
      <w:bookmarkEnd w:id="180"/>
    </w:p>
    <w:p w14:paraId="31EC489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13.7.4 重要隐蔽单元工程和关键部位单元工程质量评定的约定：</w:t>
      </w:r>
      <w:r>
        <w:rPr>
          <w:rFonts w:hint="eastAsia" w:ascii="仿宋" w:hAnsi="仿宋" w:eastAsia="仿宋" w:cs="仿宋"/>
          <w:snapToGrid w:val="0"/>
          <w:color w:val="auto"/>
          <w:sz w:val="22"/>
          <w:szCs w:val="22"/>
          <w:highlight w:val="none"/>
          <w:u w:val="single"/>
        </w:rPr>
        <w:t>按国家和行业施工验收规范一次性验收合格</w:t>
      </w:r>
      <w:r>
        <w:rPr>
          <w:rFonts w:hint="eastAsia" w:ascii="仿宋" w:hAnsi="仿宋" w:eastAsia="仿宋" w:cs="仿宋"/>
          <w:snapToGrid w:val="0"/>
          <w:color w:val="auto"/>
          <w:sz w:val="22"/>
          <w:szCs w:val="22"/>
          <w:highlight w:val="none"/>
        </w:rPr>
        <w:t>。</w:t>
      </w:r>
    </w:p>
    <w:p w14:paraId="5DE8C134">
      <w:pPr>
        <w:autoSpaceDE w:val="0"/>
        <w:autoSpaceDN w:val="0"/>
        <w:snapToGrid w:val="0"/>
        <w:spacing w:line="400" w:lineRule="exact"/>
        <w:ind w:firstLine="459" w:firstLineChars="209"/>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因自身原因未实现合同约定的质量目标，支付履约保证金的100%的违约金，违约金在工程进度款中直接扣除。承包人支付质量违约金的同时，不免除承包人质量返工或整改的责任，直至工程达到合同约定的标准。</w:t>
      </w:r>
    </w:p>
    <w:p w14:paraId="0FBFA831">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82" w:name="_Toc266998255"/>
      <w:bookmarkStart w:id="183" w:name="_Toc259802235"/>
      <w:bookmarkStart w:id="184" w:name="_Toc344282761"/>
      <w:bookmarkStart w:id="185" w:name="_Toc381776161"/>
      <w:bookmarkStart w:id="186" w:name="_Toc307478984"/>
      <w:bookmarkStart w:id="187" w:name="_Toc370459068"/>
      <w:bookmarkStart w:id="188" w:name="_Toc362883291"/>
      <w:r>
        <w:rPr>
          <w:rFonts w:hint="eastAsia" w:ascii="仿宋" w:hAnsi="仿宋" w:eastAsia="仿宋" w:cs="仿宋"/>
          <w:b/>
          <w:snapToGrid w:val="0"/>
          <w:color w:val="auto"/>
          <w:sz w:val="22"/>
          <w:szCs w:val="22"/>
          <w:highlight w:val="none"/>
        </w:rPr>
        <w:t>14 试验和检验</w:t>
      </w:r>
      <w:bookmarkEnd w:id="182"/>
      <w:bookmarkEnd w:id="183"/>
      <w:bookmarkEnd w:id="184"/>
      <w:bookmarkEnd w:id="185"/>
      <w:bookmarkEnd w:id="186"/>
      <w:bookmarkEnd w:id="187"/>
      <w:bookmarkEnd w:id="188"/>
    </w:p>
    <w:p w14:paraId="0C70454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14.1 材料、工程设备和工程的试验和检验</w:t>
      </w:r>
    </w:p>
    <w:p w14:paraId="5C69250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14.1.5 水工金属结构、启闭机及机电产品进场后的交货检查和验收中，承包人负责</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254D306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14.1.6 本工程实行见证取样的试块、试件及有关材料：</w:t>
      </w:r>
      <w:r>
        <w:rPr>
          <w:rFonts w:hint="eastAsia" w:ascii="仿宋" w:hAnsi="仿宋" w:eastAsia="仿宋" w:cs="仿宋"/>
          <w:snapToGrid w:val="0"/>
          <w:color w:val="auto"/>
          <w:sz w:val="22"/>
          <w:szCs w:val="22"/>
          <w:highlight w:val="none"/>
          <w:u w:val="single"/>
        </w:rPr>
        <w:t xml:space="preserve"> 砼、钢筋、黄砂、水泥、块石等，具体由监理人按相关规定确认。水利部分按《水利水电工程施工质量检验与评定规程》 SL176-2007、《水利水电工程启闭机制造安装及验收规范》 SL381-2007；《水利水电建设工程验收规程》SL223-2008；《水利水电工程机电设备安装安全技术规程》 SL400-2016 等（如有最新文件规定的按最新文件规定执行）。</w:t>
      </w:r>
    </w:p>
    <w:p w14:paraId="573F2988">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89" w:name="_Toc370459069"/>
      <w:bookmarkStart w:id="190" w:name="_Toc362883292"/>
      <w:bookmarkStart w:id="191" w:name="_Toc266998256"/>
      <w:bookmarkStart w:id="192" w:name="_Toc381776162"/>
      <w:bookmarkStart w:id="193" w:name="_Toc307478985"/>
      <w:bookmarkStart w:id="194" w:name="_Toc344282762"/>
      <w:r>
        <w:rPr>
          <w:rFonts w:hint="eastAsia" w:ascii="仿宋" w:hAnsi="仿宋" w:eastAsia="仿宋" w:cs="仿宋"/>
          <w:b/>
          <w:snapToGrid w:val="0"/>
          <w:color w:val="auto"/>
          <w:sz w:val="22"/>
          <w:szCs w:val="22"/>
          <w:highlight w:val="none"/>
        </w:rPr>
        <w:t>15 变更</w:t>
      </w:r>
      <w:bookmarkEnd w:id="181"/>
      <w:bookmarkEnd w:id="189"/>
      <w:bookmarkEnd w:id="190"/>
      <w:bookmarkEnd w:id="191"/>
      <w:bookmarkEnd w:id="192"/>
      <w:bookmarkEnd w:id="193"/>
      <w:bookmarkEnd w:id="194"/>
    </w:p>
    <w:p w14:paraId="72A8ADDA">
      <w:pPr>
        <w:keepNext/>
        <w:keepLines/>
        <w:numPr>
          <w:ilvl w:val="4"/>
          <w:numId w:val="0"/>
        </w:numPr>
        <w:snapToGrid w:val="0"/>
        <w:spacing w:line="400" w:lineRule="exact"/>
        <w:outlineLvl w:val="4"/>
        <w:rPr>
          <w:rFonts w:hint="eastAsia" w:ascii="仿宋" w:hAnsi="仿宋" w:eastAsia="仿宋" w:cs="仿宋"/>
          <w:b/>
          <w:color w:val="auto"/>
          <w:sz w:val="22"/>
          <w:szCs w:val="22"/>
          <w:highlight w:val="none"/>
        </w:rPr>
      </w:pPr>
      <w:r>
        <w:rPr>
          <w:rFonts w:hint="eastAsia" w:ascii="仿宋" w:hAnsi="仿宋" w:eastAsia="仿宋" w:cs="仿宋"/>
          <w:b/>
          <w:color w:val="auto"/>
          <w:spacing w:val="20"/>
          <w:sz w:val="22"/>
          <w:szCs w:val="22"/>
          <w:highlight w:val="none"/>
        </w:rPr>
        <w:t>15.1 变更的范围和内容</w:t>
      </w:r>
    </w:p>
    <w:p w14:paraId="57C9E2B5">
      <w:pPr>
        <w:keepNext/>
        <w:keepLines/>
        <w:numPr>
          <w:ilvl w:val="4"/>
          <w:numId w:val="0"/>
        </w:numPr>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本工程合同价款采用固定单价，可调总价合同。</w:t>
      </w:r>
    </w:p>
    <w:p w14:paraId="6E5FA7C6">
      <w:pPr>
        <w:keepNext/>
        <w:keepLines/>
        <w:numPr>
          <w:ilvl w:val="0"/>
          <w:numId w:val="5"/>
        </w:numPr>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款细化为：凡合价金额占签约合同总价 2%及以上的分类分项清单项目，其工程量增加或减少超过本项目工程数量 15%及以上时，或合价金额占签约合同总价不到 2%的分类分项清单项目，但其工程量增加或减少超过本项目工程数量 25%及以上时，其超过部分增加的工程量或减少的工程量的相应单价调整方式按本专用合同条款 </w:t>
      </w:r>
    </w:p>
    <w:p w14:paraId="1546248F">
      <w:pPr>
        <w:keepNext/>
        <w:keepLines/>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15.4条相关约定执行。</w:t>
      </w:r>
    </w:p>
    <w:p w14:paraId="4659886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工程量的调整：</w:t>
      </w:r>
    </w:p>
    <w:p w14:paraId="00BF813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发生下列情况之一的，项目的工程量均应按实调整：</w:t>
      </w:r>
    </w:p>
    <w:p w14:paraId="502340F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发包人提供的工程量清单的项目或数量有误；</w:t>
      </w:r>
    </w:p>
    <w:p w14:paraId="199037A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设计变更引起的工程量清单的项目或数量增减；</w:t>
      </w:r>
    </w:p>
    <w:p w14:paraId="46B1E97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经发包人、设计、监理共同确认的联系单；</w:t>
      </w:r>
    </w:p>
    <w:p w14:paraId="6574E967">
      <w:pPr>
        <w:numPr>
          <w:ilvl w:val="0"/>
          <w:numId w:val="4"/>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变更的工程量应根据竣工图纸、变更联系单、会议纪要等按有关工程量计算规则计算，经监理造价人员审核，并经发包人或其委托的跟踪审计单位工程师审定确认。</w:t>
      </w:r>
    </w:p>
    <w:p w14:paraId="438F349B">
      <w:pPr>
        <w:spacing w:line="360" w:lineRule="auto"/>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15.4 变更的估价原则</w:t>
      </w:r>
    </w:p>
    <w:p w14:paraId="63F9B6A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15.4.1 投标截止日前</w:t>
      </w:r>
      <w:r>
        <w:rPr>
          <w:rFonts w:hint="eastAsia" w:ascii="仿宋" w:hAnsi="仿宋" w:eastAsia="仿宋" w:cs="仿宋"/>
          <w:color w:val="auto"/>
          <w:sz w:val="22"/>
          <w:szCs w:val="22"/>
          <w:highlight w:val="none"/>
          <w:u w:val="single"/>
        </w:rPr>
        <w:t xml:space="preserve"> 28 </w:t>
      </w:r>
      <w:r>
        <w:rPr>
          <w:rFonts w:hint="eastAsia" w:ascii="仿宋" w:hAnsi="仿宋" w:eastAsia="仿宋" w:cs="仿宋"/>
          <w:color w:val="auto"/>
          <w:sz w:val="22"/>
          <w:szCs w:val="22"/>
          <w:highlight w:val="none"/>
        </w:rPr>
        <w:t>天为基准日，其后的法律、法规、规章和政策发生变化影响工程造价的，应按省级或行业建设主管部门或其授权的工程造价管理机构发布的规定调整合同价款。合价金额占合同总价 2%及以上的分类分项清单项目，其工程量增加或减少超过本项目工程数量 15%及以上时，或合价金额占合同总价不到 2%的分类分项清单项目，但其工程量增加或减少超过本项目工程数量 25%及以上时，其超过部分增加的工程量或减少的工程量的相应单价应重新组价，组价方式执行下述“（3）合同中没有适用或类似工程项目单价的”，重新组价的变更单价与合同单价相比，当上下幅度在 15%以内（含 15%）时，按合同单价计入工程结算；当上下幅度超过 15%时，按变更单价调整合同单价，经发包人同意后进行工程结算。</w:t>
      </w:r>
    </w:p>
    <w:p w14:paraId="53D5DACD">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15.4.2发包人提供的工程量清单有漏项（除措施项目清单外），或设计变更引起新的工程项目，其单价的确定方法为：</w:t>
      </w:r>
    </w:p>
    <w:p w14:paraId="23DDB66C">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合同中已有适用的项目单价，按合同中已有的项目单价执行；</w:t>
      </w:r>
    </w:p>
    <w:p w14:paraId="421A213F">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合同中有类似的项目单价的，可以参照合同中类似项目的单价计算确定；（合同中存在二个及以上类似工程项目且单价不同时，以其中价格较低的单价为准。）</w:t>
      </w:r>
    </w:p>
    <w:p w14:paraId="0A176AA6">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没有适用或类似工程项目单价的，由承包人根据实际完成的工程内容、相应的工程取费标准、计价依据等并按中标下浮率下浮[中标下浮率=（1-中标价/招标控制价）*100%,中标价及招标控制价均指扣除了不可竞争费(暂估价(建筑渣土处置费)、预留金)的价格，下同]计算确定单价，经发包人或其委托的咨询工程师审定后执行。（最终价格以审计单位审定价格为准）。</w:t>
      </w:r>
    </w:p>
    <w:p w14:paraId="5977FC1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新增单价组价原则：</w:t>
      </w:r>
    </w:p>
    <w:p w14:paraId="4A3EBC5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计价依据为：</w:t>
      </w:r>
    </w:p>
    <w:p w14:paraId="30DBDFA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①编制依据</w:t>
      </w:r>
    </w:p>
    <w:p w14:paraId="603FC21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1.建设单位提供的宁波市鄞州区水利水电勘测设计院设计的《横街镇郑夹岙山塘、西南方山塘治漏排险工程》施工图纸(2025.02)。</w:t>
      </w:r>
    </w:p>
    <w:p w14:paraId="209ED84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2.建设单位提供的工程预算编制要求、图纸会审纪要。</w:t>
      </w:r>
    </w:p>
    <w:p w14:paraId="17CEE72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3.设计院提供的设计图纸问题回复。</w:t>
      </w:r>
    </w:p>
    <w:p w14:paraId="2EF8A47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4.《施工招标文件》。</w:t>
      </w:r>
    </w:p>
    <w:p w14:paraId="1791AC3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5.《浙江省水利水电工程量清单计价办法》(浙水建[2022]7号);《水利工程工程量清单计价规范》(GB 50501-2007);</w:t>
      </w:r>
    </w:p>
    <w:p w14:paraId="747F613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6.《浙江省水利水电工程设计院概(预)算编制规定》(2021);《浙江省水利水电建筑工程预算定额》(2021);《浙江省水利水电工程施工机械台班费定额》</w:t>
      </w:r>
    </w:p>
    <w:p w14:paraId="233EFF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(2021);《浙江省水利水电安装工程预算定额》(2021);</w:t>
      </w:r>
    </w:p>
    <w:p w14:paraId="47BFC61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7.税金按浙建建发(2019)92号规定9.0%计入。</w:t>
      </w:r>
    </w:p>
    <w:p w14:paraId="4101181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建设工程工程量清单计价规范》(GB50500-2013)、《浙江省建设工程工程量清单计价指引》(2013版)、《浙江省园林绿化及仿古建筑工程预算定额》(2018版)、《浙江省市政工程预算定额》(2018版)、《浙江省建筑工程预算定额》(2018版)、《浙江省安装工程预算定额》(2018版)、《浙江省建设工程计价规则》(2018版)及其他相关造价规定。</w:t>
      </w:r>
    </w:p>
    <w:p w14:paraId="36CF7F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9.投标人为了增加投标的竞争能力，也可自行确定采用的定额和标准；</w:t>
      </w:r>
    </w:p>
    <w:p w14:paraId="1654905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10.特别注意：上述定额工程量和《浙江省水利水电工程量清单计价办法》(浙水建[2012]42号)(包含其补充规定)的工程量计算规则不一致时，除《工程量清单相关说明》外以后者为准。</w:t>
      </w:r>
    </w:p>
    <w:p w14:paraId="2D55CA8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default" w:ascii="仿宋" w:hAnsi="仿宋" w:eastAsia="仿宋" w:cs="仿宋"/>
          <w:snapToGrid w:val="0"/>
          <w:color w:val="auto"/>
          <w:sz w:val="22"/>
          <w:szCs w:val="22"/>
          <w:highlight w:val="none"/>
        </w:rPr>
        <w:t>②</w:t>
      </w:r>
      <w:r>
        <w:rPr>
          <w:rFonts w:hint="eastAsia" w:ascii="仿宋" w:hAnsi="仿宋" w:eastAsia="仿宋" w:cs="仿宋"/>
          <w:snapToGrid w:val="0"/>
          <w:color w:val="auto"/>
          <w:sz w:val="22"/>
          <w:szCs w:val="22"/>
          <w:highlight w:val="none"/>
        </w:rPr>
        <w:t>取费标准</w:t>
      </w:r>
    </w:p>
    <w:p w14:paraId="0C065E8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1.取费类别：按其他水利工程三类工程计入。</w:t>
      </w:r>
    </w:p>
    <w:p w14:paraId="4FC808A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2.安全施工费：按1.6%计取。</w:t>
      </w:r>
    </w:p>
    <w:p w14:paraId="7FD74CA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3.文明标化工地建设费：按0.4%计取。</w:t>
      </w:r>
    </w:p>
    <w:p w14:paraId="7405812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4.其他临时工程：按一至四部分建安工程费(不包括其他临时工程)之和的0.75%计取。</w:t>
      </w:r>
    </w:p>
    <w:p w14:paraId="5D47EB9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5.工程保险费：按0.475%计取，结算时根据投保发票，在合同价限额内按实支付。</w:t>
      </w:r>
    </w:p>
    <w:p w14:paraId="59FC963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6.税金：浙建建发〔2019〕92号规定9%计入。</w:t>
      </w:r>
    </w:p>
    <w:p w14:paraId="29AC8CD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7</w:t>
      </w:r>
      <w:r>
        <w:rPr>
          <w:rFonts w:hint="eastAsia" w:ascii="仿宋" w:hAnsi="仿宋" w:eastAsia="仿宋" w:cs="仿宋"/>
          <w:snapToGrid w:val="0"/>
          <w:color w:val="auto"/>
          <w:sz w:val="22"/>
          <w:szCs w:val="22"/>
          <w:highlight w:val="none"/>
        </w:rPr>
        <w:t>.水利人工预算单价：水利部分根据《浙江省水利水电工程设计概(预)算编制规定》(2021版)规定128元/工日。</w:t>
      </w:r>
    </w:p>
    <w:p w14:paraId="30F5D64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材料价格选用先后顺序(含机械燃料动力费):《宁波建设工程造价信息》(综合版)2025年2月刊市区信息价、《宁波建设工程造价信息》(园林苗木专刊)2024年第4季度、《浙江造价信息》(正刊)2025年第2期、无信息价的材料或设备采用市场价。以上信息价、市场价均按除税价计取。</w:t>
      </w:r>
    </w:p>
    <w:p w14:paraId="12B51AE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15.5 承包人的合理化建议</w:t>
      </w:r>
    </w:p>
    <w:p w14:paraId="2B4131E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15.5.2 承包人实现合理化建议的奖励金额为：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5E67ACA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15.6 暂列金额</w:t>
      </w:r>
    </w:p>
    <w:p w14:paraId="4B62458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在投标时计入承包人的报价中，不应视作承包人所有。结算时，按承包人实际完成的工程量和总工程项目结算，剩余部分归发包人所有。</w:t>
      </w:r>
    </w:p>
    <w:p w14:paraId="29229E0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15.7 暂估价</w:t>
      </w:r>
    </w:p>
    <w:p w14:paraId="2AEEE80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15.7.1</w:t>
      </w:r>
    </w:p>
    <w:p w14:paraId="5170D69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⑴发包人和承包人组织招标的暂估价项目：</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；发包人组织招标的暂估价项目：</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3513A39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⑵发包人和承包人以招标方式选择暂估价项目投标人或分包人时，双方的权利义务系：</w:t>
      </w:r>
      <w:r>
        <w:rPr>
          <w:rFonts w:hint="eastAsia" w:ascii="仿宋" w:hAnsi="仿宋" w:eastAsia="仿宋" w:cs="仿宋"/>
          <w:snapToGrid w:val="0"/>
          <w:color w:val="auto"/>
          <w:sz w:val="22"/>
          <w:szCs w:val="22"/>
          <w:highlight w:val="none"/>
          <w:u w:val="single"/>
        </w:rPr>
        <w:t>/</w:t>
      </w:r>
      <w:r>
        <w:rPr>
          <w:rFonts w:hint="eastAsia" w:ascii="仿宋" w:hAnsi="仿宋" w:eastAsia="仿宋" w:cs="仿宋"/>
          <w:snapToGrid w:val="0"/>
          <w:color w:val="auto"/>
          <w:sz w:val="22"/>
          <w:szCs w:val="22"/>
          <w:highlight w:val="none"/>
        </w:rPr>
        <w:t>。</w:t>
      </w:r>
    </w:p>
    <w:p w14:paraId="5A5D69FC">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95" w:name="_Toc362883293"/>
      <w:bookmarkStart w:id="196" w:name="_Toc217819054"/>
      <w:bookmarkStart w:id="197" w:name="_Toc266998257"/>
      <w:bookmarkStart w:id="198" w:name="_Toc344282763"/>
      <w:bookmarkStart w:id="199" w:name="_Toc307478986"/>
      <w:bookmarkStart w:id="200" w:name="_Toc381776163"/>
      <w:bookmarkStart w:id="201" w:name="_Toc370459070"/>
      <w:r>
        <w:rPr>
          <w:rFonts w:hint="eastAsia" w:ascii="仿宋" w:hAnsi="仿宋" w:eastAsia="仿宋" w:cs="仿宋"/>
          <w:b/>
          <w:snapToGrid w:val="0"/>
          <w:color w:val="auto"/>
          <w:sz w:val="22"/>
          <w:szCs w:val="22"/>
          <w:highlight w:val="none"/>
        </w:rPr>
        <w:t>16 价格调整</w:t>
      </w:r>
      <w:bookmarkEnd w:id="195"/>
      <w:bookmarkEnd w:id="196"/>
      <w:bookmarkEnd w:id="197"/>
      <w:bookmarkEnd w:id="198"/>
      <w:bookmarkEnd w:id="199"/>
      <w:bookmarkEnd w:id="200"/>
      <w:bookmarkEnd w:id="201"/>
    </w:p>
    <w:p w14:paraId="72A580E5">
      <w:pPr>
        <w:keepNext/>
        <w:keepLines/>
        <w:numPr>
          <w:ilvl w:val="4"/>
          <w:numId w:val="0"/>
        </w:numPr>
        <w:snapToGrid w:val="0"/>
        <w:spacing w:line="400" w:lineRule="exact"/>
        <w:outlineLvl w:val="4"/>
        <w:rPr>
          <w:rFonts w:hint="eastAsia" w:ascii="仿宋" w:hAnsi="仿宋" w:eastAsia="仿宋" w:cs="仿宋"/>
          <w:snapToGrid w:val="0"/>
          <w:color w:val="auto"/>
          <w:sz w:val="22"/>
          <w:szCs w:val="22"/>
          <w:highlight w:val="none"/>
        </w:rPr>
      </w:pPr>
      <w:r>
        <w:rPr>
          <w:rFonts w:hint="eastAsia" w:ascii="仿宋" w:hAnsi="仿宋" w:eastAsia="仿宋" w:cs="仿宋"/>
          <w:b/>
          <w:color w:val="auto"/>
          <w:spacing w:val="20"/>
          <w:sz w:val="22"/>
          <w:szCs w:val="22"/>
          <w:highlight w:val="none"/>
        </w:rPr>
        <w:t>16.1 物价波动引起的价格调整</w:t>
      </w:r>
      <w:bookmarkStart w:id="202" w:name="_Toc217819055"/>
      <w:bookmarkStart w:id="203" w:name="_Toc184635114"/>
      <w:bookmarkStart w:id="204" w:name="_Toc241374758"/>
    </w:p>
    <w:bookmarkEnd w:id="202"/>
    <w:bookmarkEnd w:id="203"/>
    <w:p w14:paraId="4C4C7A55">
      <w:pPr>
        <w:spacing w:line="400" w:lineRule="exact"/>
        <w:ind w:firstLine="48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在合同执行期间，材料、人工及机械价格不进行价格调整。材料、人工及机械价格按当前及预期的市场价考虑风险系数进入单价，在合同执行期内不作调整，价格风险由承包人自负</w:t>
      </w:r>
      <w:r>
        <w:rPr>
          <w:rFonts w:hint="eastAsia" w:ascii="仿宋" w:hAnsi="仿宋" w:eastAsia="仿宋" w:cs="仿宋"/>
          <w:color w:val="auto"/>
          <w:sz w:val="22"/>
          <w:szCs w:val="22"/>
          <w:highlight w:val="none"/>
        </w:rPr>
        <w:t>。</w:t>
      </w:r>
    </w:p>
    <w:bookmarkEnd w:id="204"/>
    <w:p w14:paraId="3A883B0C">
      <w:pPr>
        <w:spacing w:line="400" w:lineRule="exact"/>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17计量与支付：</w:t>
      </w:r>
    </w:p>
    <w:p w14:paraId="1CE3BCC6">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1、付款方式</w:t>
      </w:r>
    </w:p>
    <w:p w14:paraId="38E1B49C">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生效以及具备实施条件后7个工作日内，采购人支付暂定合同价的30%作为工程预付款；待完成工程量50%支付至已完成工程量价款的42.5%;工程完工验收合格后，采购人支付至暂定合同价的85%；中标人提供完整的工程资料，审计结束后，采购人支付至审计结算价的98.5%，余审计结算价的1.5%作为工程质量保证金，待缺陷责任期满后28天内扣除中标人应承担的保修费用后退回余款。</w:t>
      </w:r>
    </w:p>
    <w:p w14:paraId="4A9BB02D">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注:(1)工程量按实际结算。</w:t>
      </w:r>
    </w:p>
    <w:p w14:paraId="54DC23E2">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(2)在签订合同时，如承包人明确表示无需预付款或者主动要求降低预付款比例的，可不适用前述规定。</w:t>
      </w:r>
    </w:p>
    <w:p w14:paraId="6D75C3B5">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(3)在发包人支付合同金额前，承包人先行向发包人提供对应金额且符合税法规定的增值税发票。发包人在收到承包人提供的增值税发票后在合同约定的时间支付相应款项，否则发包人有权延迟支付相应费用而不被视为违约，亦无须承担任何违约责任。如因承包人未按期提供发票或发票不合规等原因，自行承担由此对发包人造成的一切损失。</w:t>
      </w:r>
      <w:r>
        <w:rPr>
          <w:rFonts w:hint="eastAsia" w:ascii="仿宋" w:hAnsi="仿宋" w:eastAsia="仿宋" w:cs="仿宋"/>
          <w:b/>
          <w:color w:val="auto"/>
          <w:sz w:val="22"/>
          <w:szCs w:val="22"/>
          <w:highlight w:val="none"/>
          <w:lang w:val="zh-CN"/>
        </w:rPr>
        <w:t xml:space="preserve"> </w:t>
      </w:r>
      <w:r>
        <w:rPr>
          <w:rFonts w:hint="eastAsia" w:ascii="仿宋" w:hAnsi="仿宋" w:eastAsia="仿宋" w:cs="仿宋"/>
          <w:color w:val="auto"/>
          <w:sz w:val="22"/>
          <w:szCs w:val="22"/>
          <w:highlight w:val="none"/>
          <w:lang w:val="zh-CN"/>
        </w:rPr>
        <w:t xml:space="preserve"> </w:t>
      </w:r>
    </w:p>
    <w:p w14:paraId="2261BEB9">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lang w:val="en-US" w:eastAsia="zh-CN"/>
        </w:rPr>
      </w:pPr>
      <w:bookmarkStart w:id="205" w:name="_Toc241374759"/>
      <w:r>
        <w:rPr>
          <w:rFonts w:hint="eastAsia" w:ascii="仿宋" w:hAnsi="仿宋" w:eastAsia="仿宋" w:cs="仿宋"/>
          <w:color w:val="auto"/>
          <w:sz w:val="22"/>
          <w:szCs w:val="22"/>
          <w:highlight w:val="none"/>
          <w:lang w:val="en-US" w:eastAsia="zh-CN"/>
        </w:rPr>
        <w:t>2、质量保证金</w:t>
      </w:r>
    </w:p>
    <w:p w14:paraId="4FB36503">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default" w:ascii="仿宋" w:hAnsi="仿宋" w:eastAsia="仿宋" w:cs="仿宋"/>
          <w:color w:val="auto"/>
          <w:sz w:val="22"/>
          <w:szCs w:val="22"/>
          <w:highlight w:val="none"/>
          <w:lang w:val="en-US" w:eastAsia="zh-CN"/>
        </w:rPr>
        <w:t>质量保证金总额为完工结算价款总额的</w:t>
      </w:r>
      <w:r>
        <w:rPr>
          <w:rFonts w:hint="eastAsia" w:ascii="仿宋" w:hAnsi="仿宋" w:eastAsia="仿宋" w:cs="仿宋"/>
          <w:color w:val="auto"/>
          <w:sz w:val="22"/>
          <w:szCs w:val="22"/>
          <w:highlight w:val="none"/>
          <w:lang w:val="en-US" w:eastAsia="zh-CN"/>
        </w:rPr>
        <w:t>1.5</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lang w:val="en-US" w:eastAsia="zh-CN"/>
        </w:rPr>
        <w:t>。</w:t>
      </w:r>
    </w:p>
    <w:p w14:paraId="737D828D">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质量保证金的形式</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lang w:val="en-US" w:eastAsia="zh-CN"/>
        </w:rPr>
        <w:t>（ A、质量保证金保函；/ B、质量保证金；/ C、质量保证金保险）。</w:t>
      </w:r>
    </w:p>
    <w:p w14:paraId="0B1E595A">
      <w:pPr>
        <w:autoSpaceDE w:val="0"/>
        <w:autoSpaceDN w:val="0"/>
        <w:snapToGrid w:val="0"/>
        <w:spacing w:line="400" w:lineRule="exact"/>
        <w:ind w:firstLine="440" w:firstLineChars="200"/>
        <w:textAlignment w:val="baseline"/>
        <w:rPr>
          <w:rFonts w:hint="default"/>
          <w:color w:val="auto"/>
          <w:highlight w:val="none"/>
          <w:lang w:val="en-US" w:eastAsia="zh-CN"/>
        </w:rPr>
      </w:pPr>
      <w:r>
        <w:rPr>
          <w:rFonts w:hint="default" w:ascii="仿宋" w:hAnsi="仿宋" w:eastAsia="仿宋" w:cs="仿宋"/>
          <w:color w:val="auto"/>
          <w:sz w:val="22"/>
          <w:szCs w:val="22"/>
          <w:highlight w:val="none"/>
          <w:lang w:val="en-US" w:eastAsia="zh-CN"/>
        </w:rPr>
        <w:t>质量保证金的退还：待缺陷责任期满后28天内扣除承包人应承担的保修费用后退回余款</w:t>
      </w:r>
      <w:r>
        <w:rPr>
          <w:rFonts w:hint="eastAsia" w:ascii="仿宋" w:hAnsi="仿宋" w:eastAsia="仿宋" w:cs="仿宋"/>
          <w:color w:val="auto"/>
          <w:sz w:val="22"/>
          <w:szCs w:val="22"/>
          <w:highlight w:val="none"/>
          <w:lang w:val="en-US" w:eastAsia="zh-CN"/>
        </w:rPr>
        <w:t>。</w:t>
      </w:r>
    </w:p>
    <w:p w14:paraId="664478E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17.5 竣工（完工）结算</w:t>
      </w:r>
    </w:p>
    <w:p w14:paraId="5D327E0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17.5.1 竣工（完工）付款申请单</w:t>
      </w:r>
    </w:p>
    <w:p w14:paraId="78DB983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承包人应提交完工付款申请单一式</w:t>
      </w:r>
      <w:r>
        <w:rPr>
          <w:rFonts w:hint="eastAsia" w:ascii="仿宋" w:hAnsi="仿宋" w:eastAsia="仿宋" w:cs="仿宋"/>
          <w:snapToGrid w:val="0"/>
          <w:color w:val="auto"/>
          <w:sz w:val="22"/>
          <w:szCs w:val="22"/>
          <w:highlight w:val="none"/>
          <w:u w:val="single"/>
        </w:rPr>
        <w:t xml:space="preserve"> 8 </w:t>
      </w:r>
      <w:r>
        <w:rPr>
          <w:rFonts w:hint="eastAsia" w:ascii="仿宋" w:hAnsi="仿宋" w:eastAsia="仿宋" w:cs="仿宋"/>
          <w:snapToGrid w:val="0"/>
          <w:color w:val="auto"/>
          <w:sz w:val="22"/>
          <w:szCs w:val="22"/>
          <w:highlight w:val="none"/>
        </w:rPr>
        <w:t>份。</w:t>
      </w:r>
    </w:p>
    <w:p w14:paraId="7B53111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17.6 最终结清</w:t>
      </w:r>
    </w:p>
    <w:p w14:paraId="549A92A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 6.1 最终结清申请单</w:t>
      </w:r>
    </w:p>
    <w:p w14:paraId="6B5241D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承包人应提交最终结清申请单一式</w:t>
      </w:r>
      <w:r>
        <w:rPr>
          <w:rFonts w:hint="eastAsia" w:ascii="仿宋" w:hAnsi="仿宋" w:eastAsia="仿宋" w:cs="仿宋"/>
          <w:snapToGrid w:val="0"/>
          <w:color w:val="auto"/>
          <w:sz w:val="22"/>
          <w:szCs w:val="22"/>
          <w:highlight w:val="none"/>
          <w:u w:val="single"/>
        </w:rPr>
        <w:t xml:space="preserve">8 </w:t>
      </w:r>
      <w:r>
        <w:rPr>
          <w:rFonts w:hint="eastAsia" w:ascii="仿宋" w:hAnsi="仿宋" w:eastAsia="仿宋" w:cs="仿宋"/>
          <w:snapToGrid w:val="0"/>
          <w:color w:val="auto"/>
          <w:sz w:val="22"/>
          <w:szCs w:val="22"/>
          <w:highlight w:val="none"/>
        </w:rPr>
        <w:t>份。</w:t>
      </w:r>
    </w:p>
    <w:p w14:paraId="169CFC3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17.7 竣工财务决算</w:t>
      </w:r>
    </w:p>
    <w:p w14:paraId="26C1EBA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承包人应为竣工财务决算编制提供的资料：</w:t>
      </w:r>
      <w:r>
        <w:rPr>
          <w:rFonts w:hint="eastAsia" w:ascii="仿宋" w:hAnsi="仿宋" w:eastAsia="仿宋" w:cs="仿宋"/>
          <w:snapToGrid w:val="0"/>
          <w:color w:val="auto"/>
          <w:sz w:val="22"/>
          <w:szCs w:val="22"/>
          <w:highlight w:val="none"/>
          <w:u w:val="single"/>
        </w:rPr>
        <w:t xml:space="preserve"> 财务决算所需的一切资料 </w:t>
      </w:r>
      <w:r>
        <w:rPr>
          <w:rFonts w:hint="eastAsia" w:ascii="仿宋" w:hAnsi="仿宋" w:eastAsia="仿宋" w:cs="仿宋"/>
          <w:snapToGrid w:val="0"/>
          <w:color w:val="auto"/>
          <w:sz w:val="22"/>
          <w:szCs w:val="22"/>
          <w:highlight w:val="none"/>
        </w:rPr>
        <w:t>。</w:t>
      </w:r>
    </w:p>
    <w:p w14:paraId="605BC54F">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06" w:name="_Toc381776166"/>
      <w:bookmarkStart w:id="207" w:name="_Toc344282765"/>
      <w:bookmarkStart w:id="208" w:name="_Toc266998259"/>
      <w:bookmarkStart w:id="209" w:name="_Toc259802239"/>
      <w:bookmarkStart w:id="210" w:name="_Toc370459073"/>
      <w:bookmarkStart w:id="211" w:name="_Toc307478988"/>
      <w:bookmarkStart w:id="212" w:name="_Toc362883296"/>
      <w:r>
        <w:rPr>
          <w:rFonts w:hint="eastAsia" w:ascii="仿宋" w:hAnsi="仿宋" w:eastAsia="仿宋" w:cs="仿宋"/>
          <w:b/>
          <w:snapToGrid w:val="0"/>
          <w:color w:val="auto"/>
          <w:sz w:val="22"/>
          <w:szCs w:val="22"/>
          <w:highlight w:val="none"/>
        </w:rPr>
        <w:t>18 工程验收</w:t>
      </w:r>
      <w:bookmarkEnd w:id="206"/>
      <w:bookmarkEnd w:id="207"/>
      <w:bookmarkEnd w:id="208"/>
      <w:bookmarkEnd w:id="209"/>
      <w:bookmarkEnd w:id="210"/>
      <w:bookmarkEnd w:id="211"/>
      <w:bookmarkEnd w:id="212"/>
    </w:p>
    <w:p w14:paraId="7B6243E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18.1 验收工作分类</w:t>
      </w:r>
    </w:p>
    <w:p w14:paraId="16F853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本工程法人验收包括：</w:t>
      </w:r>
      <w:r>
        <w:rPr>
          <w:rFonts w:hint="eastAsia" w:ascii="仿宋" w:hAnsi="仿宋" w:eastAsia="仿宋" w:cs="仿宋"/>
          <w:snapToGrid w:val="0"/>
          <w:color w:val="auto"/>
          <w:sz w:val="22"/>
          <w:szCs w:val="22"/>
          <w:highlight w:val="none"/>
          <w:u w:val="single"/>
        </w:rPr>
        <w:t xml:space="preserve">分部工程验收、单位工程验收、合同工程完工验收等 </w:t>
      </w:r>
      <w:r>
        <w:rPr>
          <w:rFonts w:hint="eastAsia" w:ascii="仿宋" w:hAnsi="仿宋" w:eastAsia="仿宋" w:cs="仿宋"/>
          <w:snapToGrid w:val="0"/>
          <w:color w:val="auto"/>
          <w:sz w:val="22"/>
          <w:szCs w:val="22"/>
          <w:highlight w:val="none"/>
        </w:rPr>
        <w:t>；政府验收包括：</w:t>
      </w:r>
      <w:r>
        <w:rPr>
          <w:rFonts w:hint="eastAsia" w:ascii="仿宋" w:hAnsi="仿宋" w:eastAsia="仿宋" w:cs="仿宋"/>
          <w:snapToGrid w:val="0"/>
          <w:color w:val="auto"/>
          <w:sz w:val="22"/>
          <w:szCs w:val="22"/>
          <w:highlight w:val="none"/>
          <w:u w:val="single"/>
        </w:rPr>
        <w:t xml:space="preserve"> 阶段验收、专项验收、竣工验收 </w:t>
      </w:r>
      <w:r>
        <w:rPr>
          <w:rFonts w:hint="eastAsia" w:ascii="仿宋" w:hAnsi="仿宋" w:eastAsia="仿宋" w:cs="仿宋"/>
          <w:snapToGrid w:val="0"/>
          <w:color w:val="auto"/>
          <w:sz w:val="22"/>
          <w:szCs w:val="22"/>
          <w:highlight w:val="none"/>
        </w:rPr>
        <w:t>。验收条件及验收程序参照《水利水电建设工程验收规程》（SL223-2008）执行。</w:t>
      </w:r>
    </w:p>
    <w:p w14:paraId="5D2D856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18.2 分部工程验收</w:t>
      </w:r>
    </w:p>
    <w:p w14:paraId="5813B2A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18.2.2 本工程由发包人主持的分部工程验收为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，其余由监理人主持。</w:t>
      </w:r>
    </w:p>
    <w:p w14:paraId="428BA49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18.3 单位工程验收</w:t>
      </w:r>
    </w:p>
    <w:p w14:paraId="28F6F8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18.3.4 提前投入使用的单位工程包括：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0C81E9F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18.4 合同工程完工验收</w:t>
      </w:r>
    </w:p>
    <w:p w14:paraId="7B9FCCE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补充18.4.4条款</w:t>
      </w:r>
    </w:p>
    <w:p w14:paraId="6243ECB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合同完工验收通过后根据水办〔2023〕132号水利部国家档案局关于印发《水利工程建设项目档案验收办法》的通知文件精神，在双方约定的时间内提供完工资料纸质版2套（其中完工资料原件不少于1套）和电子版（原件的扫描件）1套、项目总平面图与综合管线竣工图（CAD版）1套，并配合发包人完成档案专项验收。</w:t>
      </w:r>
    </w:p>
    <w:p w14:paraId="271F396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18.5 阶段验收</w:t>
      </w:r>
    </w:p>
    <w:p w14:paraId="701867F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18.5.1 本合同工程阶段验收类别包括：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2F3CB83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18.6 专项验收</w:t>
      </w:r>
    </w:p>
    <w:p w14:paraId="330E7ED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18.6.2 本合同工程专项验收类别包括：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3B75CB01">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18.7 竣工验收</w:t>
      </w:r>
    </w:p>
    <w:p w14:paraId="7C53883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18.7.3 本工程</w:t>
      </w:r>
      <w:r>
        <w:rPr>
          <w:rFonts w:hint="eastAsia" w:ascii="仿宋" w:hAnsi="仿宋" w:eastAsia="仿宋" w:cs="仿宋"/>
          <w:snapToGrid w:val="0"/>
          <w:color w:val="auto"/>
          <w:sz w:val="22"/>
          <w:szCs w:val="22"/>
          <w:highlight w:val="none"/>
          <w:u w:val="single"/>
        </w:rPr>
        <w:t xml:space="preserve"> 不需要 </w:t>
      </w:r>
      <w:r>
        <w:rPr>
          <w:rFonts w:hint="eastAsia" w:ascii="仿宋" w:hAnsi="仿宋" w:eastAsia="仿宋" w:cs="仿宋"/>
          <w:snapToGrid w:val="0"/>
          <w:color w:val="auto"/>
          <w:sz w:val="22"/>
          <w:szCs w:val="22"/>
          <w:highlight w:val="none"/>
        </w:rPr>
        <w:t>竣工验收技术鉴定（蓄水安全鉴定）。</w:t>
      </w:r>
    </w:p>
    <w:p w14:paraId="41CD2D7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18.8 施工期运行</w:t>
      </w:r>
    </w:p>
    <w:p w14:paraId="47F93A1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18.8.1 需要在施工期运行的单位工程或工程设备为：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6F79BE4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18.9 试运行</w:t>
      </w:r>
    </w:p>
    <w:p w14:paraId="1A3423B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18.9.1 试运行的组织：</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；费用承担：</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12E0139D">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13" w:name="_Toc381776167"/>
      <w:bookmarkStart w:id="214" w:name="_Toc362883297"/>
      <w:bookmarkStart w:id="215" w:name="_Toc370459074"/>
      <w:bookmarkStart w:id="216" w:name="_Toc344282766"/>
      <w:bookmarkStart w:id="217" w:name="_Toc307478989"/>
      <w:bookmarkStart w:id="218" w:name="_Toc266998260"/>
      <w:r>
        <w:rPr>
          <w:rFonts w:hint="eastAsia" w:ascii="仿宋" w:hAnsi="仿宋" w:eastAsia="仿宋" w:cs="仿宋"/>
          <w:b/>
          <w:snapToGrid w:val="0"/>
          <w:color w:val="auto"/>
          <w:sz w:val="22"/>
          <w:szCs w:val="22"/>
          <w:highlight w:val="none"/>
        </w:rPr>
        <w:t>19 缺陷责任与保修责任</w:t>
      </w:r>
      <w:bookmarkEnd w:id="205"/>
      <w:bookmarkEnd w:id="213"/>
      <w:bookmarkEnd w:id="214"/>
      <w:bookmarkEnd w:id="215"/>
      <w:bookmarkEnd w:id="216"/>
      <w:bookmarkEnd w:id="217"/>
      <w:bookmarkEnd w:id="218"/>
    </w:p>
    <w:p w14:paraId="19F244AD">
      <w:pPr>
        <w:autoSpaceDE w:val="0"/>
        <w:autoSpaceDN w:val="0"/>
        <w:snapToGrid w:val="0"/>
        <w:spacing w:line="400" w:lineRule="exact"/>
        <w:ind w:firstLine="522" w:firstLineChars="200"/>
        <w:textAlignment w:val="baseline"/>
        <w:rPr>
          <w:rFonts w:hint="eastAsia" w:ascii="仿宋" w:hAnsi="仿宋" w:eastAsia="仿宋" w:cs="仿宋"/>
          <w:b/>
          <w:bCs/>
          <w:color w:val="auto"/>
          <w:sz w:val="22"/>
          <w:szCs w:val="22"/>
          <w:highlight w:val="none"/>
        </w:rPr>
      </w:pPr>
      <w:r>
        <w:rPr>
          <w:rFonts w:hint="eastAsia" w:ascii="仿宋" w:hAnsi="仿宋" w:eastAsia="仿宋" w:cs="仿宋"/>
          <w:b/>
          <w:color w:val="auto"/>
          <w:spacing w:val="20"/>
          <w:sz w:val="22"/>
          <w:szCs w:val="22"/>
          <w:highlight w:val="none"/>
        </w:rPr>
        <w:t>19.1 缺陷责任期（工程质量保修期）：从工程通过合同工程完工验收之日起开始计算。本工程缺陷责任期为</w:t>
      </w:r>
      <w:r>
        <w:rPr>
          <w:rFonts w:hint="eastAsia" w:ascii="仿宋" w:hAnsi="仿宋" w:eastAsia="仿宋" w:cs="仿宋"/>
          <w:b/>
          <w:color w:val="auto"/>
          <w:spacing w:val="20"/>
          <w:sz w:val="22"/>
          <w:szCs w:val="22"/>
          <w:highlight w:val="none"/>
          <w:lang w:val="en-US" w:eastAsia="zh-CN"/>
        </w:rPr>
        <w:t>1</w:t>
      </w:r>
      <w:r>
        <w:rPr>
          <w:rFonts w:hint="eastAsia" w:ascii="仿宋" w:hAnsi="仿宋" w:eastAsia="仿宋" w:cs="仿宋"/>
          <w:b/>
          <w:color w:val="auto"/>
          <w:spacing w:val="20"/>
          <w:sz w:val="22"/>
          <w:szCs w:val="22"/>
          <w:highlight w:val="none"/>
        </w:rPr>
        <w:t>年</w:t>
      </w:r>
      <w:r>
        <w:rPr>
          <w:rFonts w:hint="eastAsia" w:ascii="仿宋" w:hAnsi="仿宋" w:eastAsia="仿宋" w:cs="仿宋"/>
          <w:b/>
          <w:bCs/>
          <w:color w:val="auto"/>
          <w:sz w:val="22"/>
          <w:szCs w:val="22"/>
          <w:highlight w:val="none"/>
        </w:rPr>
        <w:t>。</w:t>
      </w:r>
    </w:p>
    <w:p w14:paraId="0C207A18">
      <w:pPr>
        <w:autoSpaceDE w:val="0"/>
        <w:autoSpaceDN w:val="0"/>
        <w:snapToGrid w:val="0"/>
        <w:spacing w:line="400" w:lineRule="exact"/>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19.7 保修责任</w:t>
      </w:r>
    </w:p>
    <w:p w14:paraId="6C0F2F9C">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19.7.1 工程质量保修期（从工程通过合同工程完工验收之日起开始计算）。</w:t>
      </w:r>
    </w:p>
    <w:p w14:paraId="77CD1927">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（1）水利工程为 2年；</w:t>
      </w:r>
    </w:p>
    <w:p w14:paraId="4FCEE554">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（2）地基基础工程和主体结构工程，为设计文件规定的该工程的合理使用年限；</w:t>
      </w:r>
    </w:p>
    <w:p w14:paraId="15593CAA">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（3）屋面防水工程、有防水要求的卫生间、房间和外墙面的防渗漏等为 5年；</w:t>
      </w:r>
    </w:p>
    <w:p w14:paraId="3FB22CCE">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（4）电气管线、给排水管道、设备安装和装修工程为 2年；</w:t>
      </w:r>
    </w:p>
    <w:p w14:paraId="07E75E4D">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（5）其他设施按相关规定执行。</w:t>
      </w:r>
    </w:p>
    <w:p w14:paraId="199A8E1D">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19" w:name="_Toc362883298"/>
      <w:bookmarkStart w:id="220" w:name="_Toc266998261"/>
      <w:bookmarkStart w:id="221" w:name="_Toc370459075"/>
      <w:bookmarkStart w:id="222" w:name="_Toc259802241"/>
      <w:bookmarkStart w:id="223" w:name="_Toc344282767"/>
      <w:bookmarkStart w:id="224" w:name="_Toc307478990"/>
      <w:bookmarkStart w:id="225" w:name="_Toc381776168"/>
      <w:r>
        <w:rPr>
          <w:rFonts w:hint="eastAsia" w:ascii="仿宋" w:hAnsi="仿宋" w:eastAsia="仿宋" w:cs="仿宋"/>
          <w:b/>
          <w:snapToGrid w:val="0"/>
          <w:color w:val="auto"/>
          <w:sz w:val="22"/>
          <w:szCs w:val="22"/>
          <w:highlight w:val="none"/>
        </w:rPr>
        <w:t>20 保险</w:t>
      </w:r>
      <w:bookmarkEnd w:id="219"/>
      <w:bookmarkEnd w:id="220"/>
      <w:bookmarkEnd w:id="221"/>
      <w:bookmarkEnd w:id="222"/>
      <w:bookmarkEnd w:id="223"/>
      <w:bookmarkEnd w:id="224"/>
      <w:bookmarkEnd w:id="225"/>
    </w:p>
    <w:p w14:paraId="56826C52">
      <w:pPr>
        <w:keepNext/>
        <w:keepLines/>
        <w:numPr>
          <w:ilvl w:val="4"/>
          <w:numId w:val="0"/>
        </w:numPr>
        <w:snapToGrid w:val="0"/>
        <w:spacing w:line="400" w:lineRule="exact"/>
        <w:ind w:firstLine="440" w:firstLineChars="200"/>
        <w:outlineLvl w:val="4"/>
        <w:rPr>
          <w:rFonts w:hint="eastAsia" w:ascii="仿宋" w:hAnsi="仿宋" w:eastAsia="仿宋" w:cs="仿宋"/>
          <w:b/>
          <w:color w:val="auto"/>
          <w:spacing w:val="20"/>
          <w:sz w:val="22"/>
          <w:szCs w:val="22"/>
          <w:highlight w:val="none"/>
        </w:rPr>
      </w:pPr>
      <w:r>
        <w:rPr>
          <w:rFonts w:hint="eastAsia" w:ascii="仿宋" w:hAnsi="仿宋" w:eastAsia="仿宋" w:cs="仿宋"/>
          <w:snapToGrid w:val="0"/>
          <w:color w:val="auto"/>
          <w:sz w:val="22"/>
          <w:szCs w:val="22"/>
          <w:highlight w:val="none"/>
        </w:rPr>
        <w:t>所有的保险都必须在开工前投保，并在办理好相关保险手续后报送至发包人处备案。</w:t>
      </w:r>
    </w:p>
    <w:p w14:paraId="5F0C06A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20.1工程保险</w:t>
      </w:r>
    </w:p>
    <w:p w14:paraId="30AF7D28">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建筑工程一切险和（或）安装工程一切险投保人：由承包人以发包人和承包人的名义投保，保险公司需征得发包人认可；</w:t>
      </w:r>
    </w:p>
    <w:p w14:paraId="50180EE5">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投保内容：为本合同工程的永久工程、临时工程和设备及已运至施工工地用于永久工程的材料和设备所投的保险；</w:t>
      </w:r>
    </w:p>
    <w:p w14:paraId="26E5BFC7">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保险金额、保险费率和保险期限：保险金额按保险人规定，保险费率由承包人与保险人协商确定，保险期限自开工即日算起至颁发工程移交证书。</w:t>
      </w:r>
    </w:p>
    <w:p w14:paraId="7E54C1C3">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工程保险费（包括工程一切险、第三者责任险及安全生产责任险）按保单及发票按实结算，最高不得超过投标报价。</w:t>
      </w:r>
    </w:p>
    <w:p w14:paraId="4A43BFA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 xml:space="preserve">20.5 其他保险 </w:t>
      </w:r>
    </w:p>
    <w:p w14:paraId="1B5FE9E1">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需要投保的其它内容：由承包人自行决定；</w:t>
      </w:r>
    </w:p>
    <w:p w14:paraId="1BA17E65">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保险金额、保险费率和保险期限：/。</w:t>
      </w:r>
    </w:p>
    <w:p w14:paraId="129F31C8">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20.6 对各项保险的一般要求</w:t>
      </w:r>
    </w:p>
    <w:p w14:paraId="683B5A14">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 6.1 保险凭证</w:t>
      </w:r>
    </w:p>
    <w:p w14:paraId="35F87DD1">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承包人提交保险凭证的期限：保险手续办理完毕后</w:t>
      </w:r>
      <w:r>
        <w:rPr>
          <w:rFonts w:hint="eastAsia" w:ascii="仿宋" w:hAnsi="仿宋" w:eastAsia="仿宋" w:cs="仿宋"/>
          <w:snapToGrid w:val="0"/>
          <w:color w:val="auto"/>
          <w:sz w:val="22"/>
          <w:szCs w:val="22"/>
          <w:highlight w:val="none"/>
          <w:u w:val="single"/>
        </w:rPr>
        <w:t xml:space="preserve"> 7 </w:t>
      </w:r>
      <w:r>
        <w:rPr>
          <w:rFonts w:hint="eastAsia" w:ascii="仿宋" w:hAnsi="仿宋" w:eastAsia="仿宋" w:cs="仿宋"/>
          <w:snapToGrid w:val="0"/>
          <w:color w:val="auto"/>
          <w:sz w:val="22"/>
          <w:szCs w:val="22"/>
          <w:highlight w:val="none"/>
        </w:rPr>
        <w:t>天内提交。</w:t>
      </w:r>
    </w:p>
    <w:p w14:paraId="1293C204">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20.6.4 保险金不足的补偿</w:t>
      </w:r>
    </w:p>
    <w:p w14:paraId="49D2E7C8">
      <w:pPr>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承包人负责补偿的范围与金额：</w:t>
      </w:r>
      <w:r>
        <w:rPr>
          <w:rFonts w:hint="eastAsia" w:ascii="仿宋" w:hAnsi="仿宋" w:eastAsia="仿宋" w:cs="仿宋"/>
          <w:snapToGrid w:val="0"/>
          <w:color w:val="auto"/>
          <w:sz w:val="22"/>
          <w:szCs w:val="22"/>
          <w:highlight w:val="none"/>
          <w:u w:val="single"/>
        </w:rPr>
        <w:t>免赔额部分及保险金不足的补偿均由承包人负责</w:t>
      </w:r>
      <w:r>
        <w:rPr>
          <w:rFonts w:hint="eastAsia" w:ascii="仿宋" w:hAnsi="仿宋" w:eastAsia="仿宋" w:cs="仿宋"/>
          <w:snapToGrid w:val="0"/>
          <w:color w:val="auto"/>
          <w:sz w:val="22"/>
          <w:szCs w:val="22"/>
          <w:highlight w:val="none"/>
        </w:rPr>
        <w:t>。</w:t>
      </w:r>
    </w:p>
    <w:p w14:paraId="77DD184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发包人负责补偿的范围与金额：</w:t>
      </w:r>
      <w:r>
        <w:rPr>
          <w:rFonts w:hint="eastAsia" w:ascii="仿宋" w:hAnsi="仿宋" w:eastAsia="仿宋" w:cs="仿宋"/>
          <w:snapToGrid w:val="0"/>
          <w:color w:val="auto"/>
          <w:sz w:val="22"/>
          <w:szCs w:val="22"/>
          <w:highlight w:val="none"/>
          <w:u w:val="single"/>
        </w:rPr>
        <w:t>由于本工程一切保险均由承包人负责投保，其费用均列入报价，故发包人不承担保险金不足的补偿</w:t>
      </w:r>
      <w:r>
        <w:rPr>
          <w:rFonts w:hint="eastAsia" w:ascii="仿宋" w:hAnsi="仿宋" w:eastAsia="仿宋" w:cs="仿宋"/>
          <w:snapToGrid w:val="0"/>
          <w:color w:val="auto"/>
          <w:sz w:val="22"/>
          <w:szCs w:val="22"/>
          <w:highlight w:val="none"/>
        </w:rPr>
        <w:t>。</w:t>
      </w:r>
    </w:p>
    <w:p w14:paraId="1D981306">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26" w:name="_Toc433622051"/>
      <w:bookmarkStart w:id="227" w:name="_Toc384843112"/>
      <w:bookmarkStart w:id="228" w:name="_Toc424301746"/>
      <w:bookmarkStart w:id="229" w:name="_Toc381220923"/>
      <w:bookmarkStart w:id="230" w:name="_Toc426559153"/>
      <w:bookmarkStart w:id="231" w:name="_Toc475633948"/>
      <w:bookmarkStart w:id="232" w:name="_Toc433363238"/>
      <w:bookmarkStart w:id="233" w:name="_Toc350975306"/>
      <w:bookmarkStart w:id="234" w:name="_Toc370459076"/>
      <w:bookmarkStart w:id="235" w:name="_Toc381776169"/>
      <w:bookmarkStart w:id="236" w:name="_Toc362883299"/>
      <w:r>
        <w:rPr>
          <w:rFonts w:hint="eastAsia" w:ascii="仿宋" w:hAnsi="仿宋" w:eastAsia="仿宋" w:cs="仿宋"/>
          <w:b/>
          <w:snapToGrid w:val="0"/>
          <w:color w:val="auto"/>
          <w:sz w:val="22"/>
          <w:szCs w:val="22"/>
          <w:highlight w:val="none"/>
        </w:rPr>
        <w:t>22 违约</w:t>
      </w:r>
      <w:bookmarkEnd w:id="226"/>
      <w:bookmarkEnd w:id="227"/>
      <w:bookmarkEnd w:id="228"/>
      <w:bookmarkEnd w:id="229"/>
      <w:bookmarkEnd w:id="230"/>
      <w:bookmarkEnd w:id="231"/>
      <w:bookmarkEnd w:id="232"/>
      <w:bookmarkEnd w:id="233"/>
    </w:p>
    <w:p w14:paraId="4E693A65">
      <w:pPr>
        <w:keepLines/>
        <w:autoSpaceDE w:val="0"/>
        <w:autoSpaceDN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22.1 承包人违约</w:t>
      </w:r>
    </w:p>
    <w:p w14:paraId="0D0FC6C9">
      <w:pPr>
        <w:autoSpaceDE w:val="0"/>
        <w:autoSpaceDN w:val="0"/>
        <w:spacing w:line="400" w:lineRule="exact"/>
        <w:ind w:firstLine="488"/>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22.1.2 对承包人违约的处理</w:t>
      </w:r>
    </w:p>
    <w:p w14:paraId="2A3EFE37">
      <w:pPr>
        <w:autoSpaceDE w:val="0"/>
        <w:autoSpaceDN w:val="0"/>
        <w:spacing w:line="400" w:lineRule="exact"/>
        <w:ind w:firstLine="488"/>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补充以下条款：</w:t>
      </w:r>
    </w:p>
    <w:p w14:paraId="2BDF7602">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u w:val="single"/>
        </w:rPr>
        <w:t>人员到位违约的处理：</w:t>
      </w:r>
    </w:p>
    <w:p w14:paraId="1F569CC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①</w:t>
      </w:r>
      <w:r>
        <w:rPr>
          <w:rFonts w:hint="eastAsia" w:ascii="仿宋" w:hAnsi="仿宋" w:eastAsia="仿宋" w:cs="仿宋"/>
          <w:snapToGrid w:val="0"/>
          <w:color w:val="auto"/>
          <w:sz w:val="22"/>
          <w:szCs w:val="22"/>
          <w:highlight w:val="none"/>
          <w:u w:val="single"/>
        </w:rPr>
        <w:t>项目负责人、项目技术负责人每月驻工地的天数每少一天支付违约金1000元，若连续2个月及以上每月驻工地的天数少于22天，发包人有权解除合同。</w:t>
      </w:r>
    </w:p>
    <w:p w14:paraId="0111514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u w:val="single"/>
        </w:rPr>
        <w:t>项目施工员、质检（量）员、安全员每月驻工地的天数每少一天支付违约金1000元，若连续2个月及以上每月驻工地的天数少于25天，发包人有权解除合同。</w:t>
      </w:r>
    </w:p>
    <w:p w14:paraId="4613B7B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②</w:t>
      </w:r>
      <w:r>
        <w:rPr>
          <w:rFonts w:hint="eastAsia" w:ascii="仿宋" w:hAnsi="仿宋" w:eastAsia="仿宋" w:cs="仿宋"/>
          <w:snapToGrid w:val="0"/>
          <w:color w:val="auto"/>
          <w:sz w:val="22"/>
          <w:szCs w:val="22"/>
          <w:highlight w:val="none"/>
          <w:u w:val="single"/>
        </w:rPr>
        <w:t>项目负责人和技术负责人原则上不得更换，承包人擅自更换项目负责人的，每次扣除5万元的合同价款，承包人擅自更换技术负责人的，每次扣除2万元的合同价款。情节严重或给发包人造成重大损失的，发包人有权解除合同。</w:t>
      </w:r>
    </w:p>
    <w:p w14:paraId="17F272F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③</w:t>
      </w:r>
      <w:r>
        <w:rPr>
          <w:rFonts w:hint="eastAsia" w:ascii="仿宋" w:hAnsi="仿宋" w:eastAsia="仿宋" w:cs="仿宋"/>
          <w:snapToGrid w:val="0"/>
          <w:color w:val="auto"/>
          <w:sz w:val="22"/>
          <w:szCs w:val="22"/>
          <w:highlight w:val="none"/>
          <w:u w:val="single"/>
        </w:rPr>
        <w:t>承包人的安全员、质检员、施工员、专职安全生产管理人员擅自调换每一人次需支付违约金1万元。</w:t>
      </w:r>
    </w:p>
    <w:p w14:paraId="1FDA31F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④</w:t>
      </w:r>
      <w:r>
        <w:rPr>
          <w:rFonts w:hint="eastAsia" w:ascii="仿宋" w:hAnsi="仿宋" w:eastAsia="仿宋" w:cs="仿宋"/>
          <w:snapToGrid w:val="0"/>
          <w:color w:val="auto"/>
          <w:sz w:val="22"/>
          <w:szCs w:val="22"/>
          <w:highlight w:val="none"/>
          <w:u w:val="single"/>
        </w:rPr>
        <w:t>上述违约金在当月工程进度款中直接扣除，在工地工作天数按监理人实际考勤记录为准。</w:t>
      </w:r>
    </w:p>
    <w:p w14:paraId="6CE313A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u w:val="single"/>
        </w:rPr>
        <w:fldChar w:fldCharType="begin"/>
      </w:r>
      <w:r>
        <w:rPr>
          <w:rFonts w:hint="eastAsia" w:ascii="仿宋" w:hAnsi="仿宋" w:eastAsia="仿宋" w:cs="仿宋"/>
          <w:snapToGrid w:val="0"/>
          <w:color w:val="auto"/>
          <w:sz w:val="22"/>
          <w:szCs w:val="22"/>
          <w:highlight w:val="none"/>
          <w:u w:val="single"/>
        </w:rPr>
        <w:instrText xml:space="preserve"> = 5 \* GB3 </w:instrText>
      </w:r>
      <w:r>
        <w:rPr>
          <w:rFonts w:hint="eastAsia" w:ascii="仿宋" w:hAnsi="仿宋" w:eastAsia="仿宋" w:cs="仿宋"/>
          <w:snapToGrid w:val="0"/>
          <w:color w:val="auto"/>
          <w:sz w:val="22"/>
          <w:szCs w:val="22"/>
          <w:highlight w:val="none"/>
          <w:u w:val="single"/>
        </w:rPr>
        <w:fldChar w:fldCharType="separate"/>
      </w:r>
      <w:r>
        <w:rPr>
          <w:rFonts w:hint="eastAsia" w:ascii="仿宋" w:hAnsi="仿宋" w:eastAsia="仿宋" w:cs="仿宋"/>
          <w:snapToGrid w:val="0"/>
          <w:color w:val="auto"/>
          <w:sz w:val="22"/>
          <w:szCs w:val="22"/>
          <w:highlight w:val="none"/>
          <w:u w:val="single"/>
        </w:rPr>
        <w:t>⑤</w:t>
      </w:r>
      <w:r>
        <w:rPr>
          <w:rFonts w:hint="eastAsia" w:ascii="仿宋" w:hAnsi="仿宋" w:eastAsia="仿宋" w:cs="仿宋"/>
          <w:snapToGrid w:val="0"/>
          <w:color w:val="auto"/>
          <w:sz w:val="22"/>
          <w:szCs w:val="22"/>
          <w:highlight w:val="none"/>
          <w:u w:val="single"/>
        </w:rPr>
        <w:fldChar w:fldCharType="end"/>
      </w:r>
      <w:r>
        <w:rPr>
          <w:rFonts w:hint="eastAsia" w:ascii="仿宋" w:hAnsi="仿宋" w:eastAsia="仿宋" w:cs="仿宋"/>
          <w:snapToGrid w:val="0"/>
          <w:color w:val="auto"/>
          <w:sz w:val="22"/>
          <w:szCs w:val="22"/>
          <w:highlight w:val="none"/>
          <w:u w:val="single"/>
        </w:rPr>
        <w:t>在合同工程未通过验收或合同解除前，项目负责人、项目技术负责人确需更换的，应征得项目业主同意，原项目负责人或项目技术负责人有备案主管部门的，还应征得备案主管部门同意，且更换后的人员不得低于原投标承诺人员所具有的资格和业绩条件。中标人、招标人、备案主管部门违反有关规定的，应追究有关单位和相关负责人的责任。</w:t>
      </w:r>
    </w:p>
    <w:p w14:paraId="549D1F84">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24 争议的解决</w:t>
      </w:r>
      <w:bookmarkEnd w:id="234"/>
      <w:bookmarkEnd w:id="235"/>
      <w:bookmarkEnd w:id="236"/>
    </w:p>
    <w:p w14:paraId="0BE2780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24.1 争议的解决方式</w:t>
      </w:r>
    </w:p>
    <w:p w14:paraId="4BA1AD86">
      <w:pPr>
        <w:snapToGrid w:val="0"/>
        <w:spacing w:line="400" w:lineRule="exact"/>
        <w:ind w:firstLine="431" w:firstLineChars="196"/>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合同当事人友好协商解决不成、不愿提请争议评审或不接受争议评审组意见的，约定的合同争议解决方式：</w:t>
      </w:r>
      <w:r>
        <w:rPr>
          <w:rFonts w:hint="eastAsia" w:ascii="仿宋" w:hAnsi="仿宋" w:eastAsia="仿宋" w:cs="仿宋"/>
          <w:snapToGrid w:val="0"/>
          <w:color w:val="auto"/>
          <w:sz w:val="22"/>
          <w:szCs w:val="22"/>
          <w:highlight w:val="none"/>
          <w:u w:val="single"/>
        </w:rPr>
        <w:t>向宁波市海曙区人民法院起诉</w:t>
      </w:r>
      <w:r>
        <w:rPr>
          <w:rFonts w:hint="eastAsia" w:ascii="仿宋" w:hAnsi="仿宋" w:eastAsia="仿宋" w:cs="仿宋"/>
          <w:snapToGrid w:val="0"/>
          <w:color w:val="auto"/>
          <w:sz w:val="22"/>
          <w:szCs w:val="22"/>
          <w:highlight w:val="none"/>
        </w:rPr>
        <w:t>。</w:t>
      </w:r>
    </w:p>
    <w:p w14:paraId="796E6DC5">
      <w:pPr>
        <w:autoSpaceDE w:val="0"/>
        <w:autoSpaceDN w:val="0"/>
        <w:spacing w:line="400" w:lineRule="exact"/>
        <w:ind w:firstLine="48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合同条款补充：</w:t>
      </w:r>
    </w:p>
    <w:p w14:paraId="5F368241">
      <w:pPr>
        <w:autoSpaceDE w:val="0"/>
        <w:autoSpaceDN w:val="0"/>
        <w:snapToGrid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26 其他</w:t>
      </w:r>
    </w:p>
    <w:p w14:paraId="1A9987A4">
      <w:pPr>
        <w:keepNext w:val="0"/>
        <w:keepLines w:val="0"/>
        <w:pageBreakBefore w:val="0"/>
        <w:widowControl w:val="0"/>
        <w:kinsoku/>
        <w:wordWrap/>
        <w:overflowPunct/>
        <w:topLinePunct w:val="0"/>
        <w:autoSpaceDE w:val="0"/>
        <w:autoSpaceDN w:val="0"/>
        <w:bidi w:val="0"/>
        <w:adjustRightInd/>
        <w:snapToGrid w:val="0"/>
        <w:spacing w:line="360" w:lineRule="auto"/>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26.1本项目的农民工工资支付管理按照《工程建设领域农民工工资专用账户管理暂行办法》（人社部发[2021]53号）、《浙江省工程建设领域农民工工资专用账户管理实施细则》（浙人社发[2022]14号））文件的要求执行。</w:t>
      </w:r>
    </w:p>
    <w:p w14:paraId="0162E425">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26.2承包人须按宁波市人力资源和社会保障局等6部门关于印发《宁波市工程建设领域农民工工资专用账户管理实施细则（试行）》的通知（甬人社发[2022]29号）文件及有关规定做好农民工工资保证金的缴纳，并规范农民工工资专用账户资金管理。</w:t>
      </w:r>
    </w:p>
    <w:p w14:paraId="32C704DD">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26.3临</w:t>
      </w:r>
      <w:r>
        <w:rPr>
          <w:rFonts w:ascii="仿宋" w:hAnsi="仿宋" w:eastAsia="仿宋" w:cs="仿宋"/>
          <w:snapToGrid w:val="0"/>
          <w:color w:val="auto"/>
          <w:sz w:val="22"/>
          <w:szCs w:val="22"/>
          <w:highlight w:val="none"/>
        </w:rPr>
        <w:t>时设施等的借地费用如有发生，由承包人自行解决，费用自理</w:t>
      </w:r>
      <w:r>
        <w:rPr>
          <w:rFonts w:hint="eastAsia" w:ascii="仿宋" w:hAnsi="仿宋" w:eastAsia="仿宋" w:cs="仿宋"/>
          <w:snapToGrid w:val="0"/>
          <w:color w:val="auto"/>
          <w:sz w:val="22"/>
          <w:szCs w:val="22"/>
          <w:highlight w:val="none"/>
        </w:rPr>
        <w:t>。</w:t>
      </w:r>
    </w:p>
    <w:p w14:paraId="11BE8FD2">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26.4承</w:t>
      </w:r>
      <w:r>
        <w:rPr>
          <w:rFonts w:ascii="仿宋" w:hAnsi="仿宋" w:eastAsia="仿宋" w:cs="仿宋"/>
          <w:snapToGrid w:val="0"/>
          <w:color w:val="auto"/>
          <w:sz w:val="22"/>
          <w:szCs w:val="22"/>
          <w:highlight w:val="none"/>
        </w:rPr>
        <w:t>包人须充分考虑到现场的施工条件，不得以不熟悉项目各项因素及其它原因为由要求增加任何费用、不得以任何理由提出额外赔偿、降低质量、延长工期等。</w:t>
      </w:r>
    </w:p>
    <w:p w14:paraId="2E16A927">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26.5承</w:t>
      </w:r>
      <w:r>
        <w:rPr>
          <w:rFonts w:ascii="仿宋" w:hAnsi="仿宋" w:eastAsia="仿宋" w:cs="仿宋"/>
          <w:snapToGrid w:val="0"/>
          <w:color w:val="auto"/>
          <w:sz w:val="22"/>
          <w:szCs w:val="22"/>
          <w:highlight w:val="none"/>
        </w:rPr>
        <w:t>包人负责本项目后续相关工程的配合工作，并做好相关协调，该费用包含在投标报价中，发包人不再另行计算。</w:t>
      </w:r>
    </w:p>
    <w:p w14:paraId="728455D8">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26.6建</w:t>
      </w:r>
      <w:r>
        <w:rPr>
          <w:rFonts w:ascii="仿宋" w:hAnsi="仿宋" w:eastAsia="仿宋" w:cs="仿宋"/>
          <w:snapToGrid w:val="0"/>
          <w:color w:val="auto"/>
          <w:sz w:val="22"/>
          <w:szCs w:val="22"/>
          <w:highlight w:val="none"/>
        </w:rPr>
        <w:t>筑垃圾（渣土）运输车辆应符合《关于加强和规范宁波市中心城区建筑垃圾（渣土）运输车辆管理工作的通知》（甬综执联〔2020〕6号）的规定</w:t>
      </w:r>
    </w:p>
    <w:p w14:paraId="41FD954C">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26.7施工期围堰等导截流临时工程涉水审批应按规范要求办理，相关评估报告编制及审查论</w:t>
      </w:r>
      <w:r>
        <w:rPr>
          <w:rFonts w:ascii="仿宋" w:hAnsi="仿宋" w:eastAsia="仿宋" w:cs="仿宋"/>
          <w:snapToGrid w:val="0"/>
          <w:color w:val="auto"/>
          <w:sz w:val="22"/>
          <w:szCs w:val="22"/>
          <w:highlight w:val="none"/>
        </w:rPr>
        <w:t>证等费用已含在本合同报价内，发包人不另行支付。施工期需无条件配合落实发包人或上级部门关于工程度汛及生态调水等方面措施，相关费用由承包人自行考虑，发包人不另行支付。</w:t>
      </w:r>
    </w:p>
    <w:p w14:paraId="1B446D8F">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26.8</w:t>
      </w:r>
      <w:r>
        <w:rPr>
          <w:rFonts w:ascii="仿宋" w:hAnsi="仿宋" w:eastAsia="仿宋" w:cs="仿宋"/>
          <w:snapToGrid w:val="0"/>
          <w:color w:val="auto"/>
          <w:sz w:val="22"/>
          <w:szCs w:val="22"/>
          <w:highlight w:val="none"/>
        </w:rPr>
        <w:t>承包人按需在施工现场安装地磅，且满足项目需求，费用由承包人自行承担，发包人不再另行支付。</w:t>
      </w:r>
    </w:p>
    <w:p w14:paraId="6E9298F5">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26.9承包人</w:t>
      </w:r>
      <w:r>
        <w:rPr>
          <w:rFonts w:ascii="仿宋" w:hAnsi="仿宋" w:eastAsia="仿宋" w:cs="仿宋"/>
          <w:snapToGrid w:val="0"/>
          <w:color w:val="auto"/>
          <w:sz w:val="22"/>
          <w:szCs w:val="22"/>
          <w:highlight w:val="none"/>
        </w:rPr>
        <w:t>应充分考虑现场施工条件造成的影响，合理安排施工组织设计</w:t>
      </w:r>
    </w:p>
    <w:p w14:paraId="5786E988">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26.10</w:t>
      </w:r>
      <w:r>
        <w:rPr>
          <w:rFonts w:ascii="仿宋" w:hAnsi="仿宋" w:eastAsia="仿宋" w:cs="仿宋"/>
          <w:snapToGrid w:val="0"/>
          <w:color w:val="auto"/>
          <w:sz w:val="22"/>
          <w:szCs w:val="22"/>
          <w:highlight w:val="none"/>
        </w:rPr>
        <w:t>施工期防汛、抗台、抗洪、大风、大雾、封航、倾倒区关闭等引起的相关措施费用，已包含在投标报价中，发包人不再另行计算；因以上原因引起的工期延误，经发包人同意后可以顺延</w:t>
      </w:r>
      <w:r>
        <w:rPr>
          <w:rFonts w:hint="eastAsia" w:ascii="仿宋" w:hAnsi="仿宋" w:eastAsia="仿宋" w:cs="仿宋"/>
          <w:snapToGrid w:val="0"/>
          <w:color w:val="auto"/>
          <w:sz w:val="22"/>
          <w:szCs w:val="22"/>
          <w:highlight w:val="none"/>
        </w:rPr>
        <w:t>。</w:t>
      </w:r>
    </w:p>
    <w:p w14:paraId="035F042A">
      <w:pPr>
        <w:outlineLvl w:val="9"/>
        <w:rPr>
          <w:rFonts w:hint="eastAsia" w:ascii="仿宋" w:hAnsi="仿宋" w:eastAsia="仿宋" w:cs="仿宋"/>
          <w:snapToGrid w:val="0"/>
          <w:color w:val="auto"/>
          <w:sz w:val="22"/>
          <w:szCs w:val="22"/>
          <w:highlight w:val="none"/>
        </w:rPr>
      </w:pPr>
    </w:p>
    <w:p w14:paraId="4AC6FD99">
      <w:pPr>
        <w:outlineLvl w:val="9"/>
        <w:rPr>
          <w:rFonts w:hint="eastAsia" w:ascii="仿宋" w:hAnsi="仿宋" w:eastAsia="仿宋" w:cs="仿宋"/>
          <w:snapToGrid w:val="0"/>
          <w:color w:val="auto"/>
          <w:sz w:val="22"/>
          <w:szCs w:val="22"/>
          <w:highlight w:val="none"/>
        </w:rPr>
      </w:pPr>
    </w:p>
    <w:p w14:paraId="276AFF25">
      <w:pPr>
        <w:outlineLvl w:val="9"/>
        <w:rPr>
          <w:rFonts w:hint="eastAsia" w:ascii="仿宋" w:hAnsi="仿宋" w:eastAsia="仿宋" w:cs="仿宋"/>
          <w:snapToGrid w:val="0"/>
          <w:color w:val="auto"/>
          <w:sz w:val="22"/>
          <w:szCs w:val="22"/>
          <w:highlight w:val="none"/>
        </w:rPr>
      </w:pPr>
    </w:p>
    <w:p w14:paraId="6DAB8290">
      <w:pPr>
        <w:keepLines/>
        <w:autoSpaceDE w:val="0"/>
        <w:autoSpaceDN w:val="0"/>
        <w:snapToGrid w:val="0"/>
        <w:spacing w:line="360" w:lineRule="auto"/>
        <w:jc w:val="center"/>
        <w:textAlignment w:val="baseline"/>
        <w:outlineLvl w:val="2"/>
        <w:rPr>
          <w:rFonts w:hint="eastAsia" w:ascii="仿宋" w:hAnsi="仿宋" w:eastAsia="仿宋" w:cs="仿宋"/>
          <w:b/>
          <w:color w:val="auto"/>
          <w:sz w:val="22"/>
          <w:szCs w:val="22"/>
          <w:highlight w:val="none"/>
        </w:rPr>
      </w:pPr>
      <w:bookmarkStart w:id="237" w:name="_Toc25252"/>
      <w:r>
        <w:rPr>
          <w:rFonts w:hint="eastAsia" w:ascii="仿宋" w:hAnsi="仿宋" w:eastAsia="仿宋" w:cs="仿宋"/>
          <w:b/>
          <w:snapToGrid w:val="0"/>
          <w:color w:val="auto"/>
          <w:sz w:val="22"/>
          <w:szCs w:val="22"/>
          <w:highlight w:val="none"/>
        </w:rPr>
        <w:t xml:space="preserve">第3节 </w:t>
      </w:r>
      <w:r>
        <w:rPr>
          <w:rFonts w:hint="eastAsia" w:ascii="仿宋" w:hAnsi="仿宋" w:eastAsia="仿宋" w:cs="仿宋"/>
          <w:b/>
          <w:color w:val="auto"/>
          <w:sz w:val="22"/>
          <w:szCs w:val="22"/>
          <w:highlight w:val="none"/>
        </w:rPr>
        <w:t>合同附件格式</w:t>
      </w:r>
      <w:bookmarkEnd w:id="237"/>
    </w:p>
    <w:p w14:paraId="4F45C7E3">
      <w:pPr>
        <w:keepLines/>
        <w:autoSpaceDE w:val="0"/>
        <w:autoSpaceDN w:val="0"/>
        <w:snapToGrid w:val="0"/>
        <w:spacing w:line="360" w:lineRule="auto"/>
        <w:textAlignment w:val="baseline"/>
        <w:outlineLvl w:val="3"/>
        <w:rPr>
          <w:rFonts w:hint="eastAsia" w:ascii="仿宋" w:hAnsi="仿宋" w:eastAsia="仿宋" w:cs="仿宋"/>
          <w:b/>
          <w:snapToGrid w:val="0"/>
          <w:color w:val="auto"/>
          <w:sz w:val="22"/>
          <w:szCs w:val="22"/>
          <w:highlight w:val="none"/>
        </w:rPr>
      </w:pPr>
      <w:bookmarkStart w:id="238" w:name="_Toc381776171"/>
      <w:bookmarkStart w:id="239" w:name="_Toc370459078"/>
      <w:bookmarkStart w:id="240" w:name="_Toc362883302"/>
      <w:r>
        <w:rPr>
          <w:rFonts w:hint="eastAsia" w:ascii="仿宋" w:hAnsi="仿宋" w:eastAsia="仿宋" w:cs="仿宋"/>
          <w:b/>
          <w:snapToGrid w:val="0"/>
          <w:color w:val="auto"/>
          <w:sz w:val="22"/>
          <w:szCs w:val="22"/>
          <w:highlight w:val="none"/>
        </w:rPr>
        <w:t>附件一:合同协议书</w:t>
      </w:r>
      <w:bookmarkEnd w:id="238"/>
      <w:bookmarkEnd w:id="239"/>
      <w:bookmarkEnd w:id="240"/>
      <w:r>
        <w:rPr>
          <w:rFonts w:hint="eastAsia" w:ascii="仿宋" w:hAnsi="仿宋" w:eastAsia="仿宋" w:cs="仿宋"/>
          <w:b/>
          <w:snapToGrid w:val="0"/>
          <w:color w:val="auto"/>
          <w:sz w:val="22"/>
          <w:szCs w:val="22"/>
          <w:highlight w:val="none"/>
        </w:rPr>
        <w:tab/>
      </w:r>
    </w:p>
    <w:p w14:paraId="107C7DB7">
      <w:pPr>
        <w:spacing w:line="360" w:lineRule="auto"/>
        <w:jc w:val="center"/>
        <w:rPr>
          <w:rFonts w:hint="eastAsia" w:ascii="仿宋" w:hAnsi="仿宋" w:eastAsia="仿宋" w:cs="仿宋"/>
          <w:snapToGrid w:val="0"/>
          <w:color w:val="auto"/>
          <w:sz w:val="22"/>
          <w:szCs w:val="22"/>
          <w:highlight w:val="none"/>
        </w:rPr>
      </w:pPr>
      <w:r>
        <w:rPr>
          <w:rFonts w:hint="eastAsia" w:ascii="仿宋" w:hAnsi="仿宋" w:eastAsia="仿宋" w:cs="仿宋"/>
          <w:b/>
          <w:snapToGrid w:val="0"/>
          <w:color w:val="auto"/>
          <w:sz w:val="22"/>
          <w:szCs w:val="22"/>
          <w:highlight w:val="none"/>
        </w:rPr>
        <w:t>合同协议书</w:t>
      </w:r>
    </w:p>
    <w:p w14:paraId="74E0442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（发包人名称，以下简称“发包人”）为实施</w:t>
      </w:r>
      <w:r>
        <w:rPr>
          <w:rFonts w:hint="eastAsia" w:ascii="仿宋" w:hAnsi="仿宋" w:eastAsia="仿宋" w:cs="仿宋"/>
          <w:snapToGrid w:val="0"/>
          <w:color w:val="auto"/>
          <w:sz w:val="22"/>
          <w:szCs w:val="22"/>
          <w:highlight w:val="none"/>
          <w:u w:val="single"/>
        </w:rPr>
        <w:t xml:space="preserve">                 </w:t>
      </w:r>
    </w:p>
    <w:p w14:paraId="7653E705">
      <w:pPr>
        <w:snapToGrid w:val="0"/>
        <w:spacing w:line="440" w:lineRule="exac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（项目名称），已接受</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承包人名称，以下简称“承包人”）对该项目施工的投标。发包人和承包人共同达成如下协议。</w:t>
      </w:r>
    </w:p>
    <w:p w14:paraId="6B0CC960">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1．本协议书与下列文件一起构成合同文件：</w:t>
      </w:r>
    </w:p>
    <w:p w14:paraId="22B060B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 中标通知书；</w:t>
      </w:r>
    </w:p>
    <w:p w14:paraId="60373258">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 开标记录表；</w:t>
      </w:r>
    </w:p>
    <w:p w14:paraId="2BCAE3DF">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 专用合同条款；</w:t>
      </w:r>
    </w:p>
    <w:p w14:paraId="65842B9C">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 通用合同条款；</w:t>
      </w:r>
    </w:p>
    <w:p w14:paraId="7080546B">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 技术标准和要求；</w:t>
      </w:r>
    </w:p>
    <w:p w14:paraId="03B88FE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 图纸；</w:t>
      </w:r>
    </w:p>
    <w:p w14:paraId="1BB05A19">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 已标价工程量清单；</w:t>
      </w:r>
    </w:p>
    <w:p w14:paraId="265F005C">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 经双方确认进入合同的其它文件。</w:t>
      </w:r>
    </w:p>
    <w:p w14:paraId="1F0DBB3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2．上述文件互相补充和解释，如有不明确或不一致之处，以合同约定次序在先者为准。</w:t>
      </w:r>
    </w:p>
    <w:p w14:paraId="30AFB9AF">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3．签约合同价：人民币（大写）</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元（￥</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4759584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4．承包人项目负责人：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，项目技术负责人：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1388FEBB">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5．工程质量符合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标准。</w:t>
      </w:r>
    </w:p>
    <w:p w14:paraId="1369DB68">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6．承包人承诺按合同约定承担工程的实施、完成及缺陷修复。</w:t>
      </w:r>
    </w:p>
    <w:p w14:paraId="6F2EE247">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7．发包人承诺按合同约定的条件、时间和方式向承包人支付合同价款。</w:t>
      </w:r>
    </w:p>
    <w:p w14:paraId="665CF332">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8．承包人应按照监理人指示开工，工期为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日历天。</w:t>
      </w:r>
    </w:p>
    <w:p w14:paraId="7D90D41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9．本协议书正本一式</w:t>
      </w:r>
      <w:r>
        <w:rPr>
          <w:rFonts w:hint="eastAsia" w:ascii="仿宋" w:hAnsi="仿宋" w:eastAsia="仿宋" w:cs="仿宋"/>
          <w:snapToGrid w:val="0"/>
          <w:color w:val="auto"/>
          <w:sz w:val="22"/>
          <w:szCs w:val="22"/>
          <w:highlight w:val="none"/>
          <w:u w:val="single"/>
        </w:rPr>
        <w:t xml:space="preserve"> 贰 </w:t>
      </w:r>
      <w:r>
        <w:rPr>
          <w:rFonts w:hint="eastAsia" w:ascii="仿宋" w:hAnsi="仿宋" w:eastAsia="仿宋" w:cs="仿宋"/>
          <w:snapToGrid w:val="0"/>
          <w:color w:val="auto"/>
          <w:sz w:val="22"/>
          <w:szCs w:val="22"/>
          <w:highlight w:val="none"/>
        </w:rPr>
        <w:t>份，合同双方各执</w:t>
      </w:r>
      <w:r>
        <w:rPr>
          <w:rFonts w:hint="eastAsia" w:ascii="仿宋" w:hAnsi="仿宋" w:eastAsia="仿宋" w:cs="仿宋"/>
          <w:snapToGrid w:val="0"/>
          <w:color w:val="auto"/>
          <w:sz w:val="22"/>
          <w:szCs w:val="22"/>
          <w:highlight w:val="none"/>
          <w:u w:val="single"/>
        </w:rPr>
        <w:t xml:space="preserve"> 壹 </w:t>
      </w:r>
      <w:r>
        <w:rPr>
          <w:rFonts w:hint="eastAsia" w:ascii="仿宋" w:hAnsi="仿宋" w:eastAsia="仿宋" w:cs="仿宋"/>
          <w:snapToGrid w:val="0"/>
          <w:color w:val="auto"/>
          <w:sz w:val="22"/>
          <w:szCs w:val="22"/>
          <w:highlight w:val="none"/>
        </w:rPr>
        <w:t>份，副本</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份，双方各执</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份。</w:t>
      </w:r>
    </w:p>
    <w:p w14:paraId="44D0CEB9">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10．合同未尽事宜，双方另行签订补充协议。补充协议是合同的组成部分。</w:t>
      </w:r>
    </w:p>
    <w:p w14:paraId="63FC21BE">
      <w:pPr>
        <w:autoSpaceDE w:val="0"/>
        <w:autoSpaceDN w:val="0"/>
        <w:snapToGrid w:val="0"/>
        <w:spacing w:line="440" w:lineRule="exact"/>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 xml:space="preserve">     发包人：</w:t>
      </w:r>
      <w:r>
        <w:rPr>
          <w:rFonts w:hint="eastAsia" w:ascii="仿宋" w:hAnsi="仿宋" w:eastAsia="仿宋" w:cs="仿宋"/>
          <w:snapToGrid w:val="0"/>
          <w:color w:val="auto"/>
          <w:sz w:val="22"/>
          <w:szCs w:val="22"/>
          <w:highlight w:val="none"/>
          <w:u w:val="single"/>
        </w:rPr>
        <w:t xml:space="preserve">   （盖单位章）       </w:t>
      </w:r>
      <w:r>
        <w:rPr>
          <w:rFonts w:hint="eastAsia" w:ascii="仿宋" w:hAnsi="仿宋" w:eastAsia="仿宋" w:cs="仿宋"/>
          <w:snapToGrid w:val="0"/>
          <w:color w:val="auto"/>
          <w:sz w:val="22"/>
          <w:szCs w:val="22"/>
          <w:highlight w:val="none"/>
        </w:rPr>
        <w:t xml:space="preserve">      承包人：</w:t>
      </w:r>
      <w:r>
        <w:rPr>
          <w:rFonts w:hint="eastAsia" w:ascii="仿宋" w:hAnsi="仿宋" w:eastAsia="仿宋" w:cs="仿宋"/>
          <w:snapToGrid w:val="0"/>
          <w:color w:val="auto"/>
          <w:sz w:val="22"/>
          <w:szCs w:val="22"/>
          <w:highlight w:val="none"/>
          <w:u w:val="single"/>
        </w:rPr>
        <w:t xml:space="preserve">    （盖单位章）        </w:t>
      </w:r>
    </w:p>
    <w:p w14:paraId="336E4D75">
      <w:pPr>
        <w:autoSpaceDE w:val="0"/>
        <w:autoSpaceDN w:val="0"/>
        <w:snapToGrid w:val="0"/>
        <w:spacing w:line="440" w:lineRule="exact"/>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法定代表人：</w:t>
      </w:r>
      <w:r>
        <w:rPr>
          <w:rFonts w:hint="eastAsia" w:ascii="仿宋" w:hAnsi="仿宋" w:eastAsia="仿宋" w:cs="仿宋"/>
          <w:snapToGrid w:val="0"/>
          <w:color w:val="auto"/>
          <w:sz w:val="22"/>
          <w:szCs w:val="22"/>
          <w:highlight w:val="none"/>
          <w:u w:val="single"/>
        </w:rPr>
        <w:t xml:space="preserve">     （签字）     </w:t>
      </w:r>
      <w:r>
        <w:rPr>
          <w:rFonts w:hint="eastAsia" w:ascii="仿宋" w:hAnsi="仿宋" w:eastAsia="仿宋" w:cs="仿宋"/>
          <w:snapToGrid w:val="0"/>
          <w:color w:val="auto"/>
          <w:sz w:val="22"/>
          <w:szCs w:val="22"/>
          <w:highlight w:val="none"/>
        </w:rPr>
        <w:t xml:space="preserve">      法定代表人：</w:t>
      </w:r>
      <w:r>
        <w:rPr>
          <w:rFonts w:hint="eastAsia" w:ascii="仿宋" w:hAnsi="仿宋" w:eastAsia="仿宋" w:cs="仿宋"/>
          <w:snapToGrid w:val="0"/>
          <w:color w:val="auto"/>
          <w:sz w:val="22"/>
          <w:szCs w:val="22"/>
          <w:highlight w:val="none"/>
          <w:u w:val="single"/>
        </w:rPr>
        <w:t xml:space="preserve">      （签字）      </w:t>
      </w:r>
    </w:p>
    <w:p w14:paraId="383014B7">
      <w:pPr>
        <w:snapToGrid w:val="0"/>
        <w:spacing w:line="440" w:lineRule="exac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或其委托代理人                      或其委托代理人</w:t>
      </w:r>
    </w:p>
    <w:p w14:paraId="07B9A2D9">
      <w:pPr>
        <w:snapToGrid w:val="0"/>
        <w:spacing w:line="440" w:lineRule="exact"/>
        <w:ind w:firstLine="660" w:firstLineChars="3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 xml:space="preserve">日                        </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日</w:t>
      </w:r>
    </w:p>
    <w:p w14:paraId="521BC9E9">
      <w:pPr>
        <w:snapToGrid w:val="0"/>
        <w:spacing w:line="440" w:lineRule="exact"/>
        <w:ind w:firstLine="660" w:firstLineChars="300"/>
        <w:rPr>
          <w:rFonts w:hint="eastAsia" w:ascii="仿宋" w:hAnsi="仿宋" w:eastAsia="仿宋" w:cs="仿宋"/>
          <w:snapToGrid w:val="0"/>
          <w:color w:val="auto"/>
          <w:sz w:val="22"/>
          <w:szCs w:val="22"/>
          <w:highlight w:val="none"/>
        </w:rPr>
      </w:pPr>
    </w:p>
    <w:p w14:paraId="6CCB7E6A">
      <w:pPr>
        <w:snapToGrid w:val="0"/>
        <w:spacing w:line="440" w:lineRule="exact"/>
        <w:ind w:firstLine="660" w:firstLineChars="300"/>
        <w:rPr>
          <w:rFonts w:hint="eastAsia" w:ascii="仿宋" w:hAnsi="仿宋" w:eastAsia="仿宋" w:cs="仿宋"/>
          <w:snapToGrid w:val="0"/>
          <w:color w:val="auto"/>
          <w:sz w:val="22"/>
          <w:szCs w:val="22"/>
          <w:highlight w:val="none"/>
        </w:rPr>
      </w:pPr>
    </w:p>
    <w:p w14:paraId="78143AB3">
      <w:pPr>
        <w:keepLines/>
        <w:autoSpaceDE w:val="0"/>
        <w:autoSpaceDN w:val="0"/>
        <w:snapToGrid w:val="0"/>
        <w:spacing w:line="360" w:lineRule="auto"/>
        <w:textAlignment w:val="baseline"/>
        <w:outlineLvl w:val="9"/>
        <w:rPr>
          <w:rFonts w:hint="eastAsia" w:ascii="仿宋" w:hAnsi="仿宋" w:eastAsia="仿宋" w:cs="仿宋"/>
          <w:b/>
          <w:snapToGrid w:val="0"/>
          <w:color w:val="auto"/>
          <w:sz w:val="22"/>
          <w:szCs w:val="22"/>
          <w:highlight w:val="none"/>
        </w:rPr>
      </w:pPr>
      <w:bookmarkStart w:id="241" w:name="_Toc381776174"/>
      <w:bookmarkStart w:id="242" w:name="_Toc362883305"/>
      <w:bookmarkStart w:id="243" w:name="_Toc370459081"/>
    </w:p>
    <w:p w14:paraId="2169E33C">
      <w:pPr>
        <w:pStyle w:val="28"/>
        <w:rPr>
          <w:rFonts w:hint="eastAsia" w:ascii="仿宋" w:hAnsi="仿宋" w:eastAsia="仿宋" w:cs="仿宋"/>
          <w:b/>
          <w:snapToGrid w:val="0"/>
          <w:color w:val="auto"/>
          <w:sz w:val="22"/>
          <w:szCs w:val="22"/>
          <w:highlight w:val="none"/>
        </w:rPr>
      </w:pPr>
    </w:p>
    <w:p w14:paraId="7402CB58">
      <w:pPr>
        <w:keepLines/>
        <w:autoSpaceDE w:val="0"/>
        <w:autoSpaceDN w:val="0"/>
        <w:snapToGrid w:val="0"/>
        <w:spacing w:line="360" w:lineRule="auto"/>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附件二:项目廉政合同（格式）</w:t>
      </w:r>
      <w:bookmarkEnd w:id="241"/>
      <w:bookmarkEnd w:id="242"/>
      <w:bookmarkEnd w:id="243"/>
    </w:p>
    <w:p w14:paraId="5CE03451">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b/>
          <w:bCs/>
          <w:color w:val="auto"/>
          <w:sz w:val="22"/>
          <w:szCs w:val="22"/>
          <w:highlight w:val="none"/>
        </w:rPr>
        <w:t>廉政合同</w:t>
      </w:r>
    </w:p>
    <w:p w14:paraId="75280BCE">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为加强工程建设中的廉政建设，保证工程建设高效优质完成，保证建设资金的安全和有效使用，</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的项目法人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(以下称甲方)与承包商</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（以下称乙方），特订立如下责任书。</w:t>
      </w:r>
    </w:p>
    <w:p w14:paraId="29B57D24">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第一条  甲乙双方的权利和义务</w:t>
      </w:r>
    </w:p>
    <w:p w14:paraId="0BC5E7DB">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严格遵守党和国家工程建设的有关法律法规及水利部门的有关规定。</w:t>
      </w:r>
    </w:p>
    <w:p w14:paraId="7B3B4BB3">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严格执行</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的合同文件，自觉按合同办事。</w:t>
      </w:r>
    </w:p>
    <w:p w14:paraId="29B61897">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双方的业务活动坚持公开、公平、公正、诚信、透明的原则（除法律认定的商业秘密和合同文件另有规定之外），不得损害国家和集体利益，违反工程建设管理规定。</w:t>
      </w:r>
    </w:p>
    <w:p w14:paraId="464107A4">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建立健全廉政制度、监督制度和处罚制度，开展廉政教育，设立廉政告示牌，公布举报电话。</w:t>
      </w:r>
    </w:p>
    <w:p w14:paraId="0A60CB3E">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发现对方在业务活动中有违反廉政规定的行为，有及时提醒对方纠正的权利和义务。</w:t>
      </w:r>
    </w:p>
    <w:p w14:paraId="00079865">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发现对方严重违反本责任书义务条款的行为，有向其上级有关部门举报、建议给予处理并要求告知处理结果的权利。</w:t>
      </w:r>
    </w:p>
    <w:p w14:paraId="7C28A92B">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第二条  甲方的义务</w:t>
      </w:r>
    </w:p>
    <w:p w14:paraId="3A2B4F99">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甲方及其工作人员不得索要或接受乙方的礼金、礼券、有价证券和物品，不得到乙方报销任何由甲方或个人支付的费用等。</w:t>
      </w:r>
    </w:p>
    <w:p w14:paraId="185803AF">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甲方不得有意刁难、拖延承包商工程款，不得违反规定批拨工程建设费用等。</w:t>
      </w:r>
    </w:p>
    <w:p w14:paraId="48AED508">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甲方工作人员不得参加乙方安排的宴请和娱乐活动；不得接受乙方提供的通讯工具、交通工具和高档办公用品等。</w:t>
      </w:r>
    </w:p>
    <w:p w14:paraId="0C7C447B">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甲方及其工作人员不得要求或者接受乙方为其住房装修、操办婚丧嫁娶、安排配偶子女的工作以及出国出境、旅游等。</w:t>
      </w:r>
    </w:p>
    <w:p w14:paraId="5C5FB3BA">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甲方工作人员的配偶、子女及下属单位不得从事与甲方工程有关的材料设备供应、工程分包、劳务等经济活动。</w:t>
      </w:r>
    </w:p>
    <w:p w14:paraId="2F275A44">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甲方及其工作人员不得以任何理由向乙方推荐分包单位，不得要求乙方购买合同规定外的材料和设备。</w:t>
      </w:r>
    </w:p>
    <w:p w14:paraId="2A7B52E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第三条  乙方义务</w:t>
      </w:r>
    </w:p>
    <w:p w14:paraId="75B2DCA4">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乙方不得以任何理由向甲方及其工作人员行贿或馈赠礼金、礼券、有价证券、礼品。</w:t>
      </w:r>
    </w:p>
    <w:p w14:paraId="5D8B8AC4">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乙方不得以任何名义为甲方及其工作人员报销应由甲方单位或个人支付的任何费用。</w:t>
      </w:r>
    </w:p>
    <w:p w14:paraId="1C41EB01">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乙方不得要求甲方违反规定，批拨、追加工程建设费用等。</w:t>
      </w:r>
    </w:p>
    <w:p w14:paraId="586BCC51">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乙方不得以任何理由安排甲方工作人员参加宴请及娱乐活动。</w:t>
      </w:r>
    </w:p>
    <w:p w14:paraId="728246F2">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乙方不得为甲方单位和个人购置或提供通讯工具、交通工具和高档办公室用品等。</w:t>
      </w:r>
    </w:p>
    <w:p w14:paraId="6813E4AB">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第四条  违约责任</w:t>
      </w:r>
    </w:p>
    <w:p w14:paraId="2E722563">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（一）甲方及其工作人员违反本责任书第一、二条，按管理权限，依据有关规定给予党纪、政纪或组织处理；涉嫌犯罪的，移送司法机关追究刑事责任；给乙方单位造成经济损失的，应予以赔偿。</w:t>
      </w:r>
    </w:p>
    <w:p w14:paraId="50793FCD">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二）乙方及其工作人员违反本责任书第一、三条，按管理权限，依据有关规定，给予党纪、政纪、组织处理或停止承接业务处理；给甲方单位造成经济损失的，应予以赔偿；情节严重的，甲方建议有关工程建设主管部门给予乙方一至三年内不得参与工程建设项目投标的处罚。</w:t>
      </w:r>
    </w:p>
    <w:p w14:paraId="7AB429B9">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第五条  双方约定</w:t>
      </w:r>
    </w:p>
    <w:p w14:paraId="4682DE6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本责任书由纪检监察机关负责监督执行。纪检监察机关对本责任书执行情况进行抽查。提出属于本责任书规定范围的处理意见。</w:t>
      </w:r>
    </w:p>
    <w:p w14:paraId="2E34829C">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第六条  本责任书有效期同甲乙双方签署之日起至该工程项目工程款支付完结时止。</w:t>
      </w:r>
    </w:p>
    <w:p w14:paraId="20B0086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第七条  本责任书作为本工程施工承包合同的附件，与工程施工合同具有同等的法律效力，经甲、乙双方签署后生效。</w:t>
      </w:r>
    </w:p>
    <w:p w14:paraId="14E25C94">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第八条  本责任书甲、乙双方各执一份，送交监督单位一份。</w:t>
      </w:r>
    </w:p>
    <w:p w14:paraId="2DC83C25">
      <w:pPr>
        <w:spacing w:line="420" w:lineRule="exact"/>
        <w:ind w:firstLine="440" w:firstLineChars="200"/>
        <w:rPr>
          <w:rFonts w:hint="eastAsia" w:ascii="仿宋" w:hAnsi="仿宋" w:eastAsia="仿宋" w:cs="仿宋"/>
          <w:snapToGrid w:val="0"/>
          <w:color w:val="auto"/>
          <w:sz w:val="22"/>
          <w:szCs w:val="22"/>
          <w:highlight w:val="none"/>
        </w:rPr>
      </w:pPr>
    </w:p>
    <w:p w14:paraId="4567C1DD">
      <w:pPr>
        <w:spacing w:line="420" w:lineRule="exact"/>
        <w:ind w:firstLine="440" w:firstLineChars="200"/>
        <w:rPr>
          <w:rFonts w:hint="eastAsia" w:ascii="仿宋" w:hAnsi="仿宋" w:eastAsia="仿宋" w:cs="仿宋"/>
          <w:snapToGrid w:val="0"/>
          <w:color w:val="auto"/>
          <w:sz w:val="22"/>
          <w:szCs w:val="22"/>
          <w:highlight w:val="none"/>
        </w:rPr>
      </w:pPr>
    </w:p>
    <w:p w14:paraId="2A8EC89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甲方单位：  （盖章）                      乙方单位：（盖章）</w:t>
      </w:r>
    </w:p>
    <w:p w14:paraId="259E54A5">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法定代表人：                              法定代表人：</w:t>
      </w:r>
    </w:p>
    <w:p w14:paraId="0CF3DFA3">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地址：                                    地址：</w:t>
      </w:r>
    </w:p>
    <w:p w14:paraId="1F6C6A0C">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电话：                                    电话：</w:t>
      </w:r>
    </w:p>
    <w:p w14:paraId="170F7D14">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br w:type="page"/>
      </w:r>
      <w:r>
        <w:rPr>
          <w:rFonts w:hint="eastAsia" w:ascii="仿宋" w:hAnsi="仿宋" w:eastAsia="仿宋" w:cs="仿宋"/>
          <w:b/>
          <w:snapToGrid w:val="0"/>
          <w:color w:val="auto"/>
          <w:sz w:val="22"/>
          <w:szCs w:val="22"/>
          <w:highlight w:val="none"/>
        </w:rPr>
        <w:t>附件三:</w:t>
      </w:r>
    </w:p>
    <w:p w14:paraId="2D878DBD">
      <w:pPr>
        <w:spacing w:line="420" w:lineRule="exact"/>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安全生产协议书</w:t>
      </w:r>
    </w:p>
    <w:p w14:paraId="424535EA">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为在</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rPr>
        <w:t>施工合同的实施过程中创造安全、高效的施工环境，切实搞好本项目的安全管理工作，本项目的建设单位</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rPr>
        <w:t>（以下简称“甲方”）与施工单位</w:t>
      </w:r>
      <w:r>
        <w:rPr>
          <w:rFonts w:hint="eastAsia" w:ascii="仿宋" w:hAnsi="仿宋" w:eastAsia="仿宋" w:cs="仿宋"/>
          <w:b/>
          <w:bCs/>
          <w:color w:val="auto"/>
          <w:sz w:val="22"/>
          <w:szCs w:val="22"/>
          <w:highlight w:val="none"/>
          <w:u w:val="single"/>
        </w:rPr>
        <w:t xml:space="preserve">        </w:t>
      </w:r>
      <w:r>
        <w:rPr>
          <w:rFonts w:hint="eastAsia" w:ascii="仿宋" w:hAnsi="仿宋" w:eastAsia="仿宋" w:cs="仿宋"/>
          <w:color w:val="auto"/>
          <w:sz w:val="22"/>
          <w:szCs w:val="22"/>
          <w:highlight w:val="none"/>
        </w:rPr>
        <w:t>（以下简称“乙方”），特此签订安全生产协议书：</w:t>
      </w:r>
    </w:p>
    <w:p w14:paraId="53E8EF08">
      <w:pPr>
        <w:widowControl/>
        <w:numPr>
          <w:ilvl w:val="0"/>
          <w:numId w:val="9"/>
        </w:numPr>
        <w:spacing w:line="400" w:lineRule="exact"/>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甲方职责</w:t>
      </w:r>
    </w:p>
    <w:p w14:paraId="779548C3">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（一）遵守国家有关安全生产的法律法规，认真执行工程承包合同中的有关安全要求。</w:t>
      </w:r>
    </w:p>
    <w:p w14:paraId="4D9C5AD8">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（二）按照“安全第一、预防为主”和坚持“管生产必须管安全”的原则进行安全生产管理，做到生产与安全工作同时计划、布置、检查、总结和评比。</w:t>
      </w:r>
    </w:p>
    <w:p w14:paraId="726A18B6">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（三）重要的安全设施必须坚持与主体工程“三同时”的原则，即：同时设计、审批，同时施工，同时验收、投入使用。</w:t>
      </w:r>
    </w:p>
    <w:p w14:paraId="4857D532">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（四）定期召开安全生产调度会，及时传达中央及地方有关安全生产的精神。</w:t>
      </w:r>
    </w:p>
    <w:p w14:paraId="2E2FFD1E">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（五）组织对乙方施工现场安全生产检查，监督乙方及时处理发现的各种安全隐患。</w:t>
      </w:r>
    </w:p>
    <w:p w14:paraId="0A781CDF">
      <w:pPr>
        <w:widowControl/>
        <w:numPr>
          <w:ilvl w:val="0"/>
          <w:numId w:val="9"/>
        </w:numPr>
        <w:spacing w:line="400" w:lineRule="exact"/>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乙方职责</w:t>
      </w:r>
    </w:p>
    <w:p w14:paraId="39A870EE">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（一）严格遵守国家有关安全生产的法律法规、水利部颁发的有关工程施工安全技术规程的安全生产规定，认真执行工程承包合同中的有关安全要求。</w:t>
      </w:r>
    </w:p>
    <w:p w14:paraId="257D39EA">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二）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1F484754">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三）建立健全安全生产责任制。从派往项目实施的项目负责人（项目经理）到生产工人（包括临时雇请的民工）的安全生产管理系统必须做到纵向到底，一环不漏；各职能部门、人员的安全生产责任制做到横向到边，人人有责。项目负责人（项目经理）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0095AB79">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（四）乙方在任何时候都应采取各种合理的预防措施，防止其员工发生任何违法、违禁、暴力或妨碍治安的行为。</w:t>
      </w:r>
    </w:p>
    <w:p w14:paraId="15EB8BA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负责人（项目经理）必须承担管理责任。</w:t>
      </w:r>
    </w:p>
    <w:p w14:paraId="18D70890">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27AFD9DD">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（七）操作人员上岗，必须按规定穿戴防护用品。施工负责人和安全检查员应随时检查劳动防护用品的穿戴情况，不按规定穿戴防护用品的人员不得上岗。</w:t>
      </w:r>
    </w:p>
    <w:p w14:paraId="3FFE0CF7">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（八）所有施工机具设备和高空作业的设备均应定期检查，并有安全员的签字记录，保证其经常处于完好状态；不合格的机具、设备和劳动保护用品严禁使用。</w:t>
      </w:r>
    </w:p>
    <w:p w14:paraId="19BA46C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（九）所有施工中采用新技术，新工艺、新设备、新材料时，必须制定相应的安全技术措施，施工现场必须具有相关的安全标志牌。</w:t>
      </w:r>
    </w:p>
    <w:p w14:paraId="3B0BB0C3">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十）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788802AA">
      <w:pPr>
        <w:spacing w:line="400" w:lineRule="exact"/>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 xml:space="preserve">    </w:t>
      </w:r>
      <w:r>
        <w:rPr>
          <w:rFonts w:hint="eastAsia" w:ascii="仿宋" w:hAnsi="仿宋" w:eastAsia="仿宋" w:cs="仿宋"/>
          <w:b/>
          <w:color w:val="auto"/>
          <w:sz w:val="22"/>
          <w:szCs w:val="22"/>
          <w:highlight w:val="none"/>
        </w:rPr>
        <w:t>第三条  违约责任</w:t>
      </w:r>
    </w:p>
    <w:p w14:paraId="4F29D50A">
      <w:pPr>
        <w:spacing w:line="400" w:lineRule="exact"/>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 xml:space="preserve">    </w:t>
      </w:r>
      <w:r>
        <w:rPr>
          <w:rFonts w:hint="eastAsia" w:ascii="仿宋" w:hAnsi="仿宋" w:eastAsia="仿宋" w:cs="仿宋"/>
          <w:color w:val="auto"/>
          <w:sz w:val="22"/>
          <w:szCs w:val="22"/>
          <w:highlight w:val="none"/>
        </w:rPr>
        <w:t>如因甲方或乙方违约造成安全事故，将依法追究责任，并视事故轻重扣除一定比例的安全保证金。</w:t>
      </w:r>
    </w:p>
    <w:p w14:paraId="64FB026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本合同正本一式贰份，副本陆份，合同双方各执正本壹份，副本叁份。由双方法定代表人或其授权的代理人签署与加盖公章后生效，全部工程竣工验收后失效。</w:t>
      </w:r>
    </w:p>
    <w:p w14:paraId="18FDA845">
      <w:pPr>
        <w:spacing w:line="400" w:lineRule="exact"/>
        <w:rPr>
          <w:rFonts w:hint="eastAsia" w:ascii="仿宋" w:hAnsi="仿宋" w:eastAsia="仿宋" w:cs="仿宋"/>
          <w:color w:val="auto"/>
          <w:spacing w:val="-8"/>
          <w:sz w:val="22"/>
          <w:szCs w:val="22"/>
          <w:highlight w:val="none"/>
        </w:rPr>
      </w:pPr>
    </w:p>
    <w:p w14:paraId="37E591E2">
      <w:pPr>
        <w:spacing w:line="400" w:lineRule="exact"/>
        <w:rPr>
          <w:rFonts w:hint="eastAsia" w:ascii="仿宋" w:hAnsi="仿宋" w:eastAsia="仿宋" w:cs="仿宋"/>
          <w:color w:val="auto"/>
          <w:spacing w:val="-8"/>
          <w:sz w:val="22"/>
          <w:szCs w:val="22"/>
          <w:highlight w:val="none"/>
        </w:rPr>
      </w:pPr>
    </w:p>
    <w:p w14:paraId="6A714FC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甲方单位：  （盖章）                      乙方单位：（盖章）</w:t>
      </w:r>
    </w:p>
    <w:p w14:paraId="5D35F95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法定代表人：                              法定代表人：</w:t>
      </w:r>
    </w:p>
    <w:p w14:paraId="42E7F9ED">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地址：                                    地址：</w:t>
      </w:r>
    </w:p>
    <w:p w14:paraId="0F5DDBEB">
      <w:pPr>
        <w:spacing w:line="480" w:lineRule="auto"/>
        <w:ind w:firstLine="440" w:firstLineChars="200"/>
        <w:rPr>
          <w:rFonts w:hint="eastAsia" w:ascii="仿宋" w:hAnsi="仿宋" w:eastAsia="仿宋" w:cs="仿宋"/>
          <w:color w:val="auto"/>
          <w:kern w:val="20"/>
          <w:sz w:val="22"/>
          <w:szCs w:val="22"/>
          <w:highlight w:val="none"/>
        </w:rPr>
      </w:pPr>
      <w:r>
        <w:rPr>
          <w:rFonts w:hint="eastAsia" w:ascii="仿宋" w:hAnsi="仿宋" w:eastAsia="仿宋" w:cs="仿宋"/>
          <w:snapToGrid w:val="0"/>
          <w:color w:val="auto"/>
          <w:sz w:val="22"/>
          <w:szCs w:val="22"/>
          <w:highlight w:val="none"/>
        </w:rPr>
        <w:t>电话：                                    电话：</w:t>
      </w:r>
    </w:p>
    <w:p w14:paraId="173489D5">
      <w:pPr>
        <w:pStyle w:val="2"/>
        <w:spacing w:before="0" w:after="0" w:line="460" w:lineRule="exact"/>
        <w:rPr>
          <w:rFonts w:hint="eastAsia" w:ascii="仿宋" w:hAnsi="仿宋" w:eastAsia="仿宋" w:cs="仿宋"/>
          <w:color w:val="auto"/>
          <w:highlight w:val="none"/>
        </w:rPr>
      </w:pPr>
      <w:r>
        <w:rPr>
          <w:rFonts w:hint="eastAsia" w:ascii="仿宋" w:hAnsi="仿宋" w:eastAsia="仿宋" w:cs="仿宋"/>
          <w:snapToGrid w:val="0"/>
          <w:color w:val="auto"/>
          <w:sz w:val="22"/>
          <w:szCs w:val="22"/>
          <w:highlight w:val="none"/>
        </w:rPr>
        <w:br w:type="page"/>
      </w:r>
      <w:bookmarkStart w:id="244" w:name="_Toc6917"/>
      <w:r>
        <w:rPr>
          <w:rFonts w:hint="eastAsia" w:ascii="仿宋" w:hAnsi="仿宋" w:eastAsia="仿宋" w:cs="仿宋"/>
          <w:color w:val="auto"/>
          <w:highlight w:val="none"/>
        </w:rPr>
        <w:t>第六章  响应文件格式</w:t>
      </w:r>
      <w:bookmarkEnd w:id="244"/>
    </w:p>
    <w:p w14:paraId="037EEA5A">
      <w:pPr>
        <w:spacing w:line="360" w:lineRule="auto"/>
        <w:rPr>
          <w:rFonts w:hint="eastAsia" w:ascii="仿宋" w:hAnsi="仿宋" w:eastAsia="仿宋" w:cs="仿宋"/>
          <w:b/>
          <w:color w:val="auto"/>
          <w:szCs w:val="21"/>
          <w:highlight w:val="none"/>
        </w:rPr>
      </w:pPr>
    </w:p>
    <w:p w14:paraId="61660BC8">
      <w:pPr>
        <w:spacing w:line="360" w:lineRule="auto"/>
        <w:rPr>
          <w:rFonts w:hint="eastAsia" w:ascii="仿宋" w:hAnsi="仿宋" w:eastAsia="仿宋" w:cs="仿宋"/>
          <w:b/>
          <w:color w:val="auto"/>
          <w:szCs w:val="21"/>
          <w:highlight w:val="none"/>
        </w:rPr>
      </w:pPr>
    </w:p>
    <w:p w14:paraId="4AA33F8E">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color w:val="auto"/>
          <w:sz w:val="22"/>
          <w:szCs w:val="22"/>
          <w:highlight w:val="none"/>
        </w:rPr>
        <w:t>电子备份磋商响应文件的外包装封面格式：</w:t>
      </w:r>
    </w:p>
    <w:p w14:paraId="7C85CB2F">
      <w:pPr>
        <w:spacing w:line="360" w:lineRule="auto"/>
        <w:jc w:val="center"/>
        <w:rPr>
          <w:rFonts w:hint="eastAsia" w:ascii="仿宋" w:hAnsi="仿宋" w:eastAsia="仿宋" w:cs="仿宋"/>
          <w:bCs/>
          <w:color w:val="auto"/>
          <w:sz w:val="22"/>
          <w:szCs w:val="22"/>
          <w:highlight w:val="none"/>
        </w:rPr>
      </w:pPr>
    </w:p>
    <w:p w14:paraId="6B84249F">
      <w:pPr>
        <w:spacing w:line="360" w:lineRule="auto"/>
        <w:jc w:val="center"/>
        <w:rPr>
          <w:rFonts w:hint="eastAsia" w:ascii="仿宋" w:hAnsi="仿宋" w:eastAsia="仿宋" w:cs="仿宋"/>
          <w:bCs/>
          <w:color w:val="auto"/>
          <w:szCs w:val="21"/>
          <w:highlight w:val="none"/>
        </w:rPr>
      </w:pPr>
    </w:p>
    <w:p w14:paraId="5C46AA18">
      <w:pPr>
        <w:spacing w:line="360" w:lineRule="auto"/>
        <w:jc w:val="center"/>
        <w:rPr>
          <w:rFonts w:hint="eastAsia" w:ascii="仿宋" w:hAnsi="仿宋" w:eastAsia="仿宋" w:cs="仿宋"/>
          <w:bCs/>
          <w:color w:val="auto"/>
          <w:szCs w:val="21"/>
          <w:highlight w:val="none"/>
        </w:rPr>
      </w:pPr>
    </w:p>
    <w:p w14:paraId="55EA730A">
      <w:pPr>
        <w:spacing w:line="360" w:lineRule="auto"/>
        <w:jc w:val="center"/>
        <w:rPr>
          <w:rFonts w:hint="eastAsia" w:ascii="仿宋" w:hAnsi="仿宋" w:eastAsia="仿宋" w:cs="仿宋"/>
          <w:bCs/>
          <w:color w:val="auto"/>
          <w:szCs w:val="21"/>
          <w:highlight w:val="none"/>
        </w:rPr>
      </w:pPr>
    </w:p>
    <w:p w14:paraId="6CBF3BD7">
      <w:pPr>
        <w:spacing w:line="360" w:lineRule="auto"/>
        <w:jc w:val="center"/>
        <w:rPr>
          <w:rFonts w:hint="eastAsia" w:ascii="仿宋" w:hAnsi="仿宋" w:eastAsia="仿宋" w:cs="仿宋"/>
          <w:bCs/>
          <w:color w:val="auto"/>
          <w:szCs w:val="21"/>
          <w:highlight w:val="none"/>
        </w:rPr>
      </w:pPr>
    </w:p>
    <w:p w14:paraId="48D9B4DB">
      <w:pPr>
        <w:spacing w:line="360" w:lineRule="auto"/>
        <w:jc w:val="center"/>
        <w:rPr>
          <w:rFonts w:hint="eastAsia" w:ascii="仿宋" w:hAnsi="仿宋" w:eastAsia="仿宋" w:cs="仿宋"/>
          <w:bCs/>
          <w:color w:val="auto"/>
          <w:szCs w:val="21"/>
          <w:highlight w:val="none"/>
        </w:rPr>
      </w:pPr>
    </w:p>
    <w:p w14:paraId="6D583A82">
      <w:pPr>
        <w:spacing w:line="360" w:lineRule="auto"/>
        <w:jc w:val="center"/>
        <w:rPr>
          <w:rFonts w:hint="eastAsia" w:ascii="仿宋" w:hAnsi="仿宋" w:eastAsia="仿宋" w:cs="仿宋"/>
          <w:bCs/>
          <w:color w:val="auto"/>
          <w:szCs w:val="21"/>
          <w:highlight w:val="none"/>
        </w:rPr>
      </w:pPr>
    </w:p>
    <w:p w14:paraId="518C36F7">
      <w:pPr>
        <w:spacing w:line="360" w:lineRule="auto"/>
        <w:jc w:val="center"/>
        <w:rPr>
          <w:rFonts w:hint="eastAsia" w:ascii="仿宋" w:hAnsi="仿宋" w:eastAsia="仿宋" w:cs="仿宋"/>
          <w:bCs/>
          <w:color w:val="auto"/>
          <w:sz w:val="44"/>
          <w:szCs w:val="44"/>
          <w:highlight w:val="none"/>
        </w:rPr>
      </w:pPr>
      <w:r>
        <w:rPr>
          <w:rFonts w:hint="eastAsia" w:ascii="仿宋" w:hAnsi="仿宋" w:eastAsia="仿宋" w:cs="仿宋"/>
          <w:b/>
          <w:color w:val="auto"/>
          <w:sz w:val="44"/>
          <w:szCs w:val="44"/>
          <w:highlight w:val="none"/>
        </w:rPr>
        <w:t>响 应 文 件</w:t>
      </w:r>
    </w:p>
    <w:p w14:paraId="74DA8F08">
      <w:pPr>
        <w:spacing w:line="360" w:lineRule="auto"/>
        <w:ind w:firstLine="945" w:firstLineChars="450"/>
        <w:rPr>
          <w:rFonts w:hint="eastAsia" w:ascii="仿宋" w:hAnsi="仿宋" w:eastAsia="仿宋" w:cs="仿宋"/>
          <w:bCs/>
          <w:color w:val="auto"/>
          <w:szCs w:val="21"/>
          <w:highlight w:val="none"/>
        </w:rPr>
      </w:pPr>
    </w:p>
    <w:p w14:paraId="16195E95">
      <w:pPr>
        <w:spacing w:line="480" w:lineRule="auto"/>
        <w:ind w:firstLine="945" w:firstLineChars="450"/>
        <w:rPr>
          <w:rFonts w:hint="eastAsia" w:ascii="仿宋" w:hAnsi="仿宋" w:eastAsia="仿宋" w:cs="仿宋"/>
          <w:bCs/>
          <w:color w:val="auto"/>
          <w:szCs w:val="21"/>
          <w:highlight w:val="none"/>
        </w:rPr>
      </w:pPr>
    </w:p>
    <w:p w14:paraId="7634F106">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项目编号：</w:t>
      </w:r>
    </w:p>
    <w:p w14:paraId="422AFA66">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项目名称：</w:t>
      </w:r>
    </w:p>
    <w:p w14:paraId="355A6802">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响应文件名称：电子备份磋商响应文件</w:t>
      </w:r>
    </w:p>
    <w:p w14:paraId="46669C64">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投标人名称（加盖投标人公章）：</w:t>
      </w:r>
    </w:p>
    <w:p w14:paraId="4F37517B">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投标人地址：</w:t>
      </w:r>
    </w:p>
    <w:p w14:paraId="2FE274F1">
      <w:pPr>
        <w:spacing w:line="480" w:lineRule="auto"/>
        <w:jc w:val="center"/>
        <w:rPr>
          <w:rFonts w:hint="eastAsia" w:ascii="仿宋" w:hAnsi="仿宋" w:eastAsia="仿宋" w:cs="仿宋"/>
          <w:bCs/>
          <w:color w:val="auto"/>
          <w:sz w:val="24"/>
          <w:highlight w:val="none"/>
        </w:rPr>
      </w:pPr>
    </w:p>
    <w:p w14:paraId="2F4C8FC2">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在   年   月   日   时  分之前不得启封</w:t>
      </w:r>
    </w:p>
    <w:p w14:paraId="2F58072E">
      <w:pPr>
        <w:spacing w:line="360" w:lineRule="auto"/>
        <w:jc w:val="center"/>
        <w:rPr>
          <w:rFonts w:hint="eastAsia" w:ascii="仿宋" w:hAnsi="仿宋" w:eastAsia="仿宋" w:cs="仿宋"/>
          <w:bCs/>
          <w:color w:val="auto"/>
          <w:szCs w:val="21"/>
          <w:highlight w:val="none"/>
        </w:rPr>
      </w:pPr>
    </w:p>
    <w:p w14:paraId="10E6FFD4">
      <w:pPr>
        <w:spacing w:line="360" w:lineRule="auto"/>
        <w:jc w:val="center"/>
        <w:rPr>
          <w:rFonts w:hint="eastAsia" w:ascii="仿宋" w:hAnsi="仿宋" w:eastAsia="仿宋" w:cs="仿宋"/>
          <w:bCs/>
          <w:color w:val="auto"/>
          <w:szCs w:val="21"/>
          <w:highlight w:val="none"/>
        </w:rPr>
      </w:pPr>
    </w:p>
    <w:p w14:paraId="752CD673">
      <w:pPr>
        <w:spacing w:line="360" w:lineRule="auto"/>
        <w:jc w:val="center"/>
        <w:rPr>
          <w:rFonts w:hint="eastAsia" w:ascii="仿宋" w:hAnsi="仿宋" w:eastAsia="仿宋" w:cs="仿宋"/>
          <w:bCs/>
          <w:color w:val="auto"/>
          <w:szCs w:val="21"/>
          <w:highlight w:val="none"/>
        </w:rPr>
      </w:pPr>
    </w:p>
    <w:p w14:paraId="530C77BC">
      <w:pPr>
        <w:spacing w:line="360" w:lineRule="auto"/>
        <w:jc w:val="center"/>
        <w:rPr>
          <w:rFonts w:hint="eastAsia" w:ascii="仿宋" w:hAnsi="仿宋" w:eastAsia="仿宋" w:cs="仿宋"/>
          <w:bCs/>
          <w:color w:val="auto"/>
          <w:szCs w:val="21"/>
          <w:highlight w:val="none"/>
        </w:rPr>
      </w:pPr>
    </w:p>
    <w:p w14:paraId="48711374">
      <w:pPr>
        <w:spacing w:line="360" w:lineRule="auto"/>
        <w:jc w:val="center"/>
        <w:rPr>
          <w:rFonts w:hint="eastAsia" w:ascii="仿宋" w:hAnsi="仿宋" w:eastAsia="仿宋" w:cs="仿宋"/>
          <w:bCs/>
          <w:color w:val="auto"/>
          <w:szCs w:val="21"/>
          <w:highlight w:val="none"/>
        </w:rPr>
      </w:pPr>
    </w:p>
    <w:p w14:paraId="6C558AAB">
      <w:pPr>
        <w:spacing w:line="360" w:lineRule="auto"/>
        <w:jc w:val="center"/>
        <w:rPr>
          <w:rFonts w:hint="eastAsia" w:ascii="仿宋" w:hAnsi="仿宋" w:eastAsia="仿宋" w:cs="仿宋"/>
          <w:bCs/>
          <w:color w:val="auto"/>
          <w:szCs w:val="21"/>
          <w:highlight w:val="none"/>
        </w:rPr>
      </w:pPr>
    </w:p>
    <w:p w14:paraId="1E5DBBEC">
      <w:pPr>
        <w:spacing w:line="360" w:lineRule="auto"/>
        <w:jc w:val="center"/>
        <w:rPr>
          <w:rFonts w:hint="eastAsia" w:ascii="仿宋" w:hAnsi="仿宋" w:eastAsia="仿宋" w:cs="仿宋"/>
          <w:bCs/>
          <w:color w:val="auto"/>
          <w:szCs w:val="21"/>
          <w:highlight w:val="none"/>
        </w:rPr>
      </w:pPr>
    </w:p>
    <w:p w14:paraId="5B87D04F">
      <w:pPr>
        <w:spacing w:line="360" w:lineRule="auto"/>
        <w:jc w:val="center"/>
        <w:rPr>
          <w:rFonts w:hint="eastAsia" w:ascii="仿宋" w:hAnsi="仿宋" w:eastAsia="仿宋" w:cs="仿宋"/>
          <w:bCs/>
          <w:color w:val="auto"/>
          <w:szCs w:val="21"/>
          <w:highlight w:val="none"/>
        </w:rPr>
      </w:pPr>
    </w:p>
    <w:p w14:paraId="692F91EB">
      <w:pPr>
        <w:spacing w:line="360" w:lineRule="auto"/>
        <w:rPr>
          <w:rFonts w:hint="eastAsia" w:ascii="仿宋" w:hAnsi="仿宋" w:eastAsia="仿宋" w:cs="仿宋"/>
          <w:bCs/>
          <w:color w:val="auto"/>
          <w:szCs w:val="21"/>
          <w:highlight w:val="none"/>
        </w:rPr>
      </w:pPr>
    </w:p>
    <w:p w14:paraId="57F18DA2">
      <w:pPr>
        <w:spacing w:line="360" w:lineRule="auto"/>
        <w:rPr>
          <w:rFonts w:hint="eastAsia" w:ascii="仿宋" w:hAnsi="仿宋" w:eastAsia="仿宋" w:cs="仿宋"/>
          <w:b/>
          <w:bCs/>
          <w:color w:val="auto"/>
          <w:szCs w:val="21"/>
          <w:highlight w:val="none"/>
        </w:rPr>
      </w:pPr>
      <w:r>
        <w:rPr>
          <w:rFonts w:hint="eastAsia" w:ascii="仿宋" w:hAnsi="仿宋" w:eastAsia="仿宋" w:cs="仿宋"/>
          <w:b/>
          <w:color w:val="auto"/>
          <w:szCs w:val="21"/>
          <w:highlight w:val="none"/>
        </w:rPr>
        <w:t>响应文件封面格式：</w:t>
      </w:r>
    </w:p>
    <w:p w14:paraId="57D9CA0E">
      <w:pPr>
        <w:spacing w:line="360" w:lineRule="auto"/>
        <w:rPr>
          <w:rFonts w:hint="eastAsia" w:ascii="仿宋" w:hAnsi="仿宋" w:eastAsia="仿宋" w:cs="仿宋"/>
          <w:b/>
          <w:bCs/>
          <w:color w:val="auto"/>
          <w:szCs w:val="21"/>
          <w:highlight w:val="none"/>
        </w:rPr>
      </w:pPr>
    </w:p>
    <w:p w14:paraId="53CB6FE7">
      <w:pPr>
        <w:spacing w:line="360" w:lineRule="auto"/>
        <w:rPr>
          <w:rFonts w:hint="eastAsia" w:ascii="仿宋" w:hAnsi="仿宋" w:eastAsia="仿宋" w:cs="仿宋"/>
          <w:b/>
          <w:bCs/>
          <w:color w:val="auto"/>
          <w:szCs w:val="21"/>
          <w:highlight w:val="none"/>
        </w:rPr>
      </w:pPr>
    </w:p>
    <w:p w14:paraId="2BB6EEE0">
      <w:pPr>
        <w:spacing w:line="360" w:lineRule="auto"/>
        <w:rPr>
          <w:rFonts w:hint="eastAsia" w:ascii="仿宋" w:hAnsi="仿宋" w:eastAsia="仿宋" w:cs="仿宋"/>
          <w:b/>
          <w:bCs/>
          <w:color w:val="auto"/>
          <w:szCs w:val="21"/>
          <w:highlight w:val="none"/>
        </w:rPr>
      </w:pPr>
    </w:p>
    <w:p w14:paraId="338FDB00">
      <w:pPr>
        <w:spacing w:line="360" w:lineRule="auto"/>
        <w:rPr>
          <w:rFonts w:hint="eastAsia" w:ascii="仿宋" w:hAnsi="仿宋" w:eastAsia="仿宋" w:cs="仿宋"/>
          <w:b/>
          <w:bCs/>
          <w:color w:val="auto"/>
          <w:szCs w:val="21"/>
          <w:highlight w:val="none"/>
        </w:rPr>
      </w:pPr>
    </w:p>
    <w:p w14:paraId="49D8CA39">
      <w:pPr>
        <w:spacing w:line="360" w:lineRule="auto"/>
        <w:rPr>
          <w:rFonts w:hint="eastAsia" w:ascii="仿宋" w:hAnsi="仿宋" w:eastAsia="仿宋" w:cs="仿宋"/>
          <w:b/>
          <w:bCs/>
          <w:color w:val="auto"/>
          <w:szCs w:val="21"/>
          <w:highlight w:val="none"/>
        </w:rPr>
      </w:pPr>
    </w:p>
    <w:p w14:paraId="1E9CA20A">
      <w:pPr>
        <w:spacing w:line="360" w:lineRule="auto"/>
        <w:jc w:val="right"/>
        <w:rPr>
          <w:rFonts w:hint="eastAsia" w:ascii="仿宋" w:hAnsi="仿宋" w:eastAsia="仿宋" w:cs="仿宋"/>
          <w:bCs/>
          <w:color w:val="auto"/>
          <w:szCs w:val="21"/>
          <w:highlight w:val="none"/>
        </w:rPr>
      </w:pPr>
      <w:r>
        <w:rPr>
          <w:rFonts w:hint="eastAsia" w:ascii="仿宋" w:hAnsi="仿宋" w:eastAsia="仿宋" w:cs="仿宋"/>
          <w:b/>
          <w:bCs/>
          <w:color w:val="auto"/>
          <w:szCs w:val="21"/>
          <w:highlight w:val="none"/>
        </w:rPr>
        <w:t xml:space="preserve">  正本/或副本</w:t>
      </w:r>
    </w:p>
    <w:p w14:paraId="7432365A">
      <w:pPr>
        <w:spacing w:line="360" w:lineRule="auto"/>
        <w:jc w:val="center"/>
        <w:rPr>
          <w:rFonts w:hint="eastAsia" w:ascii="仿宋" w:hAnsi="仿宋" w:eastAsia="仿宋" w:cs="仿宋"/>
          <w:bCs/>
          <w:color w:val="auto"/>
          <w:sz w:val="44"/>
          <w:szCs w:val="44"/>
          <w:highlight w:val="none"/>
        </w:rPr>
      </w:pPr>
      <w:r>
        <w:rPr>
          <w:rFonts w:hint="eastAsia" w:ascii="仿宋" w:hAnsi="仿宋" w:eastAsia="仿宋" w:cs="仿宋"/>
          <w:b/>
          <w:color w:val="auto"/>
          <w:sz w:val="44"/>
          <w:szCs w:val="44"/>
          <w:highlight w:val="none"/>
        </w:rPr>
        <w:t>响 应 文 件</w:t>
      </w:r>
    </w:p>
    <w:p w14:paraId="4AB3F51C">
      <w:pPr>
        <w:spacing w:line="360" w:lineRule="auto"/>
        <w:ind w:firstLine="6919" w:firstLineChars="2883"/>
        <w:rPr>
          <w:rFonts w:hint="eastAsia" w:ascii="仿宋" w:hAnsi="仿宋" w:eastAsia="仿宋" w:cs="仿宋"/>
          <w:bCs/>
          <w:color w:val="auto"/>
          <w:sz w:val="24"/>
          <w:highlight w:val="none"/>
        </w:rPr>
      </w:pPr>
    </w:p>
    <w:p w14:paraId="6D5F0EB8">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项目编号：</w:t>
      </w:r>
    </w:p>
    <w:p w14:paraId="4B41F7AB">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项目名称：</w:t>
      </w:r>
    </w:p>
    <w:p w14:paraId="404C7566">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响应文件名称：资格证明文件/报价文件/技术商务文件</w:t>
      </w:r>
    </w:p>
    <w:p w14:paraId="46D6EE7E">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投标人名称（加盖公章）：</w:t>
      </w:r>
    </w:p>
    <w:p w14:paraId="120FF789">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法定代表人或授权代表（签字或盖章）：</w:t>
      </w:r>
    </w:p>
    <w:p w14:paraId="0EA636F1">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投标人地址：</w:t>
      </w:r>
    </w:p>
    <w:p w14:paraId="556D0705">
      <w:pPr>
        <w:spacing w:line="480" w:lineRule="auto"/>
        <w:ind w:firstLine="4080" w:firstLineChars="1700"/>
        <w:rPr>
          <w:rFonts w:hint="eastAsia" w:ascii="仿宋" w:hAnsi="仿宋" w:eastAsia="仿宋" w:cs="仿宋"/>
          <w:bCs/>
          <w:color w:val="auto"/>
          <w:sz w:val="24"/>
          <w:highlight w:val="none"/>
        </w:rPr>
      </w:pPr>
    </w:p>
    <w:p w14:paraId="4EA62ECE">
      <w:pPr>
        <w:spacing w:line="480" w:lineRule="auto"/>
        <w:ind w:firstLine="645"/>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年  月  日</w:t>
      </w:r>
    </w:p>
    <w:p w14:paraId="356A004C">
      <w:pPr>
        <w:spacing w:line="480" w:lineRule="auto"/>
        <w:outlineLvl w:val="9"/>
        <w:rPr>
          <w:rFonts w:hint="eastAsia" w:ascii="仿宋" w:hAnsi="仿宋" w:eastAsia="仿宋" w:cs="仿宋"/>
          <w:color w:val="auto"/>
          <w:szCs w:val="21"/>
          <w:highlight w:val="none"/>
        </w:rPr>
      </w:pPr>
    </w:p>
    <w:p w14:paraId="26EFB86B">
      <w:pPr>
        <w:spacing w:line="480" w:lineRule="auto"/>
        <w:outlineLvl w:val="9"/>
        <w:rPr>
          <w:rFonts w:hint="eastAsia" w:ascii="仿宋" w:hAnsi="仿宋" w:eastAsia="仿宋" w:cs="仿宋"/>
          <w:color w:val="auto"/>
          <w:szCs w:val="21"/>
          <w:highlight w:val="none"/>
        </w:rPr>
      </w:pPr>
    </w:p>
    <w:p w14:paraId="6583B959">
      <w:pPr>
        <w:spacing w:line="480" w:lineRule="auto"/>
        <w:outlineLvl w:val="9"/>
        <w:rPr>
          <w:rFonts w:hint="eastAsia" w:ascii="仿宋" w:hAnsi="仿宋" w:eastAsia="仿宋" w:cs="仿宋"/>
          <w:color w:val="auto"/>
          <w:szCs w:val="21"/>
          <w:highlight w:val="none"/>
        </w:rPr>
      </w:pPr>
    </w:p>
    <w:p w14:paraId="768B2A98">
      <w:pPr>
        <w:spacing w:line="480" w:lineRule="auto"/>
        <w:outlineLvl w:val="9"/>
        <w:rPr>
          <w:rFonts w:hint="eastAsia" w:ascii="仿宋" w:hAnsi="仿宋" w:eastAsia="仿宋" w:cs="仿宋"/>
          <w:color w:val="auto"/>
          <w:szCs w:val="21"/>
          <w:highlight w:val="none"/>
        </w:rPr>
      </w:pPr>
    </w:p>
    <w:p w14:paraId="1A2BD394">
      <w:pPr>
        <w:spacing w:line="480" w:lineRule="auto"/>
        <w:outlineLvl w:val="9"/>
        <w:rPr>
          <w:rFonts w:hint="eastAsia" w:ascii="仿宋" w:hAnsi="仿宋" w:eastAsia="仿宋" w:cs="仿宋"/>
          <w:color w:val="auto"/>
          <w:szCs w:val="21"/>
          <w:highlight w:val="none"/>
        </w:rPr>
      </w:pPr>
    </w:p>
    <w:p w14:paraId="193BA391">
      <w:pPr>
        <w:spacing w:line="480" w:lineRule="auto"/>
        <w:outlineLvl w:val="9"/>
        <w:rPr>
          <w:rFonts w:hint="eastAsia" w:ascii="仿宋" w:hAnsi="仿宋" w:eastAsia="仿宋" w:cs="仿宋"/>
          <w:color w:val="auto"/>
          <w:szCs w:val="21"/>
          <w:highlight w:val="none"/>
        </w:rPr>
      </w:pPr>
    </w:p>
    <w:p w14:paraId="469FCAF9">
      <w:pPr>
        <w:spacing w:line="480" w:lineRule="auto"/>
        <w:outlineLvl w:val="9"/>
        <w:rPr>
          <w:rFonts w:hint="eastAsia" w:ascii="仿宋" w:hAnsi="仿宋" w:eastAsia="仿宋" w:cs="仿宋"/>
          <w:color w:val="auto"/>
          <w:szCs w:val="21"/>
          <w:highlight w:val="none"/>
        </w:rPr>
      </w:pPr>
    </w:p>
    <w:p w14:paraId="1246E185">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Cs w:val="21"/>
          <w:highlight w:val="none"/>
        </w:rPr>
        <w:br w:type="page"/>
      </w:r>
      <w:r>
        <w:rPr>
          <w:rFonts w:hint="eastAsia" w:ascii="仿宋" w:hAnsi="仿宋" w:eastAsia="仿宋" w:cs="仿宋"/>
          <w:b/>
          <w:color w:val="auto"/>
          <w:sz w:val="22"/>
          <w:szCs w:val="22"/>
          <w:highlight w:val="none"/>
        </w:rPr>
        <w:t>格式一：</w:t>
      </w:r>
    </w:p>
    <w:p w14:paraId="1D8C531B">
      <w:pPr>
        <w:spacing w:line="360" w:lineRule="auto"/>
        <w:jc w:val="center"/>
        <w:outlineLvl w:val="1"/>
        <w:rPr>
          <w:rFonts w:hint="eastAsia" w:ascii="仿宋" w:hAnsi="仿宋" w:eastAsia="仿宋" w:cs="仿宋"/>
          <w:b/>
          <w:color w:val="auto"/>
          <w:spacing w:val="-4"/>
          <w:sz w:val="32"/>
          <w:szCs w:val="32"/>
          <w:highlight w:val="none"/>
        </w:rPr>
      </w:pPr>
      <w:bookmarkStart w:id="245" w:name="_Toc29552"/>
      <w:bookmarkStart w:id="246" w:name="_Toc22585"/>
      <w:r>
        <w:rPr>
          <w:rFonts w:hint="eastAsia" w:ascii="仿宋" w:hAnsi="仿宋" w:eastAsia="仿宋" w:cs="仿宋"/>
          <w:b/>
          <w:color w:val="auto"/>
          <w:spacing w:val="-4"/>
          <w:sz w:val="32"/>
          <w:szCs w:val="32"/>
          <w:highlight w:val="none"/>
        </w:rPr>
        <w:t>法定代表人身份证明书</w:t>
      </w:r>
      <w:bookmarkEnd w:id="245"/>
      <w:bookmarkEnd w:id="246"/>
    </w:p>
    <w:p w14:paraId="2EAD5B4A">
      <w:pPr>
        <w:widowControl/>
        <w:adjustRightInd w:val="0"/>
        <w:spacing w:line="360" w:lineRule="auto"/>
        <w:jc w:val="left"/>
        <w:rPr>
          <w:rFonts w:hint="eastAsia" w:ascii="仿宋" w:hAnsi="仿宋" w:eastAsia="仿宋" w:cs="仿宋"/>
          <w:b/>
          <w:color w:val="auto"/>
          <w:szCs w:val="21"/>
          <w:highlight w:val="none"/>
        </w:rPr>
      </w:pPr>
    </w:p>
    <w:p w14:paraId="36745437">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单位名称：</w:t>
      </w:r>
    </w:p>
    <w:p w14:paraId="58D8354C">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地    址： </w:t>
      </w:r>
    </w:p>
    <w:p w14:paraId="644E39F3">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姓    名：            性    别：</w:t>
      </w:r>
    </w:p>
    <w:p w14:paraId="34656310">
      <w:pPr>
        <w:widowControl/>
        <w:spacing w:line="360" w:lineRule="auto"/>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年    龄：            职    务：</w:t>
      </w:r>
    </w:p>
    <w:p w14:paraId="3B09148A">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身份证号码：</w:t>
      </w:r>
    </w:p>
    <w:p w14:paraId="77E0B599">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系</w:t>
      </w:r>
      <w:r>
        <w:rPr>
          <w:rFonts w:hint="eastAsia" w:ascii="仿宋" w:hAnsi="仿宋" w:eastAsia="仿宋" w:cs="仿宋"/>
          <w:color w:val="auto"/>
          <w:sz w:val="22"/>
          <w:szCs w:val="22"/>
          <w:highlight w:val="none"/>
          <w:u w:val="single"/>
        </w:rPr>
        <w:t xml:space="preserve">         （投标人名称）      </w:t>
      </w:r>
      <w:r>
        <w:rPr>
          <w:rFonts w:hint="eastAsia" w:ascii="仿宋" w:hAnsi="仿宋" w:eastAsia="仿宋" w:cs="仿宋"/>
          <w:color w:val="auto"/>
          <w:sz w:val="22"/>
          <w:szCs w:val="22"/>
          <w:highlight w:val="none"/>
        </w:rPr>
        <w:t>的法定代表人，为</w:t>
      </w:r>
      <w:r>
        <w:rPr>
          <w:rFonts w:hint="eastAsia" w:ascii="仿宋" w:hAnsi="仿宋" w:eastAsia="仿宋" w:cs="仿宋"/>
          <w:color w:val="auto"/>
          <w:sz w:val="22"/>
          <w:szCs w:val="22"/>
          <w:highlight w:val="none"/>
          <w:u w:val="single"/>
        </w:rPr>
        <w:t xml:space="preserve">     （招标编号、项目名称）   </w:t>
      </w:r>
      <w:r>
        <w:rPr>
          <w:rFonts w:hint="eastAsia" w:ascii="仿宋" w:hAnsi="仿宋" w:eastAsia="仿宋" w:cs="仿宋"/>
          <w:color w:val="auto"/>
          <w:sz w:val="22"/>
          <w:szCs w:val="22"/>
          <w:highlight w:val="none"/>
        </w:rPr>
        <w:t>项目，签署上述项目的响应文件，进行合同谈判、签署合同和处理与之有关的一切事宜。</w:t>
      </w:r>
    </w:p>
    <w:p w14:paraId="04A4F723">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特此证明。</w:t>
      </w:r>
    </w:p>
    <w:p w14:paraId="56846D99">
      <w:pPr>
        <w:widowControl/>
        <w:spacing w:line="360" w:lineRule="auto"/>
        <w:rPr>
          <w:rFonts w:hint="eastAsia" w:ascii="仿宋" w:hAnsi="仿宋" w:eastAsia="仿宋" w:cs="仿宋"/>
          <w:color w:val="auto"/>
          <w:sz w:val="22"/>
          <w:szCs w:val="22"/>
          <w:highlight w:val="none"/>
        </w:rPr>
      </w:pPr>
    </w:p>
    <w:p w14:paraId="52C8D49F">
      <w:pPr>
        <w:widowControl/>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后附:法定代表人身份证正反面复印件。</w:t>
      </w:r>
    </w:p>
    <w:p w14:paraId="4E4FEFBC">
      <w:pPr>
        <w:widowControl/>
        <w:spacing w:line="360" w:lineRule="auto"/>
        <w:rPr>
          <w:rFonts w:hint="eastAsia" w:ascii="仿宋" w:hAnsi="仿宋" w:eastAsia="仿宋" w:cs="仿宋"/>
          <w:color w:val="auto"/>
          <w:sz w:val="22"/>
          <w:szCs w:val="22"/>
          <w:highlight w:val="none"/>
        </w:rPr>
      </w:pPr>
    </w:p>
    <w:p w14:paraId="7EC58EDF">
      <w:pPr>
        <w:widowControl/>
        <w:spacing w:line="360" w:lineRule="auto"/>
        <w:rPr>
          <w:rFonts w:hint="eastAsia" w:ascii="仿宋" w:hAnsi="仿宋" w:eastAsia="仿宋" w:cs="仿宋"/>
          <w:color w:val="auto"/>
          <w:sz w:val="22"/>
          <w:szCs w:val="22"/>
          <w:highlight w:val="none"/>
        </w:rPr>
      </w:pPr>
    </w:p>
    <w:p w14:paraId="5979E294">
      <w:pPr>
        <w:widowControl/>
        <w:spacing w:line="360" w:lineRule="auto"/>
        <w:rPr>
          <w:rFonts w:hint="eastAsia" w:ascii="仿宋" w:hAnsi="仿宋" w:eastAsia="仿宋" w:cs="仿宋"/>
          <w:color w:val="auto"/>
          <w:sz w:val="22"/>
          <w:szCs w:val="22"/>
          <w:highlight w:val="none"/>
        </w:rPr>
      </w:pPr>
    </w:p>
    <w:p w14:paraId="18AC1B79">
      <w:pPr>
        <w:widowControl/>
        <w:spacing w:line="360" w:lineRule="auto"/>
        <w:rPr>
          <w:rFonts w:hint="eastAsia" w:ascii="仿宋" w:hAnsi="仿宋" w:eastAsia="仿宋" w:cs="仿宋"/>
          <w:color w:val="auto"/>
          <w:sz w:val="22"/>
          <w:szCs w:val="22"/>
          <w:highlight w:val="none"/>
        </w:rPr>
      </w:pPr>
    </w:p>
    <w:p w14:paraId="73F12052">
      <w:pPr>
        <w:widowControl/>
        <w:spacing w:line="360" w:lineRule="auto"/>
        <w:rPr>
          <w:rFonts w:hint="eastAsia" w:ascii="仿宋" w:hAnsi="仿宋" w:eastAsia="仿宋" w:cs="仿宋"/>
          <w:color w:val="auto"/>
          <w:sz w:val="22"/>
          <w:szCs w:val="22"/>
          <w:highlight w:val="none"/>
        </w:rPr>
      </w:pPr>
    </w:p>
    <w:p w14:paraId="4309EBB9">
      <w:pPr>
        <w:widowControl/>
        <w:adjustRightInd w:val="0"/>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投标人（盖章）：</w:t>
      </w:r>
    </w:p>
    <w:p w14:paraId="34DD116E">
      <w:pPr>
        <w:widowControl/>
        <w:adjustRightInd w:val="0"/>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法定代表人(签字或盖章)：                   </w:t>
      </w:r>
    </w:p>
    <w:p w14:paraId="5ACA758B">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  期：</w:t>
      </w:r>
    </w:p>
    <w:p w14:paraId="06603781">
      <w:pPr>
        <w:widowControl/>
        <w:spacing w:line="360" w:lineRule="auto"/>
        <w:rPr>
          <w:rFonts w:hint="eastAsia" w:ascii="仿宋" w:hAnsi="仿宋" w:eastAsia="仿宋" w:cs="仿宋"/>
          <w:color w:val="auto"/>
          <w:sz w:val="22"/>
          <w:szCs w:val="22"/>
          <w:highlight w:val="none"/>
        </w:rPr>
      </w:pPr>
    </w:p>
    <w:p w14:paraId="6D84EE50">
      <w:pPr>
        <w:widowControl/>
        <w:spacing w:line="360" w:lineRule="auto"/>
        <w:rPr>
          <w:rFonts w:hint="eastAsia" w:ascii="仿宋" w:hAnsi="仿宋" w:eastAsia="仿宋" w:cs="仿宋"/>
          <w:color w:val="auto"/>
          <w:sz w:val="22"/>
          <w:szCs w:val="22"/>
          <w:highlight w:val="none"/>
        </w:rPr>
      </w:pPr>
    </w:p>
    <w:p w14:paraId="4CCD5D77">
      <w:pPr>
        <w:widowControl/>
        <w:adjustRightInd w:val="0"/>
        <w:spacing w:line="360" w:lineRule="auto"/>
        <w:jc w:val="left"/>
        <w:rPr>
          <w:rFonts w:hint="eastAsia" w:ascii="仿宋" w:hAnsi="仿宋" w:eastAsia="仿宋" w:cs="仿宋"/>
          <w:color w:val="auto"/>
          <w:sz w:val="22"/>
          <w:szCs w:val="22"/>
          <w:highlight w:val="none"/>
        </w:rPr>
      </w:pPr>
    </w:p>
    <w:p w14:paraId="2D5611DE">
      <w:pPr>
        <w:widowControl/>
        <w:adjustRightInd w:val="0"/>
        <w:spacing w:line="360" w:lineRule="auto"/>
        <w:jc w:val="left"/>
        <w:rPr>
          <w:rFonts w:hint="eastAsia" w:ascii="仿宋" w:hAnsi="仿宋" w:eastAsia="仿宋" w:cs="仿宋"/>
          <w:color w:val="auto"/>
          <w:sz w:val="22"/>
          <w:szCs w:val="22"/>
          <w:highlight w:val="none"/>
        </w:rPr>
      </w:pPr>
    </w:p>
    <w:p w14:paraId="00C3B5FF">
      <w:pPr>
        <w:widowControl/>
        <w:adjustRightInd w:val="0"/>
        <w:spacing w:line="360" w:lineRule="auto"/>
        <w:jc w:val="left"/>
        <w:rPr>
          <w:rFonts w:hint="eastAsia" w:ascii="仿宋" w:hAnsi="仿宋" w:eastAsia="仿宋" w:cs="仿宋"/>
          <w:color w:val="auto"/>
          <w:sz w:val="22"/>
          <w:szCs w:val="22"/>
          <w:highlight w:val="none"/>
        </w:rPr>
      </w:pPr>
    </w:p>
    <w:p w14:paraId="6F144A52">
      <w:pPr>
        <w:widowControl/>
        <w:adjustRightInd w:val="0"/>
        <w:spacing w:line="360" w:lineRule="auto"/>
        <w:jc w:val="left"/>
        <w:rPr>
          <w:rFonts w:hint="eastAsia" w:ascii="仿宋" w:hAnsi="仿宋" w:eastAsia="仿宋" w:cs="仿宋"/>
          <w:color w:val="auto"/>
          <w:sz w:val="22"/>
          <w:szCs w:val="22"/>
          <w:highlight w:val="none"/>
        </w:rPr>
      </w:pPr>
    </w:p>
    <w:p w14:paraId="7AB300FE">
      <w:pPr>
        <w:widowControl/>
        <w:adjustRightInd w:val="0"/>
        <w:spacing w:line="360" w:lineRule="auto"/>
        <w:jc w:val="left"/>
        <w:rPr>
          <w:rFonts w:hint="eastAsia" w:ascii="仿宋" w:hAnsi="仿宋" w:eastAsia="仿宋" w:cs="仿宋"/>
          <w:color w:val="auto"/>
          <w:sz w:val="22"/>
          <w:szCs w:val="22"/>
          <w:highlight w:val="none"/>
        </w:rPr>
      </w:pPr>
    </w:p>
    <w:p w14:paraId="7FBBB9DC">
      <w:pPr>
        <w:widowControl/>
        <w:adjustRightInd w:val="0"/>
        <w:spacing w:line="360" w:lineRule="auto"/>
        <w:jc w:val="left"/>
        <w:rPr>
          <w:rFonts w:hint="eastAsia" w:ascii="仿宋" w:hAnsi="仿宋" w:eastAsia="仿宋" w:cs="仿宋"/>
          <w:color w:val="auto"/>
          <w:sz w:val="22"/>
          <w:szCs w:val="22"/>
          <w:highlight w:val="none"/>
        </w:rPr>
      </w:pPr>
    </w:p>
    <w:p w14:paraId="6D6F20A1">
      <w:pPr>
        <w:outlineLvl w:val="9"/>
        <w:rPr>
          <w:rFonts w:hint="eastAsia" w:ascii="仿宋" w:hAnsi="仿宋" w:eastAsia="仿宋" w:cs="仿宋"/>
          <w:color w:val="auto"/>
          <w:highlight w:val="none"/>
        </w:rPr>
      </w:pPr>
    </w:p>
    <w:p w14:paraId="35DF9144">
      <w:pPr>
        <w:widowControl/>
        <w:adjustRightInd w:val="0"/>
        <w:spacing w:line="360" w:lineRule="auto"/>
        <w:jc w:val="left"/>
        <w:rPr>
          <w:rFonts w:hint="eastAsia" w:ascii="仿宋" w:hAnsi="仿宋" w:eastAsia="仿宋" w:cs="仿宋"/>
          <w:color w:val="auto"/>
          <w:sz w:val="22"/>
          <w:szCs w:val="22"/>
          <w:highlight w:val="none"/>
        </w:rPr>
      </w:pPr>
    </w:p>
    <w:p w14:paraId="2EDDE636">
      <w:pPr>
        <w:outlineLvl w:val="9"/>
        <w:rPr>
          <w:rFonts w:hint="eastAsia"/>
        </w:rPr>
      </w:pPr>
    </w:p>
    <w:p w14:paraId="64C9CBA1">
      <w:pPr>
        <w:outlineLvl w:val="9"/>
        <w:rPr>
          <w:rFonts w:hint="eastAsia"/>
        </w:rPr>
      </w:pPr>
    </w:p>
    <w:p w14:paraId="14B9F4B6">
      <w:pPr>
        <w:outlineLvl w:val="9"/>
        <w:rPr>
          <w:rFonts w:hint="eastAsia"/>
        </w:rPr>
      </w:pPr>
    </w:p>
    <w:p w14:paraId="45E17DB2">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格式二：</w:t>
      </w:r>
    </w:p>
    <w:p w14:paraId="4C24C595">
      <w:pPr>
        <w:spacing w:line="360" w:lineRule="auto"/>
        <w:jc w:val="center"/>
        <w:outlineLvl w:val="1"/>
        <w:rPr>
          <w:rFonts w:hint="eastAsia" w:ascii="仿宋" w:hAnsi="仿宋" w:eastAsia="仿宋" w:cs="仿宋"/>
          <w:b/>
          <w:color w:val="auto"/>
          <w:spacing w:val="-4"/>
          <w:sz w:val="32"/>
          <w:szCs w:val="32"/>
          <w:highlight w:val="none"/>
        </w:rPr>
      </w:pPr>
      <w:bookmarkStart w:id="247" w:name="_Toc836"/>
      <w:bookmarkStart w:id="248" w:name="_Toc7016"/>
      <w:r>
        <w:rPr>
          <w:rFonts w:hint="eastAsia" w:ascii="仿宋" w:hAnsi="仿宋" w:eastAsia="仿宋" w:cs="仿宋"/>
          <w:b/>
          <w:color w:val="auto"/>
          <w:spacing w:val="-4"/>
          <w:sz w:val="32"/>
          <w:szCs w:val="32"/>
          <w:highlight w:val="none"/>
        </w:rPr>
        <w:t>法定代表人授权委托书</w:t>
      </w:r>
      <w:bookmarkEnd w:id="247"/>
      <w:bookmarkEnd w:id="248"/>
    </w:p>
    <w:p w14:paraId="04A3B762">
      <w:pPr>
        <w:pStyle w:val="9"/>
        <w:widowControl/>
        <w:spacing w:line="360" w:lineRule="auto"/>
        <w:jc w:val="center"/>
        <w:rPr>
          <w:rFonts w:hint="eastAsia" w:ascii="仿宋" w:hAnsi="仿宋" w:eastAsia="仿宋" w:cs="仿宋"/>
          <w:b/>
          <w:color w:val="auto"/>
          <w:spacing w:val="0"/>
          <w:sz w:val="24"/>
          <w:highlight w:val="none"/>
        </w:rPr>
      </w:pPr>
    </w:p>
    <w:p w14:paraId="2D1724DC">
      <w:pPr>
        <w:pStyle w:val="9"/>
        <w:widowControl/>
        <w:spacing w:line="360" w:lineRule="auto"/>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致 （采购代理机构）</w:t>
      </w:r>
      <w:r>
        <w:rPr>
          <w:rFonts w:hint="eastAsia" w:ascii="仿宋" w:hAnsi="仿宋" w:eastAsia="仿宋" w:cs="仿宋"/>
          <w:color w:val="auto"/>
          <w:sz w:val="22"/>
          <w:szCs w:val="22"/>
          <w:highlight w:val="none"/>
        </w:rPr>
        <w:t>：</w:t>
      </w:r>
    </w:p>
    <w:p w14:paraId="396AF245">
      <w:pPr>
        <w:pStyle w:val="9"/>
        <w:widowControl/>
        <w:spacing w:line="360" w:lineRule="auto"/>
        <w:rPr>
          <w:rFonts w:hint="eastAsia" w:ascii="仿宋" w:hAnsi="仿宋" w:eastAsia="仿宋" w:cs="仿宋"/>
          <w:color w:val="auto"/>
          <w:sz w:val="22"/>
          <w:szCs w:val="22"/>
          <w:highlight w:val="none"/>
        </w:rPr>
      </w:pPr>
    </w:p>
    <w:p w14:paraId="3EADD8C4">
      <w:pPr>
        <w:pStyle w:val="9"/>
        <w:widowControl/>
        <w:spacing w:line="360" w:lineRule="auto"/>
        <w:ind w:firstLine="424"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（投标人全称）</w:t>
      </w:r>
      <w:r>
        <w:rPr>
          <w:rFonts w:hint="eastAsia" w:ascii="仿宋" w:hAnsi="仿宋" w:eastAsia="仿宋" w:cs="仿宋"/>
          <w:color w:val="auto"/>
          <w:sz w:val="22"/>
          <w:szCs w:val="22"/>
          <w:highlight w:val="none"/>
        </w:rPr>
        <w:t>法定代表人</w:t>
      </w:r>
      <w:r>
        <w:rPr>
          <w:rFonts w:hint="eastAsia" w:ascii="仿宋" w:hAnsi="仿宋" w:eastAsia="仿宋" w:cs="仿宋"/>
          <w:color w:val="auto"/>
          <w:sz w:val="22"/>
          <w:szCs w:val="22"/>
          <w:highlight w:val="none"/>
          <w:u w:val="single"/>
        </w:rPr>
        <w:t xml:space="preserve">（姓名、职务） </w:t>
      </w:r>
      <w:r>
        <w:rPr>
          <w:rFonts w:hint="eastAsia" w:ascii="仿宋" w:hAnsi="仿宋" w:eastAsia="仿宋" w:cs="仿宋"/>
          <w:color w:val="auto"/>
          <w:sz w:val="22"/>
          <w:szCs w:val="22"/>
          <w:highlight w:val="none"/>
        </w:rPr>
        <w:t>授权</w:t>
      </w:r>
      <w:r>
        <w:rPr>
          <w:rFonts w:hint="eastAsia" w:ascii="仿宋" w:hAnsi="仿宋" w:eastAsia="仿宋" w:cs="仿宋"/>
          <w:color w:val="auto"/>
          <w:sz w:val="22"/>
          <w:szCs w:val="22"/>
          <w:highlight w:val="none"/>
          <w:u w:val="single"/>
        </w:rPr>
        <w:t>（授权代表姓名、职务）</w:t>
      </w:r>
      <w:r>
        <w:rPr>
          <w:rFonts w:hint="eastAsia" w:ascii="仿宋" w:hAnsi="仿宋" w:eastAsia="仿宋" w:cs="仿宋"/>
          <w:color w:val="auto"/>
          <w:sz w:val="22"/>
          <w:szCs w:val="22"/>
          <w:highlight w:val="none"/>
        </w:rPr>
        <w:t>为本公司合法代理人，参加贵招标代理公司组织的</w:t>
      </w:r>
      <w:r>
        <w:rPr>
          <w:rFonts w:hint="eastAsia" w:ascii="仿宋" w:hAnsi="仿宋" w:eastAsia="仿宋" w:cs="仿宋"/>
          <w:color w:val="auto"/>
          <w:sz w:val="22"/>
          <w:szCs w:val="22"/>
          <w:highlight w:val="none"/>
          <w:u w:val="single"/>
        </w:rPr>
        <w:t>（招标编号、项目名称)</w:t>
      </w:r>
      <w:r>
        <w:rPr>
          <w:rFonts w:hint="eastAsia" w:ascii="仿宋" w:hAnsi="仿宋" w:eastAsia="仿宋" w:cs="仿宋"/>
          <w:color w:val="auto"/>
          <w:sz w:val="22"/>
          <w:szCs w:val="22"/>
          <w:highlight w:val="none"/>
        </w:rPr>
        <w:t>项目的招标投标活动，代表本公司处理招标投标活动中的一切事宜。</w:t>
      </w:r>
    </w:p>
    <w:p w14:paraId="2C702272">
      <w:pPr>
        <w:pStyle w:val="9"/>
        <w:widowControl/>
        <w:spacing w:line="360" w:lineRule="auto"/>
        <w:ind w:firstLine="424"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本授权书于   年   月   日签字生效，直至响应文件有效期截止日，特此声明。</w:t>
      </w:r>
    </w:p>
    <w:p w14:paraId="77EC7576">
      <w:pPr>
        <w:pStyle w:val="9"/>
        <w:widowControl/>
        <w:spacing w:line="360" w:lineRule="auto"/>
        <w:ind w:firstLine="515" w:firstLineChars="243"/>
        <w:rPr>
          <w:rFonts w:hint="eastAsia" w:ascii="仿宋" w:hAnsi="仿宋" w:eastAsia="仿宋" w:cs="仿宋"/>
          <w:color w:val="auto"/>
          <w:sz w:val="22"/>
          <w:szCs w:val="22"/>
          <w:highlight w:val="none"/>
        </w:rPr>
      </w:pPr>
    </w:p>
    <w:p w14:paraId="1837B4B4">
      <w:pPr>
        <w:pStyle w:val="9"/>
        <w:widowControl/>
        <w:spacing w:line="360" w:lineRule="auto"/>
        <w:rPr>
          <w:rFonts w:hint="eastAsia" w:ascii="仿宋" w:hAnsi="仿宋" w:eastAsia="仿宋" w:cs="仿宋"/>
          <w:color w:val="auto"/>
          <w:sz w:val="22"/>
          <w:szCs w:val="22"/>
          <w:highlight w:val="none"/>
        </w:rPr>
      </w:pPr>
    </w:p>
    <w:p w14:paraId="0EA4B6F4">
      <w:pPr>
        <w:pStyle w:val="9"/>
        <w:widowControl/>
        <w:spacing w:line="360" w:lineRule="auto"/>
        <w:rPr>
          <w:rFonts w:hint="eastAsia" w:ascii="仿宋" w:hAnsi="仿宋" w:eastAsia="仿宋" w:cs="仿宋"/>
          <w:color w:val="auto"/>
          <w:sz w:val="22"/>
          <w:szCs w:val="22"/>
          <w:highlight w:val="none"/>
        </w:rPr>
      </w:pPr>
    </w:p>
    <w:p w14:paraId="795E6F92">
      <w:pPr>
        <w:pStyle w:val="9"/>
        <w:widowControl/>
        <w:spacing w:line="360" w:lineRule="auto"/>
        <w:ind w:firstLine="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 xml:space="preserve">    后附:授权代表身份证正反面复印件。</w:t>
      </w:r>
    </w:p>
    <w:p w14:paraId="6D05CFAF">
      <w:pPr>
        <w:pStyle w:val="9"/>
        <w:widowControl/>
        <w:spacing w:line="360" w:lineRule="auto"/>
        <w:rPr>
          <w:rFonts w:hint="eastAsia" w:ascii="仿宋" w:hAnsi="仿宋" w:eastAsia="仿宋" w:cs="仿宋"/>
          <w:color w:val="auto"/>
          <w:sz w:val="22"/>
          <w:szCs w:val="22"/>
          <w:highlight w:val="none"/>
        </w:rPr>
      </w:pPr>
    </w:p>
    <w:p w14:paraId="344D167D">
      <w:pPr>
        <w:pStyle w:val="9"/>
        <w:widowControl/>
        <w:spacing w:line="360" w:lineRule="auto"/>
        <w:rPr>
          <w:rFonts w:hint="eastAsia" w:ascii="仿宋" w:hAnsi="仿宋" w:eastAsia="仿宋" w:cs="仿宋"/>
          <w:color w:val="auto"/>
          <w:sz w:val="22"/>
          <w:szCs w:val="22"/>
          <w:highlight w:val="none"/>
        </w:rPr>
      </w:pPr>
    </w:p>
    <w:p w14:paraId="5E5FF997">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09E0BC6">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3A09F2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7233C69D">
      <w:pPr>
        <w:pStyle w:val="9"/>
        <w:widowControl/>
        <w:spacing w:line="360" w:lineRule="auto"/>
        <w:rPr>
          <w:rFonts w:hint="eastAsia" w:ascii="仿宋" w:hAnsi="仿宋" w:eastAsia="仿宋" w:cs="仿宋"/>
          <w:color w:val="auto"/>
          <w:sz w:val="22"/>
          <w:szCs w:val="22"/>
          <w:highlight w:val="none"/>
        </w:rPr>
      </w:pPr>
    </w:p>
    <w:p w14:paraId="64999D09">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附：</w:t>
      </w:r>
    </w:p>
    <w:p w14:paraId="3437EC61">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授权代表姓名(签字或盖章)：</w:t>
      </w:r>
    </w:p>
    <w:p w14:paraId="15F40E12">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职          务：</w:t>
      </w:r>
    </w:p>
    <w:p w14:paraId="3AB8987C">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授权代表签字：</w:t>
      </w:r>
    </w:p>
    <w:p w14:paraId="27B9DC8B">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详细通讯地址：</w:t>
      </w:r>
    </w:p>
    <w:p w14:paraId="3018BCA9">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邮 政 编  码：</w:t>
      </w:r>
    </w:p>
    <w:p w14:paraId="59B59956">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        真：</w:t>
      </w:r>
    </w:p>
    <w:p w14:paraId="35515C34">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电        话：</w:t>
      </w:r>
    </w:p>
    <w:p w14:paraId="31242DDD">
      <w:pPr>
        <w:widowControl/>
        <w:spacing w:line="360" w:lineRule="auto"/>
        <w:ind w:firstLine="422" w:firstLineChars="200"/>
        <w:rPr>
          <w:rFonts w:hint="eastAsia" w:ascii="仿宋" w:hAnsi="仿宋" w:eastAsia="仿宋" w:cs="仿宋"/>
          <w:b/>
          <w:color w:val="auto"/>
          <w:szCs w:val="21"/>
          <w:highlight w:val="none"/>
        </w:rPr>
      </w:pPr>
    </w:p>
    <w:p w14:paraId="7798C7B8">
      <w:pPr>
        <w:pStyle w:val="9"/>
        <w:widowControl/>
        <w:spacing w:line="360" w:lineRule="auto"/>
        <w:ind w:firstLine="0"/>
        <w:jc w:val="left"/>
        <w:rPr>
          <w:rFonts w:hint="eastAsia" w:ascii="仿宋" w:hAnsi="仿宋" w:eastAsia="仿宋" w:cs="仿宋"/>
          <w:b/>
          <w:color w:val="auto"/>
          <w:szCs w:val="21"/>
          <w:highlight w:val="none"/>
        </w:rPr>
      </w:pPr>
    </w:p>
    <w:p w14:paraId="5711A688">
      <w:pPr>
        <w:rPr>
          <w:rFonts w:hint="eastAsia" w:ascii="仿宋" w:hAnsi="仿宋" w:eastAsia="仿宋" w:cs="仿宋"/>
          <w:color w:val="auto"/>
          <w:highlight w:val="none"/>
        </w:rPr>
      </w:pPr>
    </w:p>
    <w:p w14:paraId="69DB0B20">
      <w:pPr>
        <w:rPr>
          <w:rFonts w:hint="eastAsia" w:ascii="仿宋" w:hAnsi="仿宋" w:eastAsia="仿宋" w:cs="仿宋"/>
          <w:color w:val="auto"/>
          <w:highlight w:val="none"/>
        </w:rPr>
      </w:pPr>
    </w:p>
    <w:p w14:paraId="715D8B7B">
      <w:pPr>
        <w:pStyle w:val="9"/>
        <w:widowControl/>
        <w:spacing w:line="360" w:lineRule="auto"/>
        <w:ind w:firstLine="0"/>
        <w:jc w:val="left"/>
        <w:rPr>
          <w:rFonts w:hint="eastAsia" w:ascii="仿宋" w:hAnsi="仿宋" w:eastAsia="仿宋" w:cs="仿宋"/>
          <w:b/>
          <w:color w:val="auto"/>
          <w:szCs w:val="21"/>
          <w:highlight w:val="none"/>
        </w:rPr>
      </w:pPr>
    </w:p>
    <w:p w14:paraId="066C0358">
      <w:pPr>
        <w:pStyle w:val="9"/>
        <w:widowControl/>
        <w:spacing w:line="360" w:lineRule="auto"/>
        <w:ind w:firstLine="0"/>
        <w:jc w:val="left"/>
        <w:rPr>
          <w:rFonts w:hint="eastAsia" w:ascii="仿宋" w:hAnsi="仿宋" w:eastAsia="仿宋" w:cs="仿宋"/>
          <w:b/>
          <w:color w:val="auto"/>
          <w:szCs w:val="21"/>
          <w:highlight w:val="none"/>
        </w:rPr>
      </w:pPr>
    </w:p>
    <w:p w14:paraId="093B04FB">
      <w:pPr>
        <w:widowControl/>
        <w:adjustRightInd w:val="0"/>
        <w:spacing w:line="360" w:lineRule="auto"/>
        <w:jc w:val="left"/>
        <w:rPr>
          <w:rFonts w:hint="eastAsia" w:ascii="宋体" w:hAnsi="宋体" w:cs="宋体"/>
          <w:b/>
          <w:color w:val="auto"/>
          <w:kern w:val="0"/>
          <w:sz w:val="32"/>
          <w:szCs w:val="32"/>
          <w:highlight w:val="none"/>
        </w:rPr>
      </w:pPr>
      <w:r>
        <w:rPr>
          <w:rFonts w:hint="eastAsia" w:ascii="仿宋" w:hAnsi="仿宋" w:eastAsia="仿宋" w:cs="仿宋"/>
          <w:b/>
          <w:color w:val="auto"/>
          <w:sz w:val="22"/>
          <w:szCs w:val="22"/>
          <w:highlight w:val="none"/>
        </w:rPr>
        <w:t>格式三：</w:t>
      </w:r>
    </w:p>
    <w:p w14:paraId="6731EB3A">
      <w:pPr>
        <w:spacing w:line="360" w:lineRule="auto"/>
        <w:jc w:val="center"/>
        <w:outlineLvl w:val="1"/>
        <w:rPr>
          <w:rFonts w:hint="eastAsia" w:ascii="宋体" w:hAnsi="宋体" w:cs="宋体"/>
          <w:color w:val="auto"/>
          <w:sz w:val="24"/>
          <w:highlight w:val="none"/>
        </w:rPr>
      </w:pPr>
      <w:r>
        <w:rPr>
          <w:rFonts w:hint="eastAsia" w:ascii="仿宋" w:hAnsi="仿宋" w:eastAsia="仿宋" w:cs="仿宋"/>
          <w:b/>
          <w:color w:val="auto"/>
          <w:spacing w:val="-4"/>
          <w:sz w:val="32"/>
          <w:szCs w:val="32"/>
          <w:highlight w:val="none"/>
        </w:rPr>
        <w:t>符合参加政府采购活动应当具备的一般条件的承诺函</w:t>
      </w:r>
    </w:p>
    <w:p w14:paraId="1A6776BB">
      <w:pPr>
        <w:snapToGrid w:val="0"/>
        <w:spacing w:line="360" w:lineRule="auto"/>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u w:val="single"/>
        </w:rPr>
        <w:t>宁波市海曙区</w:t>
      </w:r>
      <w:r>
        <w:rPr>
          <w:rFonts w:hint="eastAsia" w:ascii="仿宋" w:hAnsi="仿宋" w:eastAsia="仿宋" w:cs="仿宋"/>
          <w:color w:val="auto"/>
          <w:sz w:val="22"/>
          <w:szCs w:val="22"/>
          <w:highlight w:val="none"/>
          <w:u w:val="single"/>
          <w:lang w:val="en-US" w:eastAsia="zh-CN"/>
        </w:rPr>
        <w:t>横街</w:t>
      </w:r>
      <w:r>
        <w:rPr>
          <w:rFonts w:hint="eastAsia" w:ascii="仿宋" w:hAnsi="仿宋" w:eastAsia="仿宋" w:cs="仿宋"/>
          <w:color w:val="auto"/>
          <w:sz w:val="22"/>
          <w:szCs w:val="22"/>
          <w:highlight w:val="none"/>
          <w:u w:val="single"/>
        </w:rPr>
        <w:t>镇人民政府：</w:t>
      </w:r>
    </w:p>
    <w:p w14:paraId="095E6C7C">
      <w:pPr>
        <w:snapToGrid w:val="0"/>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lang w:val="en-US" w:eastAsia="zh-CN"/>
        </w:rPr>
        <w:t>宁波市倬正项目管理咨询有限公司</w:t>
      </w:r>
      <w:r>
        <w:rPr>
          <w:rFonts w:hint="eastAsia" w:ascii="仿宋" w:hAnsi="仿宋" w:eastAsia="仿宋" w:cs="仿宋"/>
          <w:color w:val="auto"/>
          <w:sz w:val="22"/>
          <w:szCs w:val="22"/>
          <w:highlight w:val="none"/>
          <w:u w:val="single"/>
        </w:rPr>
        <w:t>：</w:t>
      </w:r>
    </w:p>
    <w:p w14:paraId="2363010D">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我方参与</w:t>
      </w:r>
      <w:r>
        <w:rPr>
          <w:rFonts w:hint="eastAsia" w:ascii="仿宋" w:hAnsi="仿宋" w:eastAsia="仿宋" w:cs="仿宋"/>
          <w:color w:val="auto"/>
          <w:sz w:val="22"/>
          <w:szCs w:val="22"/>
          <w:highlight w:val="none"/>
          <w:u w:val="single"/>
          <w:lang w:eastAsia="zh-CN"/>
        </w:rPr>
        <w:t>横街镇郑夹岙山塘、西南方山塘治漏排险工程</w:t>
      </w:r>
      <w:r>
        <w:rPr>
          <w:rFonts w:hint="eastAsia" w:ascii="仿宋" w:hAnsi="仿宋" w:eastAsia="仿宋" w:cs="仿宋"/>
          <w:color w:val="auto"/>
          <w:sz w:val="22"/>
          <w:szCs w:val="22"/>
          <w:highlight w:val="none"/>
        </w:rPr>
        <w:t>【项目编号：</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rPr>
        <w:t>】政府采购活动，郑重承诺：</w:t>
      </w:r>
    </w:p>
    <w:p w14:paraId="40C82C70">
      <w:pPr>
        <w:snapToGrid w:val="0"/>
        <w:spacing w:line="360" w:lineRule="auto"/>
        <w:ind w:firstLine="330" w:firstLineChars="15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（一）具备《中华人民共和国政府采购法》第二十二条第一款规定的条件：</w:t>
      </w:r>
    </w:p>
    <w:p w14:paraId="7FCCBAB8">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1、具有独立承担民事责任的能力；</w:t>
      </w:r>
    </w:p>
    <w:p w14:paraId="62F11039">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2、具有良好的商业信誉和健全的财务会计制度； </w:t>
      </w:r>
    </w:p>
    <w:p w14:paraId="5A9549A5">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3、具有履行合同所必需的设备和专业技术能力；</w:t>
      </w:r>
    </w:p>
    <w:p w14:paraId="00749A26">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4、有依法缴纳税收和社会保障资金的良好记录；</w:t>
      </w:r>
    </w:p>
    <w:p w14:paraId="4064E6CF">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5、参加政府采购活动前三年内，在经营活动中没有重大违法记录；</w:t>
      </w:r>
    </w:p>
    <w:p w14:paraId="575BEEC2">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6、具有法律、行政法规规定的其他条件。</w:t>
      </w:r>
    </w:p>
    <w:p w14:paraId="726F2EBC">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（二）未被“信用中国”（www.creditchina.gov.cn)、中国政府采购网（www.ccgp.gov.cn）列入失信被执行人、重大税收违法失信主体、政府采购严重违法失信行为记录名单。</w:t>
      </w:r>
    </w:p>
    <w:p w14:paraId="09089991">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（三）不存在以下情况：</w:t>
      </w:r>
    </w:p>
    <w:p w14:paraId="5583960A">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1、单位负责人为同一人或者存在直接控股、管理关系的不同投标人参加同一合同项下的政府采购活动的；</w:t>
      </w:r>
    </w:p>
    <w:p w14:paraId="5BB16B50">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2、为采购项目提供整体设计、规范编制或者项目管理、监理、检测等服务后再参加该采购项目的其他采购活动的。</w:t>
      </w:r>
    </w:p>
    <w:p w14:paraId="5F4F047A">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（四）我单位为中小企业/小微企业。</w:t>
      </w:r>
    </w:p>
    <w:p w14:paraId="0DFAF9BB">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（五）我单位非联合体投标。</w:t>
      </w:r>
    </w:p>
    <w:p w14:paraId="04C5B7F8">
      <w:pPr>
        <w:snapToGrid w:val="0"/>
        <w:spacing w:line="360" w:lineRule="auto"/>
        <w:ind w:firstLine="440" w:firstLineChars="200"/>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（六）我单位满足本项目特定资格要求：具备水利水电工程施工总承包叁级及以上资质，并具备有效的安全生产许可证。</w:t>
      </w:r>
    </w:p>
    <w:p w14:paraId="6E7750F6">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我单位对上述声明的真实性负责。本次招标采购活动中，如有违法、违规、弄虚作假行为，所造成的的损失、不良后果及法律责任，一律由我单位承担。</w:t>
      </w:r>
    </w:p>
    <w:p w14:paraId="5FC9AB39">
      <w:pPr>
        <w:pStyle w:val="12"/>
        <w:ind w:right="-512" w:firstLine="526"/>
        <w:rPr>
          <w:rFonts w:hint="eastAsia" w:ascii="仿宋" w:hAnsi="仿宋" w:eastAsia="仿宋" w:cs="仿宋"/>
          <w:color w:val="auto"/>
          <w:sz w:val="22"/>
          <w:szCs w:val="22"/>
          <w:highlight w:val="none"/>
        </w:rPr>
      </w:pPr>
    </w:p>
    <w:p w14:paraId="6A2A87B8">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67E221A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F15A603">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055BBD06">
      <w:pPr>
        <w:pStyle w:val="9"/>
        <w:widowControl/>
        <w:spacing w:line="360" w:lineRule="auto"/>
        <w:ind w:firstLine="0"/>
        <w:jc w:val="left"/>
        <w:rPr>
          <w:rFonts w:hint="eastAsia" w:ascii="仿宋" w:hAnsi="仿宋" w:eastAsia="仿宋" w:cs="仿宋"/>
          <w:b/>
          <w:color w:val="auto"/>
          <w:sz w:val="22"/>
          <w:szCs w:val="22"/>
          <w:highlight w:val="none"/>
        </w:rPr>
      </w:pPr>
    </w:p>
    <w:p w14:paraId="6B2AC2FE">
      <w:pPr>
        <w:widowControl/>
        <w:adjustRightInd w:val="0"/>
        <w:spacing w:line="360" w:lineRule="auto"/>
        <w:jc w:val="left"/>
        <w:rPr>
          <w:rFonts w:hint="eastAsia" w:ascii="仿宋" w:hAnsi="仿宋" w:eastAsia="仿宋" w:cs="仿宋"/>
          <w:b/>
          <w:color w:val="auto"/>
          <w:sz w:val="22"/>
          <w:szCs w:val="22"/>
          <w:highlight w:val="none"/>
        </w:rPr>
      </w:pPr>
    </w:p>
    <w:p w14:paraId="7DD08FDC">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格式四：</w:t>
      </w:r>
    </w:p>
    <w:p w14:paraId="1270A0EB">
      <w:pPr>
        <w:widowControl/>
        <w:jc w:val="center"/>
        <w:rPr>
          <w:rFonts w:hint="eastAsia" w:ascii="仿宋" w:hAnsi="仿宋" w:eastAsia="仿宋" w:cs="仿宋"/>
          <w:b/>
          <w:bCs/>
          <w:color w:val="auto"/>
          <w:kern w:val="44"/>
          <w:sz w:val="32"/>
          <w:szCs w:val="32"/>
          <w:highlight w:val="none"/>
        </w:rPr>
      </w:pPr>
    </w:p>
    <w:p w14:paraId="12AFFB31">
      <w:pPr>
        <w:spacing w:line="360" w:lineRule="auto"/>
        <w:jc w:val="center"/>
        <w:outlineLvl w:val="1"/>
        <w:rPr>
          <w:rFonts w:hint="eastAsia" w:ascii="仿宋" w:hAnsi="仿宋" w:eastAsia="仿宋" w:cs="仿宋"/>
          <w:b/>
          <w:color w:val="auto"/>
          <w:spacing w:val="-4"/>
          <w:sz w:val="32"/>
          <w:szCs w:val="32"/>
          <w:highlight w:val="none"/>
        </w:rPr>
      </w:pPr>
      <w:bookmarkStart w:id="249" w:name="_Toc10568"/>
      <w:bookmarkStart w:id="250" w:name="_Toc15858"/>
      <w:r>
        <w:rPr>
          <w:rFonts w:hint="eastAsia" w:ascii="仿宋" w:hAnsi="仿宋" w:eastAsia="仿宋" w:cs="仿宋"/>
          <w:b/>
          <w:color w:val="auto"/>
          <w:spacing w:val="-4"/>
          <w:sz w:val="32"/>
          <w:szCs w:val="32"/>
          <w:highlight w:val="none"/>
        </w:rPr>
        <w:t>投标人自觉抵制政府采购领域商业贿赂行为承诺书</w:t>
      </w:r>
      <w:bookmarkEnd w:id="249"/>
      <w:bookmarkEnd w:id="250"/>
    </w:p>
    <w:p w14:paraId="4D3D5497">
      <w:pPr>
        <w:widowControl/>
        <w:jc w:val="left"/>
        <w:rPr>
          <w:rFonts w:hint="eastAsia" w:ascii="仿宋" w:hAnsi="仿宋" w:eastAsia="仿宋" w:cs="仿宋"/>
          <w:b/>
          <w:bCs/>
          <w:color w:val="auto"/>
          <w:kern w:val="0"/>
          <w:sz w:val="24"/>
          <w:highlight w:val="none"/>
          <w:lang w:bidi="ar"/>
        </w:rPr>
      </w:pPr>
    </w:p>
    <w:p w14:paraId="2AC81D75">
      <w:pPr>
        <w:widowControl/>
        <w:jc w:val="left"/>
        <w:rPr>
          <w:rFonts w:hint="eastAsia" w:ascii="仿宋" w:hAnsi="仿宋" w:eastAsia="仿宋" w:cs="仿宋"/>
          <w:b/>
          <w:bCs/>
          <w:color w:val="auto"/>
          <w:kern w:val="0"/>
          <w:sz w:val="22"/>
          <w:szCs w:val="22"/>
          <w:highlight w:val="none"/>
          <w:lang w:bidi="ar"/>
        </w:rPr>
      </w:pPr>
      <w:r>
        <w:rPr>
          <w:rFonts w:hint="eastAsia" w:ascii="仿宋" w:hAnsi="仿宋" w:eastAsia="仿宋" w:cs="仿宋"/>
          <w:b/>
          <w:bCs/>
          <w:color w:val="auto"/>
          <w:kern w:val="0"/>
          <w:sz w:val="22"/>
          <w:szCs w:val="22"/>
          <w:highlight w:val="none"/>
          <w:lang w:bidi="ar"/>
        </w:rPr>
        <w:t>致</w:t>
      </w:r>
      <w:r>
        <w:rPr>
          <w:rFonts w:hint="eastAsia" w:ascii="仿宋" w:hAnsi="仿宋" w:eastAsia="仿宋" w:cs="仿宋"/>
          <w:b/>
          <w:bCs/>
          <w:color w:val="auto"/>
          <w:kern w:val="0"/>
          <w:sz w:val="22"/>
          <w:szCs w:val="22"/>
          <w:highlight w:val="none"/>
          <w:u w:val="single"/>
          <w:lang w:bidi="ar"/>
        </w:rPr>
        <w:t>宁波市海曙区</w:t>
      </w:r>
      <w:r>
        <w:rPr>
          <w:rFonts w:hint="eastAsia" w:ascii="仿宋" w:hAnsi="仿宋" w:eastAsia="仿宋" w:cs="仿宋"/>
          <w:b/>
          <w:bCs/>
          <w:color w:val="auto"/>
          <w:kern w:val="0"/>
          <w:sz w:val="22"/>
          <w:szCs w:val="22"/>
          <w:highlight w:val="none"/>
          <w:u w:val="single"/>
          <w:lang w:val="en-US" w:eastAsia="zh-CN" w:bidi="ar"/>
        </w:rPr>
        <w:t>横街</w:t>
      </w:r>
      <w:r>
        <w:rPr>
          <w:rFonts w:hint="eastAsia" w:ascii="仿宋" w:hAnsi="仿宋" w:eastAsia="仿宋" w:cs="仿宋"/>
          <w:b/>
          <w:bCs/>
          <w:color w:val="auto"/>
          <w:kern w:val="0"/>
          <w:sz w:val="22"/>
          <w:szCs w:val="22"/>
          <w:highlight w:val="none"/>
          <w:u w:val="single"/>
          <w:lang w:bidi="ar"/>
        </w:rPr>
        <w:t>镇人民政府、</w:t>
      </w:r>
      <w:r>
        <w:rPr>
          <w:rFonts w:hint="eastAsia" w:ascii="仿宋" w:hAnsi="仿宋" w:eastAsia="仿宋" w:cs="仿宋"/>
          <w:b/>
          <w:bCs/>
          <w:color w:val="auto"/>
          <w:kern w:val="0"/>
          <w:sz w:val="22"/>
          <w:szCs w:val="22"/>
          <w:highlight w:val="none"/>
          <w:u w:val="single"/>
          <w:lang w:val="en-US" w:eastAsia="zh-CN" w:bidi="ar"/>
        </w:rPr>
        <w:t>宁波市倬正项目管理咨询</w:t>
      </w:r>
      <w:r>
        <w:rPr>
          <w:rFonts w:hint="eastAsia" w:ascii="仿宋" w:hAnsi="仿宋" w:eastAsia="仿宋" w:cs="仿宋"/>
          <w:b/>
          <w:bCs/>
          <w:color w:val="auto"/>
          <w:kern w:val="0"/>
          <w:sz w:val="22"/>
          <w:szCs w:val="22"/>
          <w:highlight w:val="none"/>
          <w:u w:val="single"/>
          <w:lang w:bidi="ar"/>
        </w:rPr>
        <w:t>有限公司</w:t>
      </w:r>
      <w:r>
        <w:rPr>
          <w:rFonts w:hint="eastAsia" w:ascii="仿宋" w:hAnsi="仿宋" w:eastAsia="仿宋" w:cs="仿宋"/>
          <w:b/>
          <w:bCs/>
          <w:color w:val="auto"/>
          <w:kern w:val="0"/>
          <w:sz w:val="22"/>
          <w:szCs w:val="22"/>
          <w:highlight w:val="none"/>
          <w:lang w:bidi="ar"/>
        </w:rPr>
        <w:t xml:space="preserve">： </w:t>
      </w:r>
    </w:p>
    <w:p w14:paraId="2B3DD90A">
      <w:pPr>
        <w:pStyle w:val="10"/>
        <w:ind w:firstLine="440"/>
        <w:rPr>
          <w:rFonts w:hint="eastAsia" w:ascii="仿宋" w:hAnsi="仿宋" w:eastAsia="仿宋" w:cs="仿宋"/>
          <w:color w:val="auto"/>
          <w:sz w:val="22"/>
          <w:szCs w:val="22"/>
          <w:highlight w:val="none"/>
        </w:rPr>
      </w:pPr>
    </w:p>
    <w:p w14:paraId="5BC74B7B">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开展治理政府采购领域商业贿赂专项工作，是中央确定的治理商业贿赂六个重点领域之一， 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 </w:t>
      </w:r>
    </w:p>
    <w:p w14:paraId="518AFEE4">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一、依法参与政府采购活动，遵纪守法，诚信经营，公平竞争。 </w:t>
      </w:r>
    </w:p>
    <w:p w14:paraId="31B254E5">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二、不向采购人、采购代理机构和政府采购评审专家提供任何形式的商业贿赂；对索取或接受商业贿赂的单位和个人，及时向财政部门和纪检监察机关举报。 </w:t>
      </w:r>
    </w:p>
    <w:p w14:paraId="2FF2CBDC">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三、不以提供虚假资质文件等形式参与政府采购活动，不以虚假材料谋取中标。 </w:t>
      </w:r>
    </w:p>
    <w:p w14:paraId="5DCED779">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四、不采取不正当手段诋毁、排挤其他投标人，与其他参与政府采购活动投标人保持良性的竞争关系。 </w:t>
      </w:r>
    </w:p>
    <w:p w14:paraId="72090FE9">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五、不与采购人、采购代理机构和政府采购评审专家恶意串通，自觉维护政府采购公平竞争的市场秩序。 </w:t>
      </w:r>
    </w:p>
    <w:p w14:paraId="39199CD5">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六、不与其他投标人串通采取围标、陪标等商业欺诈手段谋取中标，积极维护国家利益、社会公共利益和采购人的合法权益。 </w:t>
      </w:r>
    </w:p>
    <w:p w14:paraId="1CB4F5AE">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七、严格履行政府采购合同约定义务，不在政府采购合同执行过程中采取降低质量或标准、减少数量、拖延交付时间等方式损害采购人的利益，并自觉承担违约责任。 </w:t>
      </w:r>
    </w:p>
    <w:p w14:paraId="1711F857">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八、自觉接受并积极配合财政部门和纪检监察机关依法实施的监督检查，如实反映情况，及时提供有关证明材料。 </w:t>
      </w:r>
    </w:p>
    <w:p w14:paraId="2DC0D09E">
      <w:pPr>
        <w:spacing w:line="360" w:lineRule="auto"/>
        <w:contextualSpacing/>
        <w:outlineLvl w:val="9"/>
        <w:rPr>
          <w:rFonts w:hint="eastAsia" w:ascii="仿宋" w:hAnsi="仿宋" w:eastAsia="仿宋" w:cs="仿宋"/>
          <w:color w:val="auto"/>
          <w:sz w:val="22"/>
          <w:szCs w:val="22"/>
          <w:highlight w:val="none"/>
        </w:rPr>
      </w:pPr>
    </w:p>
    <w:p w14:paraId="3ADBAF91">
      <w:pPr>
        <w:pStyle w:val="10"/>
        <w:outlineLvl w:val="9"/>
        <w:rPr>
          <w:rFonts w:hint="eastAsia" w:ascii="仿宋" w:hAnsi="仿宋" w:eastAsia="仿宋" w:cs="仿宋"/>
          <w:color w:val="auto"/>
          <w:highlight w:val="none"/>
        </w:rPr>
      </w:pPr>
    </w:p>
    <w:p w14:paraId="26EB6553">
      <w:pPr>
        <w:pStyle w:val="7"/>
        <w:ind w:firstLine="220"/>
        <w:outlineLvl w:val="9"/>
        <w:rPr>
          <w:rFonts w:hint="eastAsia" w:ascii="仿宋" w:hAnsi="仿宋" w:eastAsia="仿宋" w:cs="仿宋"/>
          <w:color w:val="auto"/>
          <w:sz w:val="22"/>
          <w:szCs w:val="28"/>
          <w:highlight w:val="none"/>
        </w:rPr>
      </w:pPr>
    </w:p>
    <w:p w14:paraId="5AB1A081">
      <w:pPr>
        <w:snapToGrid w:val="0"/>
        <w:spacing w:before="50" w:after="50" w:line="440" w:lineRule="exact"/>
        <w:ind w:left="57" w:leftChars="27" w:right="-817" w:rightChars="-389" w:firstLine="4254" w:firstLineChars="1934"/>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244A941C">
      <w:pPr>
        <w:snapToGrid w:val="0"/>
        <w:spacing w:before="50" w:after="50" w:line="440" w:lineRule="exact"/>
        <w:ind w:left="57" w:leftChars="27" w:right="-817" w:rightChars="-389" w:firstLine="4254" w:firstLineChars="1934"/>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1F773C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3D4AD774">
      <w:pPr>
        <w:spacing w:line="360" w:lineRule="auto"/>
        <w:contextualSpacing/>
        <w:jc w:val="right"/>
        <w:outlineLvl w:val="9"/>
        <w:rPr>
          <w:rFonts w:hint="eastAsia" w:ascii="仿宋" w:hAnsi="仿宋" w:eastAsia="仿宋" w:cs="仿宋"/>
          <w:color w:val="auto"/>
          <w:sz w:val="22"/>
          <w:szCs w:val="22"/>
          <w:highlight w:val="none"/>
        </w:rPr>
      </w:pPr>
    </w:p>
    <w:p w14:paraId="1AF18CA9">
      <w:pPr>
        <w:pStyle w:val="10"/>
        <w:ind w:left="0" w:leftChars="0" w:firstLine="0" w:firstLineChars="0"/>
        <w:outlineLvl w:val="9"/>
        <w:rPr>
          <w:rFonts w:hint="eastAsia" w:ascii="仿宋" w:hAnsi="仿宋" w:eastAsia="仿宋" w:cs="仿宋"/>
          <w:color w:val="auto"/>
          <w:highlight w:val="none"/>
        </w:rPr>
      </w:pPr>
    </w:p>
    <w:p w14:paraId="6A0D091E">
      <w:pPr>
        <w:spacing w:line="480" w:lineRule="auto"/>
        <w:outlineLvl w:val="9"/>
        <w:rPr>
          <w:rFonts w:hint="eastAsia" w:ascii="仿宋" w:hAnsi="仿宋" w:eastAsia="仿宋" w:cs="仿宋"/>
          <w:b/>
          <w:color w:val="auto"/>
          <w:szCs w:val="21"/>
          <w:highlight w:val="none"/>
        </w:rPr>
      </w:pPr>
      <w:bookmarkStart w:id="251" w:name="_Toc46489041"/>
      <w:bookmarkStart w:id="252" w:name="_Toc23181"/>
      <w:bookmarkStart w:id="253" w:name="_Toc4539"/>
    </w:p>
    <w:p w14:paraId="6D1E413F">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格式五：</w:t>
      </w:r>
      <w:bookmarkEnd w:id="251"/>
      <w:bookmarkEnd w:id="252"/>
      <w:bookmarkEnd w:id="253"/>
    </w:p>
    <w:p w14:paraId="79E1CABC">
      <w:pPr>
        <w:spacing w:line="360" w:lineRule="auto"/>
        <w:jc w:val="center"/>
        <w:outlineLvl w:val="1"/>
        <w:rPr>
          <w:rFonts w:hint="eastAsia" w:ascii="仿宋" w:hAnsi="仿宋" w:eastAsia="仿宋" w:cs="仿宋"/>
          <w:b/>
          <w:color w:val="auto"/>
          <w:spacing w:val="-4"/>
          <w:sz w:val="32"/>
          <w:szCs w:val="32"/>
          <w:highlight w:val="none"/>
        </w:rPr>
      </w:pPr>
      <w:bookmarkStart w:id="254" w:name="_Toc23752"/>
      <w:bookmarkStart w:id="255" w:name="_Toc17494"/>
      <w:bookmarkStart w:id="256" w:name="_Toc46489042"/>
      <w:r>
        <w:rPr>
          <w:rFonts w:hint="eastAsia" w:ascii="仿宋" w:hAnsi="仿宋" w:eastAsia="仿宋" w:cs="仿宋"/>
          <w:b/>
          <w:color w:val="auto"/>
          <w:spacing w:val="-4"/>
          <w:sz w:val="32"/>
          <w:szCs w:val="32"/>
          <w:highlight w:val="none"/>
        </w:rPr>
        <w:t>中小企业声明函（工程）</w:t>
      </w:r>
      <w:bookmarkEnd w:id="254"/>
      <w:bookmarkEnd w:id="255"/>
    </w:p>
    <w:p w14:paraId="4560DE2A">
      <w:pPr>
        <w:spacing w:line="360" w:lineRule="auto"/>
        <w:ind w:firstLine="480" w:firstLineChars="200"/>
        <w:jc w:val="left"/>
        <w:rPr>
          <w:rFonts w:hint="eastAsia" w:ascii="仿宋" w:hAnsi="仿宋" w:eastAsia="仿宋" w:cs="仿宋"/>
          <w:color w:val="auto"/>
          <w:sz w:val="24"/>
          <w:highlight w:val="none"/>
        </w:rPr>
      </w:pPr>
    </w:p>
    <w:p w14:paraId="14E84D60">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2"/>
          <w:szCs w:val="22"/>
          <w:highlight w:val="none"/>
          <w:u w:val="single"/>
        </w:rPr>
        <w:t xml:space="preserve">（采购人） </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u w:val="single"/>
        </w:rPr>
        <w:t xml:space="preserve"> （项目名称） </w:t>
      </w:r>
      <w:r>
        <w:rPr>
          <w:rFonts w:hint="eastAsia" w:ascii="仿宋" w:hAnsi="仿宋" w:eastAsia="仿宋" w:cs="仿宋"/>
          <w:color w:val="auto"/>
          <w:sz w:val="22"/>
          <w:szCs w:val="22"/>
          <w:highlight w:val="none"/>
        </w:rPr>
        <w:t>采购活动，工程的施工单位全部为符合政策要求的中小企业。相关企业（含联合体中的中小企业、签订分包意向协议的中小企业）的具体情况如下：</w:t>
      </w:r>
    </w:p>
    <w:p w14:paraId="4A3C89C7">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1. </w:t>
      </w:r>
      <w:r>
        <w:rPr>
          <w:rFonts w:hint="eastAsia" w:ascii="仿宋" w:hAnsi="仿宋" w:eastAsia="仿宋" w:cs="仿宋"/>
          <w:color w:val="auto"/>
          <w:sz w:val="22"/>
          <w:szCs w:val="22"/>
          <w:highlight w:val="none"/>
          <w:u w:val="single"/>
        </w:rPr>
        <w:t>（标的名称）</w:t>
      </w:r>
      <w:r>
        <w:rPr>
          <w:rFonts w:hint="eastAsia" w:ascii="仿宋" w:hAnsi="仿宋" w:eastAsia="仿宋" w:cs="仿宋"/>
          <w:color w:val="auto"/>
          <w:sz w:val="22"/>
          <w:szCs w:val="22"/>
          <w:highlight w:val="none"/>
        </w:rPr>
        <w:t xml:space="preserve">，属于 </w:t>
      </w:r>
      <w:r>
        <w:rPr>
          <w:rFonts w:hint="eastAsia" w:ascii="仿宋" w:hAnsi="仿宋" w:eastAsia="仿宋" w:cs="仿宋"/>
          <w:color w:val="auto"/>
          <w:sz w:val="22"/>
          <w:szCs w:val="22"/>
          <w:highlight w:val="none"/>
          <w:u w:val="single"/>
        </w:rPr>
        <w:t>（采购文件中明确的所属行业）</w:t>
      </w:r>
      <w:r>
        <w:rPr>
          <w:rFonts w:hint="eastAsia" w:ascii="仿宋" w:hAnsi="仿宋" w:eastAsia="仿宋" w:cs="仿宋"/>
          <w:color w:val="auto"/>
          <w:sz w:val="22"/>
          <w:szCs w:val="22"/>
          <w:highlight w:val="none"/>
        </w:rPr>
        <w:t xml:space="preserve"> ；承建（承接）企业为 </w:t>
      </w:r>
      <w:r>
        <w:rPr>
          <w:rFonts w:hint="eastAsia" w:ascii="仿宋" w:hAnsi="仿宋" w:eastAsia="仿宋" w:cs="仿宋"/>
          <w:color w:val="auto"/>
          <w:sz w:val="22"/>
          <w:szCs w:val="22"/>
          <w:highlight w:val="none"/>
          <w:u w:val="single"/>
        </w:rPr>
        <w:t>（企业名称）</w:t>
      </w:r>
      <w:r>
        <w:rPr>
          <w:rFonts w:hint="eastAsia" w:ascii="仿宋" w:hAnsi="仿宋" w:eastAsia="仿宋" w:cs="仿宋"/>
          <w:color w:val="auto"/>
          <w:sz w:val="22"/>
          <w:szCs w:val="22"/>
          <w:highlight w:val="none"/>
        </w:rPr>
        <w:t xml:space="preserve"> ，从业人员</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人，营业收入为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万元，资产总额为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万元属于</w:t>
      </w:r>
      <w:r>
        <w:rPr>
          <w:rFonts w:hint="eastAsia" w:ascii="仿宋" w:hAnsi="仿宋" w:eastAsia="仿宋" w:cs="仿宋"/>
          <w:color w:val="auto"/>
          <w:sz w:val="22"/>
          <w:szCs w:val="22"/>
          <w:highlight w:val="none"/>
          <w:u w:val="single"/>
        </w:rPr>
        <w:t xml:space="preserve"> （中型企业、小型企业、微型企业） </w:t>
      </w:r>
      <w:r>
        <w:rPr>
          <w:rFonts w:hint="eastAsia" w:ascii="仿宋" w:hAnsi="仿宋" w:eastAsia="仿宋" w:cs="仿宋"/>
          <w:color w:val="auto"/>
          <w:sz w:val="22"/>
          <w:szCs w:val="22"/>
          <w:highlight w:val="none"/>
        </w:rPr>
        <w:t>；</w:t>
      </w:r>
    </w:p>
    <w:p w14:paraId="4727BD88">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 </w:t>
      </w:r>
      <w:r>
        <w:rPr>
          <w:rFonts w:hint="eastAsia" w:ascii="仿宋" w:hAnsi="仿宋" w:eastAsia="仿宋" w:cs="仿宋"/>
          <w:color w:val="auto"/>
          <w:sz w:val="22"/>
          <w:szCs w:val="22"/>
          <w:highlight w:val="none"/>
          <w:u w:val="single"/>
        </w:rPr>
        <w:t>（标的名称）</w:t>
      </w:r>
      <w:r>
        <w:rPr>
          <w:rFonts w:hint="eastAsia" w:ascii="仿宋" w:hAnsi="仿宋" w:eastAsia="仿宋" w:cs="仿宋"/>
          <w:color w:val="auto"/>
          <w:sz w:val="22"/>
          <w:szCs w:val="22"/>
          <w:highlight w:val="none"/>
        </w:rPr>
        <w:t xml:space="preserve">，属于 </w:t>
      </w:r>
      <w:r>
        <w:rPr>
          <w:rFonts w:hint="eastAsia" w:ascii="仿宋" w:hAnsi="仿宋" w:eastAsia="仿宋" w:cs="仿宋"/>
          <w:color w:val="auto"/>
          <w:sz w:val="22"/>
          <w:szCs w:val="22"/>
          <w:highlight w:val="none"/>
          <w:u w:val="single"/>
        </w:rPr>
        <w:t>（采购文件中明确的所属行业）</w:t>
      </w:r>
      <w:r>
        <w:rPr>
          <w:rFonts w:hint="eastAsia" w:ascii="仿宋" w:hAnsi="仿宋" w:eastAsia="仿宋" w:cs="仿宋"/>
          <w:color w:val="auto"/>
          <w:sz w:val="22"/>
          <w:szCs w:val="22"/>
          <w:highlight w:val="none"/>
        </w:rPr>
        <w:t xml:space="preserve"> ；承建（承接）企业为 </w:t>
      </w:r>
      <w:r>
        <w:rPr>
          <w:rFonts w:hint="eastAsia" w:ascii="仿宋" w:hAnsi="仿宋" w:eastAsia="仿宋" w:cs="仿宋"/>
          <w:color w:val="auto"/>
          <w:sz w:val="22"/>
          <w:szCs w:val="22"/>
          <w:highlight w:val="none"/>
          <w:u w:val="single"/>
        </w:rPr>
        <w:t>（企业名称）</w:t>
      </w:r>
      <w:r>
        <w:rPr>
          <w:rFonts w:hint="eastAsia" w:ascii="仿宋" w:hAnsi="仿宋" w:eastAsia="仿宋" w:cs="仿宋"/>
          <w:color w:val="auto"/>
          <w:sz w:val="22"/>
          <w:szCs w:val="22"/>
          <w:highlight w:val="none"/>
        </w:rPr>
        <w:t xml:space="preserve"> ，从业人员</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人，营业收入为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万元，资产总额为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万元属于</w:t>
      </w:r>
      <w:r>
        <w:rPr>
          <w:rFonts w:hint="eastAsia" w:ascii="仿宋" w:hAnsi="仿宋" w:eastAsia="仿宋" w:cs="仿宋"/>
          <w:color w:val="auto"/>
          <w:sz w:val="22"/>
          <w:szCs w:val="22"/>
          <w:highlight w:val="none"/>
          <w:u w:val="single"/>
        </w:rPr>
        <w:t xml:space="preserve"> （中型企业、小型企业、微型企业） </w:t>
      </w:r>
      <w:r>
        <w:rPr>
          <w:rFonts w:hint="eastAsia" w:ascii="仿宋" w:hAnsi="仿宋" w:eastAsia="仿宋" w:cs="仿宋"/>
          <w:color w:val="auto"/>
          <w:sz w:val="22"/>
          <w:szCs w:val="22"/>
          <w:highlight w:val="none"/>
        </w:rPr>
        <w:t>；</w:t>
      </w:r>
    </w:p>
    <w:p w14:paraId="6A1E26D5">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p w14:paraId="222B9313">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以上企业，不属于大企业的分支机构，不存在控股股东为大企业的情形，也不存在与大企业的负责人为同一人的情形。</w:t>
      </w:r>
    </w:p>
    <w:p w14:paraId="1E96C1E7">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本企业对上述声明内容的真实性负责。如有虚假，将依法承担相应责任。</w:t>
      </w:r>
    </w:p>
    <w:p w14:paraId="266051F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105190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B9D9C48">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5F40B272">
      <w:pPr>
        <w:spacing w:line="360" w:lineRule="auto"/>
        <w:ind w:firstLine="310" w:firstLineChars="147"/>
        <w:jc w:val="left"/>
        <w:rPr>
          <w:rFonts w:hint="eastAsia" w:ascii="仿宋" w:hAnsi="仿宋" w:eastAsia="仿宋" w:cs="仿宋"/>
          <w:b/>
          <w:color w:val="auto"/>
          <w:szCs w:val="21"/>
          <w:highlight w:val="none"/>
        </w:rPr>
      </w:pPr>
    </w:p>
    <w:p w14:paraId="436B7474">
      <w:pPr>
        <w:spacing w:line="360" w:lineRule="auto"/>
        <w:ind w:firstLine="310" w:firstLineChars="147"/>
        <w:jc w:val="left"/>
        <w:rPr>
          <w:rFonts w:hint="eastAsia" w:ascii="仿宋" w:hAnsi="仿宋" w:eastAsia="仿宋" w:cs="仿宋"/>
          <w:color w:val="auto"/>
          <w:sz w:val="24"/>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0F66F74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11DD2B51">
      <w:pPr>
        <w:spacing w:line="260" w:lineRule="exact"/>
        <w:ind w:right="42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填写要求：①“标的名称”、“采购文件中明确的所属行业”依据磋商文件第三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6F1B72F">
      <w:pPr>
        <w:spacing w:line="260" w:lineRule="exact"/>
        <w:ind w:right="42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396CBA1">
      <w:pPr>
        <w:pStyle w:val="6"/>
        <w:rPr>
          <w:rFonts w:hint="eastAsia" w:ascii="仿宋" w:hAnsi="仿宋" w:eastAsia="仿宋" w:cs="仿宋"/>
          <w:color w:val="auto"/>
          <w:sz w:val="21"/>
          <w:szCs w:val="21"/>
          <w:highlight w:val="none"/>
        </w:rPr>
        <w:sectPr>
          <w:headerReference r:id="rId7" w:type="default"/>
          <w:footerReference r:id="rId8" w:type="default"/>
          <w:pgSz w:w="11907" w:h="16840"/>
          <w:pgMar w:top="1304" w:right="1588" w:bottom="1304" w:left="1588" w:header="964" w:footer="720" w:gutter="0"/>
          <w:cols w:space="720" w:num="1"/>
        </w:sectPr>
      </w:pPr>
    </w:p>
    <w:tbl>
      <w:tblPr>
        <w:tblStyle w:val="21"/>
        <w:tblW w:w="0" w:type="auto"/>
        <w:tblInd w:w="-252" w:type="dxa"/>
        <w:tblLayout w:type="fixed"/>
        <w:tblCellMar>
          <w:top w:w="0" w:type="dxa"/>
          <w:left w:w="108" w:type="dxa"/>
          <w:bottom w:w="0" w:type="dxa"/>
          <w:right w:w="108" w:type="dxa"/>
        </w:tblCellMar>
      </w:tblPr>
      <w:tblGrid>
        <w:gridCol w:w="1778"/>
        <w:gridCol w:w="1340"/>
        <w:gridCol w:w="1763"/>
        <w:gridCol w:w="1660"/>
        <w:gridCol w:w="1240"/>
        <w:gridCol w:w="1480"/>
        <w:gridCol w:w="1520"/>
        <w:gridCol w:w="1285"/>
        <w:gridCol w:w="1275"/>
        <w:gridCol w:w="1221"/>
      </w:tblGrid>
      <w:tr w14:paraId="26FA6F32">
        <w:tblPrEx>
          <w:tblCellMar>
            <w:top w:w="0" w:type="dxa"/>
            <w:left w:w="108" w:type="dxa"/>
            <w:bottom w:w="0" w:type="dxa"/>
            <w:right w:w="108" w:type="dxa"/>
          </w:tblCellMar>
        </w:tblPrEx>
        <w:trPr>
          <w:trHeight w:val="500" w:hRule="atLeast"/>
        </w:trPr>
        <w:tc>
          <w:tcPr>
            <w:tcW w:w="14562" w:type="dxa"/>
            <w:gridSpan w:val="10"/>
            <w:noWrap w:val="0"/>
            <w:vAlign w:val="bottom"/>
          </w:tcPr>
          <w:p w14:paraId="5A183B80">
            <w:pPr>
              <w:widowControl/>
              <w:jc w:val="center"/>
              <w:rPr>
                <w:rFonts w:ascii="仿宋" w:hAnsi="仿宋" w:eastAsia="仿宋" w:cs="仿宋"/>
                <w:b/>
                <w:bCs/>
                <w:color w:val="auto"/>
                <w:sz w:val="32"/>
                <w:szCs w:val="32"/>
                <w:highlight w:val="none"/>
              </w:rPr>
            </w:pPr>
            <w:r>
              <w:rPr>
                <w:rFonts w:hint="eastAsia" w:ascii="仿宋" w:hAnsi="仿宋" w:eastAsia="仿宋" w:cs="仿宋"/>
                <w:b/>
                <w:bCs/>
                <w:color w:val="auto"/>
                <w:sz w:val="24"/>
                <w:highlight w:val="none"/>
              </w:rPr>
              <w:t>中小微行业划型标准规定（根据工信部联企业〔2011〕300号制定）</w:t>
            </w:r>
          </w:p>
        </w:tc>
      </w:tr>
      <w:tr w14:paraId="2FAA0F57">
        <w:tblPrEx>
          <w:tblCellMar>
            <w:top w:w="0" w:type="dxa"/>
            <w:left w:w="108" w:type="dxa"/>
            <w:bottom w:w="0" w:type="dxa"/>
            <w:right w:w="108" w:type="dxa"/>
          </w:tblCellMar>
        </w:tblPrEx>
        <w:trPr>
          <w:trHeight w:val="465" w:hRule="atLeast"/>
        </w:trPr>
        <w:tc>
          <w:tcPr>
            <w:tcW w:w="1778" w:type="dxa"/>
            <w:vMerge w:val="restart"/>
            <w:tcBorders>
              <w:top w:val="single" w:color="auto" w:sz="8" w:space="0"/>
              <w:left w:val="single" w:color="auto" w:sz="8" w:space="0"/>
              <w:bottom w:val="single" w:color="000000" w:sz="4" w:space="0"/>
              <w:right w:val="single" w:color="auto" w:sz="8" w:space="0"/>
            </w:tcBorders>
            <w:noWrap w:val="0"/>
            <w:vAlign w:val="center"/>
          </w:tcPr>
          <w:p w14:paraId="5277FFE0">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行业</w:t>
            </w:r>
          </w:p>
        </w:tc>
        <w:tc>
          <w:tcPr>
            <w:tcW w:w="4763" w:type="dxa"/>
            <w:gridSpan w:val="3"/>
            <w:tcBorders>
              <w:top w:val="single" w:color="auto" w:sz="8" w:space="0"/>
              <w:left w:val="nil"/>
              <w:bottom w:val="single" w:color="auto" w:sz="4" w:space="0"/>
              <w:right w:val="single" w:color="000000" w:sz="8" w:space="0"/>
            </w:tcBorders>
            <w:noWrap w:val="0"/>
            <w:vAlign w:val="center"/>
          </w:tcPr>
          <w:p w14:paraId="5238C9C0">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中型企业</w:t>
            </w:r>
          </w:p>
        </w:tc>
        <w:tc>
          <w:tcPr>
            <w:tcW w:w="4240" w:type="dxa"/>
            <w:gridSpan w:val="3"/>
            <w:tcBorders>
              <w:top w:val="single" w:color="auto" w:sz="8" w:space="0"/>
              <w:left w:val="nil"/>
              <w:bottom w:val="single" w:color="auto" w:sz="4" w:space="0"/>
              <w:right w:val="single" w:color="000000" w:sz="8" w:space="0"/>
            </w:tcBorders>
            <w:noWrap w:val="0"/>
            <w:vAlign w:val="center"/>
          </w:tcPr>
          <w:p w14:paraId="47E2C3B2">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小型企业</w:t>
            </w:r>
          </w:p>
        </w:tc>
        <w:tc>
          <w:tcPr>
            <w:tcW w:w="3781" w:type="dxa"/>
            <w:gridSpan w:val="3"/>
            <w:tcBorders>
              <w:top w:val="single" w:color="auto" w:sz="8" w:space="0"/>
              <w:left w:val="nil"/>
              <w:bottom w:val="single" w:color="auto" w:sz="4" w:space="0"/>
              <w:right w:val="single" w:color="000000" w:sz="8" w:space="0"/>
            </w:tcBorders>
            <w:noWrap w:val="0"/>
            <w:vAlign w:val="center"/>
          </w:tcPr>
          <w:p w14:paraId="639E11F4">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微型企业</w:t>
            </w:r>
          </w:p>
        </w:tc>
      </w:tr>
      <w:tr w14:paraId="1356DA8B">
        <w:tblPrEx>
          <w:tblCellMar>
            <w:top w:w="0" w:type="dxa"/>
            <w:left w:w="108" w:type="dxa"/>
            <w:bottom w:w="0" w:type="dxa"/>
            <w:right w:w="108" w:type="dxa"/>
          </w:tblCellMar>
        </w:tblPrEx>
        <w:trPr>
          <w:trHeight w:val="525" w:hRule="atLeast"/>
        </w:trPr>
        <w:tc>
          <w:tcPr>
            <w:tcW w:w="1778" w:type="dxa"/>
            <w:vMerge w:val="continue"/>
            <w:tcBorders>
              <w:top w:val="single" w:color="auto" w:sz="8" w:space="0"/>
              <w:left w:val="single" w:color="auto" w:sz="8" w:space="0"/>
              <w:bottom w:val="single" w:color="000000" w:sz="4" w:space="0"/>
              <w:right w:val="single" w:color="auto" w:sz="8" w:space="0"/>
            </w:tcBorders>
            <w:noWrap w:val="0"/>
            <w:vAlign w:val="center"/>
          </w:tcPr>
          <w:p w14:paraId="571B1A45">
            <w:pPr>
              <w:widowControl/>
              <w:rPr>
                <w:rFonts w:ascii="仿宋" w:hAnsi="仿宋" w:eastAsia="仿宋" w:cs="仿宋"/>
                <w:b/>
                <w:bCs/>
                <w:color w:val="auto"/>
                <w:sz w:val="18"/>
                <w:szCs w:val="18"/>
                <w:highlight w:val="none"/>
              </w:rPr>
            </w:pPr>
          </w:p>
        </w:tc>
        <w:tc>
          <w:tcPr>
            <w:tcW w:w="1340" w:type="dxa"/>
            <w:tcBorders>
              <w:top w:val="nil"/>
              <w:left w:val="nil"/>
              <w:bottom w:val="single" w:color="auto" w:sz="4" w:space="0"/>
              <w:right w:val="single" w:color="auto" w:sz="4" w:space="0"/>
            </w:tcBorders>
            <w:noWrap w:val="0"/>
            <w:vAlign w:val="bottom"/>
          </w:tcPr>
          <w:p w14:paraId="54A1945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763" w:type="dxa"/>
            <w:tcBorders>
              <w:top w:val="nil"/>
              <w:left w:val="nil"/>
              <w:bottom w:val="single" w:color="auto" w:sz="4" w:space="0"/>
              <w:right w:val="single" w:color="auto" w:sz="4" w:space="0"/>
            </w:tcBorders>
            <w:noWrap w:val="0"/>
            <w:vAlign w:val="bottom"/>
          </w:tcPr>
          <w:p w14:paraId="440AC83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w:t>
            </w:r>
          </w:p>
          <w:p w14:paraId="3EC6C3C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660" w:type="dxa"/>
            <w:tcBorders>
              <w:top w:val="nil"/>
              <w:left w:val="nil"/>
              <w:bottom w:val="single" w:color="auto" w:sz="4" w:space="0"/>
              <w:right w:val="single" w:color="auto" w:sz="8" w:space="0"/>
            </w:tcBorders>
            <w:noWrap w:val="0"/>
            <w:vAlign w:val="bottom"/>
          </w:tcPr>
          <w:p w14:paraId="5125C3F3">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w:t>
            </w:r>
          </w:p>
          <w:p w14:paraId="4EC5AA03">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240" w:type="dxa"/>
            <w:tcBorders>
              <w:top w:val="nil"/>
              <w:left w:val="nil"/>
              <w:bottom w:val="single" w:color="auto" w:sz="4" w:space="0"/>
              <w:right w:val="single" w:color="auto" w:sz="4" w:space="0"/>
            </w:tcBorders>
            <w:noWrap w:val="0"/>
            <w:vAlign w:val="bottom"/>
          </w:tcPr>
          <w:p w14:paraId="44B3483F">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480" w:type="dxa"/>
            <w:tcBorders>
              <w:top w:val="nil"/>
              <w:left w:val="nil"/>
              <w:bottom w:val="single" w:color="auto" w:sz="4" w:space="0"/>
              <w:right w:val="single" w:color="auto" w:sz="4" w:space="0"/>
            </w:tcBorders>
            <w:noWrap w:val="0"/>
            <w:vAlign w:val="bottom"/>
          </w:tcPr>
          <w:p w14:paraId="071F79A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w:t>
            </w:r>
          </w:p>
          <w:p w14:paraId="208373AD">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520" w:type="dxa"/>
            <w:tcBorders>
              <w:top w:val="nil"/>
              <w:left w:val="nil"/>
              <w:bottom w:val="single" w:color="auto" w:sz="4" w:space="0"/>
              <w:right w:val="single" w:color="auto" w:sz="8" w:space="0"/>
            </w:tcBorders>
            <w:noWrap w:val="0"/>
            <w:vAlign w:val="bottom"/>
          </w:tcPr>
          <w:p w14:paraId="3023407C">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w:t>
            </w:r>
          </w:p>
          <w:p w14:paraId="0E43DFB6">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285" w:type="dxa"/>
            <w:tcBorders>
              <w:top w:val="nil"/>
              <w:left w:val="nil"/>
              <w:bottom w:val="single" w:color="auto" w:sz="4" w:space="0"/>
              <w:right w:val="single" w:color="auto" w:sz="4" w:space="0"/>
            </w:tcBorders>
            <w:noWrap w:val="0"/>
            <w:vAlign w:val="bottom"/>
          </w:tcPr>
          <w:p w14:paraId="1064EFE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275" w:type="dxa"/>
            <w:tcBorders>
              <w:top w:val="nil"/>
              <w:left w:val="nil"/>
              <w:bottom w:val="single" w:color="auto" w:sz="4" w:space="0"/>
              <w:right w:val="single" w:color="auto" w:sz="4" w:space="0"/>
            </w:tcBorders>
            <w:noWrap w:val="0"/>
            <w:vAlign w:val="bottom"/>
          </w:tcPr>
          <w:p w14:paraId="05D3FBB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营业收入Y（万元）</w:t>
            </w:r>
          </w:p>
        </w:tc>
        <w:tc>
          <w:tcPr>
            <w:tcW w:w="1221" w:type="dxa"/>
            <w:tcBorders>
              <w:top w:val="nil"/>
              <w:left w:val="nil"/>
              <w:bottom w:val="single" w:color="auto" w:sz="4" w:space="0"/>
              <w:right w:val="single" w:color="auto" w:sz="8" w:space="0"/>
            </w:tcBorders>
            <w:noWrap w:val="0"/>
            <w:vAlign w:val="bottom"/>
          </w:tcPr>
          <w:p w14:paraId="267BC1C9">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资产总额Z（万元）</w:t>
            </w:r>
          </w:p>
        </w:tc>
      </w:tr>
      <w:tr w14:paraId="0AA86A92">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328999D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1、农林牧渔业</w:t>
            </w:r>
          </w:p>
        </w:tc>
        <w:tc>
          <w:tcPr>
            <w:tcW w:w="1340" w:type="dxa"/>
            <w:tcBorders>
              <w:top w:val="nil"/>
              <w:left w:val="nil"/>
              <w:bottom w:val="single" w:color="auto" w:sz="4" w:space="0"/>
              <w:right w:val="single" w:color="auto" w:sz="4" w:space="0"/>
            </w:tcBorders>
            <w:noWrap w:val="0"/>
            <w:vAlign w:val="bottom"/>
          </w:tcPr>
          <w:p w14:paraId="2D7FB09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noWrap w:val="0"/>
            <w:vAlign w:val="bottom"/>
          </w:tcPr>
          <w:p w14:paraId="083872C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500≤Y＜20000</w:t>
            </w:r>
          </w:p>
        </w:tc>
        <w:tc>
          <w:tcPr>
            <w:tcW w:w="1660" w:type="dxa"/>
            <w:tcBorders>
              <w:top w:val="nil"/>
              <w:left w:val="nil"/>
              <w:bottom w:val="single" w:color="auto" w:sz="4" w:space="0"/>
              <w:right w:val="single" w:color="auto" w:sz="8" w:space="0"/>
            </w:tcBorders>
            <w:noWrap w:val="0"/>
            <w:vAlign w:val="bottom"/>
          </w:tcPr>
          <w:p w14:paraId="5638190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130D63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noWrap w:val="0"/>
            <w:vAlign w:val="bottom"/>
          </w:tcPr>
          <w:p w14:paraId="2AFF347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50≤Y＜500</w:t>
            </w:r>
          </w:p>
        </w:tc>
        <w:tc>
          <w:tcPr>
            <w:tcW w:w="1520" w:type="dxa"/>
            <w:tcBorders>
              <w:top w:val="nil"/>
              <w:left w:val="nil"/>
              <w:bottom w:val="single" w:color="auto" w:sz="4" w:space="0"/>
              <w:right w:val="single" w:color="auto" w:sz="8" w:space="0"/>
            </w:tcBorders>
            <w:noWrap w:val="0"/>
            <w:vAlign w:val="bottom"/>
          </w:tcPr>
          <w:p w14:paraId="39521FE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68BD140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noWrap w:val="0"/>
            <w:vAlign w:val="bottom"/>
          </w:tcPr>
          <w:p w14:paraId="355062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w:t>
            </w:r>
          </w:p>
        </w:tc>
        <w:tc>
          <w:tcPr>
            <w:tcW w:w="1221" w:type="dxa"/>
            <w:tcBorders>
              <w:top w:val="nil"/>
              <w:left w:val="nil"/>
              <w:bottom w:val="single" w:color="auto" w:sz="4" w:space="0"/>
              <w:right w:val="single" w:color="auto" w:sz="8" w:space="0"/>
            </w:tcBorders>
            <w:noWrap w:val="0"/>
            <w:vAlign w:val="bottom"/>
          </w:tcPr>
          <w:p w14:paraId="4BDA6D2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1C9112B5">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159A704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2、工业</w:t>
            </w:r>
          </w:p>
        </w:tc>
        <w:tc>
          <w:tcPr>
            <w:tcW w:w="1340" w:type="dxa"/>
            <w:tcBorders>
              <w:top w:val="nil"/>
              <w:left w:val="nil"/>
              <w:bottom w:val="single" w:color="auto" w:sz="4" w:space="0"/>
              <w:right w:val="single" w:color="auto" w:sz="4" w:space="0"/>
            </w:tcBorders>
            <w:noWrap w:val="0"/>
            <w:vAlign w:val="bottom"/>
          </w:tcPr>
          <w:p w14:paraId="07C80DB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701BDCA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2000≤Y＜40000</w:t>
            </w:r>
          </w:p>
        </w:tc>
        <w:tc>
          <w:tcPr>
            <w:tcW w:w="1660" w:type="dxa"/>
            <w:tcBorders>
              <w:top w:val="nil"/>
              <w:left w:val="nil"/>
              <w:bottom w:val="single" w:color="auto" w:sz="4" w:space="0"/>
              <w:right w:val="single" w:color="auto" w:sz="8" w:space="0"/>
            </w:tcBorders>
            <w:noWrap w:val="0"/>
            <w:vAlign w:val="bottom"/>
          </w:tcPr>
          <w:p w14:paraId="5D24C4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25F351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noWrap w:val="0"/>
            <w:vAlign w:val="bottom"/>
          </w:tcPr>
          <w:p w14:paraId="67FD5E5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300≤Y＜2000</w:t>
            </w:r>
          </w:p>
        </w:tc>
        <w:tc>
          <w:tcPr>
            <w:tcW w:w="1520" w:type="dxa"/>
            <w:tcBorders>
              <w:top w:val="nil"/>
              <w:left w:val="nil"/>
              <w:bottom w:val="single" w:color="auto" w:sz="4" w:space="0"/>
              <w:right w:val="single" w:color="auto" w:sz="8" w:space="0"/>
            </w:tcBorders>
            <w:noWrap w:val="0"/>
            <w:vAlign w:val="bottom"/>
          </w:tcPr>
          <w:p w14:paraId="7FD588F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7A128DB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5F11F7D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Y＜300</w:t>
            </w:r>
          </w:p>
        </w:tc>
        <w:tc>
          <w:tcPr>
            <w:tcW w:w="1221" w:type="dxa"/>
            <w:tcBorders>
              <w:top w:val="nil"/>
              <w:left w:val="nil"/>
              <w:bottom w:val="single" w:color="auto" w:sz="4" w:space="0"/>
              <w:right w:val="single" w:color="auto" w:sz="8" w:space="0"/>
            </w:tcBorders>
            <w:noWrap w:val="0"/>
            <w:vAlign w:val="bottom"/>
          </w:tcPr>
          <w:p w14:paraId="0BDD7A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306E6381">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17AF060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3、建筑业</w:t>
            </w:r>
          </w:p>
        </w:tc>
        <w:tc>
          <w:tcPr>
            <w:tcW w:w="1340" w:type="dxa"/>
            <w:tcBorders>
              <w:top w:val="nil"/>
              <w:left w:val="nil"/>
              <w:bottom w:val="single" w:color="auto" w:sz="4" w:space="0"/>
              <w:right w:val="single" w:color="auto" w:sz="4" w:space="0"/>
            </w:tcBorders>
            <w:noWrap w:val="0"/>
            <w:vAlign w:val="bottom"/>
          </w:tcPr>
          <w:p w14:paraId="7A3E1F6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noWrap w:val="0"/>
            <w:vAlign w:val="bottom"/>
          </w:tcPr>
          <w:p w14:paraId="602F0B8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6000≤Y＜80000</w:t>
            </w:r>
          </w:p>
        </w:tc>
        <w:tc>
          <w:tcPr>
            <w:tcW w:w="1660" w:type="dxa"/>
            <w:tcBorders>
              <w:top w:val="nil"/>
              <w:left w:val="nil"/>
              <w:bottom w:val="single" w:color="auto" w:sz="4" w:space="0"/>
              <w:right w:val="single" w:color="auto" w:sz="8" w:space="0"/>
            </w:tcBorders>
            <w:noWrap w:val="0"/>
            <w:vAlign w:val="bottom"/>
          </w:tcPr>
          <w:p w14:paraId="0BA6BCA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5000≤Z＜80000</w:t>
            </w:r>
          </w:p>
        </w:tc>
        <w:tc>
          <w:tcPr>
            <w:tcW w:w="1240" w:type="dxa"/>
            <w:tcBorders>
              <w:top w:val="nil"/>
              <w:left w:val="nil"/>
              <w:bottom w:val="single" w:color="auto" w:sz="4" w:space="0"/>
              <w:right w:val="single" w:color="auto" w:sz="4" w:space="0"/>
            </w:tcBorders>
            <w:noWrap w:val="0"/>
            <w:vAlign w:val="bottom"/>
          </w:tcPr>
          <w:p w14:paraId="77AC508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noWrap w:val="0"/>
            <w:vAlign w:val="bottom"/>
          </w:tcPr>
          <w:p w14:paraId="5C3811F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300≤Y＜6000</w:t>
            </w:r>
          </w:p>
        </w:tc>
        <w:tc>
          <w:tcPr>
            <w:tcW w:w="1520" w:type="dxa"/>
            <w:tcBorders>
              <w:top w:val="nil"/>
              <w:left w:val="nil"/>
              <w:bottom w:val="single" w:color="auto" w:sz="4" w:space="0"/>
              <w:right w:val="single" w:color="auto" w:sz="8" w:space="0"/>
            </w:tcBorders>
            <w:noWrap w:val="0"/>
            <w:vAlign w:val="bottom"/>
          </w:tcPr>
          <w:p w14:paraId="7B628A3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300≤Z＜5000</w:t>
            </w:r>
          </w:p>
        </w:tc>
        <w:tc>
          <w:tcPr>
            <w:tcW w:w="1285" w:type="dxa"/>
            <w:tcBorders>
              <w:top w:val="nil"/>
              <w:left w:val="nil"/>
              <w:bottom w:val="single" w:color="auto" w:sz="4" w:space="0"/>
              <w:right w:val="single" w:color="auto" w:sz="4" w:space="0"/>
            </w:tcBorders>
            <w:noWrap w:val="0"/>
            <w:vAlign w:val="bottom"/>
          </w:tcPr>
          <w:p w14:paraId="6EF3179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noWrap w:val="0"/>
            <w:vAlign w:val="bottom"/>
          </w:tcPr>
          <w:p w14:paraId="631B864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Y＜300</w:t>
            </w:r>
          </w:p>
        </w:tc>
        <w:tc>
          <w:tcPr>
            <w:tcW w:w="1221" w:type="dxa"/>
            <w:tcBorders>
              <w:top w:val="nil"/>
              <w:left w:val="nil"/>
              <w:bottom w:val="single" w:color="auto" w:sz="4" w:space="0"/>
              <w:right w:val="single" w:color="auto" w:sz="8" w:space="0"/>
            </w:tcBorders>
            <w:noWrap w:val="0"/>
            <w:vAlign w:val="bottom"/>
          </w:tcPr>
          <w:p w14:paraId="1839B59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Z＜300</w:t>
            </w:r>
          </w:p>
        </w:tc>
      </w:tr>
      <w:tr w14:paraId="4A98BC73">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2E90A0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4、批发业</w:t>
            </w:r>
          </w:p>
        </w:tc>
        <w:tc>
          <w:tcPr>
            <w:tcW w:w="1340" w:type="dxa"/>
            <w:tcBorders>
              <w:top w:val="nil"/>
              <w:left w:val="nil"/>
              <w:bottom w:val="single" w:color="auto" w:sz="4" w:space="0"/>
              <w:right w:val="single" w:color="auto" w:sz="4" w:space="0"/>
            </w:tcBorders>
            <w:noWrap w:val="0"/>
            <w:vAlign w:val="bottom"/>
          </w:tcPr>
          <w:p w14:paraId="5678B7B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20≤X＜200</w:t>
            </w:r>
          </w:p>
        </w:tc>
        <w:tc>
          <w:tcPr>
            <w:tcW w:w="1763" w:type="dxa"/>
            <w:tcBorders>
              <w:top w:val="nil"/>
              <w:left w:val="nil"/>
              <w:bottom w:val="single" w:color="auto" w:sz="4" w:space="0"/>
              <w:right w:val="single" w:color="auto" w:sz="4" w:space="0"/>
            </w:tcBorders>
            <w:noWrap w:val="0"/>
            <w:vAlign w:val="bottom"/>
          </w:tcPr>
          <w:p w14:paraId="4745C8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5000≤Y＜40000</w:t>
            </w:r>
          </w:p>
        </w:tc>
        <w:tc>
          <w:tcPr>
            <w:tcW w:w="1660" w:type="dxa"/>
            <w:tcBorders>
              <w:top w:val="nil"/>
              <w:left w:val="nil"/>
              <w:bottom w:val="single" w:color="auto" w:sz="4" w:space="0"/>
              <w:right w:val="single" w:color="auto" w:sz="8" w:space="0"/>
            </w:tcBorders>
            <w:noWrap w:val="0"/>
            <w:vAlign w:val="bottom"/>
          </w:tcPr>
          <w:p w14:paraId="633F8B8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7ECD9C4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5≤X＜20</w:t>
            </w:r>
          </w:p>
        </w:tc>
        <w:tc>
          <w:tcPr>
            <w:tcW w:w="1480" w:type="dxa"/>
            <w:tcBorders>
              <w:top w:val="nil"/>
              <w:left w:val="nil"/>
              <w:bottom w:val="single" w:color="auto" w:sz="4" w:space="0"/>
              <w:right w:val="single" w:color="auto" w:sz="4" w:space="0"/>
            </w:tcBorders>
            <w:noWrap w:val="0"/>
            <w:vAlign w:val="bottom"/>
          </w:tcPr>
          <w:p w14:paraId="4BB0288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1000≤Y＜5000</w:t>
            </w:r>
          </w:p>
        </w:tc>
        <w:tc>
          <w:tcPr>
            <w:tcW w:w="1520" w:type="dxa"/>
            <w:tcBorders>
              <w:top w:val="nil"/>
              <w:left w:val="nil"/>
              <w:bottom w:val="single" w:color="auto" w:sz="4" w:space="0"/>
              <w:right w:val="single" w:color="auto" w:sz="8" w:space="0"/>
            </w:tcBorders>
            <w:noWrap w:val="0"/>
            <w:vAlign w:val="bottom"/>
          </w:tcPr>
          <w:p w14:paraId="4899CC5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518C166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X＜5</w:t>
            </w:r>
          </w:p>
        </w:tc>
        <w:tc>
          <w:tcPr>
            <w:tcW w:w="1275" w:type="dxa"/>
            <w:tcBorders>
              <w:top w:val="nil"/>
              <w:left w:val="nil"/>
              <w:bottom w:val="single" w:color="auto" w:sz="4" w:space="0"/>
              <w:right w:val="single" w:color="auto" w:sz="4" w:space="0"/>
            </w:tcBorders>
            <w:noWrap w:val="0"/>
            <w:vAlign w:val="bottom"/>
          </w:tcPr>
          <w:p w14:paraId="462A7DE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Y＜1000</w:t>
            </w:r>
          </w:p>
        </w:tc>
        <w:tc>
          <w:tcPr>
            <w:tcW w:w="1221" w:type="dxa"/>
            <w:tcBorders>
              <w:top w:val="nil"/>
              <w:left w:val="nil"/>
              <w:bottom w:val="single" w:color="auto" w:sz="4" w:space="0"/>
              <w:right w:val="single" w:color="auto" w:sz="8" w:space="0"/>
            </w:tcBorders>
            <w:noWrap w:val="0"/>
            <w:vAlign w:val="bottom"/>
          </w:tcPr>
          <w:p w14:paraId="1A93377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62CAC61B">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E9449A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5、零售业</w:t>
            </w:r>
          </w:p>
        </w:tc>
        <w:tc>
          <w:tcPr>
            <w:tcW w:w="1340" w:type="dxa"/>
            <w:tcBorders>
              <w:top w:val="nil"/>
              <w:left w:val="nil"/>
              <w:bottom w:val="single" w:color="auto" w:sz="4" w:space="0"/>
              <w:right w:val="single" w:color="auto" w:sz="4" w:space="0"/>
            </w:tcBorders>
            <w:noWrap w:val="0"/>
            <w:vAlign w:val="bottom"/>
          </w:tcPr>
          <w:p w14:paraId="50164FA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50≤X＜300</w:t>
            </w:r>
          </w:p>
        </w:tc>
        <w:tc>
          <w:tcPr>
            <w:tcW w:w="1763" w:type="dxa"/>
            <w:tcBorders>
              <w:top w:val="nil"/>
              <w:left w:val="nil"/>
              <w:bottom w:val="single" w:color="auto" w:sz="4" w:space="0"/>
              <w:right w:val="single" w:color="auto" w:sz="4" w:space="0"/>
            </w:tcBorders>
            <w:noWrap w:val="0"/>
            <w:vAlign w:val="bottom"/>
          </w:tcPr>
          <w:p w14:paraId="2C0A008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500≤Y＜20000</w:t>
            </w:r>
          </w:p>
        </w:tc>
        <w:tc>
          <w:tcPr>
            <w:tcW w:w="1660" w:type="dxa"/>
            <w:tcBorders>
              <w:top w:val="nil"/>
              <w:left w:val="nil"/>
              <w:bottom w:val="single" w:color="auto" w:sz="4" w:space="0"/>
              <w:right w:val="single" w:color="auto" w:sz="8" w:space="0"/>
            </w:tcBorders>
            <w:noWrap w:val="0"/>
            <w:vAlign w:val="bottom"/>
          </w:tcPr>
          <w:p w14:paraId="4CA0176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4D06964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10≤X＜50</w:t>
            </w:r>
          </w:p>
        </w:tc>
        <w:tc>
          <w:tcPr>
            <w:tcW w:w="1480" w:type="dxa"/>
            <w:tcBorders>
              <w:top w:val="nil"/>
              <w:left w:val="nil"/>
              <w:bottom w:val="single" w:color="auto" w:sz="4" w:space="0"/>
              <w:right w:val="single" w:color="auto" w:sz="4" w:space="0"/>
            </w:tcBorders>
            <w:noWrap w:val="0"/>
            <w:vAlign w:val="bottom"/>
          </w:tcPr>
          <w:p w14:paraId="0F7116C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100≤Y＜500</w:t>
            </w:r>
          </w:p>
        </w:tc>
        <w:tc>
          <w:tcPr>
            <w:tcW w:w="1520" w:type="dxa"/>
            <w:tcBorders>
              <w:top w:val="nil"/>
              <w:left w:val="nil"/>
              <w:bottom w:val="single" w:color="auto" w:sz="4" w:space="0"/>
              <w:right w:val="single" w:color="auto" w:sz="8" w:space="0"/>
            </w:tcBorders>
            <w:noWrap w:val="0"/>
            <w:vAlign w:val="bottom"/>
          </w:tcPr>
          <w:p w14:paraId="04B7487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2CDE62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1365A39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1A80AAA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87902F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5BD0B4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6、交通运输业</w:t>
            </w:r>
          </w:p>
        </w:tc>
        <w:tc>
          <w:tcPr>
            <w:tcW w:w="1340" w:type="dxa"/>
            <w:tcBorders>
              <w:top w:val="nil"/>
              <w:left w:val="nil"/>
              <w:bottom w:val="single" w:color="auto" w:sz="4" w:space="0"/>
              <w:right w:val="single" w:color="auto" w:sz="4" w:space="0"/>
            </w:tcBorders>
            <w:noWrap w:val="0"/>
            <w:vAlign w:val="bottom"/>
          </w:tcPr>
          <w:p w14:paraId="7EDB56F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59DC3C4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3000≤Y＜30000</w:t>
            </w:r>
          </w:p>
        </w:tc>
        <w:tc>
          <w:tcPr>
            <w:tcW w:w="1660" w:type="dxa"/>
            <w:tcBorders>
              <w:top w:val="nil"/>
              <w:left w:val="nil"/>
              <w:bottom w:val="single" w:color="auto" w:sz="4" w:space="0"/>
              <w:right w:val="single" w:color="auto" w:sz="8" w:space="0"/>
            </w:tcBorders>
            <w:noWrap w:val="0"/>
            <w:vAlign w:val="bottom"/>
          </w:tcPr>
          <w:p w14:paraId="03194E2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3D80D0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noWrap w:val="0"/>
            <w:vAlign w:val="bottom"/>
          </w:tcPr>
          <w:p w14:paraId="6002242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200≤Y＜3000</w:t>
            </w:r>
          </w:p>
        </w:tc>
        <w:tc>
          <w:tcPr>
            <w:tcW w:w="1520" w:type="dxa"/>
            <w:tcBorders>
              <w:top w:val="nil"/>
              <w:left w:val="nil"/>
              <w:bottom w:val="single" w:color="auto" w:sz="4" w:space="0"/>
              <w:right w:val="single" w:color="auto" w:sz="8" w:space="0"/>
            </w:tcBorders>
            <w:noWrap w:val="0"/>
            <w:vAlign w:val="bottom"/>
          </w:tcPr>
          <w:p w14:paraId="07C319E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4B8218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513850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V＜200</w:t>
            </w:r>
          </w:p>
        </w:tc>
        <w:tc>
          <w:tcPr>
            <w:tcW w:w="1221" w:type="dxa"/>
            <w:tcBorders>
              <w:top w:val="nil"/>
              <w:left w:val="nil"/>
              <w:bottom w:val="single" w:color="auto" w:sz="4" w:space="0"/>
              <w:right w:val="single" w:color="auto" w:sz="8" w:space="0"/>
            </w:tcBorders>
            <w:noWrap w:val="0"/>
            <w:vAlign w:val="bottom"/>
          </w:tcPr>
          <w:p w14:paraId="6C7444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7731248D">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7292497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7、仓储业</w:t>
            </w:r>
          </w:p>
        </w:tc>
        <w:tc>
          <w:tcPr>
            <w:tcW w:w="1340" w:type="dxa"/>
            <w:tcBorders>
              <w:top w:val="nil"/>
              <w:left w:val="nil"/>
              <w:bottom w:val="single" w:color="auto" w:sz="4" w:space="0"/>
              <w:right w:val="single" w:color="auto" w:sz="4" w:space="0"/>
            </w:tcBorders>
            <w:noWrap w:val="0"/>
            <w:vAlign w:val="bottom"/>
          </w:tcPr>
          <w:p w14:paraId="4C224E5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100≤X＜200</w:t>
            </w:r>
          </w:p>
        </w:tc>
        <w:tc>
          <w:tcPr>
            <w:tcW w:w="1763" w:type="dxa"/>
            <w:tcBorders>
              <w:top w:val="nil"/>
              <w:left w:val="nil"/>
              <w:bottom w:val="single" w:color="auto" w:sz="4" w:space="0"/>
              <w:right w:val="single" w:color="auto" w:sz="4" w:space="0"/>
            </w:tcBorders>
            <w:noWrap w:val="0"/>
            <w:vAlign w:val="bottom"/>
          </w:tcPr>
          <w:p w14:paraId="7A14464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1000≤Y＜30000</w:t>
            </w:r>
          </w:p>
        </w:tc>
        <w:tc>
          <w:tcPr>
            <w:tcW w:w="1660" w:type="dxa"/>
            <w:tcBorders>
              <w:top w:val="nil"/>
              <w:left w:val="nil"/>
              <w:bottom w:val="single" w:color="auto" w:sz="4" w:space="0"/>
              <w:right w:val="single" w:color="auto" w:sz="8" w:space="0"/>
            </w:tcBorders>
            <w:noWrap w:val="0"/>
            <w:vAlign w:val="bottom"/>
          </w:tcPr>
          <w:p w14:paraId="7D2E4A4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10AFB32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20≤X＜100</w:t>
            </w:r>
          </w:p>
        </w:tc>
        <w:tc>
          <w:tcPr>
            <w:tcW w:w="1480" w:type="dxa"/>
            <w:tcBorders>
              <w:top w:val="nil"/>
              <w:left w:val="nil"/>
              <w:bottom w:val="single" w:color="auto" w:sz="4" w:space="0"/>
              <w:right w:val="single" w:color="auto" w:sz="4" w:space="0"/>
            </w:tcBorders>
            <w:noWrap w:val="0"/>
            <w:vAlign w:val="bottom"/>
          </w:tcPr>
          <w:p w14:paraId="5954EE8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noWrap w:val="0"/>
            <w:vAlign w:val="bottom"/>
          </w:tcPr>
          <w:p w14:paraId="35878A3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372B42F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5F1BB15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3D9D0BB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A84299A">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3B7E730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8、邮政业</w:t>
            </w:r>
          </w:p>
        </w:tc>
        <w:tc>
          <w:tcPr>
            <w:tcW w:w="1340" w:type="dxa"/>
            <w:tcBorders>
              <w:top w:val="nil"/>
              <w:left w:val="nil"/>
              <w:bottom w:val="single" w:color="auto" w:sz="4" w:space="0"/>
              <w:right w:val="single" w:color="auto" w:sz="4" w:space="0"/>
            </w:tcBorders>
            <w:noWrap w:val="0"/>
            <w:vAlign w:val="bottom"/>
          </w:tcPr>
          <w:p w14:paraId="6D03568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2D8F55C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2000≤Y＜30000</w:t>
            </w:r>
          </w:p>
        </w:tc>
        <w:tc>
          <w:tcPr>
            <w:tcW w:w="1660" w:type="dxa"/>
            <w:tcBorders>
              <w:top w:val="nil"/>
              <w:left w:val="nil"/>
              <w:bottom w:val="single" w:color="auto" w:sz="4" w:space="0"/>
              <w:right w:val="single" w:color="auto" w:sz="8" w:space="0"/>
            </w:tcBorders>
            <w:noWrap w:val="0"/>
            <w:vAlign w:val="bottom"/>
          </w:tcPr>
          <w:p w14:paraId="32BD039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600D36B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noWrap w:val="0"/>
            <w:vAlign w:val="bottom"/>
          </w:tcPr>
          <w:p w14:paraId="07DE446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noWrap w:val="0"/>
            <w:vAlign w:val="bottom"/>
          </w:tcPr>
          <w:p w14:paraId="4AE8A19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34BCA18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356D824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37624DD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785344D4">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403973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9、住宿业</w:t>
            </w:r>
          </w:p>
        </w:tc>
        <w:tc>
          <w:tcPr>
            <w:tcW w:w="1340" w:type="dxa"/>
            <w:tcBorders>
              <w:top w:val="nil"/>
              <w:left w:val="nil"/>
              <w:bottom w:val="single" w:color="auto" w:sz="4" w:space="0"/>
              <w:right w:val="single" w:color="auto" w:sz="4" w:space="0"/>
            </w:tcBorders>
            <w:noWrap w:val="0"/>
            <w:vAlign w:val="bottom"/>
          </w:tcPr>
          <w:p w14:paraId="277A597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4CFBE4D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2000≤Y＜10000</w:t>
            </w:r>
          </w:p>
        </w:tc>
        <w:tc>
          <w:tcPr>
            <w:tcW w:w="1660" w:type="dxa"/>
            <w:tcBorders>
              <w:top w:val="nil"/>
              <w:left w:val="nil"/>
              <w:bottom w:val="single" w:color="auto" w:sz="4" w:space="0"/>
              <w:right w:val="single" w:color="auto" w:sz="8" w:space="0"/>
            </w:tcBorders>
            <w:noWrap w:val="0"/>
            <w:vAlign w:val="bottom"/>
          </w:tcPr>
          <w:p w14:paraId="375BA90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3EE0A35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1A6E8BA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noWrap w:val="0"/>
            <w:vAlign w:val="bottom"/>
          </w:tcPr>
          <w:p w14:paraId="3D9D0C2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5CF50DA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2CE9287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1BA2B41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573C6767">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E28117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10、餐饮业</w:t>
            </w:r>
          </w:p>
        </w:tc>
        <w:tc>
          <w:tcPr>
            <w:tcW w:w="1340" w:type="dxa"/>
            <w:tcBorders>
              <w:top w:val="nil"/>
              <w:left w:val="nil"/>
              <w:bottom w:val="single" w:color="auto" w:sz="4" w:space="0"/>
              <w:right w:val="single" w:color="auto" w:sz="4" w:space="0"/>
            </w:tcBorders>
            <w:noWrap w:val="0"/>
            <w:vAlign w:val="bottom"/>
          </w:tcPr>
          <w:p w14:paraId="31CC4D3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6957B45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2000≤Y＜10000</w:t>
            </w:r>
          </w:p>
        </w:tc>
        <w:tc>
          <w:tcPr>
            <w:tcW w:w="1660" w:type="dxa"/>
            <w:tcBorders>
              <w:top w:val="nil"/>
              <w:left w:val="nil"/>
              <w:bottom w:val="single" w:color="auto" w:sz="4" w:space="0"/>
              <w:right w:val="single" w:color="auto" w:sz="8" w:space="0"/>
            </w:tcBorders>
            <w:noWrap w:val="0"/>
            <w:vAlign w:val="bottom"/>
          </w:tcPr>
          <w:p w14:paraId="18B480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16E2C6B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42A19C8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noWrap w:val="0"/>
            <w:vAlign w:val="bottom"/>
          </w:tcPr>
          <w:p w14:paraId="4EE6623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65430FA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01420AF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V＜100</w:t>
            </w:r>
          </w:p>
        </w:tc>
        <w:tc>
          <w:tcPr>
            <w:tcW w:w="1221" w:type="dxa"/>
            <w:tcBorders>
              <w:top w:val="nil"/>
              <w:left w:val="nil"/>
              <w:bottom w:val="single" w:color="auto" w:sz="4" w:space="0"/>
              <w:right w:val="single" w:color="auto" w:sz="8" w:space="0"/>
            </w:tcBorders>
            <w:noWrap w:val="0"/>
            <w:vAlign w:val="bottom"/>
          </w:tcPr>
          <w:p w14:paraId="7717992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602C79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2C7DE82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11、信息传输业</w:t>
            </w:r>
          </w:p>
        </w:tc>
        <w:tc>
          <w:tcPr>
            <w:tcW w:w="1340" w:type="dxa"/>
            <w:tcBorders>
              <w:top w:val="nil"/>
              <w:left w:val="nil"/>
              <w:bottom w:val="single" w:color="auto" w:sz="4" w:space="0"/>
              <w:right w:val="single" w:color="auto" w:sz="4" w:space="0"/>
            </w:tcBorders>
            <w:noWrap w:val="0"/>
            <w:vAlign w:val="bottom"/>
          </w:tcPr>
          <w:p w14:paraId="2910EF7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100≤X＜2000</w:t>
            </w:r>
          </w:p>
        </w:tc>
        <w:tc>
          <w:tcPr>
            <w:tcW w:w="1763" w:type="dxa"/>
            <w:tcBorders>
              <w:top w:val="nil"/>
              <w:left w:val="nil"/>
              <w:bottom w:val="single" w:color="auto" w:sz="4" w:space="0"/>
              <w:right w:val="single" w:color="auto" w:sz="4" w:space="0"/>
            </w:tcBorders>
            <w:noWrap w:val="0"/>
            <w:vAlign w:val="bottom"/>
          </w:tcPr>
          <w:p w14:paraId="4692587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1000≤Y＜100000</w:t>
            </w:r>
          </w:p>
        </w:tc>
        <w:tc>
          <w:tcPr>
            <w:tcW w:w="1660" w:type="dxa"/>
            <w:tcBorders>
              <w:top w:val="nil"/>
              <w:left w:val="nil"/>
              <w:bottom w:val="single" w:color="auto" w:sz="4" w:space="0"/>
              <w:right w:val="single" w:color="auto" w:sz="8" w:space="0"/>
            </w:tcBorders>
            <w:noWrap w:val="0"/>
            <w:vAlign w:val="bottom"/>
          </w:tcPr>
          <w:p w14:paraId="2A77C73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6AC0F2D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6C0B3DB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noWrap w:val="0"/>
            <w:vAlign w:val="bottom"/>
          </w:tcPr>
          <w:p w14:paraId="79F0763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1F8FAAA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038A0B0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3F2AEF8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380D54DA">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6CA0FB9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12、软件和信息技术服务业</w:t>
            </w:r>
          </w:p>
        </w:tc>
        <w:tc>
          <w:tcPr>
            <w:tcW w:w="1340" w:type="dxa"/>
            <w:tcBorders>
              <w:top w:val="nil"/>
              <w:left w:val="nil"/>
              <w:bottom w:val="single" w:color="auto" w:sz="4" w:space="0"/>
              <w:right w:val="single" w:color="auto" w:sz="4" w:space="0"/>
            </w:tcBorders>
            <w:noWrap w:val="0"/>
            <w:vAlign w:val="bottom"/>
          </w:tcPr>
          <w:p w14:paraId="66302D0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5B12B45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1000≤Y＜10000</w:t>
            </w:r>
          </w:p>
        </w:tc>
        <w:tc>
          <w:tcPr>
            <w:tcW w:w="1660" w:type="dxa"/>
            <w:tcBorders>
              <w:top w:val="nil"/>
              <w:left w:val="nil"/>
              <w:bottom w:val="single" w:color="auto" w:sz="4" w:space="0"/>
              <w:right w:val="single" w:color="auto" w:sz="8" w:space="0"/>
            </w:tcBorders>
            <w:noWrap w:val="0"/>
            <w:vAlign w:val="bottom"/>
          </w:tcPr>
          <w:p w14:paraId="3995173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3F19977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66D5306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50≤Y＜1000</w:t>
            </w:r>
          </w:p>
        </w:tc>
        <w:tc>
          <w:tcPr>
            <w:tcW w:w="1520" w:type="dxa"/>
            <w:tcBorders>
              <w:top w:val="nil"/>
              <w:left w:val="nil"/>
              <w:bottom w:val="single" w:color="auto" w:sz="4" w:space="0"/>
              <w:right w:val="single" w:color="auto" w:sz="8" w:space="0"/>
            </w:tcBorders>
            <w:noWrap w:val="0"/>
            <w:vAlign w:val="bottom"/>
          </w:tcPr>
          <w:p w14:paraId="03724D3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76B15D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6D7042F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w:t>
            </w:r>
          </w:p>
        </w:tc>
        <w:tc>
          <w:tcPr>
            <w:tcW w:w="1221" w:type="dxa"/>
            <w:tcBorders>
              <w:top w:val="nil"/>
              <w:left w:val="nil"/>
              <w:bottom w:val="single" w:color="auto" w:sz="4" w:space="0"/>
              <w:right w:val="single" w:color="auto" w:sz="8" w:space="0"/>
            </w:tcBorders>
            <w:noWrap w:val="0"/>
            <w:vAlign w:val="bottom"/>
          </w:tcPr>
          <w:p w14:paraId="14038FC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0CF93727">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E1D9CB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13、房地产开发经营</w:t>
            </w:r>
          </w:p>
        </w:tc>
        <w:tc>
          <w:tcPr>
            <w:tcW w:w="1340" w:type="dxa"/>
            <w:tcBorders>
              <w:top w:val="nil"/>
              <w:left w:val="nil"/>
              <w:bottom w:val="single" w:color="auto" w:sz="4" w:space="0"/>
              <w:right w:val="single" w:color="auto" w:sz="4" w:space="0"/>
            </w:tcBorders>
            <w:noWrap w:val="0"/>
            <w:vAlign w:val="bottom"/>
          </w:tcPr>
          <w:p w14:paraId="2970A59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noWrap w:val="0"/>
            <w:vAlign w:val="bottom"/>
          </w:tcPr>
          <w:p w14:paraId="30C125A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1000≤Y＜200000</w:t>
            </w:r>
          </w:p>
        </w:tc>
        <w:tc>
          <w:tcPr>
            <w:tcW w:w="1660" w:type="dxa"/>
            <w:tcBorders>
              <w:top w:val="nil"/>
              <w:left w:val="nil"/>
              <w:bottom w:val="single" w:color="auto" w:sz="4" w:space="0"/>
              <w:right w:val="single" w:color="auto" w:sz="8" w:space="0"/>
            </w:tcBorders>
            <w:noWrap w:val="0"/>
            <w:vAlign w:val="bottom"/>
          </w:tcPr>
          <w:p w14:paraId="1CE26C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5000≤Z＜10000</w:t>
            </w:r>
          </w:p>
        </w:tc>
        <w:tc>
          <w:tcPr>
            <w:tcW w:w="1240" w:type="dxa"/>
            <w:tcBorders>
              <w:top w:val="nil"/>
              <w:left w:val="nil"/>
              <w:bottom w:val="single" w:color="auto" w:sz="4" w:space="0"/>
              <w:right w:val="single" w:color="auto" w:sz="4" w:space="0"/>
            </w:tcBorders>
            <w:noWrap w:val="0"/>
            <w:vAlign w:val="bottom"/>
          </w:tcPr>
          <w:p w14:paraId="19B5B73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noWrap w:val="0"/>
            <w:vAlign w:val="bottom"/>
          </w:tcPr>
          <w:p w14:paraId="0AEE608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noWrap w:val="0"/>
            <w:vAlign w:val="bottom"/>
          </w:tcPr>
          <w:p w14:paraId="7941864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2000≤Z＜5000</w:t>
            </w:r>
          </w:p>
        </w:tc>
        <w:tc>
          <w:tcPr>
            <w:tcW w:w="1285" w:type="dxa"/>
            <w:tcBorders>
              <w:top w:val="nil"/>
              <w:left w:val="nil"/>
              <w:bottom w:val="single" w:color="auto" w:sz="4" w:space="0"/>
              <w:right w:val="single" w:color="auto" w:sz="4" w:space="0"/>
            </w:tcBorders>
            <w:noWrap w:val="0"/>
            <w:vAlign w:val="bottom"/>
          </w:tcPr>
          <w:p w14:paraId="34915E4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noWrap w:val="0"/>
            <w:vAlign w:val="bottom"/>
          </w:tcPr>
          <w:p w14:paraId="34F5BF9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5791A70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Z＜2000</w:t>
            </w:r>
          </w:p>
        </w:tc>
      </w:tr>
      <w:tr w14:paraId="64CAF36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498385B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14、物业管理</w:t>
            </w:r>
          </w:p>
        </w:tc>
        <w:tc>
          <w:tcPr>
            <w:tcW w:w="1340" w:type="dxa"/>
            <w:tcBorders>
              <w:top w:val="nil"/>
              <w:left w:val="nil"/>
              <w:bottom w:val="single" w:color="auto" w:sz="4" w:space="0"/>
              <w:right w:val="single" w:color="auto" w:sz="4" w:space="0"/>
            </w:tcBorders>
            <w:noWrap w:val="0"/>
            <w:vAlign w:val="bottom"/>
          </w:tcPr>
          <w:p w14:paraId="0F49781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40433BE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1000≤Y＜5000</w:t>
            </w:r>
          </w:p>
        </w:tc>
        <w:tc>
          <w:tcPr>
            <w:tcW w:w="1660" w:type="dxa"/>
            <w:tcBorders>
              <w:top w:val="nil"/>
              <w:left w:val="nil"/>
              <w:bottom w:val="single" w:color="auto" w:sz="4" w:space="0"/>
              <w:right w:val="single" w:color="auto" w:sz="8" w:space="0"/>
            </w:tcBorders>
            <w:noWrap w:val="0"/>
            <w:vAlign w:val="bottom"/>
          </w:tcPr>
          <w:p w14:paraId="34C9169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6829800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480" w:type="dxa"/>
            <w:tcBorders>
              <w:top w:val="nil"/>
              <w:left w:val="nil"/>
              <w:bottom w:val="single" w:color="auto" w:sz="4" w:space="0"/>
              <w:right w:val="single" w:color="auto" w:sz="4" w:space="0"/>
            </w:tcBorders>
            <w:noWrap w:val="0"/>
            <w:vAlign w:val="bottom"/>
          </w:tcPr>
          <w:p w14:paraId="2FE9D02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500≤Y＜1000</w:t>
            </w:r>
          </w:p>
        </w:tc>
        <w:tc>
          <w:tcPr>
            <w:tcW w:w="1520" w:type="dxa"/>
            <w:tcBorders>
              <w:top w:val="nil"/>
              <w:left w:val="nil"/>
              <w:bottom w:val="single" w:color="auto" w:sz="4" w:space="0"/>
              <w:right w:val="single" w:color="auto" w:sz="8" w:space="0"/>
            </w:tcBorders>
            <w:noWrap w:val="0"/>
            <w:vAlign w:val="bottom"/>
          </w:tcPr>
          <w:p w14:paraId="5FEB93E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27C8663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X＜100</w:t>
            </w:r>
          </w:p>
        </w:tc>
        <w:tc>
          <w:tcPr>
            <w:tcW w:w="1275" w:type="dxa"/>
            <w:tcBorders>
              <w:top w:val="nil"/>
              <w:left w:val="nil"/>
              <w:bottom w:val="single" w:color="auto" w:sz="4" w:space="0"/>
              <w:right w:val="single" w:color="auto" w:sz="4" w:space="0"/>
            </w:tcBorders>
            <w:noWrap w:val="0"/>
            <w:vAlign w:val="bottom"/>
          </w:tcPr>
          <w:p w14:paraId="668A120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Y＜500</w:t>
            </w:r>
          </w:p>
        </w:tc>
        <w:tc>
          <w:tcPr>
            <w:tcW w:w="1221" w:type="dxa"/>
            <w:tcBorders>
              <w:top w:val="nil"/>
              <w:left w:val="nil"/>
              <w:bottom w:val="single" w:color="auto" w:sz="4" w:space="0"/>
              <w:right w:val="single" w:color="auto" w:sz="8" w:space="0"/>
            </w:tcBorders>
            <w:noWrap w:val="0"/>
            <w:vAlign w:val="bottom"/>
          </w:tcPr>
          <w:p w14:paraId="6AF14EC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1237C2A2">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8C7EF4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15、租赁和商务服务业</w:t>
            </w:r>
          </w:p>
        </w:tc>
        <w:tc>
          <w:tcPr>
            <w:tcW w:w="1340" w:type="dxa"/>
            <w:tcBorders>
              <w:top w:val="nil"/>
              <w:left w:val="nil"/>
              <w:bottom w:val="single" w:color="auto" w:sz="4" w:space="0"/>
              <w:right w:val="single" w:color="auto" w:sz="4" w:space="0"/>
            </w:tcBorders>
            <w:noWrap w:val="0"/>
            <w:vAlign w:val="bottom"/>
          </w:tcPr>
          <w:p w14:paraId="06C42D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35BA75C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660" w:type="dxa"/>
            <w:tcBorders>
              <w:top w:val="nil"/>
              <w:left w:val="nil"/>
              <w:bottom w:val="single" w:color="auto" w:sz="4" w:space="0"/>
              <w:right w:val="single" w:color="auto" w:sz="8" w:space="0"/>
            </w:tcBorders>
            <w:noWrap w:val="0"/>
            <w:vAlign w:val="bottom"/>
          </w:tcPr>
          <w:p w14:paraId="09E33FD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8000≤Z＜120000</w:t>
            </w:r>
          </w:p>
        </w:tc>
        <w:tc>
          <w:tcPr>
            <w:tcW w:w="1240" w:type="dxa"/>
            <w:tcBorders>
              <w:top w:val="nil"/>
              <w:left w:val="nil"/>
              <w:bottom w:val="single" w:color="auto" w:sz="4" w:space="0"/>
              <w:right w:val="single" w:color="auto" w:sz="4" w:space="0"/>
            </w:tcBorders>
            <w:noWrap w:val="0"/>
            <w:vAlign w:val="bottom"/>
          </w:tcPr>
          <w:p w14:paraId="5047619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26568D3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520" w:type="dxa"/>
            <w:tcBorders>
              <w:top w:val="nil"/>
              <w:left w:val="nil"/>
              <w:bottom w:val="single" w:color="auto" w:sz="4" w:space="0"/>
              <w:right w:val="single" w:color="auto" w:sz="8" w:space="0"/>
            </w:tcBorders>
            <w:noWrap w:val="0"/>
            <w:vAlign w:val="bottom"/>
          </w:tcPr>
          <w:p w14:paraId="0CBC42B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100≤Z＜8000</w:t>
            </w:r>
          </w:p>
        </w:tc>
        <w:tc>
          <w:tcPr>
            <w:tcW w:w="1285" w:type="dxa"/>
            <w:tcBorders>
              <w:top w:val="nil"/>
              <w:left w:val="nil"/>
              <w:bottom w:val="single" w:color="auto" w:sz="4" w:space="0"/>
              <w:right w:val="single" w:color="auto" w:sz="4" w:space="0"/>
            </w:tcBorders>
            <w:noWrap w:val="0"/>
            <w:vAlign w:val="bottom"/>
          </w:tcPr>
          <w:p w14:paraId="18B9CB9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23F6664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21" w:type="dxa"/>
            <w:tcBorders>
              <w:top w:val="nil"/>
              <w:left w:val="nil"/>
              <w:bottom w:val="single" w:color="auto" w:sz="4" w:space="0"/>
              <w:right w:val="single" w:color="auto" w:sz="8" w:space="0"/>
            </w:tcBorders>
            <w:noWrap w:val="0"/>
            <w:vAlign w:val="bottom"/>
          </w:tcPr>
          <w:p w14:paraId="5A7C9DC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Z＜100</w:t>
            </w:r>
          </w:p>
        </w:tc>
      </w:tr>
      <w:tr w14:paraId="05B9BCEF">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8" w:space="0"/>
              <w:right w:val="single" w:color="auto" w:sz="8" w:space="0"/>
            </w:tcBorders>
            <w:noWrap w:val="0"/>
            <w:vAlign w:val="bottom"/>
          </w:tcPr>
          <w:p w14:paraId="524D8DF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16、其他未列明行业</w:t>
            </w:r>
          </w:p>
        </w:tc>
        <w:tc>
          <w:tcPr>
            <w:tcW w:w="1340" w:type="dxa"/>
            <w:tcBorders>
              <w:top w:val="nil"/>
              <w:left w:val="nil"/>
              <w:bottom w:val="single" w:color="auto" w:sz="8" w:space="0"/>
              <w:right w:val="single" w:color="auto" w:sz="4" w:space="0"/>
            </w:tcBorders>
            <w:noWrap w:val="0"/>
            <w:vAlign w:val="bottom"/>
          </w:tcPr>
          <w:p w14:paraId="04B2330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8" w:space="0"/>
              <w:right w:val="single" w:color="auto" w:sz="4" w:space="0"/>
            </w:tcBorders>
            <w:noWrap w:val="0"/>
            <w:vAlign w:val="bottom"/>
          </w:tcPr>
          <w:p w14:paraId="4DDC3B1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660" w:type="dxa"/>
            <w:tcBorders>
              <w:top w:val="nil"/>
              <w:left w:val="nil"/>
              <w:bottom w:val="single" w:color="auto" w:sz="8" w:space="0"/>
              <w:right w:val="single" w:color="auto" w:sz="8" w:space="0"/>
            </w:tcBorders>
            <w:noWrap w:val="0"/>
            <w:vAlign w:val="bottom"/>
          </w:tcPr>
          <w:p w14:paraId="5431C1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8" w:space="0"/>
              <w:right w:val="single" w:color="auto" w:sz="4" w:space="0"/>
            </w:tcBorders>
            <w:noWrap w:val="0"/>
            <w:vAlign w:val="bottom"/>
          </w:tcPr>
          <w:p w14:paraId="05705FB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8" w:space="0"/>
              <w:right w:val="single" w:color="auto" w:sz="4" w:space="0"/>
            </w:tcBorders>
            <w:noWrap w:val="0"/>
            <w:vAlign w:val="bottom"/>
          </w:tcPr>
          <w:p w14:paraId="18C83A0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520" w:type="dxa"/>
            <w:tcBorders>
              <w:top w:val="nil"/>
              <w:left w:val="nil"/>
              <w:bottom w:val="single" w:color="auto" w:sz="8" w:space="0"/>
              <w:right w:val="single" w:color="auto" w:sz="8" w:space="0"/>
            </w:tcBorders>
            <w:noWrap w:val="0"/>
            <w:vAlign w:val="bottom"/>
          </w:tcPr>
          <w:p w14:paraId="5DA7419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8" w:space="0"/>
              <w:right w:val="single" w:color="auto" w:sz="4" w:space="0"/>
            </w:tcBorders>
            <w:noWrap w:val="0"/>
            <w:vAlign w:val="bottom"/>
          </w:tcPr>
          <w:p w14:paraId="380D80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8" w:space="0"/>
              <w:right w:val="single" w:color="auto" w:sz="4" w:space="0"/>
            </w:tcBorders>
            <w:noWrap w:val="0"/>
            <w:vAlign w:val="bottom"/>
          </w:tcPr>
          <w:p w14:paraId="066A34E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21" w:type="dxa"/>
            <w:tcBorders>
              <w:top w:val="nil"/>
              <w:left w:val="nil"/>
              <w:bottom w:val="single" w:color="auto" w:sz="8" w:space="0"/>
              <w:right w:val="single" w:color="auto" w:sz="8" w:space="0"/>
            </w:tcBorders>
            <w:noWrap w:val="0"/>
            <w:vAlign w:val="bottom"/>
          </w:tcPr>
          <w:p w14:paraId="5F27236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E264BCC">
        <w:tblPrEx>
          <w:tblCellMar>
            <w:top w:w="0" w:type="dxa"/>
            <w:left w:w="108" w:type="dxa"/>
            <w:bottom w:w="0" w:type="dxa"/>
            <w:right w:w="108" w:type="dxa"/>
          </w:tblCellMar>
        </w:tblPrEx>
        <w:trPr>
          <w:trHeight w:val="285" w:hRule="atLeast"/>
        </w:trPr>
        <w:tc>
          <w:tcPr>
            <w:tcW w:w="14562" w:type="dxa"/>
            <w:gridSpan w:val="10"/>
            <w:noWrap w:val="0"/>
            <w:vAlign w:val="bottom"/>
          </w:tcPr>
          <w:p w14:paraId="1F340CC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说明　1、企业类型的划分以统计部门的统计数据为依据。</w:t>
            </w:r>
          </w:p>
          <w:p w14:paraId="30C67BF3">
            <w:pPr>
              <w:widowControl/>
              <w:ind w:firstLine="540" w:firstLineChars="3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2、个体工商户和本规定以外的行业，参照本规定进行划型。</w:t>
            </w:r>
          </w:p>
          <w:p w14:paraId="003AB428">
            <w:pPr>
              <w:widowControl/>
              <w:ind w:firstLine="540" w:firstLineChars="3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3、本规定的中型企业标准上限即为大型企业标准的下限。</w:t>
            </w:r>
          </w:p>
        </w:tc>
      </w:tr>
    </w:tbl>
    <w:p w14:paraId="1DDECA1A">
      <w:pPr>
        <w:pStyle w:val="30"/>
        <w:rPr>
          <w:rFonts w:hint="eastAsia"/>
          <w:color w:val="auto"/>
          <w:highlight w:val="none"/>
        </w:rPr>
      </w:pPr>
    </w:p>
    <w:p w14:paraId="6C940AE3">
      <w:pPr>
        <w:pStyle w:val="7"/>
        <w:ind w:firstLine="210"/>
        <w:rPr>
          <w:rFonts w:hint="eastAsia"/>
          <w:color w:val="auto"/>
          <w:highlight w:val="none"/>
        </w:rPr>
        <w:sectPr>
          <w:pgSz w:w="16840" w:h="11907" w:orient="landscape"/>
          <w:pgMar w:top="1588" w:right="1304" w:bottom="1588" w:left="1304" w:header="964" w:footer="720" w:gutter="0"/>
          <w:cols w:space="720" w:num="1"/>
        </w:sectPr>
      </w:pPr>
    </w:p>
    <w:p w14:paraId="4F44EEDE">
      <w:pPr>
        <w:pStyle w:val="8"/>
        <w:rPr>
          <w:rFonts w:hint="eastAsia"/>
          <w:color w:val="auto"/>
          <w:highlight w:val="none"/>
        </w:rPr>
      </w:pPr>
    </w:p>
    <w:p w14:paraId="20F9826A">
      <w:pPr>
        <w:spacing w:line="480" w:lineRule="auto"/>
        <w:outlineLvl w:val="9"/>
        <w:rPr>
          <w:rFonts w:hint="eastAsia" w:ascii="仿宋" w:hAnsi="仿宋" w:eastAsia="仿宋" w:cs="仿宋"/>
          <w:b/>
          <w:color w:val="auto"/>
          <w:szCs w:val="21"/>
          <w:highlight w:val="none"/>
        </w:rPr>
      </w:pPr>
      <w:bookmarkStart w:id="257" w:name="_Toc29519"/>
      <w:bookmarkStart w:id="258" w:name="_Toc13313"/>
      <w:r>
        <w:rPr>
          <w:rFonts w:hint="eastAsia" w:ascii="仿宋" w:hAnsi="仿宋" w:eastAsia="仿宋" w:cs="仿宋"/>
          <w:b/>
          <w:color w:val="auto"/>
          <w:szCs w:val="21"/>
          <w:highlight w:val="none"/>
        </w:rPr>
        <w:t>格式六：</w:t>
      </w:r>
      <w:bookmarkEnd w:id="256"/>
      <w:bookmarkEnd w:id="257"/>
      <w:bookmarkEnd w:id="258"/>
    </w:p>
    <w:p w14:paraId="2ABEC347">
      <w:pPr>
        <w:spacing w:line="360" w:lineRule="auto"/>
        <w:jc w:val="center"/>
        <w:outlineLvl w:val="1"/>
        <w:rPr>
          <w:rFonts w:hint="eastAsia" w:ascii="仿宋" w:hAnsi="仿宋" w:eastAsia="仿宋" w:cs="仿宋"/>
          <w:b/>
          <w:color w:val="auto"/>
          <w:spacing w:val="-4"/>
          <w:sz w:val="32"/>
          <w:szCs w:val="32"/>
          <w:highlight w:val="none"/>
        </w:rPr>
      </w:pPr>
      <w:bookmarkStart w:id="259" w:name="_Toc15999"/>
      <w:bookmarkStart w:id="260" w:name="_Toc17026"/>
      <w:r>
        <w:rPr>
          <w:rFonts w:hint="eastAsia" w:ascii="仿宋" w:hAnsi="仿宋" w:eastAsia="仿宋" w:cs="仿宋"/>
          <w:b/>
          <w:color w:val="auto"/>
          <w:spacing w:val="-4"/>
          <w:sz w:val="32"/>
          <w:szCs w:val="32"/>
          <w:highlight w:val="none"/>
        </w:rPr>
        <w:t>残疾人福利性单位声明函</w:t>
      </w:r>
      <w:bookmarkEnd w:id="259"/>
      <w:bookmarkEnd w:id="260"/>
    </w:p>
    <w:p w14:paraId="41B608B2">
      <w:pPr>
        <w:spacing w:line="360" w:lineRule="auto"/>
        <w:rPr>
          <w:rFonts w:hint="eastAsia" w:ascii="仿宋" w:hAnsi="仿宋" w:eastAsia="仿宋" w:cs="仿宋"/>
          <w:b/>
          <w:color w:val="auto"/>
          <w:spacing w:val="6"/>
          <w:sz w:val="30"/>
          <w:szCs w:val="30"/>
          <w:highlight w:val="none"/>
        </w:rPr>
      </w:pPr>
    </w:p>
    <w:p w14:paraId="34B03D3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B1BD8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5315757">
      <w:pPr>
        <w:spacing w:line="360" w:lineRule="auto"/>
        <w:ind w:firstLine="480" w:firstLineChars="200"/>
        <w:rPr>
          <w:rFonts w:hint="eastAsia" w:ascii="仿宋" w:hAnsi="仿宋" w:eastAsia="仿宋" w:cs="仿宋"/>
          <w:color w:val="auto"/>
          <w:sz w:val="24"/>
          <w:highlight w:val="none"/>
        </w:rPr>
      </w:pPr>
    </w:p>
    <w:p w14:paraId="1911D18D">
      <w:pPr>
        <w:spacing w:line="360" w:lineRule="auto"/>
        <w:ind w:firstLine="480" w:firstLineChars="200"/>
        <w:rPr>
          <w:rFonts w:hint="eastAsia" w:ascii="仿宋" w:hAnsi="仿宋" w:eastAsia="仿宋" w:cs="仿宋"/>
          <w:color w:val="auto"/>
          <w:sz w:val="24"/>
          <w:highlight w:val="none"/>
        </w:rPr>
      </w:pPr>
    </w:p>
    <w:p w14:paraId="37475847">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36EB0FE4">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621467D">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2CF9836B">
      <w:pPr>
        <w:tabs>
          <w:tab w:val="left" w:pos="4860"/>
        </w:tabs>
        <w:spacing w:line="360" w:lineRule="auto"/>
        <w:ind w:right="1560" w:firstLine="440" w:firstLineChars="200"/>
        <w:jc w:val="center"/>
        <w:rPr>
          <w:rFonts w:hint="eastAsia" w:ascii="仿宋" w:hAnsi="仿宋" w:eastAsia="仿宋" w:cs="仿宋"/>
          <w:color w:val="auto"/>
          <w:sz w:val="22"/>
          <w:szCs w:val="22"/>
          <w:highlight w:val="none"/>
        </w:rPr>
      </w:pPr>
    </w:p>
    <w:p w14:paraId="3173F1E1">
      <w:pPr>
        <w:pStyle w:val="10"/>
        <w:ind w:firstLine="480"/>
        <w:rPr>
          <w:rFonts w:hint="eastAsia" w:ascii="仿宋" w:hAnsi="仿宋" w:eastAsia="仿宋" w:cs="仿宋"/>
          <w:color w:val="auto"/>
          <w:sz w:val="24"/>
          <w:highlight w:val="none"/>
        </w:rPr>
      </w:pPr>
    </w:p>
    <w:p w14:paraId="1E91CADF">
      <w:pPr>
        <w:pStyle w:val="7"/>
        <w:ind w:firstLine="240"/>
        <w:rPr>
          <w:rFonts w:hint="eastAsia" w:ascii="仿宋" w:hAnsi="仿宋" w:eastAsia="仿宋" w:cs="仿宋"/>
          <w:color w:val="auto"/>
          <w:sz w:val="24"/>
          <w:highlight w:val="none"/>
        </w:rPr>
      </w:pPr>
    </w:p>
    <w:p w14:paraId="1AE42A12">
      <w:pPr>
        <w:rPr>
          <w:rFonts w:hint="eastAsia" w:ascii="仿宋" w:hAnsi="仿宋" w:eastAsia="仿宋" w:cs="仿宋"/>
          <w:color w:val="auto"/>
          <w:sz w:val="24"/>
          <w:highlight w:val="none"/>
        </w:rPr>
      </w:pPr>
    </w:p>
    <w:p w14:paraId="7ED1EAEE">
      <w:pPr>
        <w:pStyle w:val="10"/>
        <w:ind w:firstLine="480"/>
        <w:rPr>
          <w:rFonts w:hint="eastAsia" w:ascii="仿宋" w:hAnsi="仿宋" w:eastAsia="仿宋" w:cs="仿宋"/>
          <w:color w:val="auto"/>
          <w:sz w:val="24"/>
          <w:highlight w:val="none"/>
        </w:rPr>
      </w:pPr>
    </w:p>
    <w:p w14:paraId="2F56995B">
      <w:pPr>
        <w:pStyle w:val="7"/>
        <w:ind w:firstLine="240"/>
        <w:rPr>
          <w:rFonts w:hint="eastAsia" w:ascii="仿宋" w:hAnsi="仿宋" w:eastAsia="仿宋" w:cs="仿宋"/>
          <w:color w:val="auto"/>
          <w:sz w:val="24"/>
          <w:highlight w:val="none"/>
        </w:rPr>
      </w:pPr>
    </w:p>
    <w:p w14:paraId="0A4FCB09">
      <w:pPr>
        <w:rPr>
          <w:rFonts w:hint="eastAsia" w:ascii="仿宋" w:hAnsi="仿宋" w:eastAsia="仿宋" w:cs="仿宋"/>
          <w:color w:val="auto"/>
          <w:sz w:val="24"/>
          <w:highlight w:val="none"/>
        </w:rPr>
      </w:pPr>
    </w:p>
    <w:p w14:paraId="55C3300E">
      <w:pPr>
        <w:pStyle w:val="10"/>
        <w:ind w:firstLine="480"/>
        <w:rPr>
          <w:rFonts w:hint="eastAsia" w:ascii="仿宋" w:hAnsi="仿宋" w:eastAsia="仿宋" w:cs="仿宋"/>
          <w:color w:val="auto"/>
          <w:sz w:val="24"/>
          <w:highlight w:val="none"/>
        </w:rPr>
      </w:pPr>
    </w:p>
    <w:p w14:paraId="56E14EAD">
      <w:pPr>
        <w:pStyle w:val="7"/>
        <w:ind w:firstLine="240"/>
        <w:rPr>
          <w:rFonts w:hint="eastAsia" w:ascii="仿宋" w:hAnsi="仿宋" w:eastAsia="仿宋" w:cs="仿宋"/>
          <w:color w:val="auto"/>
          <w:sz w:val="24"/>
          <w:highlight w:val="none"/>
        </w:rPr>
      </w:pPr>
    </w:p>
    <w:p w14:paraId="1F6BA4F1">
      <w:pPr>
        <w:rPr>
          <w:rFonts w:hint="eastAsia" w:ascii="仿宋" w:hAnsi="仿宋" w:eastAsia="仿宋" w:cs="仿宋"/>
          <w:color w:val="auto"/>
          <w:sz w:val="24"/>
          <w:highlight w:val="none"/>
        </w:rPr>
      </w:pPr>
    </w:p>
    <w:p w14:paraId="3C70B7E3">
      <w:pPr>
        <w:pStyle w:val="10"/>
        <w:ind w:firstLine="480"/>
        <w:rPr>
          <w:rFonts w:hint="eastAsia" w:ascii="仿宋" w:hAnsi="仿宋" w:eastAsia="仿宋" w:cs="仿宋"/>
          <w:color w:val="auto"/>
          <w:sz w:val="24"/>
          <w:highlight w:val="none"/>
        </w:rPr>
      </w:pPr>
    </w:p>
    <w:p w14:paraId="7A560378">
      <w:pPr>
        <w:pStyle w:val="7"/>
        <w:ind w:firstLine="240"/>
        <w:rPr>
          <w:rFonts w:hint="eastAsia" w:ascii="仿宋" w:hAnsi="仿宋" w:eastAsia="仿宋" w:cs="仿宋"/>
          <w:color w:val="auto"/>
          <w:sz w:val="24"/>
          <w:highlight w:val="none"/>
        </w:rPr>
      </w:pPr>
    </w:p>
    <w:p w14:paraId="4828BA2B">
      <w:pPr>
        <w:rPr>
          <w:rFonts w:hint="eastAsia" w:ascii="仿宋" w:hAnsi="仿宋" w:eastAsia="仿宋" w:cs="仿宋"/>
          <w:color w:val="auto"/>
          <w:sz w:val="24"/>
          <w:highlight w:val="none"/>
        </w:rPr>
      </w:pPr>
    </w:p>
    <w:p w14:paraId="699427FA">
      <w:pPr>
        <w:pStyle w:val="10"/>
        <w:ind w:firstLine="480"/>
        <w:rPr>
          <w:rFonts w:hint="eastAsia" w:ascii="仿宋" w:hAnsi="仿宋" w:eastAsia="仿宋" w:cs="仿宋"/>
          <w:color w:val="auto"/>
          <w:sz w:val="24"/>
          <w:highlight w:val="none"/>
        </w:rPr>
      </w:pPr>
    </w:p>
    <w:p w14:paraId="742FC0B2">
      <w:pPr>
        <w:pStyle w:val="7"/>
        <w:ind w:firstLine="240"/>
        <w:rPr>
          <w:rFonts w:hint="eastAsia" w:ascii="仿宋" w:hAnsi="仿宋" w:eastAsia="仿宋" w:cs="仿宋"/>
          <w:color w:val="auto"/>
          <w:sz w:val="24"/>
          <w:highlight w:val="none"/>
        </w:rPr>
      </w:pPr>
    </w:p>
    <w:p w14:paraId="75C9FE90">
      <w:pPr>
        <w:rPr>
          <w:rFonts w:hint="eastAsia" w:ascii="仿宋" w:hAnsi="仿宋" w:eastAsia="仿宋" w:cs="仿宋"/>
          <w:color w:val="auto"/>
          <w:sz w:val="24"/>
          <w:highlight w:val="none"/>
        </w:rPr>
      </w:pPr>
    </w:p>
    <w:p w14:paraId="5BE9E30F">
      <w:pPr>
        <w:pStyle w:val="10"/>
        <w:ind w:firstLine="480"/>
        <w:rPr>
          <w:rFonts w:hint="eastAsia" w:ascii="仿宋" w:hAnsi="仿宋" w:eastAsia="仿宋" w:cs="仿宋"/>
          <w:color w:val="auto"/>
          <w:sz w:val="24"/>
          <w:highlight w:val="none"/>
        </w:rPr>
      </w:pPr>
    </w:p>
    <w:p w14:paraId="1B267E43">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格式七：</w:t>
      </w:r>
    </w:p>
    <w:p w14:paraId="1ADE9121">
      <w:pPr>
        <w:rPr>
          <w:rFonts w:hint="eastAsia" w:ascii="仿宋" w:hAnsi="仿宋" w:eastAsia="仿宋" w:cs="仿宋"/>
          <w:color w:val="auto"/>
          <w:sz w:val="24"/>
          <w:highlight w:val="none"/>
        </w:rPr>
      </w:pPr>
    </w:p>
    <w:p w14:paraId="7006F635">
      <w:pPr>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rPr>
        <w:t>监狱企业声明函</w:t>
      </w:r>
    </w:p>
    <w:p w14:paraId="3C81E31F">
      <w:pPr>
        <w:spacing w:line="588" w:lineRule="exact"/>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【非监狱企业不用提供】</w:t>
      </w:r>
    </w:p>
    <w:p w14:paraId="14995E7D">
      <w:pPr>
        <w:spacing w:line="360" w:lineRule="auto"/>
        <w:ind w:firstLine="550" w:firstLineChars="250"/>
        <w:rPr>
          <w:rFonts w:hint="eastAsia" w:ascii="仿宋" w:hAnsi="仿宋" w:eastAsia="仿宋" w:cs="仿宋"/>
          <w:color w:val="auto"/>
          <w:sz w:val="22"/>
          <w:szCs w:val="22"/>
          <w:highlight w:val="none"/>
        </w:rPr>
      </w:pPr>
    </w:p>
    <w:p w14:paraId="20AC6EEC">
      <w:pPr>
        <w:spacing w:line="360" w:lineRule="auto"/>
        <w:ind w:firstLine="550" w:firstLineChars="25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监狱企业参加政府采购活动时，本企业郑重声明，根据《关于政府采购支持监狱企业发展有关问题的通知》（财库[2014]68号）的规定，本企业为监狱企业。</w:t>
      </w:r>
    </w:p>
    <w:p w14:paraId="151CED63">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根据上述标准，我企业属于监狱企业的理由为：。</w:t>
      </w:r>
    </w:p>
    <w:p w14:paraId="1FF86395">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本企业为参加（项目名称：     ）（项目编号：     ）采购活动提供本企业的产品。</w:t>
      </w:r>
    </w:p>
    <w:p w14:paraId="019A8757">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本企业对上述声明的真实性负责。如有虚假，将依法承担相应责任。</w:t>
      </w:r>
    </w:p>
    <w:p w14:paraId="53294EA9">
      <w:pPr>
        <w:spacing w:line="360" w:lineRule="auto"/>
        <w:ind w:firstLine="480"/>
        <w:rPr>
          <w:rFonts w:hint="eastAsia" w:ascii="仿宋" w:hAnsi="仿宋" w:eastAsia="仿宋" w:cs="仿宋"/>
          <w:color w:val="auto"/>
          <w:sz w:val="22"/>
          <w:szCs w:val="22"/>
          <w:highlight w:val="none"/>
        </w:rPr>
      </w:pPr>
    </w:p>
    <w:p w14:paraId="74E9EAE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6758B5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B88586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13F98D49">
      <w:pPr>
        <w:spacing w:line="360" w:lineRule="auto"/>
        <w:ind w:firstLine="480"/>
        <w:rPr>
          <w:rFonts w:hint="eastAsia" w:ascii="仿宋" w:hAnsi="仿宋" w:eastAsia="仿宋" w:cs="仿宋"/>
          <w:color w:val="auto"/>
          <w:sz w:val="22"/>
          <w:szCs w:val="22"/>
          <w:highlight w:val="none"/>
        </w:rPr>
      </w:pPr>
    </w:p>
    <w:p w14:paraId="18B55ED1">
      <w:pPr>
        <w:spacing w:line="360" w:lineRule="auto"/>
        <w:ind w:firstLine="480"/>
        <w:rPr>
          <w:rFonts w:hint="eastAsia" w:ascii="仿宋" w:hAnsi="仿宋" w:eastAsia="仿宋" w:cs="仿宋"/>
          <w:color w:val="auto"/>
          <w:sz w:val="22"/>
          <w:szCs w:val="22"/>
          <w:highlight w:val="none"/>
        </w:rPr>
      </w:pPr>
    </w:p>
    <w:p w14:paraId="4B96833B">
      <w:pPr>
        <w:spacing w:line="360" w:lineRule="auto"/>
        <w:ind w:firstLine="480"/>
        <w:rPr>
          <w:rFonts w:hint="eastAsia" w:ascii="仿宋" w:hAnsi="仿宋" w:eastAsia="仿宋" w:cs="仿宋"/>
          <w:color w:val="auto"/>
          <w:sz w:val="22"/>
          <w:szCs w:val="22"/>
          <w:highlight w:val="none"/>
        </w:rPr>
      </w:pPr>
    </w:p>
    <w:p w14:paraId="3782A1EB">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投标人为监狱企业的提供此函。</w:t>
      </w:r>
    </w:p>
    <w:p w14:paraId="1CE8EEBE">
      <w:pPr>
        <w:spacing w:line="360" w:lineRule="auto"/>
        <w:ind w:firstLine="480"/>
        <w:rPr>
          <w:rFonts w:hint="eastAsia" w:ascii="仿宋" w:hAnsi="仿宋" w:eastAsia="仿宋" w:cs="仿宋"/>
          <w:color w:val="auto"/>
          <w:sz w:val="22"/>
          <w:szCs w:val="22"/>
          <w:highlight w:val="none"/>
        </w:rPr>
        <w:sectPr>
          <w:pgSz w:w="11907" w:h="16840"/>
          <w:pgMar w:top="1304" w:right="1588" w:bottom="1304" w:left="1588" w:header="964" w:footer="720" w:gutter="0"/>
          <w:cols w:space="720" w:num="1"/>
        </w:sectPr>
      </w:pPr>
      <w:r>
        <w:rPr>
          <w:rFonts w:hint="eastAsia" w:ascii="仿宋" w:hAnsi="仿宋" w:eastAsia="仿宋" w:cs="仿宋"/>
          <w:color w:val="auto"/>
          <w:sz w:val="22"/>
          <w:szCs w:val="22"/>
          <w:highlight w:val="none"/>
        </w:rPr>
        <w:t>应当提供由省级以上监狱管理局、戒毒管理局（含新疆生产建设兵团）出具的属于监狱企业的证明文件。</w:t>
      </w:r>
    </w:p>
    <w:p w14:paraId="748B8224">
      <w:pPr>
        <w:snapToGrid w:val="0"/>
        <w:spacing w:line="360" w:lineRule="auto"/>
        <w:rPr>
          <w:rFonts w:hint="eastAsia" w:ascii="宋体" w:hAnsi="宋体" w:cs="宋体"/>
          <w:b/>
          <w:color w:val="auto"/>
          <w:sz w:val="24"/>
          <w:highlight w:val="none"/>
          <w:lang w:val="zh-CN"/>
        </w:rPr>
      </w:pPr>
      <w:r>
        <w:rPr>
          <w:rFonts w:hint="eastAsia" w:ascii="仿宋" w:hAnsi="仿宋" w:eastAsia="仿宋" w:cs="仿宋"/>
          <w:b/>
          <w:color w:val="auto"/>
          <w:szCs w:val="21"/>
          <w:highlight w:val="none"/>
        </w:rPr>
        <w:t>格式八：</w:t>
      </w:r>
    </w:p>
    <w:p w14:paraId="40B1752A">
      <w:pPr>
        <w:snapToGrid w:val="0"/>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lang w:val="zh-CN"/>
        </w:rPr>
        <w:t>投标人基本情况表</w:t>
      </w:r>
    </w:p>
    <w:tbl>
      <w:tblPr>
        <w:tblStyle w:val="21"/>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6"/>
        <w:gridCol w:w="1941"/>
        <w:gridCol w:w="876"/>
        <w:gridCol w:w="1791"/>
        <w:gridCol w:w="1202"/>
        <w:gridCol w:w="1863"/>
      </w:tblGrid>
      <w:tr w14:paraId="4454F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1C59BCC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投标人名称</w:t>
            </w:r>
          </w:p>
        </w:tc>
        <w:tc>
          <w:tcPr>
            <w:tcW w:w="7673" w:type="dxa"/>
            <w:gridSpan w:val="5"/>
            <w:noWrap w:val="0"/>
            <w:vAlign w:val="center"/>
          </w:tcPr>
          <w:p w14:paraId="14CD0F1B">
            <w:pPr>
              <w:snapToGrid w:val="0"/>
              <w:spacing w:line="360" w:lineRule="auto"/>
              <w:jc w:val="center"/>
              <w:rPr>
                <w:rFonts w:hint="eastAsia" w:ascii="仿宋" w:hAnsi="仿宋" w:eastAsia="仿宋" w:cs="仿宋"/>
                <w:color w:val="auto"/>
                <w:kern w:val="0"/>
                <w:sz w:val="22"/>
                <w:szCs w:val="22"/>
                <w:highlight w:val="none"/>
                <w:lang w:val="zh-CN"/>
              </w:rPr>
            </w:pPr>
          </w:p>
        </w:tc>
      </w:tr>
      <w:tr w14:paraId="3BF60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7F0AA854">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注册地址</w:t>
            </w:r>
          </w:p>
        </w:tc>
        <w:tc>
          <w:tcPr>
            <w:tcW w:w="2817" w:type="dxa"/>
            <w:gridSpan w:val="2"/>
            <w:noWrap w:val="0"/>
            <w:vAlign w:val="center"/>
          </w:tcPr>
          <w:p w14:paraId="6A55ECF1">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77E4650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成立时间</w:t>
            </w:r>
          </w:p>
        </w:tc>
        <w:tc>
          <w:tcPr>
            <w:tcW w:w="3065" w:type="dxa"/>
            <w:gridSpan w:val="2"/>
            <w:noWrap w:val="0"/>
            <w:vAlign w:val="center"/>
          </w:tcPr>
          <w:p w14:paraId="42D76C92">
            <w:pPr>
              <w:snapToGrid w:val="0"/>
              <w:spacing w:line="360" w:lineRule="auto"/>
              <w:jc w:val="center"/>
              <w:rPr>
                <w:rFonts w:hint="eastAsia" w:ascii="仿宋" w:hAnsi="仿宋" w:eastAsia="仿宋" w:cs="仿宋"/>
                <w:color w:val="auto"/>
                <w:kern w:val="0"/>
                <w:sz w:val="22"/>
                <w:szCs w:val="22"/>
                <w:highlight w:val="none"/>
                <w:lang w:val="zh-CN"/>
              </w:rPr>
            </w:pPr>
          </w:p>
        </w:tc>
      </w:tr>
      <w:tr w14:paraId="325D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40A8E599">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统一信用代码</w:t>
            </w:r>
          </w:p>
        </w:tc>
        <w:tc>
          <w:tcPr>
            <w:tcW w:w="2817" w:type="dxa"/>
            <w:gridSpan w:val="2"/>
            <w:noWrap w:val="0"/>
            <w:vAlign w:val="center"/>
          </w:tcPr>
          <w:p w14:paraId="2372C9BA">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462E164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注册资金</w:t>
            </w:r>
          </w:p>
        </w:tc>
        <w:tc>
          <w:tcPr>
            <w:tcW w:w="3065" w:type="dxa"/>
            <w:gridSpan w:val="2"/>
            <w:noWrap w:val="0"/>
            <w:vAlign w:val="center"/>
          </w:tcPr>
          <w:p w14:paraId="06974164">
            <w:pPr>
              <w:snapToGrid w:val="0"/>
              <w:spacing w:line="360" w:lineRule="auto"/>
              <w:jc w:val="center"/>
              <w:rPr>
                <w:rFonts w:hint="eastAsia" w:ascii="仿宋" w:hAnsi="仿宋" w:eastAsia="仿宋" w:cs="仿宋"/>
                <w:color w:val="auto"/>
                <w:kern w:val="0"/>
                <w:sz w:val="22"/>
                <w:szCs w:val="22"/>
                <w:highlight w:val="none"/>
                <w:lang w:val="zh-CN"/>
              </w:rPr>
            </w:pPr>
          </w:p>
        </w:tc>
      </w:tr>
      <w:tr w14:paraId="1F026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3F577CB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投标联系人姓名</w:t>
            </w:r>
          </w:p>
        </w:tc>
        <w:tc>
          <w:tcPr>
            <w:tcW w:w="1941" w:type="dxa"/>
            <w:noWrap w:val="0"/>
            <w:vAlign w:val="center"/>
          </w:tcPr>
          <w:p w14:paraId="3FE8AA1A">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noWrap w:val="0"/>
            <w:vAlign w:val="center"/>
          </w:tcPr>
          <w:p w14:paraId="301A5947">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noWrap w:val="0"/>
            <w:vAlign w:val="center"/>
          </w:tcPr>
          <w:p w14:paraId="1CA9DDBE">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noWrap w:val="0"/>
            <w:vAlign w:val="center"/>
          </w:tcPr>
          <w:p w14:paraId="5E36BF5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手机</w:t>
            </w:r>
          </w:p>
        </w:tc>
        <w:tc>
          <w:tcPr>
            <w:tcW w:w="1863" w:type="dxa"/>
            <w:noWrap w:val="0"/>
            <w:vAlign w:val="center"/>
          </w:tcPr>
          <w:p w14:paraId="6D322E0B">
            <w:pPr>
              <w:snapToGrid w:val="0"/>
              <w:spacing w:line="360" w:lineRule="auto"/>
              <w:jc w:val="center"/>
              <w:rPr>
                <w:rFonts w:hint="eastAsia" w:ascii="仿宋" w:hAnsi="仿宋" w:eastAsia="仿宋" w:cs="仿宋"/>
                <w:color w:val="auto"/>
                <w:kern w:val="0"/>
                <w:sz w:val="22"/>
                <w:szCs w:val="22"/>
                <w:highlight w:val="none"/>
                <w:lang w:val="zh-CN"/>
              </w:rPr>
            </w:pPr>
          </w:p>
        </w:tc>
      </w:tr>
      <w:tr w14:paraId="33FCE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2295281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法定代表人姓名</w:t>
            </w:r>
          </w:p>
        </w:tc>
        <w:tc>
          <w:tcPr>
            <w:tcW w:w="1941" w:type="dxa"/>
            <w:noWrap w:val="0"/>
            <w:vAlign w:val="center"/>
          </w:tcPr>
          <w:p w14:paraId="31B6E92B">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noWrap w:val="0"/>
            <w:vAlign w:val="center"/>
          </w:tcPr>
          <w:p w14:paraId="6BA9988D">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noWrap w:val="0"/>
            <w:vAlign w:val="center"/>
          </w:tcPr>
          <w:p w14:paraId="72260F91">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noWrap w:val="0"/>
            <w:vAlign w:val="center"/>
          </w:tcPr>
          <w:p w14:paraId="06F03CF0">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手机</w:t>
            </w:r>
          </w:p>
        </w:tc>
        <w:tc>
          <w:tcPr>
            <w:tcW w:w="1863" w:type="dxa"/>
            <w:noWrap w:val="0"/>
            <w:vAlign w:val="center"/>
          </w:tcPr>
          <w:p w14:paraId="5C6B93B4">
            <w:pPr>
              <w:snapToGrid w:val="0"/>
              <w:spacing w:line="360" w:lineRule="auto"/>
              <w:jc w:val="center"/>
              <w:rPr>
                <w:rFonts w:hint="eastAsia" w:ascii="仿宋" w:hAnsi="仿宋" w:eastAsia="仿宋" w:cs="仿宋"/>
                <w:color w:val="auto"/>
                <w:kern w:val="0"/>
                <w:sz w:val="22"/>
                <w:szCs w:val="22"/>
                <w:highlight w:val="none"/>
                <w:lang w:val="zh-CN"/>
              </w:rPr>
            </w:pPr>
          </w:p>
        </w:tc>
      </w:tr>
      <w:tr w14:paraId="3C38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02BBA82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项目负责人姓名</w:t>
            </w:r>
          </w:p>
        </w:tc>
        <w:tc>
          <w:tcPr>
            <w:tcW w:w="1941" w:type="dxa"/>
            <w:noWrap w:val="0"/>
            <w:vAlign w:val="center"/>
          </w:tcPr>
          <w:p w14:paraId="4BDAA9D0">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noWrap w:val="0"/>
            <w:vAlign w:val="center"/>
          </w:tcPr>
          <w:p w14:paraId="6DCBA20C">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noWrap w:val="0"/>
            <w:vAlign w:val="center"/>
          </w:tcPr>
          <w:p w14:paraId="5AE886C1">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noWrap w:val="0"/>
            <w:vAlign w:val="center"/>
          </w:tcPr>
          <w:p w14:paraId="48B1538B">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技术职称</w:t>
            </w:r>
          </w:p>
        </w:tc>
        <w:tc>
          <w:tcPr>
            <w:tcW w:w="1863" w:type="dxa"/>
            <w:noWrap w:val="0"/>
            <w:vAlign w:val="center"/>
          </w:tcPr>
          <w:p w14:paraId="449F524B">
            <w:pPr>
              <w:snapToGrid w:val="0"/>
              <w:spacing w:line="360" w:lineRule="auto"/>
              <w:jc w:val="center"/>
              <w:rPr>
                <w:rFonts w:hint="eastAsia" w:ascii="仿宋" w:hAnsi="仿宋" w:eastAsia="仿宋" w:cs="仿宋"/>
                <w:color w:val="auto"/>
                <w:kern w:val="0"/>
                <w:sz w:val="22"/>
                <w:szCs w:val="22"/>
                <w:highlight w:val="none"/>
                <w:lang w:val="zh-CN"/>
              </w:rPr>
            </w:pPr>
          </w:p>
        </w:tc>
      </w:tr>
      <w:tr w14:paraId="7A7A1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restart"/>
            <w:noWrap w:val="0"/>
            <w:vAlign w:val="center"/>
          </w:tcPr>
          <w:p w14:paraId="38FDEE71">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员工总人数：</w:t>
            </w:r>
          </w:p>
        </w:tc>
        <w:tc>
          <w:tcPr>
            <w:tcW w:w="1941" w:type="dxa"/>
            <w:vMerge w:val="restart"/>
            <w:noWrap w:val="0"/>
            <w:vAlign w:val="center"/>
          </w:tcPr>
          <w:p w14:paraId="651DE7BD">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restart"/>
            <w:noWrap w:val="0"/>
            <w:vAlign w:val="center"/>
          </w:tcPr>
          <w:p w14:paraId="5259973B">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其中</w:t>
            </w:r>
          </w:p>
        </w:tc>
        <w:tc>
          <w:tcPr>
            <w:tcW w:w="1791" w:type="dxa"/>
            <w:noWrap w:val="0"/>
            <w:vAlign w:val="center"/>
          </w:tcPr>
          <w:p w14:paraId="4A1B3DCF">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高级职称</w:t>
            </w:r>
          </w:p>
        </w:tc>
        <w:tc>
          <w:tcPr>
            <w:tcW w:w="3065" w:type="dxa"/>
            <w:gridSpan w:val="2"/>
            <w:noWrap w:val="0"/>
            <w:vAlign w:val="center"/>
          </w:tcPr>
          <w:p w14:paraId="46FEF78E">
            <w:pPr>
              <w:snapToGrid w:val="0"/>
              <w:spacing w:line="360" w:lineRule="auto"/>
              <w:jc w:val="center"/>
              <w:rPr>
                <w:rFonts w:hint="eastAsia" w:ascii="仿宋" w:hAnsi="仿宋" w:eastAsia="仿宋" w:cs="仿宋"/>
                <w:color w:val="auto"/>
                <w:kern w:val="0"/>
                <w:sz w:val="22"/>
                <w:szCs w:val="22"/>
                <w:highlight w:val="none"/>
                <w:lang w:val="zh-CN"/>
              </w:rPr>
            </w:pPr>
          </w:p>
        </w:tc>
      </w:tr>
      <w:tr w14:paraId="2F23D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noWrap w:val="0"/>
            <w:vAlign w:val="center"/>
          </w:tcPr>
          <w:p w14:paraId="096273B8">
            <w:pPr>
              <w:snapToGrid w:val="0"/>
              <w:spacing w:line="360" w:lineRule="auto"/>
              <w:jc w:val="center"/>
              <w:rPr>
                <w:rFonts w:hint="eastAsia" w:ascii="仿宋" w:hAnsi="仿宋" w:eastAsia="仿宋" w:cs="仿宋"/>
                <w:color w:val="auto"/>
                <w:kern w:val="0"/>
                <w:sz w:val="22"/>
                <w:szCs w:val="22"/>
                <w:highlight w:val="none"/>
                <w:lang w:val="zh-CN"/>
              </w:rPr>
            </w:pPr>
          </w:p>
        </w:tc>
        <w:tc>
          <w:tcPr>
            <w:tcW w:w="1941" w:type="dxa"/>
            <w:vMerge w:val="continue"/>
            <w:noWrap w:val="0"/>
            <w:vAlign w:val="center"/>
          </w:tcPr>
          <w:p w14:paraId="6E90AEDD">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continue"/>
            <w:noWrap w:val="0"/>
            <w:vAlign w:val="center"/>
          </w:tcPr>
          <w:p w14:paraId="27C10445">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4A015326">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中级职称</w:t>
            </w:r>
          </w:p>
        </w:tc>
        <w:tc>
          <w:tcPr>
            <w:tcW w:w="3065" w:type="dxa"/>
            <w:gridSpan w:val="2"/>
            <w:noWrap w:val="0"/>
            <w:vAlign w:val="center"/>
          </w:tcPr>
          <w:p w14:paraId="0ACD35EA">
            <w:pPr>
              <w:snapToGrid w:val="0"/>
              <w:spacing w:line="360" w:lineRule="auto"/>
              <w:jc w:val="center"/>
              <w:rPr>
                <w:rFonts w:hint="eastAsia" w:ascii="仿宋" w:hAnsi="仿宋" w:eastAsia="仿宋" w:cs="仿宋"/>
                <w:color w:val="auto"/>
                <w:kern w:val="0"/>
                <w:sz w:val="22"/>
                <w:szCs w:val="22"/>
                <w:highlight w:val="none"/>
                <w:lang w:val="zh-CN"/>
              </w:rPr>
            </w:pPr>
          </w:p>
        </w:tc>
      </w:tr>
      <w:tr w14:paraId="38B20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noWrap w:val="0"/>
            <w:vAlign w:val="center"/>
          </w:tcPr>
          <w:p w14:paraId="5D79B211">
            <w:pPr>
              <w:snapToGrid w:val="0"/>
              <w:spacing w:line="360" w:lineRule="auto"/>
              <w:jc w:val="center"/>
              <w:rPr>
                <w:rFonts w:hint="eastAsia" w:ascii="仿宋" w:hAnsi="仿宋" w:eastAsia="仿宋" w:cs="仿宋"/>
                <w:color w:val="auto"/>
                <w:kern w:val="0"/>
                <w:sz w:val="22"/>
                <w:szCs w:val="22"/>
                <w:highlight w:val="none"/>
                <w:lang w:val="zh-CN"/>
              </w:rPr>
            </w:pPr>
          </w:p>
        </w:tc>
        <w:tc>
          <w:tcPr>
            <w:tcW w:w="1941" w:type="dxa"/>
            <w:vMerge w:val="continue"/>
            <w:noWrap w:val="0"/>
            <w:vAlign w:val="center"/>
          </w:tcPr>
          <w:p w14:paraId="3961C555">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continue"/>
            <w:noWrap w:val="0"/>
            <w:vAlign w:val="center"/>
          </w:tcPr>
          <w:p w14:paraId="41A3580D">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3FC8703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各类注册人员</w:t>
            </w:r>
          </w:p>
        </w:tc>
        <w:tc>
          <w:tcPr>
            <w:tcW w:w="3065" w:type="dxa"/>
            <w:gridSpan w:val="2"/>
            <w:noWrap w:val="0"/>
            <w:vAlign w:val="center"/>
          </w:tcPr>
          <w:p w14:paraId="074B751B">
            <w:pPr>
              <w:snapToGrid w:val="0"/>
              <w:spacing w:line="360" w:lineRule="auto"/>
              <w:jc w:val="center"/>
              <w:rPr>
                <w:rFonts w:hint="eastAsia" w:ascii="仿宋" w:hAnsi="仿宋" w:eastAsia="仿宋" w:cs="仿宋"/>
                <w:color w:val="auto"/>
                <w:kern w:val="0"/>
                <w:sz w:val="22"/>
                <w:szCs w:val="22"/>
                <w:highlight w:val="none"/>
                <w:lang w:val="zh-CN"/>
              </w:rPr>
            </w:pPr>
          </w:p>
        </w:tc>
      </w:tr>
      <w:tr w14:paraId="63C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624BC8EE">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基本账户开户银行</w:t>
            </w:r>
          </w:p>
        </w:tc>
        <w:tc>
          <w:tcPr>
            <w:tcW w:w="7673" w:type="dxa"/>
            <w:gridSpan w:val="5"/>
            <w:noWrap w:val="0"/>
            <w:vAlign w:val="center"/>
          </w:tcPr>
          <w:p w14:paraId="0F1B9048">
            <w:pPr>
              <w:snapToGrid w:val="0"/>
              <w:spacing w:line="360" w:lineRule="auto"/>
              <w:jc w:val="center"/>
              <w:rPr>
                <w:rFonts w:hint="eastAsia" w:ascii="仿宋" w:hAnsi="仿宋" w:eastAsia="仿宋" w:cs="仿宋"/>
                <w:color w:val="auto"/>
                <w:kern w:val="0"/>
                <w:sz w:val="22"/>
                <w:szCs w:val="22"/>
                <w:highlight w:val="none"/>
                <w:lang w:val="zh-CN"/>
              </w:rPr>
            </w:pPr>
          </w:p>
        </w:tc>
      </w:tr>
      <w:tr w14:paraId="56943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7E092F8D">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基本账户账号</w:t>
            </w:r>
          </w:p>
        </w:tc>
        <w:tc>
          <w:tcPr>
            <w:tcW w:w="7673" w:type="dxa"/>
            <w:gridSpan w:val="5"/>
            <w:noWrap w:val="0"/>
            <w:vAlign w:val="center"/>
          </w:tcPr>
          <w:p w14:paraId="32E26A72">
            <w:pPr>
              <w:snapToGrid w:val="0"/>
              <w:spacing w:line="360" w:lineRule="auto"/>
              <w:jc w:val="center"/>
              <w:rPr>
                <w:rFonts w:hint="eastAsia" w:ascii="仿宋" w:hAnsi="仿宋" w:eastAsia="仿宋" w:cs="仿宋"/>
                <w:color w:val="auto"/>
                <w:kern w:val="0"/>
                <w:sz w:val="22"/>
                <w:szCs w:val="22"/>
                <w:highlight w:val="none"/>
                <w:lang w:val="zh-CN"/>
              </w:rPr>
            </w:pPr>
          </w:p>
        </w:tc>
      </w:tr>
      <w:tr w14:paraId="1F589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0A45F72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经营范围</w:t>
            </w:r>
          </w:p>
        </w:tc>
        <w:tc>
          <w:tcPr>
            <w:tcW w:w="7673" w:type="dxa"/>
            <w:gridSpan w:val="5"/>
            <w:noWrap w:val="0"/>
            <w:vAlign w:val="center"/>
          </w:tcPr>
          <w:p w14:paraId="39631756">
            <w:pPr>
              <w:snapToGrid w:val="0"/>
              <w:spacing w:line="360" w:lineRule="auto"/>
              <w:jc w:val="center"/>
              <w:rPr>
                <w:rFonts w:hint="eastAsia" w:ascii="仿宋" w:hAnsi="仿宋" w:eastAsia="仿宋" w:cs="仿宋"/>
                <w:color w:val="auto"/>
                <w:kern w:val="0"/>
                <w:sz w:val="22"/>
                <w:szCs w:val="22"/>
                <w:highlight w:val="none"/>
                <w:lang w:val="zh-CN"/>
              </w:rPr>
            </w:pPr>
          </w:p>
        </w:tc>
      </w:tr>
      <w:tr w14:paraId="7F39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186" w:type="dxa"/>
            <w:noWrap w:val="0"/>
            <w:vAlign w:val="center"/>
          </w:tcPr>
          <w:p w14:paraId="29C96BA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备注</w:t>
            </w:r>
          </w:p>
        </w:tc>
        <w:tc>
          <w:tcPr>
            <w:tcW w:w="7673" w:type="dxa"/>
            <w:gridSpan w:val="5"/>
            <w:noWrap w:val="0"/>
            <w:vAlign w:val="center"/>
          </w:tcPr>
          <w:p w14:paraId="75FDB224">
            <w:pPr>
              <w:snapToGrid w:val="0"/>
              <w:spacing w:line="360" w:lineRule="auto"/>
              <w:jc w:val="center"/>
              <w:rPr>
                <w:rFonts w:hint="eastAsia" w:ascii="仿宋" w:hAnsi="仿宋" w:eastAsia="仿宋" w:cs="仿宋"/>
                <w:color w:val="auto"/>
                <w:kern w:val="0"/>
                <w:sz w:val="22"/>
                <w:szCs w:val="22"/>
                <w:highlight w:val="none"/>
                <w:lang w:val="zh-CN"/>
              </w:rPr>
            </w:pPr>
          </w:p>
        </w:tc>
      </w:tr>
    </w:tbl>
    <w:p w14:paraId="387180F6">
      <w:pPr>
        <w:snapToGrid w:val="0"/>
        <w:spacing w:line="360" w:lineRule="auto"/>
        <w:ind w:firstLine="442" w:firstLineChars="200"/>
        <w:rPr>
          <w:rFonts w:hint="eastAsia" w:ascii="仿宋" w:hAnsi="仿宋" w:eastAsia="仿宋" w:cs="仿宋"/>
          <w:color w:val="auto"/>
          <w:sz w:val="22"/>
          <w:szCs w:val="22"/>
          <w:highlight w:val="none"/>
          <w:lang w:val="zh-CN"/>
        </w:rPr>
      </w:pPr>
      <w:r>
        <w:rPr>
          <w:rFonts w:hint="eastAsia" w:ascii="仿宋" w:hAnsi="仿宋" w:eastAsia="仿宋" w:cs="仿宋"/>
          <w:b/>
          <w:bCs/>
          <w:color w:val="auto"/>
          <w:kern w:val="0"/>
          <w:sz w:val="22"/>
          <w:szCs w:val="22"/>
          <w:highlight w:val="none"/>
          <w:lang w:val="zh-CN"/>
        </w:rPr>
        <w:t>兹证明上述声明是真实、正确的，并提供了全部能提供的资料和数据，我们同意遵照贵方要求出示有关证明文件。</w:t>
      </w:r>
    </w:p>
    <w:p w14:paraId="5CFE38D9">
      <w:pPr>
        <w:adjustRightInd w:val="0"/>
        <w:snapToGrid w:val="0"/>
        <w:spacing w:before="50" w:after="50" w:line="360" w:lineRule="auto"/>
        <w:ind w:left="57" w:leftChars="27" w:right="-817" w:rightChars="-389" w:firstLine="4694" w:firstLineChars="21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3E1B302A">
      <w:pPr>
        <w:adjustRightInd w:val="0"/>
        <w:snapToGrid w:val="0"/>
        <w:spacing w:before="50" w:after="50" w:line="360" w:lineRule="auto"/>
        <w:ind w:left="57" w:leftChars="27" w:right="-817" w:rightChars="-389" w:firstLine="4694" w:firstLineChars="21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72281091">
      <w:pPr>
        <w:jc w:val="center"/>
        <w:rPr>
          <w:rFonts w:hint="eastAsia"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kern w:val="0"/>
          <w:sz w:val="22"/>
          <w:szCs w:val="22"/>
          <w:highlight w:val="none"/>
        </w:rPr>
        <w:t xml:space="preserve">                        </w:t>
      </w:r>
      <w:r>
        <w:rPr>
          <w:rFonts w:hint="eastAsia" w:ascii="仿宋" w:hAnsi="仿宋" w:eastAsia="仿宋" w:cs="仿宋"/>
          <w:color w:val="auto"/>
          <w:kern w:val="0"/>
          <w:sz w:val="22"/>
          <w:szCs w:val="22"/>
          <w:highlight w:val="none"/>
          <w:lang w:val="zh-CN"/>
        </w:rPr>
        <w:t>日期</w:t>
      </w:r>
      <w:r>
        <w:rPr>
          <w:rFonts w:hint="eastAsia" w:ascii="仿宋" w:hAnsi="仿宋" w:eastAsia="仿宋" w:cs="仿宋"/>
          <w:color w:val="auto"/>
          <w:kern w:val="0"/>
          <w:sz w:val="22"/>
          <w:szCs w:val="22"/>
          <w:highlight w:val="none"/>
        </w:rPr>
        <w:t>：</w:t>
      </w:r>
      <w:r>
        <w:rPr>
          <w:rFonts w:hint="eastAsia" w:ascii="仿宋" w:hAnsi="仿宋" w:eastAsia="仿宋" w:cs="仿宋"/>
          <w:color w:val="auto"/>
          <w:kern w:val="0"/>
          <w:sz w:val="22"/>
          <w:szCs w:val="22"/>
          <w:highlight w:val="none"/>
          <w:lang w:val="zh-CN"/>
        </w:rPr>
        <w:t xml:space="preserve">   年   月   日</w:t>
      </w:r>
    </w:p>
    <w:p w14:paraId="215891F5">
      <w:pPr>
        <w:pStyle w:val="9"/>
        <w:widowControl/>
        <w:spacing w:line="360" w:lineRule="auto"/>
        <w:ind w:firstLine="0"/>
        <w:jc w:val="left"/>
        <w:rPr>
          <w:rFonts w:hint="eastAsia" w:ascii="仿宋" w:hAnsi="仿宋" w:eastAsia="仿宋" w:cs="仿宋"/>
          <w:b/>
          <w:color w:val="auto"/>
          <w:sz w:val="20"/>
          <w:szCs w:val="22"/>
          <w:highlight w:val="none"/>
        </w:rPr>
      </w:pPr>
      <w:r>
        <w:rPr>
          <w:rFonts w:hint="eastAsia" w:ascii="仿宋" w:hAnsi="仿宋" w:eastAsia="仿宋" w:cs="仿宋"/>
          <w:b/>
          <w:color w:val="auto"/>
          <w:sz w:val="22"/>
          <w:szCs w:val="21"/>
          <w:highlight w:val="none"/>
        </w:rPr>
        <w:t>格式九：</w:t>
      </w:r>
    </w:p>
    <w:p w14:paraId="3C991E38">
      <w:pPr>
        <w:widowControl/>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lang w:val="zh-CN"/>
        </w:rPr>
        <w:t>技术商务条款响应（偏离）表</w:t>
      </w:r>
    </w:p>
    <w:p w14:paraId="2A9C5A75">
      <w:pPr>
        <w:widowControl/>
        <w:spacing w:line="360" w:lineRule="auto"/>
        <w:rPr>
          <w:rFonts w:hint="eastAsia" w:ascii="仿宋" w:hAnsi="仿宋" w:eastAsia="仿宋" w:cs="仿宋"/>
          <w:b/>
          <w:color w:val="auto"/>
          <w:spacing w:val="-4"/>
          <w:sz w:val="24"/>
          <w:highlight w:val="none"/>
        </w:rPr>
      </w:pPr>
    </w:p>
    <w:p w14:paraId="71D305D7">
      <w:pPr>
        <w:widowControl/>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项目名称：                 </w:t>
      </w:r>
    </w:p>
    <w:p w14:paraId="5D31964C">
      <w:pPr>
        <w:widowControl/>
        <w:spacing w:line="360" w:lineRule="auto"/>
        <w:jc w:val="left"/>
        <w:rPr>
          <w:rFonts w:hint="eastAsia"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项目编号：</w:t>
      </w:r>
    </w:p>
    <w:tbl>
      <w:tblPr>
        <w:tblStyle w:val="21"/>
        <w:tblW w:w="8505" w:type="dxa"/>
        <w:tblInd w:w="109"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70"/>
        <w:gridCol w:w="3030"/>
        <w:gridCol w:w="2640"/>
        <w:gridCol w:w="1965"/>
      </w:tblGrid>
      <w:tr w14:paraId="5924D1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3B2BA676">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w:t>
            </w:r>
          </w:p>
        </w:tc>
        <w:tc>
          <w:tcPr>
            <w:tcW w:w="3030" w:type="dxa"/>
            <w:noWrap w:val="0"/>
            <w:vAlign w:val="center"/>
          </w:tcPr>
          <w:p w14:paraId="6D2251B3">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磋商文件要求</w:t>
            </w:r>
          </w:p>
        </w:tc>
        <w:tc>
          <w:tcPr>
            <w:tcW w:w="2640" w:type="dxa"/>
            <w:noWrap w:val="0"/>
            <w:vAlign w:val="center"/>
          </w:tcPr>
          <w:p w14:paraId="541E26FE">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是否</w:t>
            </w:r>
          </w:p>
          <w:p w14:paraId="5C297C15">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响应</w:t>
            </w:r>
          </w:p>
        </w:tc>
        <w:tc>
          <w:tcPr>
            <w:tcW w:w="1965" w:type="dxa"/>
            <w:noWrap w:val="0"/>
            <w:vAlign w:val="center"/>
          </w:tcPr>
          <w:p w14:paraId="63BA42C3">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投标人的</w:t>
            </w:r>
          </w:p>
          <w:p w14:paraId="49605645">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承诺或说明</w:t>
            </w:r>
          </w:p>
        </w:tc>
      </w:tr>
      <w:tr w14:paraId="1B33F6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533AB062">
            <w:pPr>
              <w:spacing w:line="500" w:lineRule="exact"/>
              <w:contextualSpacing/>
              <w:jc w:val="center"/>
              <w:rPr>
                <w:rFonts w:hint="eastAsia" w:ascii="仿宋" w:hAnsi="仿宋" w:eastAsia="仿宋" w:cs="仿宋"/>
                <w:color w:val="auto"/>
                <w:sz w:val="22"/>
                <w:szCs w:val="22"/>
                <w:highlight w:val="none"/>
                <w:u w:val="single"/>
              </w:rPr>
            </w:pPr>
          </w:p>
        </w:tc>
        <w:tc>
          <w:tcPr>
            <w:tcW w:w="3030" w:type="dxa"/>
            <w:noWrap w:val="0"/>
            <w:vAlign w:val="center"/>
          </w:tcPr>
          <w:p w14:paraId="6CA07916">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063FAFF5">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697BA0F1">
            <w:pPr>
              <w:pStyle w:val="14"/>
              <w:snapToGrid w:val="0"/>
              <w:spacing w:beforeLines="0" w:afterLines="0"/>
              <w:jc w:val="center"/>
              <w:rPr>
                <w:rFonts w:hint="eastAsia" w:ascii="仿宋" w:hAnsi="仿宋" w:eastAsia="仿宋" w:cs="仿宋"/>
                <w:color w:val="auto"/>
                <w:sz w:val="22"/>
                <w:szCs w:val="22"/>
                <w:highlight w:val="none"/>
                <w:u w:val="single"/>
              </w:rPr>
            </w:pPr>
          </w:p>
        </w:tc>
      </w:tr>
      <w:tr w14:paraId="4D0CC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1E7C2155">
            <w:pPr>
              <w:spacing w:line="500" w:lineRule="exact"/>
              <w:contextualSpacing/>
              <w:jc w:val="center"/>
              <w:rPr>
                <w:rFonts w:hint="eastAsia" w:ascii="仿宋" w:hAnsi="仿宋" w:eastAsia="仿宋" w:cs="仿宋"/>
                <w:color w:val="auto"/>
                <w:sz w:val="22"/>
                <w:szCs w:val="22"/>
                <w:highlight w:val="none"/>
                <w:u w:val="single"/>
              </w:rPr>
            </w:pPr>
          </w:p>
        </w:tc>
        <w:tc>
          <w:tcPr>
            <w:tcW w:w="3030" w:type="dxa"/>
            <w:noWrap w:val="0"/>
            <w:vAlign w:val="center"/>
          </w:tcPr>
          <w:p w14:paraId="47E7F74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44E94EFB">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3E3F1CE0">
            <w:pPr>
              <w:pStyle w:val="14"/>
              <w:snapToGrid w:val="0"/>
              <w:spacing w:beforeLines="0" w:afterLines="0"/>
              <w:jc w:val="center"/>
              <w:rPr>
                <w:rFonts w:hint="eastAsia" w:ascii="仿宋" w:hAnsi="仿宋" w:eastAsia="仿宋" w:cs="仿宋"/>
                <w:color w:val="auto"/>
                <w:sz w:val="22"/>
                <w:szCs w:val="22"/>
                <w:highlight w:val="none"/>
                <w:u w:val="single"/>
              </w:rPr>
            </w:pPr>
          </w:p>
        </w:tc>
      </w:tr>
      <w:tr w14:paraId="7EF47A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0B413745">
            <w:pPr>
              <w:spacing w:line="500" w:lineRule="exact"/>
              <w:contextualSpacing/>
              <w:jc w:val="center"/>
              <w:rPr>
                <w:rFonts w:hint="eastAsia" w:ascii="仿宋" w:hAnsi="仿宋" w:eastAsia="仿宋" w:cs="仿宋"/>
                <w:color w:val="auto"/>
                <w:sz w:val="22"/>
                <w:szCs w:val="22"/>
                <w:highlight w:val="none"/>
                <w:u w:val="single"/>
              </w:rPr>
            </w:pPr>
          </w:p>
        </w:tc>
        <w:tc>
          <w:tcPr>
            <w:tcW w:w="3030" w:type="dxa"/>
            <w:noWrap w:val="0"/>
            <w:vAlign w:val="center"/>
          </w:tcPr>
          <w:p w14:paraId="42DB1CF5">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595A5116">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683803FB">
            <w:pPr>
              <w:pStyle w:val="14"/>
              <w:snapToGrid w:val="0"/>
              <w:spacing w:beforeLines="0" w:afterLines="0"/>
              <w:jc w:val="center"/>
              <w:rPr>
                <w:rFonts w:hint="eastAsia" w:ascii="仿宋" w:hAnsi="仿宋" w:eastAsia="仿宋" w:cs="仿宋"/>
                <w:color w:val="auto"/>
                <w:sz w:val="22"/>
                <w:szCs w:val="22"/>
                <w:highlight w:val="none"/>
                <w:u w:val="single"/>
              </w:rPr>
            </w:pPr>
          </w:p>
        </w:tc>
      </w:tr>
      <w:tr w14:paraId="237A4B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236DDDA1">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5132DCE9">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3A1A494D">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68A693D1">
            <w:pPr>
              <w:pStyle w:val="14"/>
              <w:snapToGrid w:val="0"/>
              <w:spacing w:beforeLines="0" w:afterLines="0"/>
              <w:jc w:val="center"/>
              <w:rPr>
                <w:rFonts w:hint="eastAsia" w:ascii="仿宋" w:hAnsi="仿宋" w:eastAsia="仿宋" w:cs="仿宋"/>
                <w:color w:val="auto"/>
                <w:sz w:val="22"/>
                <w:szCs w:val="22"/>
                <w:highlight w:val="none"/>
                <w:u w:val="single"/>
              </w:rPr>
            </w:pPr>
          </w:p>
        </w:tc>
      </w:tr>
      <w:tr w14:paraId="04C364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7C1FCD92">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6B599707">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22BC39AF">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09425A71">
            <w:pPr>
              <w:pStyle w:val="14"/>
              <w:snapToGrid w:val="0"/>
              <w:spacing w:beforeLines="0" w:afterLines="0"/>
              <w:jc w:val="center"/>
              <w:rPr>
                <w:rFonts w:hint="eastAsia" w:ascii="仿宋" w:hAnsi="仿宋" w:eastAsia="仿宋" w:cs="仿宋"/>
                <w:color w:val="auto"/>
                <w:sz w:val="22"/>
                <w:szCs w:val="22"/>
                <w:highlight w:val="none"/>
                <w:u w:val="single"/>
              </w:rPr>
            </w:pPr>
          </w:p>
        </w:tc>
      </w:tr>
      <w:tr w14:paraId="6BC3BA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5549123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080DA8D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2556C4A3">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21CE8F49">
            <w:pPr>
              <w:pStyle w:val="14"/>
              <w:snapToGrid w:val="0"/>
              <w:spacing w:beforeLines="0" w:afterLines="0"/>
              <w:jc w:val="center"/>
              <w:rPr>
                <w:rFonts w:hint="eastAsia" w:ascii="仿宋" w:hAnsi="仿宋" w:eastAsia="仿宋" w:cs="仿宋"/>
                <w:color w:val="auto"/>
                <w:sz w:val="22"/>
                <w:szCs w:val="22"/>
                <w:highlight w:val="none"/>
                <w:u w:val="single"/>
              </w:rPr>
            </w:pPr>
          </w:p>
        </w:tc>
      </w:tr>
      <w:tr w14:paraId="53FE2A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1360D26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37428BB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0DE0F4E6">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1D7E4897">
            <w:pPr>
              <w:pStyle w:val="14"/>
              <w:snapToGrid w:val="0"/>
              <w:spacing w:beforeLines="0" w:afterLines="0"/>
              <w:jc w:val="center"/>
              <w:rPr>
                <w:rFonts w:hint="eastAsia" w:ascii="仿宋" w:hAnsi="仿宋" w:eastAsia="仿宋" w:cs="仿宋"/>
                <w:color w:val="auto"/>
                <w:sz w:val="22"/>
                <w:szCs w:val="22"/>
                <w:highlight w:val="none"/>
                <w:u w:val="single"/>
              </w:rPr>
            </w:pPr>
          </w:p>
        </w:tc>
      </w:tr>
      <w:tr w14:paraId="39A912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4D4351AA">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5244AF22">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5FE1BE58">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25761DD9">
            <w:pPr>
              <w:pStyle w:val="14"/>
              <w:snapToGrid w:val="0"/>
              <w:spacing w:beforeLines="0" w:afterLines="0"/>
              <w:jc w:val="center"/>
              <w:rPr>
                <w:rFonts w:hint="eastAsia" w:ascii="仿宋" w:hAnsi="仿宋" w:eastAsia="仿宋" w:cs="仿宋"/>
                <w:color w:val="auto"/>
                <w:sz w:val="22"/>
                <w:szCs w:val="22"/>
                <w:highlight w:val="none"/>
                <w:u w:val="single"/>
              </w:rPr>
            </w:pPr>
          </w:p>
        </w:tc>
      </w:tr>
      <w:tr w14:paraId="30139C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643DA8A6">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65522508">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30EFB85C">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328D67C5">
            <w:pPr>
              <w:pStyle w:val="14"/>
              <w:snapToGrid w:val="0"/>
              <w:spacing w:beforeLines="0" w:afterLines="0"/>
              <w:jc w:val="center"/>
              <w:rPr>
                <w:rFonts w:hint="eastAsia" w:ascii="仿宋" w:hAnsi="仿宋" w:eastAsia="仿宋" w:cs="仿宋"/>
                <w:color w:val="auto"/>
                <w:sz w:val="22"/>
                <w:szCs w:val="22"/>
                <w:highlight w:val="none"/>
                <w:u w:val="single"/>
              </w:rPr>
            </w:pPr>
          </w:p>
        </w:tc>
      </w:tr>
      <w:tr w14:paraId="754996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1E72AED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100EB347">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6AE7CBB5">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4553111F">
            <w:pPr>
              <w:pStyle w:val="14"/>
              <w:snapToGrid w:val="0"/>
              <w:spacing w:beforeLines="0" w:afterLines="0"/>
              <w:jc w:val="center"/>
              <w:rPr>
                <w:rFonts w:hint="eastAsia" w:ascii="仿宋" w:hAnsi="仿宋" w:eastAsia="仿宋" w:cs="仿宋"/>
                <w:color w:val="auto"/>
                <w:sz w:val="22"/>
                <w:szCs w:val="22"/>
                <w:highlight w:val="none"/>
                <w:u w:val="single"/>
              </w:rPr>
            </w:pPr>
          </w:p>
        </w:tc>
      </w:tr>
    </w:tbl>
    <w:p w14:paraId="29019320">
      <w:pPr>
        <w:snapToGrid w:val="0"/>
        <w:spacing w:before="50" w:after="50" w:line="360" w:lineRule="auto"/>
        <w:ind w:left="-23" w:leftChars="-11" w:right="-57" w:rightChars="-27" w:firstLine="22" w:firstLineChars="1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注：根据磋商文件第二章 采购需求中的内容逐条响应；如全部响应的则在上表空白处填写“全部响应，无偏离”字样。</w:t>
      </w:r>
    </w:p>
    <w:p w14:paraId="59690927">
      <w:pPr>
        <w:pStyle w:val="9"/>
        <w:spacing w:line="360" w:lineRule="auto"/>
        <w:ind w:firstLine="0"/>
        <w:rPr>
          <w:rFonts w:hint="eastAsia" w:ascii="仿宋" w:hAnsi="仿宋" w:eastAsia="仿宋" w:cs="仿宋"/>
          <w:color w:val="auto"/>
          <w:kern w:val="0"/>
          <w:sz w:val="22"/>
          <w:szCs w:val="22"/>
          <w:highlight w:val="none"/>
        </w:rPr>
      </w:pPr>
    </w:p>
    <w:p w14:paraId="323AFBD8">
      <w:pPr>
        <w:pStyle w:val="9"/>
        <w:spacing w:line="360" w:lineRule="auto"/>
        <w:ind w:firstLine="0"/>
        <w:rPr>
          <w:rFonts w:hint="eastAsia" w:ascii="仿宋" w:hAnsi="仿宋" w:eastAsia="仿宋" w:cs="仿宋"/>
          <w:color w:val="auto"/>
          <w:kern w:val="0"/>
          <w:sz w:val="22"/>
          <w:szCs w:val="22"/>
          <w:highlight w:val="none"/>
        </w:rPr>
      </w:pPr>
    </w:p>
    <w:p w14:paraId="6E57439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1634DDF3">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A36F3A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57D1DE43">
      <w:pPr>
        <w:pStyle w:val="9"/>
        <w:widowControl/>
        <w:spacing w:line="360" w:lineRule="auto"/>
        <w:ind w:firstLine="0"/>
        <w:jc w:val="left"/>
        <w:rPr>
          <w:rFonts w:ascii="Arial" w:hAnsi="Arial" w:cs="Arial"/>
          <w:b/>
          <w:color w:val="auto"/>
          <w:szCs w:val="21"/>
          <w:highlight w:val="none"/>
        </w:rPr>
      </w:pPr>
    </w:p>
    <w:p w14:paraId="7D664268">
      <w:pPr>
        <w:rPr>
          <w:color w:val="auto"/>
          <w:highlight w:val="none"/>
        </w:rPr>
      </w:pPr>
    </w:p>
    <w:p w14:paraId="725E5EA0">
      <w:pPr>
        <w:pStyle w:val="28"/>
        <w:rPr>
          <w:rFonts w:hint="eastAsia" w:ascii="仿宋" w:hAnsi="仿宋" w:eastAsia="仿宋" w:cs="仿宋"/>
          <w:color w:val="auto"/>
          <w:sz w:val="22"/>
          <w:szCs w:val="22"/>
          <w:highlight w:val="none"/>
        </w:rPr>
      </w:pPr>
    </w:p>
    <w:p w14:paraId="396CB102">
      <w:pPr>
        <w:pStyle w:val="9"/>
        <w:widowControl/>
        <w:spacing w:line="360" w:lineRule="auto"/>
        <w:ind w:firstLine="0"/>
        <w:jc w:val="left"/>
        <w:rPr>
          <w:rFonts w:hint="eastAsia" w:ascii="仿宋" w:hAnsi="仿宋" w:eastAsia="仿宋" w:cs="仿宋"/>
          <w:color w:val="auto"/>
          <w:sz w:val="22"/>
          <w:szCs w:val="22"/>
          <w:highlight w:val="none"/>
        </w:rPr>
      </w:pPr>
      <w:r>
        <w:rPr>
          <w:rFonts w:hint="eastAsia" w:ascii="仿宋" w:hAnsi="仿宋" w:eastAsia="仿宋" w:cs="仿宋"/>
          <w:b/>
          <w:color w:val="auto"/>
          <w:sz w:val="22"/>
          <w:szCs w:val="21"/>
          <w:highlight w:val="none"/>
        </w:rPr>
        <w:t>格式十：</w:t>
      </w:r>
    </w:p>
    <w:p w14:paraId="31B3EA28">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拟派本项目人员配备汇总表</w:t>
      </w:r>
    </w:p>
    <w:tbl>
      <w:tblPr>
        <w:tblStyle w:val="21"/>
        <w:tblW w:w="9223" w:type="dxa"/>
        <w:tblInd w:w="-1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217"/>
        <w:gridCol w:w="720"/>
        <w:gridCol w:w="1620"/>
        <w:gridCol w:w="1000"/>
        <w:gridCol w:w="2180"/>
        <w:gridCol w:w="1660"/>
      </w:tblGrid>
      <w:tr w14:paraId="2E8E0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19B6B2ED">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1217" w:type="dxa"/>
            <w:noWrap w:val="0"/>
            <w:tcMar>
              <w:left w:w="28" w:type="dxa"/>
              <w:right w:w="28" w:type="dxa"/>
            </w:tcMar>
            <w:vAlign w:val="center"/>
          </w:tcPr>
          <w:p w14:paraId="3838CBEC">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姓名</w:t>
            </w:r>
          </w:p>
        </w:tc>
        <w:tc>
          <w:tcPr>
            <w:tcW w:w="720" w:type="dxa"/>
            <w:noWrap w:val="0"/>
            <w:tcMar>
              <w:left w:w="28" w:type="dxa"/>
              <w:right w:w="28" w:type="dxa"/>
            </w:tcMar>
            <w:vAlign w:val="center"/>
          </w:tcPr>
          <w:p w14:paraId="3AE33494">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年龄</w:t>
            </w:r>
          </w:p>
        </w:tc>
        <w:tc>
          <w:tcPr>
            <w:tcW w:w="1620" w:type="dxa"/>
            <w:noWrap w:val="0"/>
            <w:tcMar>
              <w:left w:w="28" w:type="dxa"/>
              <w:right w:w="28" w:type="dxa"/>
            </w:tcMar>
            <w:vAlign w:val="center"/>
          </w:tcPr>
          <w:p w14:paraId="75C7CE49">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身份证号码</w:t>
            </w:r>
          </w:p>
        </w:tc>
        <w:tc>
          <w:tcPr>
            <w:tcW w:w="1000" w:type="dxa"/>
            <w:noWrap w:val="0"/>
            <w:tcMar>
              <w:left w:w="28" w:type="dxa"/>
              <w:right w:w="28" w:type="dxa"/>
            </w:tcMar>
            <w:vAlign w:val="center"/>
          </w:tcPr>
          <w:p w14:paraId="47215142">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职称</w:t>
            </w:r>
          </w:p>
        </w:tc>
        <w:tc>
          <w:tcPr>
            <w:tcW w:w="2180" w:type="dxa"/>
            <w:noWrap w:val="0"/>
            <w:tcMar>
              <w:left w:w="28" w:type="dxa"/>
              <w:right w:w="28" w:type="dxa"/>
            </w:tcMar>
            <w:vAlign w:val="center"/>
          </w:tcPr>
          <w:p w14:paraId="5F645EAD">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本项目拟担任职务</w:t>
            </w:r>
          </w:p>
        </w:tc>
        <w:tc>
          <w:tcPr>
            <w:tcW w:w="1660" w:type="dxa"/>
            <w:noWrap w:val="0"/>
            <w:tcMar>
              <w:left w:w="28" w:type="dxa"/>
              <w:right w:w="28" w:type="dxa"/>
            </w:tcMar>
            <w:vAlign w:val="center"/>
          </w:tcPr>
          <w:p w14:paraId="37589277">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备注</w:t>
            </w:r>
          </w:p>
        </w:tc>
      </w:tr>
      <w:tr w14:paraId="42A20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6D6E68C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1217" w:type="dxa"/>
            <w:noWrap w:val="0"/>
            <w:tcMar>
              <w:left w:w="28" w:type="dxa"/>
              <w:right w:w="28" w:type="dxa"/>
            </w:tcMar>
            <w:vAlign w:val="center"/>
          </w:tcPr>
          <w:p w14:paraId="15413BE8">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1250EBAD">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5B32165D">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53F30031">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7EA34E07">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3204918F">
            <w:pPr>
              <w:snapToGrid w:val="0"/>
              <w:spacing w:line="440" w:lineRule="exact"/>
              <w:jc w:val="center"/>
              <w:rPr>
                <w:rFonts w:hint="eastAsia" w:ascii="仿宋" w:hAnsi="仿宋" w:eastAsia="仿宋" w:cs="仿宋"/>
                <w:color w:val="auto"/>
                <w:sz w:val="22"/>
                <w:szCs w:val="22"/>
                <w:highlight w:val="none"/>
              </w:rPr>
            </w:pPr>
          </w:p>
        </w:tc>
      </w:tr>
      <w:tr w14:paraId="6F5DD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1A20129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217" w:type="dxa"/>
            <w:noWrap w:val="0"/>
            <w:tcMar>
              <w:left w:w="28" w:type="dxa"/>
              <w:right w:w="28" w:type="dxa"/>
            </w:tcMar>
            <w:vAlign w:val="center"/>
          </w:tcPr>
          <w:p w14:paraId="1D95B273">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627168C7">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491CD3C5">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6DD4C284">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1B8AF085">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47497998">
            <w:pPr>
              <w:snapToGrid w:val="0"/>
              <w:spacing w:line="440" w:lineRule="exact"/>
              <w:jc w:val="center"/>
              <w:rPr>
                <w:rFonts w:hint="eastAsia" w:ascii="仿宋" w:hAnsi="仿宋" w:eastAsia="仿宋" w:cs="仿宋"/>
                <w:color w:val="auto"/>
                <w:sz w:val="22"/>
                <w:szCs w:val="22"/>
                <w:highlight w:val="none"/>
              </w:rPr>
            </w:pPr>
          </w:p>
        </w:tc>
      </w:tr>
      <w:tr w14:paraId="48849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157A4C5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217" w:type="dxa"/>
            <w:noWrap w:val="0"/>
            <w:tcMar>
              <w:left w:w="28" w:type="dxa"/>
              <w:right w:w="28" w:type="dxa"/>
            </w:tcMar>
            <w:vAlign w:val="center"/>
          </w:tcPr>
          <w:p w14:paraId="1B884738">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193AEA18">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35F25A6F">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050CF9D3">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0B987E82">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46AB787B">
            <w:pPr>
              <w:snapToGrid w:val="0"/>
              <w:spacing w:line="440" w:lineRule="exact"/>
              <w:jc w:val="center"/>
              <w:rPr>
                <w:rFonts w:hint="eastAsia" w:ascii="仿宋" w:hAnsi="仿宋" w:eastAsia="仿宋" w:cs="仿宋"/>
                <w:color w:val="auto"/>
                <w:sz w:val="22"/>
                <w:szCs w:val="22"/>
                <w:highlight w:val="none"/>
              </w:rPr>
            </w:pPr>
          </w:p>
        </w:tc>
      </w:tr>
      <w:tr w14:paraId="39CFE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00DADE8A">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217" w:type="dxa"/>
            <w:noWrap w:val="0"/>
            <w:tcMar>
              <w:left w:w="28" w:type="dxa"/>
              <w:right w:w="28" w:type="dxa"/>
            </w:tcMar>
            <w:vAlign w:val="center"/>
          </w:tcPr>
          <w:p w14:paraId="7E07EA40">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1B98498F">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5E40B26D">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2354A8E5">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53AD2B41">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4368881B">
            <w:pPr>
              <w:snapToGrid w:val="0"/>
              <w:spacing w:line="440" w:lineRule="exact"/>
              <w:jc w:val="center"/>
              <w:rPr>
                <w:rFonts w:hint="eastAsia" w:ascii="仿宋" w:hAnsi="仿宋" w:eastAsia="仿宋" w:cs="仿宋"/>
                <w:color w:val="auto"/>
                <w:sz w:val="22"/>
                <w:szCs w:val="22"/>
                <w:highlight w:val="none"/>
              </w:rPr>
            </w:pPr>
          </w:p>
        </w:tc>
      </w:tr>
      <w:tr w14:paraId="34DD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273AC50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1217" w:type="dxa"/>
            <w:noWrap w:val="0"/>
            <w:tcMar>
              <w:left w:w="28" w:type="dxa"/>
              <w:right w:w="28" w:type="dxa"/>
            </w:tcMar>
            <w:vAlign w:val="center"/>
          </w:tcPr>
          <w:p w14:paraId="72E63680">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47BBC2CF">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2DE8E0A9">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67B9D991">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4BF35291">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79AEB443">
            <w:pPr>
              <w:snapToGrid w:val="0"/>
              <w:spacing w:line="440" w:lineRule="exact"/>
              <w:jc w:val="center"/>
              <w:rPr>
                <w:rFonts w:hint="eastAsia" w:ascii="仿宋" w:hAnsi="仿宋" w:eastAsia="仿宋" w:cs="仿宋"/>
                <w:color w:val="auto"/>
                <w:sz w:val="22"/>
                <w:szCs w:val="22"/>
                <w:highlight w:val="none"/>
              </w:rPr>
            </w:pPr>
          </w:p>
        </w:tc>
      </w:tr>
      <w:tr w14:paraId="1401F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3C7B85D9">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1217" w:type="dxa"/>
            <w:noWrap w:val="0"/>
            <w:tcMar>
              <w:left w:w="28" w:type="dxa"/>
              <w:right w:w="28" w:type="dxa"/>
            </w:tcMar>
            <w:vAlign w:val="center"/>
          </w:tcPr>
          <w:p w14:paraId="75596A38">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300E5E41">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2445BE55">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7A33C296">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5E7C448A">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1F815DF7">
            <w:pPr>
              <w:snapToGrid w:val="0"/>
              <w:spacing w:line="440" w:lineRule="exact"/>
              <w:jc w:val="center"/>
              <w:rPr>
                <w:rFonts w:hint="eastAsia" w:ascii="仿宋" w:hAnsi="仿宋" w:eastAsia="仿宋" w:cs="仿宋"/>
                <w:color w:val="auto"/>
                <w:sz w:val="22"/>
                <w:szCs w:val="22"/>
                <w:highlight w:val="none"/>
              </w:rPr>
            </w:pPr>
          </w:p>
        </w:tc>
      </w:tr>
      <w:tr w14:paraId="31766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679F6017">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1217" w:type="dxa"/>
            <w:noWrap w:val="0"/>
            <w:tcMar>
              <w:left w:w="28" w:type="dxa"/>
              <w:right w:w="28" w:type="dxa"/>
            </w:tcMar>
            <w:vAlign w:val="center"/>
          </w:tcPr>
          <w:p w14:paraId="15ABB51B">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0DC0DAF6">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138CB3F5">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7AB2A387">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3244E00A">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5BF0906B">
            <w:pPr>
              <w:snapToGrid w:val="0"/>
              <w:spacing w:line="440" w:lineRule="exact"/>
              <w:jc w:val="center"/>
              <w:rPr>
                <w:rFonts w:hint="eastAsia" w:ascii="仿宋" w:hAnsi="仿宋" w:eastAsia="仿宋" w:cs="仿宋"/>
                <w:color w:val="auto"/>
                <w:sz w:val="22"/>
                <w:szCs w:val="22"/>
                <w:highlight w:val="none"/>
              </w:rPr>
            </w:pPr>
          </w:p>
        </w:tc>
      </w:tr>
      <w:tr w14:paraId="6874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7DA5E639">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217" w:type="dxa"/>
            <w:noWrap w:val="0"/>
            <w:tcMar>
              <w:left w:w="28" w:type="dxa"/>
              <w:right w:w="28" w:type="dxa"/>
            </w:tcMar>
            <w:vAlign w:val="center"/>
          </w:tcPr>
          <w:p w14:paraId="39C2DD8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720" w:type="dxa"/>
            <w:noWrap w:val="0"/>
            <w:tcMar>
              <w:left w:w="28" w:type="dxa"/>
              <w:right w:w="28" w:type="dxa"/>
            </w:tcMar>
            <w:vAlign w:val="center"/>
          </w:tcPr>
          <w:p w14:paraId="6D4F01A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620" w:type="dxa"/>
            <w:noWrap w:val="0"/>
            <w:tcMar>
              <w:left w:w="28" w:type="dxa"/>
              <w:right w:w="28" w:type="dxa"/>
            </w:tcMar>
            <w:vAlign w:val="center"/>
          </w:tcPr>
          <w:p w14:paraId="7A589C6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000" w:type="dxa"/>
            <w:noWrap w:val="0"/>
            <w:tcMar>
              <w:left w:w="28" w:type="dxa"/>
              <w:right w:w="28" w:type="dxa"/>
            </w:tcMar>
            <w:vAlign w:val="center"/>
          </w:tcPr>
          <w:p w14:paraId="5D2165D2">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2180" w:type="dxa"/>
            <w:noWrap w:val="0"/>
            <w:tcMar>
              <w:left w:w="28" w:type="dxa"/>
              <w:right w:w="28" w:type="dxa"/>
            </w:tcMar>
            <w:vAlign w:val="center"/>
          </w:tcPr>
          <w:p w14:paraId="43D1142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660" w:type="dxa"/>
            <w:noWrap w:val="0"/>
            <w:tcMar>
              <w:left w:w="28" w:type="dxa"/>
              <w:right w:w="28" w:type="dxa"/>
            </w:tcMar>
            <w:vAlign w:val="center"/>
          </w:tcPr>
          <w:p w14:paraId="34C1FD91">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r>
    </w:tbl>
    <w:p w14:paraId="2306955E">
      <w:pPr>
        <w:snapToGrid w:val="0"/>
        <w:spacing w:line="440" w:lineRule="exact"/>
        <w:ind w:left="356" w:hanging="356" w:hangingChars="161"/>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注：根据评分标准要求（如有）提供相关证明材料。</w:t>
      </w:r>
    </w:p>
    <w:p w14:paraId="05E36C95">
      <w:pPr>
        <w:snapToGrid w:val="0"/>
        <w:spacing w:line="440" w:lineRule="exact"/>
        <w:rPr>
          <w:rFonts w:hint="eastAsia" w:ascii="仿宋" w:hAnsi="仿宋" w:eastAsia="仿宋" w:cs="仿宋"/>
          <w:color w:val="auto"/>
          <w:sz w:val="22"/>
          <w:szCs w:val="22"/>
          <w:highlight w:val="none"/>
          <w:shd w:val="pct10" w:color="auto" w:fill="FFFFFF"/>
        </w:rPr>
      </w:pPr>
    </w:p>
    <w:p w14:paraId="5426246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1D15CB8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575E698E">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22CBE750">
      <w:pPr>
        <w:snapToGrid w:val="0"/>
        <w:spacing w:line="4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br w:type="page"/>
      </w:r>
      <w:r>
        <w:rPr>
          <w:rFonts w:hint="eastAsia" w:ascii="仿宋" w:hAnsi="仿宋" w:eastAsia="仿宋" w:cs="仿宋"/>
          <w:b/>
          <w:color w:val="auto"/>
          <w:sz w:val="22"/>
          <w:szCs w:val="21"/>
          <w:highlight w:val="none"/>
        </w:rPr>
        <w:t>格式十一：</w:t>
      </w:r>
    </w:p>
    <w:p w14:paraId="690DACEB">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拟派项目负责人简历表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150"/>
        <w:gridCol w:w="1824"/>
        <w:gridCol w:w="1278"/>
        <w:gridCol w:w="2008"/>
        <w:gridCol w:w="914"/>
        <w:gridCol w:w="1728"/>
      </w:tblGrid>
      <w:tr w14:paraId="39C8F4B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647D6DBB">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姓名</w:t>
            </w:r>
          </w:p>
        </w:tc>
        <w:tc>
          <w:tcPr>
            <w:tcW w:w="1824" w:type="dxa"/>
            <w:noWrap w:val="0"/>
            <w:vAlign w:val="center"/>
          </w:tcPr>
          <w:p w14:paraId="0AA8F4C7">
            <w:pPr>
              <w:snapToGrid w:val="0"/>
              <w:spacing w:line="440" w:lineRule="exact"/>
              <w:jc w:val="center"/>
              <w:rPr>
                <w:rFonts w:hint="eastAsia" w:ascii="仿宋" w:hAnsi="仿宋" w:eastAsia="仿宋" w:cs="仿宋"/>
                <w:b/>
                <w:color w:val="auto"/>
                <w:sz w:val="22"/>
                <w:szCs w:val="22"/>
                <w:highlight w:val="none"/>
              </w:rPr>
            </w:pPr>
          </w:p>
        </w:tc>
        <w:tc>
          <w:tcPr>
            <w:tcW w:w="1278" w:type="dxa"/>
            <w:noWrap w:val="0"/>
            <w:vAlign w:val="center"/>
          </w:tcPr>
          <w:p w14:paraId="78DADE94">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性别</w:t>
            </w:r>
          </w:p>
        </w:tc>
        <w:tc>
          <w:tcPr>
            <w:tcW w:w="2008" w:type="dxa"/>
            <w:noWrap w:val="0"/>
            <w:vAlign w:val="center"/>
          </w:tcPr>
          <w:p w14:paraId="542E4D65">
            <w:pPr>
              <w:snapToGrid w:val="0"/>
              <w:spacing w:line="440" w:lineRule="exact"/>
              <w:jc w:val="center"/>
              <w:rPr>
                <w:rFonts w:hint="eastAsia" w:ascii="仿宋" w:hAnsi="仿宋" w:eastAsia="仿宋" w:cs="仿宋"/>
                <w:color w:val="auto"/>
                <w:sz w:val="22"/>
                <w:szCs w:val="22"/>
                <w:highlight w:val="none"/>
              </w:rPr>
            </w:pPr>
          </w:p>
        </w:tc>
        <w:tc>
          <w:tcPr>
            <w:tcW w:w="914" w:type="dxa"/>
            <w:noWrap w:val="0"/>
            <w:vAlign w:val="center"/>
          </w:tcPr>
          <w:p w14:paraId="4AC4D36C">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年龄</w:t>
            </w:r>
          </w:p>
        </w:tc>
        <w:tc>
          <w:tcPr>
            <w:tcW w:w="1728" w:type="dxa"/>
            <w:noWrap w:val="0"/>
            <w:vAlign w:val="center"/>
          </w:tcPr>
          <w:p w14:paraId="65FA1A9A">
            <w:pPr>
              <w:snapToGrid w:val="0"/>
              <w:spacing w:line="440" w:lineRule="exact"/>
              <w:jc w:val="center"/>
              <w:rPr>
                <w:rFonts w:hint="eastAsia" w:ascii="仿宋" w:hAnsi="仿宋" w:eastAsia="仿宋" w:cs="仿宋"/>
                <w:b/>
                <w:color w:val="auto"/>
                <w:sz w:val="22"/>
                <w:szCs w:val="22"/>
                <w:highlight w:val="none"/>
              </w:rPr>
            </w:pPr>
          </w:p>
        </w:tc>
      </w:tr>
      <w:tr w14:paraId="015658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30490DD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职务</w:t>
            </w:r>
          </w:p>
        </w:tc>
        <w:tc>
          <w:tcPr>
            <w:tcW w:w="1824" w:type="dxa"/>
            <w:noWrap w:val="0"/>
            <w:vAlign w:val="center"/>
          </w:tcPr>
          <w:p w14:paraId="67A65F88">
            <w:pPr>
              <w:snapToGrid w:val="0"/>
              <w:spacing w:line="440" w:lineRule="exact"/>
              <w:jc w:val="center"/>
              <w:rPr>
                <w:rFonts w:hint="eastAsia" w:ascii="仿宋" w:hAnsi="仿宋" w:eastAsia="仿宋" w:cs="仿宋"/>
                <w:b/>
                <w:color w:val="auto"/>
                <w:sz w:val="22"/>
                <w:szCs w:val="22"/>
                <w:highlight w:val="none"/>
              </w:rPr>
            </w:pPr>
          </w:p>
        </w:tc>
        <w:tc>
          <w:tcPr>
            <w:tcW w:w="1278" w:type="dxa"/>
            <w:noWrap w:val="0"/>
            <w:vAlign w:val="center"/>
          </w:tcPr>
          <w:p w14:paraId="07BA427B">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技术职称</w:t>
            </w:r>
          </w:p>
        </w:tc>
        <w:tc>
          <w:tcPr>
            <w:tcW w:w="2008" w:type="dxa"/>
            <w:noWrap w:val="0"/>
            <w:vAlign w:val="center"/>
          </w:tcPr>
          <w:p w14:paraId="42D93BE6">
            <w:pPr>
              <w:snapToGrid w:val="0"/>
              <w:spacing w:line="440" w:lineRule="exact"/>
              <w:jc w:val="center"/>
              <w:rPr>
                <w:rFonts w:hint="eastAsia" w:ascii="仿宋" w:hAnsi="仿宋" w:eastAsia="仿宋" w:cs="仿宋"/>
                <w:color w:val="auto"/>
                <w:sz w:val="22"/>
                <w:szCs w:val="22"/>
                <w:highlight w:val="none"/>
              </w:rPr>
            </w:pPr>
          </w:p>
        </w:tc>
        <w:tc>
          <w:tcPr>
            <w:tcW w:w="914" w:type="dxa"/>
            <w:noWrap w:val="0"/>
            <w:vAlign w:val="center"/>
          </w:tcPr>
          <w:p w14:paraId="7E22185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学历</w:t>
            </w:r>
          </w:p>
        </w:tc>
        <w:tc>
          <w:tcPr>
            <w:tcW w:w="1728" w:type="dxa"/>
            <w:noWrap w:val="0"/>
            <w:vAlign w:val="center"/>
          </w:tcPr>
          <w:p w14:paraId="1B688712">
            <w:pPr>
              <w:snapToGrid w:val="0"/>
              <w:spacing w:line="440" w:lineRule="exact"/>
              <w:jc w:val="center"/>
              <w:rPr>
                <w:rFonts w:hint="eastAsia" w:ascii="仿宋" w:hAnsi="仿宋" w:eastAsia="仿宋" w:cs="仿宋"/>
                <w:b/>
                <w:color w:val="auto"/>
                <w:sz w:val="22"/>
                <w:szCs w:val="22"/>
                <w:highlight w:val="none"/>
              </w:rPr>
            </w:pPr>
          </w:p>
        </w:tc>
      </w:tr>
      <w:tr w14:paraId="002F26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F34E4C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参加工作</w:t>
            </w:r>
          </w:p>
          <w:p w14:paraId="7B18B8C5">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时间</w:t>
            </w:r>
          </w:p>
        </w:tc>
        <w:tc>
          <w:tcPr>
            <w:tcW w:w="3102" w:type="dxa"/>
            <w:gridSpan w:val="2"/>
            <w:noWrap w:val="0"/>
            <w:vAlign w:val="center"/>
          </w:tcPr>
          <w:p w14:paraId="70928561">
            <w:pPr>
              <w:snapToGrid w:val="0"/>
              <w:spacing w:line="440" w:lineRule="exact"/>
              <w:jc w:val="center"/>
              <w:rPr>
                <w:rFonts w:hint="eastAsia" w:ascii="仿宋" w:hAnsi="仿宋" w:eastAsia="仿宋" w:cs="仿宋"/>
                <w:b/>
                <w:color w:val="auto"/>
                <w:sz w:val="22"/>
                <w:szCs w:val="22"/>
                <w:highlight w:val="none"/>
              </w:rPr>
            </w:pPr>
          </w:p>
        </w:tc>
        <w:tc>
          <w:tcPr>
            <w:tcW w:w="2008" w:type="dxa"/>
            <w:noWrap w:val="0"/>
            <w:vAlign w:val="center"/>
          </w:tcPr>
          <w:p w14:paraId="216C4FB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取得技术职称时间</w:t>
            </w:r>
          </w:p>
        </w:tc>
        <w:tc>
          <w:tcPr>
            <w:tcW w:w="2642" w:type="dxa"/>
            <w:gridSpan w:val="2"/>
            <w:noWrap w:val="0"/>
            <w:vAlign w:val="center"/>
          </w:tcPr>
          <w:p w14:paraId="0A9922CB">
            <w:pPr>
              <w:snapToGrid w:val="0"/>
              <w:spacing w:line="440" w:lineRule="exact"/>
              <w:jc w:val="center"/>
              <w:rPr>
                <w:rFonts w:hint="eastAsia" w:ascii="仿宋" w:hAnsi="仿宋" w:eastAsia="仿宋" w:cs="仿宋"/>
                <w:b/>
                <w:color w:val="auto"/>
                <w:sz w:val="22"/>
                <w:szCs w:val="22"/>
                <w:highlight w:val="none"/>
              </w:rPr>
            </w:pPr>
          </w:p>
        </w:tc>
      </w:tr>
      <w:tr w14:paraId="1D5E57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8902" w:type="dxa"/>
            <w:gridSpan w:val="6"/>
            <w:noWrap w:val="0"/>
            <w:vAlign w:val="center"/>
          </w:tcPr>
          <w:p w14:paraId="3926B8D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主要工作经历</w:t>
            </w:r>
          </w:p>
        </w:tc>
      </w:tr>
      <w:tr w14:paraId="3B74FA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EB586D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时间</w:t>
            </w:r>
          </w:p>
        </w:tc>
        <w:tc>
          <w:tcPr>
            <w:tcW w:w="7752" w:type="dxa"/>
            <w:gridSpan w:val="5"/>
            <w:noWrap w:val="0"/>
            <w:vAlign w:val="center"/>
          </w:tcPr>
          <w:p w14:paraId="5634C7F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参加过的类似项目</w:t>
            </w:r>
          </w:p>
        </w:tc>
      </w:tr>
      <w:tr w14:paraId="18E37BF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005E2922">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2B24E649">
            <w:pPr>
              <w:snapToGrid w:val="0"/>
              <w:spacing w:line="440" w:lineRule="exact"/>
              <w:jc w:val="center"/>
              <w:rPr>
                <w:rFonts w:hint="eastAsia" w:ascii="仿宋" w:hAnsi="仿宋" w:eastAsia="仿宋" w:cs="仿宋"/>
                <w:b/>
                <w:color w:val="auto"/>
                <w:sz w:val="22"/>
                <w:szCs w:val="22"/>
                <w:highlight w:val="none"/>
              </w:rPr>
            </w:pPr>
          </w:p>
        </w:tc>
      </w:tr>
      <w:tr w14:paraId="366B39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13FF7D6C">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0A905B4E">
            <w:pPr>
              <w:snapToGrid w:val="0"/>
              <w:spacing w:line="440" w:lineRule="exact"/>
              <w:jc w:val="center"/>
              <w:rPr>
                <w:rFonts w:hint="eastAsia" w:ascii="仿宋" w:hAnsi="仿宋" w:eastAsia="仿宋" w:cs="仿宋"/>
                <w:b/>
                <w:color w:val="auto"/>
                <w:sz w:val="22"/>
                <w:szCs w:val="22"/>
                <w:highlight w:val="none"/>
              </w:rPr>
            </w:pPr>
          </w:p>
        </w:tc>
      </w:tr>
      <w:tr w14:paraId="5670EC8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DAA5FD8">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3AA93E12">
            <w:pPr>
              <w:snapToGrid w:val="0"/>
              <w:spacing w:line="440" w:lineRule="exact"/>
              <w:jc w:val="center"/>
              <w:rPr>
                <w:rFonts w:hint="eastAsia" w:ascii="仿宋" w:hAnsi="仿宋" w:eastAsia="仿宋" w:cs="仿宋"/>
                <w:b/>
                <w:color w:val="auto"/>
                <w:sz w:val="22"/>
                <w:szCs w:val="22"/>
                <w:highlight w:val="none"/>
              </w:rPr>
            </w:pPr>
          </w:p>
        </w:tc>
      </w:tr>
      <w:tr w14:paraId="33CBE8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7B3F74B">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32CAC53C">
            <w:pPr>
              <w:snapToGrid w:val="0"/>
              <w:spacing w:line="440" w:lineRule="exact"/>
              <w:jc w:val="center"/>
              <w:rPr>
                <w:rFonts w:hint="eastAsia" w:ascii="仿宋" w:hAnsi="仿宋" w:eastAsia="仿宋" w:cs="仿宋"/>
                <w:b/>
                <w:color w:val="auto"/>
                <w:sz w:val="22"/>
                <w:szCs w:val="22"/>
                <w:highlight w:val="none"/>
              </w:rPr>
            </w:pPr>
          </w:p>
        </w:tc>
      </w:tr>
      <w:tr w14:paraId="5AE97A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61751EE2">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66525224">
            <w:pPr>
              <w:snapToGrid w:val="0"/>
              <w:spacing w:line="440" w:lineRule="exact"/>
              <w:jc w:val="center"/>
              <w:rPr>
                <w:rFonts w:hint="eastAsia" w:ascii="仿宋" w:hAnsi="仿宋" w:eastAsia="仿宋" w:cs="仿宋"/>
                <w:b/>
                <w:color w:val="auto"/>
                <w:sz w:val="22"/>
                <w:szCs w:val="22"/>
                <w:highlight w:val="none"/>
              </w:rPr>
            </w:pPr>
          </w:p>
        </w:tc>
      </w:tr>
      <w:tr w14:paraId="0372FD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1873F043">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6F34CE6A">
            <w:pPr>
              <w:snapToGrid w:val="0"/>
              <w:spacing w:line="440" w:lineRule="exact"/>
              <w:jc w:val="center"/>
              <w:rPr>
                <w:rFonts w:hint="eastAsia" w:ascii="仿宋" w:hAnsi="仿宋" w:eastAsia="仿宋" w:cs="仿宋"/>
                <w:b/>
                <w:color w:val="auto"/>
                <w:sz w:val="22"/>
                <w:szCs w:val="22"/>
                <w:highlight w:val="none"/>
              </w:rPr>
            </w:pPr>
          </w:p>
        </w:tc>
      </w:tr>
      <w:tr w14:paraId="0056A2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1C5AB4AC">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650453C7">
            <w:pPr>
              <w:snapToGrid w:val="0"/>
              <w:spacing w:line="440" w:lineRule="exact"/>
              <w:jc w:val="center"/>
              <w:rPr>
                <w:rFonts w:hint="eastAsia" w:ascii="仿宋" w:hAnsi="仿宋" w:eastAsia="仿宋" w:cs="仿宋"/>
                <w:b/>
                <w:color w:val="auto"/>
                <w:sz w:val="22"/>
                <w:szCs w:val="22"/>
                <w:highlight w:val="none"/>
              </w:rPr>
            </w:pPr>
          </w:p>
        </w:tc>
      </w:tr>
      <w:tr w14:paraId="5CFDF2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2B4F90A">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3451F155">
            <w:pPr>
              <w:snapToGrid w:val="0"/>
              <w:spacing w:line="440" w:lineRule="exact"/>
              <w:jc w:val="center"/>
              <w:rPr>
                <w:rFonts w:hint="eastAsia" w:ascii="仿宋" w:hAnsi="仿宋" w:eastAsia="仿宋" w:cs="仿宋"/>
                <w:b/>
                <w:color w:val="auto"/>
                <w:sz w:val="22"/>
                <w:szCs w:val="22"/>
                <w:highlight w:val="none"/>
              </w:rPr>
            </w:pPr>
          </w:p>
        </w:tc>
      </w:tr>
    </w:tbl>
    <w:p w14:paraId="0954540E">
      <w:pPr>
        <w:snapToGrid w:val="0"/>
        <w:spacing w:line="440" w:lineRule="exact"/>
        <w:ind w:left="356" w:hanging="356" w:hangingChars="161"/>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注：根据评分标准要求（如有）提供相关证明材料。</w:t>
      </w:r>
    </w:p>
    <w:p w14:paraId="7749B5E6">
      <w:pPr>
        <w:snapToGrid w:val="0"/>
        <w:spacing w:line="440" w:lineRule="exact"/>
        <w:ind w:left="356" w:hanging="356" w:hangingChars="161"/>
        <w:jc w:val="left"/>
        <w:rPr>
          <w:rFonts w:hint="eastAsia" w:ascii="仿宋" w:hAnsi="仿宋" w:eastAsia="仿宋" w:cs="仿宋"/>
          <w:b/>
          <w:bCs/>
          <w:color w:val="auto"/>
          <w:sz w:val="22"/>
          <w:szCs w:val="22"/>
          <w:highlight w:val="none"/>
        </w:rPr>
      </w:pPr>
    </w:p>
    <w:p w14:paraId="52AF289E">
      <w:pPr>
        <w:snapToGrid w:val="0"/>
        <w:spacing w:line="440" w:lineRule="exact"/>
        <w:rPr>
          <w:rFonts w:hint="eastAsia" w:ascii="仿宋" w:hAnsi="仿宋" w:eastAsia="仿宋" w:cs="仿宋"/>
          <w:color w:val="auto"/>
          <w:sz w:val="22"/>
          <w:szCs w:val="22"/>
          <w:highlight w:val="none"/>
          <w:shd w:val="pct10" w:color="auto" w:fill="FFFFFF"/>
        </w:rPr>
      </w:pPr>
    </w:p>
    <w:p w14:paraId="5BC4368A">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FF1BD32">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5047D6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4A86E2E1">
      <w:pPr>
        <w:snapToGrid w:val="0"/>
        <w:spacing w:line="440" w:lineRule="exact"/>
        <w:ind w:firstLine="220" w:firstLineChars="100"/>
        <w:rPr>
          <w:rFonts w:hint="eastAsia" w:ascii="仿宋" w:hAnsi="仿宋" w:eastAsia="仿宋" w:cs="仿宋"/>
          <w:color w:val="auto"/>
          <w:sz w:val="22"/>
          <w:szCs w:val="22"/>
          <w:highlight w:val="none"/>
        </w:rPr>
      </w:pPr>
    </w:p>
    <w:p w14:paraId="5BB055FF">
      <w:pPr>
        <w:pStyle w:val="28"/>
        <w:rPr>
          <w:rFonts w:hint="eastAsia" w:ascii="仿宋" w:hAnsi="仿宋" w:eastAsia="仿宋" w:cs="仿宋"/>
          <w:color w:val="auto"/>
          <w:sz w:val="22"/>
          <w:szCs w:val="22"/>
          <w:highlight w:val="none"/>
        </w:rPr>
      </w:pPr>
    </w:p>
    <w:p w14:paraId="4EE22A72">
      <w:pPr>
        <w:snapToGrid w:val="0"/>
        <w:spacing w:line="440" w:lineRule="exact"/>
        <w:rPr>
          <w:rFonts w:hint="eastAsia" w:ascii="仿宋" w:hAnsi="仿宋" w:eastAsia="仿宋" w:cs="仿宋"/>
          <w:color w:val="auto"/>
          <w:sz w:val="22"/>
          <w:szCs w:val="22"/>
          <w:highlight w:val="none"/>
        </w:rPr>
      </w:pPr>
      <w:r>
        <w:rPr>
          <w:rFonts w:hint="eastAsia" w:ascii="仿宋" w:hAnsi="仿宋" w:eastAsia="仿宋" w:cs="仿宋"/>
          <w:b/>
          <w:color w:val="auto"/>
          <w:sz w:val="22"/>
          <w:szCs w:val="21"/>
          <w:highlight w:val="none"/>
        </w:rPr>
        <w:t>格式十二：</w:t>
      </w:r>
    </w:p>
    <w:p w14:paraId="01FD2A6C">
      <w:pPr>
        <w:pStyle w:val="28"/>
        <w:ind w:left="0" w:leftChars="0" w:firstLine="0"/>
        <w:rPr>
          <w:rFonts w:hint="eastAsia" w:ascii="仿宋" w:hAnsi="仿宋" w:eastAsia="仿宋" w:cs="仿宋"/>
          <w:color w:val="auto"/>
          <w:sz w:val="22"/>
          <w:szCs w:val="22"/>
          <w:highlight w:val="none"/>
        </w:rPr>
      </w:pPr>
    </w:p>
    <w:p w14:paraId="03C05F1C">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机械设备仪器配置表</w:t>
      </w:r>
    </w:p>
    <w:p w14:paraId="4C7B4908">
      <w:pPr>
        <w:pStyle w:val="31"/>
        <w:ind w:firstLine="440"/>
        <w:rPr>
          <w:rFonts w:hint="eastAsia" w:ascii="仿宋" w:hAnsi="仿宋" w:eastAsia="仿宋" w:cs="仿宋"/>
          <w:color w:val="auto"/>
          <w:sz w:val="22"/>
          <w:szCs w:val="22"/>
          <w:highlight w:val="none"/>
          <w:lang w:val="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076"/>
        <w:gridCol w:w="605"/>
        <w:gridCol w:w="2301"/>
        <w:gridCol w:w="1440"/>
        <w:gridCol w:w="1586"/>
      </w:tblGrid>
      <w:tr w14:paraId="46298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53E4AFD9">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序号</w:t>
            </w:r>
          </w:p>
        </w:tc>
        <w:tc>
          <w:tcPr>
            <w:tcW w:w="2076" w:type="dxa"/>
            <w:noWrap w:val="0"/>
            <w:tcMar>
              <w:left w:w="28" w:type="dxa"/>
              <w:right w:w="28" w:type="dxa"/>
            </w:tcMar>
            <w:vAlign w:val="center"/>
          </w:tcPr>
          <w:p w14:paraId="2E80908A">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设备名称</w:t>
            </w:r>
          </w:p>
        </w:tc>
        <w:tc>
          <w:tcPr>
            <w:tcW w:w="605" w:type="dxa"/>
            <w:noWrap w:val="0"/>
            <w:tcMar>
              <w:left w:w="28" w:type="dxa"/>
              <w:right w:w="28" w:type="dxa"/>
            </w:tcMar>
            <w:vAlign w:val="center"/>
          </w:tcPr>
          <w:p w14:paraId="09B7EC8D">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数量</w:t>
            </w:r>
          </w:p>
        </w:tc>
        <w:tc>
          <w:tcPr>
            <w:tcW w:w="2301" w:type="dxa"/>
            <w:noWrap w:val="0"/>
            <w:tcMar>
              <w:left w:w="28" w:type="dxa"/>
              <w:right w:w="28" w:type="dxa"/>
            </w:tcMar>
            <w:vAlign w:val="center"/>
          </w:tcPr>
          <w:p w14:paraId="28750E97">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品牌、型号规格</w:t>
            </w:r>
          </w:p>
        </w:tc>
        <w:tc>
          <w:tcPr>
            <w:tcW w:w="1440" w:type="dxa"/>
            <w:noWrap w:val="0"/>
            <w:tcMar>
              <w:left w:w="28" w:type="dxa"/>
              <w:right w:w="28" w:type="dxa"/>
            </w:tcMar>
            <w:vAlign w:val="center"/>
          </w:tcPr>
          <w:p w14:paraId="4D980D41">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用途</w:t>
            </w:r>
          </w:p>
        </w:tc>
        <w:tc>
          <w:tcPr>
            <w:tcW w:w="1586" w:type="dxa"/>
            <w:noWrap w:val="0"/>
            <w:tcMar>
              <w:left w:w="28" w:type="dxa"/>
              <w:right w:w="28" w:type="dxa"/>
            </w:tcMar>
            <w:vAlign w:val="center"/>
          </w:tcPr>
          <w:p w14:paraId="281C89CA">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备注</w:t>
            </w:r>
          </w:p>
          <w:p w14:paraId="7E706971">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（自有/租赁）</w:t>
            </w:r>
          </w:p>
        </w:tc>
      </w:tr>
      <w:tr w14:paraId="3D423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24F524D4">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D383769">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3F7E3DD">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0C3AB766">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731F871F">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5531A910">
            <w:pPr>
              <w:snapToGrid w:val="0"/>
              <w:jc w:val="center"/>
              <w:rPr>
                <w:rFonts w:hint="eastAsia" w:ascii="仿宋" w:hAnsi="仿宋" w:eastAsia="仿宋" w:cs="仿宋"/>
                <w:color w:val="auto"/>
                <w:sz w:val="22"/>
                <w:szCs w:val="22"/>
                <w:highlight w:val="none"/>
              </w:rPr>
            </w:pPr>
          </w:p>
        </w:tc>
      </w:tr>
      <w:tr w14:paraId="2036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6A65E537">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03E2FACC">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1DEC5AA9">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88A5F28">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0A1724D0">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0B84D768">
            <w:pPr>
              <w:snapToGrid w:val="0"/>
              <w:jc w:val="center"/>
              <w:rPr>
                <w:rFonts w:hint="eastAsia" w:ascii="仿宋" w:hAnsi="仿宋" w:eastAsia="仿宋" w:cs="仿宋"/>
                <w:color w:val="auto"/>
                <w:sz w:val="22"/>
                <w:szCs w:val="22"/>
                <w:highlight w:val="none"/>
              </w:rPr>
            </w:pPr>
          </w:p>
        </w:tc>
      </w:tr>
      <w:tr w14:paraId="0C111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6A0E48FB">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3A48B53E">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63DD5132">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37667CB">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4C36CF70">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43906596">
            <w:pPr>
              <w:snapToGrid w:val="0"/>
              <w:jc w:val="center"/>
              <w:rPr>
                <w:rFonts w:hint="eastAsia" w:ascii="仿宋" w:hAnsi="仿宋" w:eastAsia="仿宋" w:cs="仿宋"/>
                <w:color w:val="auto"/>
                <w:sz w:val="22"/>
                <w:szCs w:val="22"/>
                <w:highlight w:val="none"/>
              </w:rPr>
            </w:pPr>
          </w:p>
        </w:tc>
      </w:tr>
      <w:tr w14:paraId="51C64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1410F78D">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4987753B">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7454FE3E">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8872193">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6597370C">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06CD4AD7">
            <w:pPr>
              <w:snapToGrid w:val="0"/>
              <w:jc w:val="center"/>
              <w:rPr>
                <w:rFonts w:hint="eastAsia" w:ascii="仿宋" w:hAnsi="仿宋" w:eastAsia="仿宋" w:cs="仿宋"/>
                <w:color w:val="auto"/>
                <w:sz w:val="22"/>
                <w:szCs w:val="22"/>
                <w:highlight w:val="none"/>
              </w:rPr>
            </w:pPr>
          </w:p>
        </w:tc>
      </w:tr>
      <w:tr w14:paraId="17E69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7C85D1F6">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2AA4DE2E">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9E35F45">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65BA3F8C">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7594DCA7">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49EEDAB5">
            <w:pPr>
              <w:snapToGrid w:val="0"/>
              <w:jc w:val="center"/>
              <w:rPr>
                <w:rFonts w:hint="eastAsia" w:ascii="仿宋" w:hAnsi="仿宋" w:eastAsia="仿宋" w:cs="仿宋"/>
                <w:color w:val="auto"/>
                <w:sz w:val="22"/>
                <w:szCs w:val="22"/>
                <w:highlight w:val="none"/>
              </w:rPr>
            </w:pPr>
          </w:p>
        </w:tc>
      </w:tr>
      <w:tr w14:paraId="46DF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1367851D">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ADCA413">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7300E188">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FB82669">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4FB613C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3B16A7E8">
            <w:pPr>
              <w:snapToGrid w:val="0"/>
              <w:jc w:val="center"/>
              <w:rPr>
                <w:rFonts w:hint="eastAsia" w:ascii="仿宋" w:hAnsi="仿宋" w:eastAsia="仿宋" w:cs="仿宋"/>
                <w:color w:val="auto"/>
                <w:sz w:val="22"/>
                <w:szCs w:val="22"/>
                <w:highlight w:val="none"/>
              </w:rPr>
            </w:pPr>
          </w:p>
        </w:tc>
      </w:tr>
      <w:tr w14:paraId="7045D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4051720C">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004CDA46">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790B7FED">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57DB02CB">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3B69FC78">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7F19690B">
            <w:pPr>
              <w:snapToGrid w:val="0"/>
              <w:jc w:val="center"/>
              <w:rPr>
                <w:rFonts w:hint="eastAsia" w:ascii="仿宋" w:hAnsi="仿宋" w:eastAsia="仿宋" w:cs="仿宋"/>
                <w:color w:val="auto"/>
                <w:sz w:val="22"/>
                <w:szCs w:val="22"/>
                <w:highlight w:val="none"/>
              </w:rPr>
            </w:pPr>
          </w:p>
        </w:tc>
      </w:tr>
      <w:tr w14:paraId="5F6B7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68FDA91B">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1449614E">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373CF661">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652352EB">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01D85C94">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1828D48E">
            <w:pPr>
              <w:snapToGrid w:val="0"/>
              <w:jc w:val="center"/>
              <w:rPr>
                <w:rFonts w:hint="eastAsia" w:ascii="仿宋" w:hAnsi="仿宋" w:eastAsia="仿宋" w:cs="仿宋"/>
                <w:color w:val="auto"/>
                <w:sz w:val="22"/>
                <w:szCs w:val="22"/>
                <w:highlight w:val="none"/>
              </w:rPr>
            </w:pPr>
          </w:p>
        </w:tc>
      </w:tr>
      <w:tr w14:paraId="059C1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44B0E99D">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2CB7B33C">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3FAC44B6">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26A0D842">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183CE4FA">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3DE3A42D">
            <w:pPr>
              <w:snapToGrid w:val="0"/>
              <w:jc w:val="center"/>
              <w:rPr>
                <w:rFonts w:hint="eastAsia" w:ascii="仿宋" w:hAnsi="仿宋" w:eastAsia="仿宋" w:cs="仿宋"/>
                <w:color w:val="auto"/>
                <w:sz w:val="22"/>
                <w:szCs w:val="22"/>
                <w:highlight w:val="none"/>
              </w:rPr>
            </w:pPr>
          </w:p>
        </w:tc>
      </w:tr>
      <w:tr w14:paraId="58365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44537148">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2D4BBD4">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134205C6">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26FC874F">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617FF11C">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1020FEBA">
            <w:pPr>
              <w:snapToGrid w:val="0"/>
              <w:jc w:val="center"/>
              <w:rPr>
                <w:rFonts w:hint="eastAsia" w:ascii="仿宋" w:hAnsi="仿宋" w:eastAsia="仿宋" w:cs="仿宋"/>
                <w:color w:val="auto"/>
                <w:sz w:val="22"/>
                <w:szCs w:val="22"/>
                <w:highlight w:val="none"/>
              </w:rPr>
            </w:pPr>
          </w:p>
        </w:tc>
      </w:tr>
      <w:tr w14:paraId="1014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22AA8E1A">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9092396">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2868230D">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5C30C9C9">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2F894AC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5FEA2662">
            <w:pPr>
              <w:snapToGrid w:val="0"/>
              <w:jc w:val="center"/>
              <w:rPr>
                <w:rFonts w:hint="eastAsia" w:ascii="仿宋" w:hAnsi="仿宋" w:eastAsia="仿宋" w:cs="仿宋"/>
                <w:color w:val="auto"/>
                <w:sz w:val="22"/>
                <w:szCs w:val="22"/>
                <w:highlight w:val="none"/>
              </w:rPr>
            </w:pPr>
          </w:p>
        </w:tc>
      </w:tr>
      <w:tr w14:paraId="5B99E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313C5B58">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C570CEB">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51C6280">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6CD934C4">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326FE01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25A6713A">
            <w:pPr>
              <w:snapToGrid w:val="0"/>
              <w:jc w:val="center"/>
              <w:rPr>
                <w:rFonts w:hint="eastAsia" w:ascii="仿宋" w:hAnsi="仿宋" w:eastAsia="仿宋" w:cs="仿宋"/>
                <w:color w:val="auto"/>
                <w:sz w:val="22"/>
                <w:szCs w:val="22"/>
                <w:highlight w:val="none"/>
              </w:rPr>
            </w:pPr>
          </w:p>
        </w:tc>
      </w:tr>
      <w:tr w14:paraId="2B75B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72B4C8EC">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44FBF597">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09028D9E">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07D8B260">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0B5F47C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5667AB7D">
            <w:pPr>
              <w:snapToGrid w:val="0"/>
              <w:jc w:val="center"/>
              <w:rPr>
                <w:rFonts w:hint="eastAsia" w:ascii="仿宋" w:hAnsi="仿宋" w:eastAsia="仿宋" w:cs="仿宋"/>
                <w:color w:val="auto"/>
                <w:sz w:val="22"/>
                <w:szCs w:val="22"/>
                <w:highlight w:val="none"/>
              </w:rPr>
            </w:pPr>
          </w:p>
        </w:tc>
      </w:tr>
      <w:tr w14:paraId="43E85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3DBE0720">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322F3E06">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080C35F">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3067DB0">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243C7EF6">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402E7E77">
            <w:pPr>
              <w:snapToGrid w:val="0"/>
              <w:jc w:val="center"/>
              <w:rPr>
                <w:rFonts w:hint="eastAsia" w:ascii="仿宋" w:hAnsi="仿宋" w:eastAsia="仿宋" w:cs="仿宋"/>
                <w:color w:val="auto"/>
                <w:sz w:val="22"/>
                <w:szCs w:val="22"/>
                <w:highlight w:val="none"/>
              </w:rPr>
            </w:pPr>
          </w:p>
        </w:tc>
      </w:tr>
    </w:tbl>
    <w:p w14:paraId="7DE8B09E">
      <w:pPr>
        <w:adjustRightInd w:val="0"/>
        <w:snapToGrid w:val="0"/>
        <w:spacing w:before="50" w:after="50" w:line="360" w:lineRule="auto"/>
        <w:ind w:right="-817" w:rightChars="-389" w:firstLine="5060" w:firstLineChars="2300"/>
        <w:rPr>
          <w:rFonts w:hint="eastAsia" w:ascii="仿宋" w:hAnsi="仿宋" w:eastAsia="仿宋" w:cs="仿宋"/>
          <w:color w:val="auto"/>
          <w:sz w:val="22"/>
          <w:szCs w:val="22"/>
          <w:highlight w:val="none"/>
        </w:rPr>
      </w:pPr>
    </w:p>
    <w:p w14:paraId="2C4EE29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0287F317">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0CAC761C">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6C30D61A">
      <w:pPr>
        <w:pStyle w:val="9"/>
        <w:widowControl/>
        <w:spacing w:line="360" w:lineRule="auto"/>
        <w:ind w:firstLine="0"/>
        <w:jc w:val="left"/>
        <w:rPr>
          <w:rFonts w:hint="eastAsia" w:ascii="仿宋" w:hAnsi="仿宋" w:eastAsia="仿宋" w:cs="仿宋"/>
          <w:b/>
          <w:color w:val="auto"/>
          <w:sz w:val="21"/>
          <w:highlight w:val="none"/>
        </w:rPr>
      </w:pPr>
    </w:p>
    <w:p w14:paraId="463D6BBA">
      <w:pPr>
        <w:pStyle w:val="9"/>
        <w:widowControl/>
        <w:spacing w:line="360" w:lineRule="auto"/>
        <w:ind w:firstLine="0"/>
        <w:jc w:val="left"/>
        <w:rPr>
          <w:rFonts w:hint="eastAsia" w:ascii="仿宋" w:hAnsi="仿宋" w:eastAsia="仿宋" w:cs="仿宋"/>
          <w:b/>
          <w:color w:val="auto"/>
          <w:sz w:val="21"/>
          <w:highlight w:val="none"/>
        </w:rPr>
      </w:pPr>
    </w:p>
    <w:p w14:paraId="4D04219B">
      <w:pPr>
        <w:pStyle w:val="9"/>
        <w:widowControl/>
        <w:spacing w:line="360" w:lineRule="auto"/>
        <w:ind w:firstLine="0"/>
        <w:jc w:val="left"/>
        <w:rPr>
          <w:rFonts w:hint="eastAsia" w:ascii="仿宋" w:hAnsi="仿宋" w:eastAsia="仿宋" w:cs="仿宋"/>
          <w:b/>
          <w:color w:val="auto"/>
          <w:sz w:val="21"/>
          <w:highlight w:val="none"/>
        </w:rPr>
      </w:pPr>
    </w:p>
    <w:p w14:paraId="1C73762B">
      <w:pPr>
        <w:pStyle w:val="9"/>
        <w:widowControl/>
        <w:spacing w:line="360" w:lineRule="auto"/>
        <w:ind w:firstLine="0"/>
        <w:jc w:val="left"/>
        <w:rPr>
          <w:rFonts w:hint="eastAsia" w:ascii="仿宋" w:hAnsi="仿宋" w:eastAsia="仿宋" w:cs="仿宋"/>
          <w:b/>
          <w:color w:val="auto"/>
          <w:sz w:val="21"/>
          <w:highlight w:val="none"/>
        </w:rPr>
      </w:pPr>
    </w:p>
    <w:p w14:paraId="2AEA6ADF">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格式十三：</w:t>
      </w:r>
    </w:p>
    <w:p w14:paraId="6CAF60CD">
      <w:pPr>
        <w:pStyle w:val="9"/>
        <w:widowControl/>
        <w:spacing w:line="360" w:lineRule="auto"/>
        <w:ind w:firstLine="0"/>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投标人声明</w:t>
      </w:r>
    </w:p>
    <w:p w14:paraId="2F3793AD">
      <w:pPr>
        <w:pStyle w:val="9"/>
        <w:widowControl/>
        <w:spacing w:line="360" w:lineRule="auto"/>
        <w:ind w:firstLine="0"/>
        <w:jc w:val="center"/>
        <w:rPr>
          <w:rFonts w:hint="eastAsia" w:ascii="仿宋" w:hAnsi="仿宋" w:eastAsia="仿宋" w:cs="仿宋"/>
          <w:b/>
          <w:color w:val="auto"/>
          <w:highlight w:val="none"/>
        </w:rPr>
      </w:pPr>
    </w:p>
    <w:p w14:paraId="30D6DB09">
      <w:pPr>
        <w:pStyle w:val="9"/>
        <w:widowControl/>
        <w:spacing w:line="460" w:lineRule="exact"/>
        <w:ind w:firstLine="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致（采购代理机构）</w:t>
      </w:r>
      <w:r>
        <w:rPr>
          <w:rFonts w:hint="eastAsia" w:ascii="仿宋" w:hAnsi="仿宋" w:eastAsia="仿宋" w:cs="仿宋"/>
          <w:color w:val="auto"/>
          <w:sz w:val="22"/>
          <w:szCs w:val="22"/>
          <w:highlight w:val="none"/>
        </w:rPr>
        <w:t>：</w:t>
      </w:r>
    </w:p>
    <w:p w14:paraId="7E01E395">
      <w:pPr>
        <w:spacing w:line="440" w:lineRule="exact"/>
        <w:ind w:firstLine="440" w:firstLineChars="200"/>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(磋商响应方全称)授权</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（全名、职务）为全权代表，参加贵方组织的</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（竞争性磋商采购项目名称）（编号为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）竞争性磋商有关活动，并进行磋商。为此，签字代表宣布并承诺如下：磋商报价包括完成</w:t>
      </w:r>
      <w:r>
        <w:rPr>
          <w:rFonts w:hint="eastAsia" w:ascii="仿宋" w:hAnsi="仿宋" w:eastAsia="仿宋" w:cs="仿宋"/>
          <w:color w:val="auto"/>
          <w:sz w:val="22"/>
          <w:szCs w:val="22"/>
          <w:highlight w:val="none"/>
          <w:u w:val="single"/>
          <w:lang w:eastAsia="zh-CN"/>
        </w:rPr>
        <w:t>横街镇郑夹岙山塘、西南方山塘治漏排险工程</w:t>
      </w:r>
      <w:r>
        <w:rPr>
          <w:rFonts w:hint="eastAsia" w:ascii="仿宋" w:hAnsi="仿宋" w:eastAsia="仿宋" w:cs="仿宋"/>
          <w:color w:val="auto"/>
          <w:sz w:val="22"/>
          <w:szCs w:val="22"/>
          <w:highlight w:val="none"/>
        </w:rPr>
        <w:t>的所有费用。且本承诺亦适用我方的最终报价内容。</w:t>
      </w:r>
    </w:p>
    <w:p w14:paraId="1FA7D6FF">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并承诺如下：</w:t>
      </w:r>
    </w:p>
    <w:p w14:paraId="08C8DA7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1、提供磋商须知规定的全部磋商响应文件。</w:t>
      </w:r>
    </w:p>
    <w:p w14:paraId="6D53C25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2、磋商响应方承诺承担所发生的所有费用。</w:t>
      </w:r>
    </w:p>
    <w:p w14:paraId="0079C395">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3、磋商响应方已详细审查全部竞争性磋商文件，同意磋商响应须知的各项要求。</w:t>
      </w:r>
    </w:p>
    <w:p w14:paraId="5D42E433">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4、若成交，磋商响应方将按竞争性磋商文件规定履行合同责任和义务。</w:t>
      </w:r>
    </w:p>
    <w:p w14:paraId="2ED37AFC">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5、磋商响应文件自递交首次响应文件截止日起 120 天。</w:t>
      </w:r>
    </w:p>
    <w:p w14:paraId="5B67B379">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6、磋商响应方同意提供按照贵方可能要求的与其磋商响应有关的一切数据或资料，并保证其真实性、合法性。</w:t>
      </w:r>
    </w:p>
    <w:p w14:paraId="4B41103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7、我方与本竞争性磋商有关的一切正式来往通讯请寄：</w:t>
      </w:r>
    </w:p>
    <w:p w14:paraId="634C21B2">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地址：</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电话：</w:t>
      </w:r>
      <w:r>
        <w:rPr>
          <w:rFonts w:hint="eastAsia" w:ascii="仿宋" w:hAnsi="仿宋" w:eastAsia="仿宋" w:cs="仿宋"/>
          <w:color w:val="auto"/>
          <w:sz w:val="22"/>
          <w:szCs w:val="22"/>
          <w:highlight w:val="none"/>
          <w:u w:val="single"/>
        </w:rPr>
        <w:t xml:space="preserve">               </w:t>
      </w:r>
    </w:p>
    <w:p w14:paraId="1493B96E">
      <w:pPr>
        <w:spacing w:line="540" w:lineRule="exact"/>
        <w:jc w:val="right"/>
        <w:rPr>
          <w:rFonts w:hint="eastAsia" w:ascii="仿宋" w:hAnsi="仿宋" w:eastAsia="仿宋" w:cs="仿宋"/>
          <w:color w:val="auto"/>
          <w:sz w:val="22"/>
          <w:szCs w:val="22"/>
          <w:highlight w:val="none"/>
        </w:rPr>
      </w:pPr>
    </w:p>
    <w:p w14:paraId="13227B7E">
      <w:pPr>
        <w:pStyle w:val="6"/>
        <w:rPr>
          <w:rFonts w:hint="eastAsia" w:ascii="仿宋" w:hAnsi="仿宋" w:eastAsia="仿宋" w:cs="仿宋"/>
          <w:color w:val="auto"/>
          <w:sz w:val="22"/>
          <w:szCs w:val="22"/>
          <w:highlight w:val="none"/>
        </w:rPr>
      </w:pPr>
    </w:p>
    <w:p w14:paraId="036DDC3F">
      <w:pPr>
        <w:pStyle w:val="7"/>
        <w:ind w:firstLine="220"/>
        <w:rPr>
          <w:rFonts w:hint="eastAsia" w:ascii="仿宋" w:hAnsi="仿宋" w:eastAsia="仿宋" w:cs="仿宋"/>
          <w:color w:val="auto"/>
          <w:sz w:val="22"/>
          <w:szCs w:val="22"/>
          <w:highlight w:val="none"/>
        </w:rPr>
      </w:pPr>
    </w:p>
    <w:p w14:paraId="3A22899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797ABBDE">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C705C5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011DF5CD">
      <w:pPr>
        <w:pStyle w:val="28"/>
        <w:rPr>
          <w:rFonts w:hint="eastAsia" w:ascii="仿宋" w:hAnsi="仿宋" w:eastAsia="仿宋" w:cs="仿宋"/>
          <w:color w:val="auto"/>
          <w:sz w:val="22"/>
          <w:szCs w:val="22"/>
          <w:highlight w:val="none"/>
        </w:rPr>
      </w:pPr>
    </w:p>
    <w:p w14:paraId="18E587BA">
      <w:pPr>
        <w:pStyle w:val="9"/>
        <w:widowControl/>
        <w:spacing w:line="360" w:lineRule="auto"/>
        <w:ind w:firstLine="0"/>
        <w:jc w:val="left"/>
        <w:rPr>
          <w:rFonts w:hint="eastAsia" w:ascii="仿宋" w:hAnsi="仿宋" w:eastAsia="仿宋" w:cs="仿宋"/>
          <w:b/>
          <w:color w:val="auto"/>
          <w:sz w:val="21"/>
          <w:highlight w:val="none"/>
        </w:rPr>
      </w:pPr>
    </w:p>
    <w:p w14:paraId="2F2648A5">
      <w:pPr>
        <w:pStyle w:val="9"/>
        <w:widowControl/>
        <w:spacing w:line="360" w:lineRule="auto"/>
        <w:ind w:firstLine="0"/>
        <w:jc w:val="left"/>
        <w:rPr>
          <w:rFonts w:hint="eastAsia" w:ascii="仿宋" w:hAnsi="仿宋" w:eastAsia="仿宋" w:cs="仿宋"/>
          <w:b/>
          <w:color w:val="auto"/>
          <w:sz w:val="21"/>
          <w:highlight w:val="none"/>
        </w:rPr>
      </w:pPr>
    </w:p>
    <w:p w14:paraId="0D5C6D82">
      <w:pPr>
        <w:pStyle w:val="9"/>
        <w:widowControl/>
        <w:spacing w:line="360" w:lineRule="auto"/>
        <w:ind w:firstLine="0"/>
        <w:jc w:val="left"/>
        <w:rPr>
          <w:rFonts w:hint="eastAsia" w:ascii="仿宋" w:hAnsi="仿宋" w:eastAsia="仿宋" w:cs="仿宋"/>
          <w:b/>
          <w:color w:val="auto"/>
          <w:sz w:val="21"/>
          <w:highlight w:val="none"/>
        </w:rPr>
      </w:pPr>
    </w:p>
    <w:p w14:paraId="38747A6B">
      <w:pPr>
        <w:pStyle w:val="9"/>
        <w:widowControl/>
        <w:spacing w:line="360" w:lineRule="auto"/>
        <w:ind w:firstLine="0"/>
        <w:jc w:val="left"/>
        <w:rPr>
          <w:rFonts w:hint="eastAsia" w:ascii="仿宋" w:hAnsi="仿宋" w:eastAsia="仿宋" w:cs="仿宋"/>
          <w:b/>
          <w:color w:val="auto"/>
          <w:sz w:val="21"/>
          <w:highlight w:val="none"/>
        </w:rPr>
      </w:pPr>
    </w:p>
    <w:p w14:paraId="7F74D629">
      <w:pPr>
        <w:pStyle w:val="10"/>
        <w:ind w:left="0" w:leftChars="0" w:firstLine="0" w:firstLineChars="0"/>
        <w:rPr>
          <w:rFonts w:hint="eastAsia"/>
        </w:rPr>
      </w:pPr>
    </w:p>
    <w:p w14:paraId="11519F57">
      <w:pPr>
        <w:pStyle w:val="9"/>
        <w:widowControl/>
        <w:spacing w:line="360" w:lineRule="auto"/>
        <w:ind w:firstLine="0"/>
        <w:jc w:val="left"/>
        <w:rPr>
          <w:rFonts w:hint="eastAsia" w:ascii="仿宋" w:hAnsi="仿宋" w:eastAsia="仿宋" w:cs="仿宋"/>
          <w:b/>
          <w:color w:val="auto"/>
          <w:sz w:val="21"/>
          <w:highlight w:val="none"/>
        </w:rPr>
      </w:pPr>
      <w:r>
        <w:rPr>
          <w:rFonts w:hint="eastAsia" w:ascii="仿宋" w:hAnsi="仿宋" w:eastAsia="仿宋" w:cs="仿宋"/>
          <w:b/>
          <w:color w:val="auto"/>
          <w:sz w:val="21"/>
          <w:highlight w:val="none"/>
        </w:rPr>
        <w:t>格式十四：</w:t>
      </w:r>
    </w:p>
    <w:p w14:paraId="4E761455">
      <w:pPr>
        <w:pStyle w:val="9"/>
        <w:widowControl/>
        <w:spacing w:line="360" w:lineRule="auto"/>
        <w:ind w:firstLine="0"/>
        <w:jc w:val="left"/>
        <w:rPr>
          <w:rFonts w:hint="eastAsia" w:ascii="仿宋" w:hAnsi="仿宋" w:eastAsia="仿宋" w:cs="仿宋"/>
          <w:b/>
          <w:color w:val="auto"/>
          <w:sz w:val="21"/>
          <w:highlight w:val="none"/>
        </w:rPr>
      </w:pPr>
    </w:p>
    <w:p w14:paraId="5046AC23">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en-US" w:eastAsia="zh-CN"/>
        </w:rPr>
        <w:t>报价一览</w:t>
      </w:r>
      <w:r>
        <w:rPr>
          <w:rFonts w:hint="eastAsia" w:ascii="仿宋" w:hAnsi="仿宋" w:eastAsia="仿宋" w:cs="仿宋"/>
          <w:b/>
          <w:color w:val="auto"/>
          <w:spacing w:val="-4"/>
          <w:sz w:val="32"/>
          <w:szCs w:val="32"/>
          <w:highlight w:val="none"/>
          <w:lang w:val="zh-CN"/>
        </w:rPr>
        <w:t>表</w:t>
      </w:r>
    </w:p>
    <w:tbl>
      <w:tblPr>
        <w:tblStyle w:val="21"/>
        <w:tblpPr w:leftFromText="180" w:rightFromText="180" w:vertAnchor="text" w:horzAnchor="margin" w:tblpY="192"/>
        <w:tblW w:w="8392"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18"/>
        <w:gridCol w:w="6274"/>
      </w:tblGrid>
      <w:tr w14:paraId="48712B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118" w:type="dxa"/>
            <w:noWrap w:val="0"/>
            <w:vAlign w:val="center"/>
          </w:tcPr>
          <w:p w14:paraId="69742383">
            <w:pPr>
              <w:spacing w:line="300" w:lineRule="exact"/>
              <w:ind w:left="480" w:hanging="479" w:hangingChars="218"/>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项目名称</w:t>
            </w:r>
          </w:p>
        </w:tc>
        <w:tc>
          <w:tcPr>
            <w:tcW w:w="6274" w:type="dxa"/>
            <w:noWrap w:val="0"/>
            <w:vAlign w:val="center"/>
          </w:tcPr>
          <w:p w14:paraId="6C8BF092">
            <w:pPr>
              <w:spacing w:line="300" w:lineRule="exact"/>
              <w:ind w:left="480" w:hanging="479" w:hangingChars="218"/>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横街镇郑夹岙山塘、西南方山塘治漏排险工程</w:t>
            </w:r>
          </w:p>
        </w:tc>
      </w:tr>
      <w:tr w14:paraId="19B382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noWrap w:val="0"/>
            <w:vAlign w:val="center"/>
          </w:tcPr>
          <w:p w14:paraId="0A91B3B9">
            <w:pPr>
              <w:spacing w:line="300" w:lineRule="exact"/>
              <w:ind w:left="480" w:hanging="479" w:hangingChars="218"/>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磋商报价（元）</w:t>
            </w:r>
          </w:p>
        </w:tc>
        <w:tc>
          <w:tcPr>
            <w:tcW w:w="6274" w:type="dxa"/>
            <w:noWrap w:val="0"/>
            <w:vAlign w:val="center"/>
          </w:tcPr>
          <w:p w14:paraId="5032816D">
            <w:pPr>
              <w:spacing w:line="300" w:lineRule="exact"/>
              <w:ind w:left="480" w:hanging="479" w:hangingChars="218"/>
              <w:jc w:val="left"/>
              <w:rPr>
                <w:rFonts w:hint="eastAsia" w:ascii="仿宋" w:hAnsi="仿宋" w:eastAsia="仿宋" w:cs="仿宋"/>
                <w:color w:val="auto"/>
                <w:sz w:val="22"/>
                <w:szCs w:val="22"/>
                <w:highlight w:val="none"/>
              </w:rPr>
            </w:pPr>
          </w:p>
        </w:tc>
      </w:tr>
      <w:tr w14:paraId="721CF8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noWrap w:val="0"/>
            <w:vAlign w:val="center"/>
          </w:tcPr>
          <w:p w14:paraId="3C9EE163">
            <w:pPr>
              <w:spacing w:line="300" w:lineRule="exact"/>
              <w:ind w:left="480" w:hanging="479" w:hangingChars="218"/>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投标折扣率（%）</w:t>
            </w:r>
          </w:p>
        </w:tc>
        <w:tc>
          <w:tcPr>
            <w:tcW w:w="6274" w:type="dxa"/>
            <w:noWrap w:val="0"/>
            <w:vAlign w:val="center"/>
          </w:tcPr>
          <w:p w14:paraId="22D25D28">
            <w:pPr>
              <w:spacing w:line="300" w:lineRule="exact"/>
              <w:ind w:left="480" w:hanging="479" w:hangingChars="218"/>
              <w:jc w:val="left"/>
              <w:rPr>
                <w:rFonts w:hint="eastAsia" w:ascii="仿宋" w:hAnsi="仿宋" w:eastAsia="仿宋" w:cs="仿宋"/>
                <w:color w:val="auto"/>
                <w:sz w:val="22"/>
                <w:szCs w:val="22"/>
                <w:highlight w:val="none"/>
              </w:rPr>
            </w:pPr>
          </w:p>
        </w:tc>
      </w:tr>
      <w:tr w14:paraId="29BB2B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noWrap w:val="0"/>
            <w:vAlign w:val="center"/>
          </w:tcPr>
          <w:p w14:paraId="53157695">
            <w:pPr>
              <w:spacing w:line="300" w:lineRule="exact"/>
              <w:ind w:left="480" w:hanging="479" w:hangingChars="218"/>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合同履行期限</w:t>
            </w:r>
          </w:p>
        </w:tc>
        <w:tc>
          <w:tcPr>
            <w:tcW w:w="6274" w:type="dxa"/>
            <w:noWrap w:val="0"/>
            <w:vAlign w:val="center"/>
          </w:tcPr>
          <w:p w14:paraId="5B72C69B">
            <w:pPr>
              <w:spacing w:line="300" w:lineRule="exact"/>
              <w:ind w:left="480" w:hanging="479" w:hangingChars="218"/>
              <w:jc w:val="left"/>
              <w:rPr>
                <w:rFonts w:hint="eastAsia" w:ascii="仿宋" w:hAnsi="仿宋" w:eastAsia="仿宋" w:cs="仿宋"/>
                <w:color w:val="auto"/>
                <w:sz w:val="22"/>
                <w:szCs w:val="22"/>
                <w:highlight w:val="none"/>
              </w:rPr>
            </w:pPr>
          </w:p>
        </w:tc>
      </w:tr>
      <w:tr w14:paraId="4DC7EE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8392" w:type="dxa"/>
            <w:gridSpan w:val="2"/>
            <w:noWrap w:val="0"/>
            <w:vAlign w:val="center"/>
          </w:tcPr>
          <w:p w14:paraId="2B9DC516">
            <w:pPr>
              <w:spacing w:line="300" w:lineRule="exact"/>
              <w:ind w:left="480" w:hanging="479" w:hangingChars="218"/>
              <w:jc w:val="left"/>
              <w:rPr>
                <w:rFonts w:hint="default" w:ascii="仿宋" w:hAnsi="仿宋" w:eastAsia="仿宋" w:cs="仿宋"/>
                <w:color w:val="auto"/>
                <w:sz w:val="22"/>
                <w:szCs w:val="22"/>
                <w:highlight w:val="none"/>
                <w:lang w:val="en-US" w:eastAsia="zh-CN" w:bidi="ar"/>
              </w:rPr>
            </w:pPr>
            <w:r>
              <w:rPr>
                <w:rFonts w:hint="eastAsia" w:ascii="仿宋" w:hAnsi="仿宋" w:eastAsia="仿宋" w:cs="仿宋"/>
                <w:color w:val="auto"/>
                <w:sz w:val="22"/>
                <w:szCs w:val="22"/>
                <w:highlight w:val="none"/>
                <w:lang w:val="en-US" w:eastAsia="zh-CN" w:bidi="ar"/>
              </w:rPr>
              <w:t>注：1、磋商报价保留至整数位</w:t>
            </w:r>
          </w:p>
          <w:p w14:paraId="68DFBA41">
            <w:pPr>
              <w:spacing w:line="300" w:lineRule="exact"/>
              <w:ind w:left="480" w:hanging="479" w:hangingChars="218"/>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bidi="ar"/>
              </w:rPr>
              <w:t>2、投标折扣率=（磋商报价-预留金-暂定价）/（最高限价-预留金-暂定价）*100%,(%号前保留两位小数）</w:t>
            </w:r>
          </w:p>
        </w:tc>
      </w:tr>
    </w:tbl>
    <w:p w14:paraId="0C155C1A">
      <w:pPr>
        <w:snapToGrid w:val="0"/>
        <w:spacing w:before="50" w:after="50"/>
        <w:ind w:left="-23" w:leftChars="-11" w:right="27" w:rightChars="13" w:firstLine="21" w:firstLineChars="1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注:★</w:t>
      </w:r>
      <w:r>
        <w:rPr>
          <w:rFonts w:hint="eastAsia" w:ascii="仿宋" w:hAnsi="仿宋" w:eastAsia="仿宋" w:cs="仿宋"/>
          <w:color w:val="auto"/>
          <w:szCs w:val="21"/>
          <w:highlight w:val="none"/>
        </w:rPr>
        <w:t>1、有关本项目实施所需的所有费用（含税费）均计入报价。本项目包含但不限于完成服务所需的人员工资、福利、劳动保障、劳保用品、车辆、机械工具及其维修、迎检加班和突发处置费用等作业成本以及适当的管理费用、利润、税金、风险（保险、处理一切伤亡事故等费用）、成交服务费等与本项目有关的一切费用。</w:t>
      </w:r>
    </w:p>
    <w:p w14:paraId="14FD9D7D">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本次报价形式：固定单价，可调总价。</w:t>
      </w:r>
    </w:p>
    <w:p w14:paraId="11E6BE8D">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工程合同综合单价应以采购人磋商时提供的预算编制报告为基础，按中标下浮率（合同下浮率）进行浮动后的价格（其中：暂定价项目除外，暂定价项目投标报价时应与采购人约定的相一致，合同结算办法详见合同专用条款）。</w:t>
      </w:r>
    </w:p>
    <w:p w14:paraId="6746DF7B">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*所有有效供应商应在规定时间内（第二次报价开启后的30分钟内）在线提交第二次报价（即最终报价），磋商小组以第二次报价（即最终报价）作为价格评议的标准。</w:t>
      </w:r>
    </w:p>
    <w:p w14:paraId="470E93EC">
      <w:pPr>
        <w:snapToGrid w:val="0"/>
        <w:spacing w:before="50" w:after="50"/>
        <w:ind w:left="-23" w:leftChars="-11" w:right="27" w:rightChars="13" w:firstLine="21" w:firstLineChars="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2、报价一经涂改，应在涂改处加盖投标人公章或者由法定代表人（负责人）或授权代表签字或盖章。</w:t>
      </w:r>
    </w:p>
    <w:p w14:paraId="04BC3E99">
      <w:pPr>
        <w:rPr>
          <w:rFonts w:hint="eastAsia" w:ascii="仿宋" w:hAnsi="仿宋" w:eastAsia="仿宋" w:cs="仿宋"/>
          <w:color w:val="auto"/>
          <w:szCs w:val="21"/>
          <w:highlight w:val="none"/>
        </w:rPr>
      </w:pPr>
      <w:r>
        <w:rPr>
          <w:rFonts w:hint="eastAsia" w:ascii="仿宋" w:hAnsi="仿宋" w:eastAsia="仿宋" w:cs="仿宋"/>
          <w:color w:val="auto"/>
          <w:highlight w:val="none"/>
        </w:rPr>
        <w:t>3、</w:t>
      </w:r>
      <w:r>
        <w:rPr>
          <w:rFonts w:hint="eastAsia" w:ascii="仿宋" w:hAnsi="仿宋" w:eastAsia="仿宋" w:cs="仿宋"/>
          <w:color w:val="auto"/>
          <w:sz w:val="22"/>
          <w:szCs w:val="22"/>
          <w:highlight w:val="none"/>
        </w:rPr>
        <w:t>不可竞争费(暂估价(建筑渣土处置费)、预留金)不参与下浮。</w:t>
      </w:r>
    </w:p>
    <w:p w14:paraId="7F1ABE9E">
      <w:pPr>
        <w:pStyle w:val="10"/>
        <w:ind w:firstLine="440"/>
        <w:rPr>
          <w:rFonts w:hint="eastAsia" w:ascii="仿宋" w:hAnsi="仿宋" w:eastAsia="仿宋" w:cs="仿宋"/>
          <w:color w:val="auto"/>
          <w:sz w:val="22"/>
          <w:szCs w:val="22"/>
          <w:highlight w:val="none"/>
        </w:rPr>
      </w:pPr>
    </w:p>
    <w:p w14:paraId="1EF5AF38">
      <w:pPr>
        <w:rPr>
          <w:rFonts w:hint="eastAsia" w:ascii="仿宋" w:hAnsi="仿宋" w:eastAsia="仿宋" w:cs="仿宋"/>
          <w:color w:val="auto"/>
          <w:sz w:val="22"/>
          <w:szCs w:val="28"/>
          <w:highlight w:val="none"/>
        </w:rPr>
      </w:pPr>
    </w:p>
    <w:p w14:paraId="07B8E7A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26059884">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AE8D533">
      <w:pPr>
        <w:snapToGrid w:val="0"/>
        <w:spacing w:before="50" w:after="50" w:line="440" w:lineRule="exact"/>
        <w:ind w:left="57" w:leftChars="27" w:right="-817" w:rightChars="-389" w:firstLine="4254" w:firstLineChars="1934"/>
      </w:pPr>
      <w:r>
        <w:rPr>
          <w:rFonts w:hint="eastAsia" w:ascii="仿宋" w:hAnsi="仿宋" w:eastAsia="仿宋" w:cs="仿宋"/>
          <w:color w:val="auto"/>
          <w:sz w:val="22"/>
          <w:szCs w:val="22"/>
          <w:highlight w:val="none"/>
        </w:rPr>
        <w:t>日期：    年   月    日</w:t>
      </w:r>
    </w:p>
    <w:sectPr>
      <w:headerReference r:id="rId10" w:type="first"/>
      <w:footerReference r:id="rId12" w:type="first"/>
      <w:headerReference r:id="rId9" w:type="default"/>
      <w:footerReference r:id="rId11" w:type="default"/>
      <w:pgSz w:w="11906" w:h="16838"/>
      <w:pgMar w:top="1474" w:right="1797" w:bottom="1247" w:left="1797"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roma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4D301">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6698D">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513599">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37513599">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D7230">
    <w:pPr>
      <w:pStyle w:val="16"/>
      <w:ind w:right="360"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A2BD35">
                          <w:pPr>
                            <w:pStyle w:val="16"/>
                            <w:jc w:val="center"/>
                            <w:rPr>
                              <w:rStyle w:val="24"/>
                            </w:rPr>
                          </w:pPr>
                          <w:r>
                            <w:fldChar w:fldCharType="begin"/>
                          </w:r>
                          <w:r>
                            <w:rPr>
                              <w:rStyle w:val="24"/>
                            </w:rPr>
                            <w:instrText xml:space="preserve">PAGE  </w:instrText>
                          </w:r>
                          <w:r>
                            <w:fldChar w:fldCharType="separate"/>
                          </w:r>
                          <w:r>
                            <w:rPr>
                              <w:rStyle w:val="24"/>
                            </w:rPr>
                            <w:t>35</w:t>
                          </w:r>
                          <w: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WaT2QNIA&#10;AAAFAQAADwAAAAAAAAABACAAAAAiAAAAZHJzL2Rvd25yZXYueG1sUEsBAhQAFAAAAAgAh07iQOi6&#10;YQizAQAAcwMAAA4AAAAAAAAAAQAgAAAAIQEAAGRycy9lMm9Eb2MueG1sUEsFBgAAAAAGAAYAWQEA&#10;AEYFAAAAAA==&#10;">
              <v:fill on="f" focussize="0,0"/>
              <v:stroke on="f"/>
              <v:imagedata o:title=""/>
              <o:lock v:ext="edit" aspectratio="f"/>
              <v:textbox inset="0mm,0mm,0mm,0mm">
                <w:txbxContent>
                  <w:p w14:paraId="34A2BD35">
                    <w:pPr>
                      <w:pStyle w:val="16"/>
                      <w:jc w:val="center"/>
                      <w:rPr>
                        <w:rStyle w:val="24"/>
                      </w:rPr>
                    </w:pPr>
                    <w:r>
                      <w:fldChar w:fldCharType="begin"/>
                    </w:r>
                    <w:r>
                      <w:rPr>
                        <w:rStyle w:val="24"/>
                      </w:rPr>
                      <w:instrText xml:space="preserve">PAGE  </w:instrText>
                    </w:r>
                    <w:r>
                      <w:fldChar w:fldCharType="separate"/>
                    </w:r>
                    <w:r>
                      <w:rPr>
                        <w:rStyle w:val="24"/>
                      </w:rPr>
                      <w:t>35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1D3E9">
    <w:pPr>
      <w:pStyle w:val="16"/>
      <w:jc w:val="center"/>
    </w:pPr>
    <w:r>
      <w:rPr>
        <w:snapToGrid w:val="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F03E4B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24</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6mDjrR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OOQy9wP/4RBxnDxl6jDCTo3x7TLPac/Scjz1c9Xjv7X5&#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epg460QEAAKMDAAAOAAAAAAAAAAEAIAAAACIB&#10;AABkcnMvZTJvRG9jLnhtbFBLBQYAAAAABgAGAFkBAABlBQAAAAA=&#10;">
              <v:fill on="f" focussize="0,0"/>
              <v:stroke on="f" weight="1.25pt"/>
              <v:imagedata o:title=""/>
              <o:lock v:ext="edit" aspectratio="f"/>
              <v:textbox inset="0mm,0mm,0mm,0mm" style="mso-fit-shape-to-text:t;">
                <w:txbxContent>
                  <w:p w14:paraId="6F03E4B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24</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846EF">
    <w:pPr>
      <w:pStyle w:val="17"/>
      <w:pBdr>
        <w:bottom w:val="none" w:color="auto" w:sz="0" w:space="4"/>
      </w:pBdr>
      <w:jc w:val="right"/>
      <w:rPr>
        <w:rFonts w:hint="eastAsia" w:eastAsia="宋体"/>
      </w:rPr>
    </w:pPr>
    <w:r>
      <w:t></w:t>
    </w:r>
    <w:r>
      <w:rPr>
        <w:rFonts w:hint="eastAsia"/>
      </w:rPr>
      <w:t xml:space="preserve">         </w:t>
    </w:r>
  </w:p>
  <w:p w14:paraId="4B52B175">
    <w:pPr>
      <w:pStyle w:val="2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FE9CA">
    <w:pPr>
      <w:pStyle w:val="17"/>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9B999">
    <w:pPr>
      <w:pStyle w:val="1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BFF34">
    <w:pPr>
      <w:pStyle w:val="17"/>
      <w:pBdr>
        <w:bottom w:val="none" w:color="auto" w:sz="0" w:space="1"/>
      </w:pBdr>
      <w:jc w:val="right"/>
      <w:rPr>
        <w:rFonts w:ascii="仿宋_GB2312"/>
        <w:b/>
        <w:i/>
        <w:u w:val="single"/>
      </w:rPr>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4B379">
    <w:pPr>
      <w:pStyle w:val="17"/>
      <w:pBdr>
        <w:bottom w:val="none" w:color="auto" w:sz="0" w:space="0"/>
      </w:pBdr>
      <w:jc w:val="both"/>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C493F">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5A0AD9"/>
    <w:multiLevelType w:val="singleLevel"/>
    <w:tmpl w:val="C95A0AD9"/>
    <w:lvl w:ilvl="0" w:tentative="0">
      <w:start w:val="1"/>
      <w:numFmt w:val="decimal"/>
      <w:suff w:val="nothing"/>
      <w:lvlText w:val="（%1）"/>
      <w:lvlJc w:val="left"/>
    </w:lvl>
  </w:abstractNum>
  <w:abstractNum w:abstractNumId="1">
    <w:nsid w:val="CAD3ADD1"/>
    <w:multiLevelType w:val="singleLevel"/>
    <w:tmpl w:val="CAD3ADD1"/>
    <w:lvl w:ilvl="0" w:tentative="0">
      <w:start w:val="6"/>
      <w:numFmt w:val="decimal"/>
      <w:suff w:val="nothing"/>
      <w:lvlText w:val="（%1）"/>
      <w:lvlJc w:val="left"/>
    </w:lvl>
  </w:abstractNum>
  <w:abstractNum w:abstractNumId="2">
    <w:nsid w:val="0000002B"/>
    <w:multiLevelType w:val="singleLevel"/>
    <w:tmpl w:val="0000002B"/>
    <w:lvl w:ilvl="0" w:tentative="0">
      <w:start w:val="2"/>
      <w:numFmt w:val="decimal"/>
      <w:suff w:val="nothing"/>
      <w:lvlText w:val="%1."/>
      <w:lvlJc w:val="left"/>
    </w:lvl>
  </w:abstractNum>
  <w:abstractNum w:abstractNumId="3">
    <w:nsid w:val="024FC00A"/>
    <w:multiLevelType w:val="singleLevel"/>
    <w:tmpl w:val="024FC00A"/>
    <w:lvl w:ilvl="0" w:tentative="0">
      <w:start w:val="1"/>
      <w:numFmt w:val="decimal"/>
      <w:suff w:val="nothing"/>
      <w:lvlText w:val="（%1）"/>
      <w:lvlJc w:val="left"/>
    </w:lvl>
  </w:abstractNum>
  <w:abstractNum w:abstractNumId="4">
    <w:nsid w:val="22EE8D19"/>
    <w:multiLevelType w:val="singleLevel"/>
    <w:tmpl w:val="22EE8D19"/>
    <w:lvl w:ilvl="0" w:tentative="0">
      <w:start w:val="1"/>
      <w:numFmt w:val="decimal"/>
      <w:pStyle w:val="4"/>
      <w:lvlText w:val="%1."/>
      <w:lvlJc w:val="left"/>
      <w:pPr>
        <w:tabs>
          <w:tab w:val="left" w:pos="360"/>
        </w:tabs>
        <w:ind w:left="360" w:hanging="360"/>
      </w:pPr>
    </w:lvl>
  </w:abstractNum>
  <w:abstractNum w:abstractNumId="5">
    <w:nsid w:val="36FA2637"/>
    <w:multiLevelType w:val="singleLevel"/>
    <w:tmpl w:val="36FA2637"/>
    <w:lvl w:ilvl="0" w:tentative="0">
      <w:start w:val="1"/>
      <w:numFmt w:val="decimal"/>
      <w:suff w:val="nothing"/>
      <w:lvlText w:val="（%1）"/>
      <w:lvlJc w:val="left"/>
    </w:lvl>
  </w:abstractNum>
  <w:abstractNum w:abstractNumId="6">
    <w:nsid w:val="65A415F5"/>
    <w:multiLevelType w:val="multilevel"/>
    <w:tmpl w:val="65A415F5"/>
    <w:lvl w:ilvl="0" w:tentative="0">
      <w:start w:val="1"/>
      <w:numFmt w:val="japaneseCounting"/>
      <w:lvlText w:val="（%1）"/>
      <w:lvlJc w:val="left"/>
      <w:pPr>
        <w:tabs>
          <w:tab w:val="left" w:pos="720"/>
        </w:tabs>
        <w:ind w:left="720" w:hanging="720"/>
      </w:pPr>
      <w:rPr>
        <w:rFonts w:hint="eastAsia"/>
      </w:rPr>
    </w:lvl>
    <w:lvl w:ilvl="1" w:tentative="0">
      <w:start w:val="1"/>
      <w:numFmt w:val="decimal"/>
      <w:lvlText w:val="（%2）"/>
      <w:lvlJc w:val="left"/>
      <w:pPr>
        <w:tabs>
          <w:tab w:val="left" w:pos="1140"/>
        </w:tabs>
        <w:ind w:left="1140" w:hanging="72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japaneseCounting"/>
      <w:lvlText w:val="%4、"/>
      <w:lvlJc w:val="left"/>
      <w:pPr>
        <w:tabs>
          <w:tab w:val="left" w:pos="1740"/>
        </w:tabs>
        <w:ind w:left="1740" w:hanging="48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5C868F0"/>
    <w:multiLevelType w:val="multilevel"/>
    <w:tmpl w:val="65C868F0"/>
    <w:lvl w:ilvl="0" w:tentative="0">
      <w:start w:val="1"/>
      <w:numFmt w:val="japaneseCounting"/>
      <w:lvlText w:val="（%1）"/>
      <w:lvlJc w:val="left"/>
      <w:pPr>
        <w:tabs>
          <w:tab w:val="left" w:pos="971"/>
        </w:tabs>
        <w:ind w:left="971" w:hanging="720"/>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6D180FEC"/>
    <w:multiLevelType w:val="multilevel"/>
    <w:tmpl w:val="6D180FEC"/>
    <w:lvl w:ilvl="0" w:tentative="0">
      <w:start w:val="1"/>
      <w:numFmt w:val="japaneseCounting"/>
      <w:lvlText w:val="第%1条"/>
      <w:lvlJc w:val="left"/>
      <w:pPr>
        <w:tabs>
          <w:tab w:val="left" w:pos="1562"/>
        </w:tabs>
        <w:ind w:left="1562" w:hanging="10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num w:numId="1">
    <w:abstractNumId w:val="4"/>
  </w:num>
  <w:num w:numId="2">
    <w:abstractNumId w:val="0"/>
  </w:num>
  <w:num w:numId="3">
    <w:abstractNumId w:val="2"/>
  </w:num>
  <w:num w:numId="4">
    <w:abstractNumId w:val="5"/>
  </w:num>
  <w:num w:numId="5">
    <w:abstractNumId w:val="1"/>
  </w:num>
  <w:num w:numId="6">
    <w:abstractNumId w:val="3"/>
  </w:num>
  <w:num w:numId="7">
    <w:abstractNumId w:val="7"/>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hlZWJmYTVmOGFlNTNiYjMxYmFmOTE0ODlmZWJlODIifQ=="/>
  </w:docVars>
  <w:rsids>
    <w:rsidRoot w:val="643B6D8E"/>
    <w:rsid w:val="00757B9E"/>
    <w:rsid w:val="00D26D9F"/>
    <w:rsid w:val="0112363F"/>
    <w:rsid w:val="014C4DA3"/>
    <w:rsid w:val="02331ABF"/>
    <w:rsid w:val="046614B4"/>
    <w:rsid w:val="0543026B"/>
    <w:rsid w:val="0790350F"/>
    <w:rsid w:val="09EA04C9"/>
    <w:rsid w:val="0B9730BE"/>
    <w:rsid w:val="0BDC4F75"/>
    <w:rsid w:val="0C2506CA"/>
    <w:rsid w:val="0C7B478E"/>
    <w:rsid w:val="0ED65CAC"/>
    <w:rsid w:val="0FC41FA8"/>
    <w:rsid w:val="101C3B92"/>
    <w:rsid w:val="105552F6"/>
    <w:rsid w:val="114D3E70"/>
    <w:rsid w:val="12062D4C"/>
    <w:rsid w:val="127F48AC"/>
    <w:rsid w:val="1303728B"/>
    <w:rsid w:val="159643E7"/>
    <w:rsid w:val="15F53DBA"/>
    <w:rsid w:val="16E64EFA"/>
    <w:rsid w:val="177E7D6F"/>
    <w:rsid w:val="17E70F2A"/>
    <w:rsid w:val="1ADA571C"/>
    <w:rsid w:val="1B0F0EC3"/>
    <w:rsid w:val="1B3C77DE"/>
    <w:rsid w:val="1D5C4168"/>
    <w:rsid w:val="1FC819CB"/>
    <w:rsid w:val="206A094A"/>
    <w:rsid w:val="206C2914"/>
    <w:rsid w:val="222D7E81"/>
    <w:rsid w:val="23A979DB"/>
    <w:rsid w:val="23D34A58"/>
    <w:rsid w:val="26217CFD"/>
    <w:rsid w:val="26D134D1"/>
    <w:rsid w:val="27A153A2"/>
    <w:rsid w:val="27D0478C"/>
    <w:rsid w:val="2A693A20"/>
    <w:rsid w:val="2BBB64FD"/>
    <w:rsid w:val="2C060962"/>
    <w:rsid w:val="2CB76CC5"/>
    <w:rsid w:val="2CDE6947"/>
    <w:rsid w:val="2F1403FE"/>
    <w:rsid w:val="2FE706C6"/>
    <w:rsid w:val="31197F4E"/>
    <w:rsid w:val="31DB3455"/>
    <w:rsid w:val="335334BF"/>
    <w:rsid w:val="336631F3"/>
    <w:rsid w:val="33835B53"/>
    <w:rsid w:val="346E05B1"/>
    <w:rsid w:val="356674DA"/>
    <w:rsid w:val="35EA010B"/>
    <w:rsid w:val="36B85289"/>
    <w:rsid w:val="382F7CAC"/>
    <w:rsid w:val="39E15661"/>
    <w:rsid w:val="3A7206CF"/>
    <w:rsid w:val="3AC0768C"/>
    <w:rsid w:val="3B194FEF"/>
    <w:rsid w:val="3CED04E1"/>
    <w:rsid w:val="3D281519"/>
    <w:rsid w:val="3E1D39DC"/>
    <w:rsid w:val="42050A59"/>
    <w:rsid w:val="43347F24"/>
    <w:rsid w:val="45DF211E"/>
    <w:rsid w:val="45F11042"/>
    <w:rsid w:val="46C422B2"/>
    <w:rsid w:val="470D5A07"/>
    <w:rsid w:val="47906638"/>
    <w:rsid w:val="47C943A0"/>
    <w:rsid w:val="48C91E02"/>
    <w:rsid w:val="495518E8"/>
    <w:rsid w:val="4AA523FB"/>
    <w:rsid w:val="4CA24E44"/>
    <w:rsid w:val="4CF80F08"/>
    <w:rsid w:val="4D4B7289"/>
    <w:rsid w:val="4E524648"/>
    <w:rsid w:val="4E962664"/>
    <w:rsid w:val="4EC6744D"/>
    <w:rsid w:val="500D6A78"/>
    <w:rsid w:val="51B178D7"/>
    <w:rsid w:val="546D3F89"/>
    <w:rsid w:val="559B2D78"/>
    <w:rsid w:val="55D818D6"/>
    <w:rsid w:val="566B62A7"/>
    <w:rsid w:val="567A0BDF"/>
    <w:rsid w:val="57D85BBE"/>
    <w:rsid w:val="596040BD"/>
    <w:rsid w:val="5AB02E22"/>
    <w:rsid w:val="5EE25574"/>
    <w:rsid w:val="5FC03B07"/>
    <w:rsid w:val="600778F8"/>
    <w:rsid w:val="60B371C8"/>
    <w:rsid w:val="61B47F87"/>
    <w:rsid w:val="61E15FB7"/>
    <w:rsid w:val="61F061FA"/>
    <w:rsid w:val="64124FA1"/>
    <w:rsid w:val="643B6D8E"/>
    <w:rsid w:val="64572560"/>
    <w:rsid w:val="647769CA"/>
    <w:rsid w:val="67584625"/>
    <w:rsid w:val="688651C2"/>
    <w:rsid w:val="689F6284"/>
    <w:rsid w:val="693410C2"/>
    <w:rsid w:val="69EB22FA"/>
    <w:rsid w:val="6A2133F4"/>
    <w:rsid w:val="6AD40467"/>
    <w:rsid w:val="6C1F1AB4"/>
    <w:rsid w:val="6D6F79DC"/>
    <w:rsid w:val="6D793547"/>
    <w:rsid w:val="6D8419BF"/>
    <w:rsid w:val="6F467459"/>
    <w:rsid w:val="6F914B78"/>
    <w:rsid w:val="70147557"/>
    <w:rsid w:val="704936A5"/>
    <w:rsid w:val="704C4F43"/>
    <w:rsid w:val="72141A90"/>
    <w:rsid w:val="72361A07"/>
    <w:rsid w:val="7306762B"/>
    <w:rsid w:val="73B15772"/>
    <w:rsid w:val="740A4EF9"/>
    <w:rsid w:val="757F5473"/>
    <w:rsid w:val="76A21419"/>
    <w:rsid w:val="78A4352B"/>
    <w:rsid w:val="79200D1B"/>
    <w:rsid w:val="7A15284A"/>
    <w:rsid w:val="7A2A00A3"/>
    <w:rsid w:val="7AA31C03"/>
    <w:rsid w:val="7B5353D8"/>
    <w:rsid w:val="7C1E3C37"/>
    <w:rsid w:val="7EC30AC6"/>
    <w:rsid w:val="7F1D21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widowControl w:val="0"/>
      <w:spacing w:before="340" w:after="330" w:line="576" w:lineRule="auto"/>
      <w:jc w:val="center"/>
      <w:outlineLvl w:val="0"/>
    </w:pPr>
    <w:rPr>
      <w:b/>
      <w:bCs/>
      <w:kern w:val="44"/>
      <w:sz w:val="30"/>
      <w:szCs w:val="44"/>
    </w:rPr>
  </w:style>
  <w:style w:type="paragraph" w:styleId="3">
    <w:name w:val="heading 2"/>
    <w:basedOn w:val="1"/>
    <w:next w:val="1"/>
    <w:qFormat/>
    <w:uiPriority w:val="0"/>
    <w:pPr>
      <w:keepNext/>
      <w:keepLines/>
      <w:widowControl w:val="0"/>
      <w:spacing w:before="260" w:after="260" w:line="412" w:lineRule="auto"/>
      <w:outlineLvl w:val="1"/>
    </w:pPr>
    <w:rPr>
      <w:rFonts w:ascii="Arial" w:hAnsi="Arial" w:eastAsia="黑体"/>
      <w:b/>
      <w:bCs/>
      <w:sz w:val="32"/>
      <w:szCs w:val="32"/>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4">
    <w:name w:val="List Number"/>
    <w:basedOn w:val="1"/>
    <w:qFormat/>
    <w:uiPriority w:val="0"/>
    <w:pPr>
      <w:numPr>
        <w:ilvl w:val="0"/>
        <w:numId w:val="1"/>
      </w:numPr>
    </w:pPr>
  </w:style>
  <w:style w:type="paragraph" w:styleId="5">
    <w:name w:val="annotation text"/>
    <w:basedOn w:val="1"/>
    <w:qFormat/>
    <w:uiPriority w:val="0"/>
    <w:pPr>
      <w:widowControl w:val="0"/>
    </w:pPr>
    <w:rPr>
      <w:kern w:val="2"/>
      <w:sz w:val="21"/>
      <w:szCs w:val="24"/>
      <w:lang w:val="en-US" w:eastAsia="zh-CN" w:bidi="ar-SA"/>
    </w:rPr>
  </w:style>
  <w:style w:type="paragraph" w:styleId="6">
    <w:name w:val="Body Text"/>
    <w:basedOn w:val="1"/>
    <w:next w:val="7"/>
    <w:qFormat/>
    <w:uiPriority w:val="0"/>
    <w:pPr>
      <w:spacing w:after="120"/>
    </w:pPr>
    <w:rPr>
      <w:sz w:val="28"/>
    </w:rPr>
  </w:style>
  <w:style w:type="paragraph" w:styleId="7">
    <w:name w:val="Body Text First Indent"/>
    <w:basedOn w:val="6"/>
    <w:next w:val="8"/>
    <w:qFormat/>
    <w:uiPriority w:val="0"/>
    <w:pPr>
      <w:ind w:firstLine="420" w:firstLineChars="100"/>
    </w:pPr>
    <w:rPr>
      <w:sz w:val="21"/>
    </w:rPr>
  </w:style>
  <w:style w:type="paragraph" w:styleId="8">
    <w:name w:val="toc 6"/>
    <w:basedOn w:val="1"/>
    <w:next w:val="1"/>
    <w:qFormat/>
    <w:uiPriority w:val="0"/>
    <w:pPr>
      <w:ind w:left="1050"/>
      <w:jc w:val="left"/>
    </w:pPr>
    <w:rPr>
      <w:rFonts w:ascii="Calibri" w:hAnsi="Calibri" w:cs="Calibri"/>
      <w:sz w:val="18"/>
      <w:szCs w:val="18"/>
      <w:lang w:bidi="ar-SA"/>
    </w:rPr>
  </w:style>
  <w:style w:type="paragraph" w:styleId="9">
    <w:name w:val="Body Text Indent"/>
    <w:basedOn w:val="1"/>
    <w:next w:val="10"/>
    <w:qFormat/>
    <w:uiPriority w:val="0"/>
    <w:pPr>
      <w:spacing w:line="200" w:lineRule="exact"/>
      <w:ind w:firstLine="301"/>
    </w:pPr>
    <w:rPr>
      <w:rFonts w:ascii="宋体"/>
      <w:spacing w:val="-4"/>
      <w:sz w:val="18"/>
      <w:szCs w:val="20"/>
    </w:rPr>
  </w:style>
  <w:style w:type="paragraph" w:styleId="10">
    <w:name w:val="Body Text First Indent 2"/>
    <w:basedOn w:val="9"/>
    <w:next w:val="11"/>
    <w:unhideWhenUsed/>
    <w:qFormat/>
    <w:uiPriority w:val="99"/>
    <w:pPr>
      <w:spacing w:after="120" w:line="240" w:lineRule="auto"/>
      <w:ind w:left="420" w:leftChars="200" w:firstLine="420" w:firstLineChars="200"/>
    </w:pPr>
    <w:rPr>
      <w:rFonts w:ascii="Times New Roman"/>
      <w:spacing w:val="0"/>
      <w:sz w:val="21"/>
      <w:szCs w:val="24"/>
    </w:rPr>
  </w:style>
  <w:style w:type="paragraph" w:styleId="11">
    <w:name w:val="Date"/>
    <w:basedOn w:val="1"/>
    <w:next w:val="1"/>
    <w:qFormat/>
    <w:uiPriority w:val="0"/>
    <w:pPr>
      <w:ind w:left="2500" w:leftChars="2500"/>
    </w:pPr>
    <w:rPr>
      <w:rFonts w:eastAsia="楷体_GB2312"/>
      <w:sz w:val="32"/>
      <w:szCs w:val="20"/>
    </w:rPr>
  </w:style>
  <w:style w:type="paragraph" w:styleId="12">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3">
    <w:name w:val="toc 3"/>
    <w:basedOn w:val="1"/>
    <w:next w:val="1"/>
    <w:qFormat/>
    <w:uiPriority w:val="0"/>
    <w:pPr>
      <w:ind w:left="400" w:leftChars="400"/>
    </w:pPr>
  </w:style>
  <w:style w:type="paragraph" w:styleId="14">
    <w:name w:val="Plain Text"/>
    <w:basedOn w:val="1"/>
    <w:qFormat/>
    <w:uiPriority w:val="0"/>
    <w:pPr>
      <w:spacing w:before="50" w:beforeLines="50" w:after="50" w:afterLines="50" w:line="400" w:lineRule="exact"/>
    </w:pPr>
    <w:rPr>
      <w:rFonts w:ascii="宋体"/>
      <w:szCs w:val="21"/>
    </w:rPr>
  </w:style>
  <w:style w:type="paragraph" w:styleId="15">
    <w:name w:val="Body Text Indent 2"/>
    <w:basedOn w:val="1"/>
    <w:qFormat/>
    <w:uiPriority w:val="0"/>
    <w:pPr>
      <w:snapToGrid w:val="0"/>
      <w:ind w:firstLine="225" w:firstLineChars="225"/>
    </w:pPr>
    <w:rPr>
      <w:rFonts w:ascii="仿宋_GB2312" w:hAnsi="仿宋_GB2312"/>
      <w:b/>
      <w:bCs/>
      <w:color w:val="000000"/>
      <w:sz w:val="24"/>
    </w:rPr>
  </w:style>
  <w:style w:type="paragraph" w:styleId="16">
    <w:name w:val="footer"/>
    <w:basedOn w:val="1"/>
    <w:qFormat/>
    <w:uiPriority w:val="99"/>
    <w:pPr>
      <w:tabs>
        <w:tab w:val="center" w:pos="4153"/>
        <w:tab w:val="right" w:pos="8306"/>
      </w:tabs>
      <w:snapToGrid w:val="0"/>
      <w:jc w:val="left"/>
    </w:pPr>
    <w:rPr>
      <w:rFonts w:eastAsia="黑体"/>
      <w:kern w:val="0"/>
      <w:sz w:val="18"/>
      <w:szCs w:val="18"/>
    </w:rPr>
  </w:style>
  <w:style w:type="paragraph" w:styleId="17">
    <w:name w:val="header"/>
    <w:basedOn w:val="1"/>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18">
    <w:name w:val="toc 1"/>
    <w:basedOn w:val="1"/>
    <w:next w:val="1"/>
    <w:qFormat/>
    <w:uiPriority w:val="39"/>
    <w:pPr>
      <w:spacing w:before="600" w:after="600"/>
    </w:pPr>
    <w:rPr>
      <w:b/>
      <w:sz w:val="32"/>
    </w:rPr>
  </w:style>
  <w:style w:type="paragraph" w:styleId="19">
    <w:name w:val="Normal (Web)"/>
    <w:basedOn w:val="1"/>
    <w:qFormat/>
    <w:uiPriority w:val="0"/>
    <w:pPr>
      <w:widowControl/>
      <w:spacing w:before="100" w:beforeAutospacing="1" w:after="100" w:afterAutospacing="1"/>
      <w:jc w:val="left"/>
    </w:pPr>
    <w:rPr>
      <w:kern w:val="0"/>
      <w:sz w:val="24"/>
    </w:rPr>
  </w:style>
  <w:style w:type="paragraph" w:styleId="20">
    <w:name w:val="Title"/>
    <w:basedOn w:val="1"/>
    <w:qFormat/>
    <w:uiPriority w:val="10"/>
    <w:pPr>
      <w:widowControl/>
      <w:overflowPunct w:val="0"/>
      <w:autoSpaceDE w:val="0"/>
      <w:autoSpaceDN w:val="0"/>
      <w:jc w:val="center"/>
      <w:textAlignment w:val="baseline"/>
    </w:pPr>
    <w:rPr>
      <w:b/>
      <w:kern w:val="0"/>
      <w:sz w:val="24"/>
      <w:szCs w:val="20"/>
      <w:lang w:val="en-GB"/>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qFormat/>
    <w:uiPriority w:val="99"/>
  </w:style>
  <w:style w:type="character" w:styleId="25">
    <w:name w:val="annotation reference"/>
    <w:qFormat/>
    <w:uiPriority w:val="0"/>
    <w:rPr>
      <w:sz w:val="21"/>
      <w:szCs w:val="21"/>
    </w:rPr>
  </w:style>
  <w:style w:type="paragraph" w:customStyle="1" w:styleId="26">
    <w:name w:val="!大节"/>
    <w:basedOn w:val="3"/>
    <w:qFormat/>
    <w:uiPriority w:val="0"/>
    <w:pPr>
      <w:tabs>
        <w:tab w:val="left" w:pos="432"/>
      </w:tabs>
      <w:spacing w:before="260" w:after="260" w:line="415" w:lineRule="auto"/>
      <w:ind w:left="420" w:hanging="420"/>
    </w:pPr>
    <w:rPr>
      <w:rFonts w:ascii="Arial" w:hAnsi="Arial" w:eastAsia="微软雅黑"/>
      <w:lang w:val="en-US"/>
    </w:rPr>
  </w:style>
  <w:style w:type="paragraph" w:customStyle="1" w:styleId="27">
    <w:name w:val="正文2"/>
    <w:basedOn w:val="1"/>
    <w:qFormat/>
    <w:uiPriority w:val="0"/>
    <w:pPr>
      <w:adjustRightInd w:val="0"/>
      <w:spacing w:line="318" w:lineRule="atLeast"/>
      <w:ind w:left="369" w:firstLine="369"/>
      <w:textAlignment w:val="baseline"/>
    </w:pPr>
    <w:rPr>
      <w:rFonts w:ascii="宋体"/>
      <w:szCs w:val="20"/>
    </w:rPr>
  </w:style>
  <w:style w:type="paragraph" w:customStyle="1" w:styleId="28">
    <w:name w:val="Body Text First Indent 21"/>
    <w:basedOn w:val="29"/>
    <w:qFormat/>
    <w:uiPriority w:val="0"/>
    <w:pPr>
      <w:ind w:firstLine="420"/>
    </w:pPr>
    <w:rPr>
      <w:rFonts w:ascii="Times New Roman" w:hAnsi="Times New Roman" w:cs="宋体"/>
    </w:rPr>
  </w:style>
  <w:style w:type="paragraph" w:customStyle="1" w:styleId="29">
    <w:name w:val="Body Text Indent1"/>
    <w:basedOn w:val="1"/>
    <w:next w:val="1"/>
    <w:qFormat/>
    <w:uiPriority w:val="0"/>
    <w:pPr>
      <w:spacing w:after="120"/>
      <w:ind w:left="420" w:leftChars="200"/>
    </w:pPr>
    <w:rPr>
      <w:color w:val="000000"/>
      <w:szCs w:val="21"/>
    </w:rPr>
  </w:style>
  <w:style w:type="paragraph" w:styleId="30">
    <w:name w:val="List Paragraph"/>
    <w:basedOn w:val="1"/>
    <w:qFormat/>
    <w:uiPriority w:val="0"/>
    <w:pPr>
      <w:ind w:firstLine="420" w:firstLineChars="200"/>
    </w:pPr>
    <w:rPr>
      <w:rFonts w:ascii="Calibri" w:hAnsi="Calibri"/>
      <w:szCs w:val="22"/>
    </w:rPr>
  </w:style>
  <w:style w:type="paragraph" w:customStyle="1" w:styleId="31">
    <w:name w:val="正文1"/>
    <w:basedOn w:val="13"/>
    <w:next w:val="1"/>
    <w:qFormat/>
    <w:uiPriority w:val="0"/>
    <w:pPr>
      <w:tabs>
        <w:tab w:val="right" w:leader="dot" w:pos="8268"/>
      </w:tabs>
      <w:ind w:left="0" w:leftChars="0" w:firstLine="480" w:firstLineChars="200"/>
    </w:pPr>
    <w:rPr>
      <w:rFonts w:ascii="仿宋_GB2312" w:hAnsi="Courier New" w:eastAsia="仿宋_GB2312"/>
      <w:kern w:val="28"/>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64</Pages>
  <Words>19589</Words>
  <Characters>20447</Characters>
  <Lines>0</Lines>
  <Paragraphs>0</Paragraphs>
  <TotalTime>66</TotalTime>
  <ScaleCrop>false</ScaleCrop>
  <LinksUpToDate>false</LinksUpToDate>
  <CharactersWithSpaces>20530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2024-08-14T07:54:00Z</dcterms:created>
  <dc:creator>雨溪</dc:creator>
  <cp:lastModifiedBy>睡个锤子o</cp:lastModifiedBy>
  <dcterms:modified xsi:type="dcterms:W3CDTF">2025-03-25T08:06:03Z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74B2A8808AA74254A8E6515FE881060D_13</vt:lpwstr>
  </property>
  <property fmtid="{D5CDD505-2E9C-101B-9397-08002B2CF9AE}" pid="4" name="KSOTemplateDocerSaveRecord">
    <vt:lpwstr>eyJoZGlkIjoiOGU0YWE5YWEyMzI5YWM2MmQwODdjMzdjYWI5ZjU4MWIiLCJ1c2VySWQiOiIxMjcxMzI0ODU4In0=</vt:lpwstr>
  </property>
</Properties>
</file>