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A44B">
      <w:pPr>
        <w:spacing w:before="120" w:beforeLines="50"/>
        <w:rPr>
          <w:rFonts w:hint="eastAsia" w:ascii="宋体" w:hAnsi="宋体"/>
          <w:b/>
          <w:color w:val="000000" w:themeColor="text1"/>
          <w:sz w:val="52"/>
          <w:szCs w:val="52"/>
          <w14:textFill>
            <w14:solidFill>
              <w14:schemeClr w14:val="tx1"/>
            </w14:solidFill>
          </w14:textFill>
        </w:rPr>
      </w:pPr>
    </w:p>
    <w:p w14:paraId="663DCE99">
      <w:pPr>
        <w:spacing w:after="120"/>
        <w:jc w:val="center"/>
        <w:rPr>
          <w:rFonts w:hint="eastAsia"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政府</w:t>
      </w:r>
      <w:r>
        <w:rPr>
          <w:rFonts w:ascii="宋体" w:hAnsi="宋体" w:cs="宋体"/>
          <w:b/>
          <w:color w:val="000000" w:themeColor="text1"/>
          <w:sz w:val="72"/>
          <w14:textFill>
            <w14:solidFill>
              <w14:schemeClr w14:val="tx1"/>
            </w14:solidFill>
          </w14:textFill>
        </w:rPr>
        <w:t>采购</w:t>
      </w:r>
    </w:p>
    <w:p w14:paraId="6C2BBF70">
      <w:pPr>
        <w:spacing w:after="120"/>
        <w:jc w:val="center"/>
        <w:rPr>
          <w:rFonts w:hint="eastAsia"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国内公开采购文件</w:t>
      </w:r>
    </w:p>
    <w:p w14:paraId="655C0F31">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p w14:paraId="17BFAD09">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p w14:paraId="2F5DEAC4">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tbl>
      <w:tblPr>
        <w:tblStyle w:val="42"/>
        <w:tblW w:w="0" w:type="auto"/>
        <w:tblInd w:w="0" w:type="dxa"/>
        <w:tblLayout w:type="fixed"/>
        <w:tblCellMar>
          <w:top w:w="0" w:type="dxa"/>
          <w:left w:w="108" w:type="dxa"/>
          <w:bottom w:w="0" w:type="dxa"/>
          <w:right w:w="108" w:type="dxa"/>
        </w:tblCellMar>
      </w:tblPr>
      <w:tblGrid>
        <w:gridCol w:w="2093"/>
        <w:gridCol w:w="6836"/>
      </w:tblGrid>
      <w:tr w14:paraId="4BE5EDEA">
        <w:tblPrEx>
          <w:tblCellMar>
            <w:top w:w="0" w:type="dxa"/>
            <w:left w:w="108" w:type="dxa"/>
            <w:bottom w:w="0" w:type="dxa"/>
            <w:right w:w="108" w:type="dxa"/>
          </w:tblCellMar>
        </w:tblPrEx>
        <w:trPr>
          <w:trHeight w:val="691" w:hRule="atLeast"/>
        </w:trPr>
        <w:tc>
          <w:tcPr>
            <w:tcW w:w="2093" w:type="dxa"/>
            <w:tcBorders>
              <w:top w:val="nil"/>
              <w:left w:val="nil"/>
              <w:bottom w:val="nil"/>
              <w:right w:val="nil"/>
            </w:tcBorders>
            <w:vAlign w:val="center"/>
          </w:tcPr>
          <w:p w14:paraId="41043965">
            <w:pPr>
              <w:snapToGrid w:val="0"/>
              <w:jc w:val="right"/>
              <w:rPr>
                <w:rFonts w:hint="eastAsia" w:ascii="宋体" w:hAnsi="宋体"/>
                <w:b/>
                <w:color w:val="000000" w:themeColor="text1"/>
                <w:sz w:val="34"/>
                <w:szCs w:val="32"/>
                <w14:textFill>
                  <w14:solidFill>
                    <w14:schemeClr w14:val="tx1"/>
                  </w14:solidFill>
                </w14:textFill>
              </w:rPr>
            </w:pPr>
            <w:r>
              <w:rPr>
                <w:rFonts w:hint="eastAsia" w:ascii="宋体" w:hAnsi="宋体"/>
                <w:b/>
                <w:color w:val="000000" w:themeColor="text1"/>
                <w:sz w:val="34"/>
                <w:szCs w:val="32"/>
                <w14:textFill>
                  <w14:solidFill>
                    <w14:schemeClr w14:val="tx1"/>
                  </w14:solidFill>
                </w14:textFill>
              </w:rPr>
              <w:t>项目编号：</w:t>
            </w:r>
          </w:p>
        </w:tc>
        <w:tc>
          <w:tcPr>
            <w:tcW w:w="6836" w:type="dxa"/>
            <w:tcBorders>
              <w:top w:val="nil"/>
              <w:left w:val="nil"/>
              <w:bottom w:val="nil"/>
              <w:right w:val="nil"/>
            </w:tcBorders>
            <w:vAlign w:val="center"/>
          </w:tcPr>
          <w:p w14:paraId="5A1AA983">
            <w:pPr>
              <w:pStyle w:val="24"/>
              <w:snapToGrid w:val="0"/>
              <w:spacing w:beforeLines="0" w:afterLines="0" w:line="240" w:lineRule="auto"/>
              <w:rPr>
                <w:rFonts w:hint="eastAsia" w:hAnsi="宋体"/>
                <w:b/>
                <w:color w:val="000000" w:themeColor="text1"/>
                <w:sz w:val="34"/>
                <w:szCs w:val="32"/>
                <w:u w:val="single"/>
                <w14:textFill>
                  <w14:solidFill>
                    <w14:schemeClr w14:val="tx1"/>
                  </w14:solidFill>
                </w14:textFill>
              </w:rPr>
            </w:pPr>
            <w:r>
              <w:rPr>
                <w:rFonts w:hint="eastAsia" w:hAnsi="宋体"/>
                <w:b/>
                <w:color w:val="000000" w:themeColor="text1"/>
                <w:sz w:val="34"/>
                <w:szCs w:val="32"/>
                <w:u w:val="single"/>
                <w14:textFill>
                  <w14:solidFill>
                    <w14:schemeClr w14:val="tx1"/>
                  </w14:solidFill>
                </w14:textFill>
              </w:rPr>
              <w:t>CBNB-20243364-BL086G</w:t>
            </w:r>
          </w:p>
        </w:tc>
      </w:tr>
      <w:tr w14:paraId="5D52F23F">
        <w:tblPrEx>
          <w:tblCellMar>
            <w:top w:w="0" w:type="dxa"/>
            <w:left w:w="108" w:type="dxa"/>
            <w:bottom w:w="0" w:type="dxa"/>
            <w:right w:w="108" w:type="dxa"/>
          </w:tblCellMar>
        </w:tblPrEx>
        <w:trPr>
          <w:trHeight w:val="1226" w:hRule="atLeast"/>
        </w:trPr>
        <w:tc>
          <w:tcPr>
            <w:tcW w:w="2093" w:type="dxa"/>
            <w:tcBorders>
              <w:top w:val="nil"/>
              <w:left w:val="nil"/>
              <w:bottom w:val="nil"/>
              <w:right w:val="nil"/>
            </w:tcBorders>
            <w:vAlign w:val="center"/>
          </w:tcPr>
          <w:p w14:paraId="4EE5165B">
            <w:pPr>
              <w:snapToGrid w:val="0"/>
              <w:jc w:val="right"/>
              <w:rPr>
                <w:rFonts w:hint="eastAsia" w:ascii="宋体" w:hAnsi="宋体"/>
                <w:b/>
                <w:color w:val="000000" w:themeColor="text1"/>
                <w:sz w:val="34"/>
                <w:szCs w:val="32"/>
                <w14:textFill>
                  <w14:solidFill>
                    <w14:schemeClr w14:val="tx1"/>
                  </w14:solidFill>
                </w14:textFill>
              </w:rPr>
            </w:pPr>
            <w:r>
              <w:rPr>
                <w:rFonts w:hint="eastAsia" w:ascii="宋体" w:hAnsi="宋体"/>
                <w:b/>
                <w:color w:val="000000" w:themeColor="text1"/>
                <w:sz w:val="34"/>
                <w:szCs w:val="32"/>
                <w14:textFill>
                  <w14:solidFill>
                    <w14:schemeClr w14:val="tx1"/>
                  </w14:solidFill>
                </w14:textFill>
              </w:rPr>
              <w:t>项目名称：</w:t>
            </w:r>
          </w:p>
        </w:tc>
        <w:tc>
          <w:tcPr>
            <w:tcW w:w="6836" w:type="dxa"/>
            <w:tcBorders>
              <w:top w:val="nil"/>
              <w:left w:val="nil"/>
              <w:bottom w:val="nil"/>
              <w:right w:val="nil"/>
            </w:tcBorders>
            <w:vAlign w:val="center"/>
          </w:tcPr>
          <w:p w14:paraId="45976D8F">
            <w:pPr>
              <w:pStyle w:val="24"/>
              <w:snapToGrid w:val="0"/>
              <w:spacing w:beforeLines="0" w:afterLines="0" w:line="240" w:lineRule="auto"/>
              <w:rPr>
                <w:rFonts w:hint="eastAsia" w:hAnsi="宋体"/>
                <w:b/>
                <w:color w:val="000000" w:themeColor="text1"/>
                <w:sz w:val="34"/>
                <w:szCs w:val="32"/>
                <w:u w:val="single"/>
                <w14:textFill>
                  <w14:solidFill>
                    <w14:schemeClr w14:val="tx1"/>
                  </w14:solidFill>
                </w14:textFill>
              </w:rPr>
            </w:pPr>
            <w:r>
              <w:rPr>
                <w:rFonts w:hint="eastAsia" w:hAnsi="宋体"/>
                <w:b/>
                <w:color w:val="000000" w:themeColor="text1"/>
                <w:sz w:val="34"/>
                <w:szCs w:val="32"/>
                <w:u w:val="single"/>
                <w14:textFill>
                  <w14:solidFill>
                    <w14:schemeClr w14:val="tx1"/>
                  </w14:solidFill>
                </w14:textFill>
              </w:rPr>
              <w:t>北京航空航天大学宁波创新研究院数字化协同运营平台三期采购项目</w:t>
            </w:r>
          </w:p>
        </w:tc>
      </w:tr>
    </w:tbl>
    <w:p w14:paraId="522438EC">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p w14:paraId="52A88E00">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p w14:paraId="275C6ECB">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p w14:paraId="20131E97">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p w14:paraId="18894D37">
      <w:pPr>
        <w:snapToGrid w:val="0"/>
        <w:spacing w:before="120" w:beforeLines="50" w:line="360" w:lineRule="auto"/>
        <w:rPr>
          <w:rFonts w:hint="eastAsia" w:ascii="宋体" w:hAnsi="宋体"/>
          <w:color w:val="000000" w:themeColor="text1"/>
          <w:sz w:val="30"/>
          <w:szCs w:val="72"/>
          <w14:textFill>
            <w14:solidFill>
              <w14:schemeClr w14:val="tx1"/>
            </w14:solidFill>
          </w14:textFill>
        </w:rPr>
      </w:pPr>
    </w:p>
    <w:p w14:paraId="6663FFF5">
      <w:pPr>
        <w:pStyle w:val="24"/>
        <w:snapToGrid w:val="0"/>
        <w:spacing w:beforeLines="0" w:afterLines="0" w:line="600" w:lineRule="auto"/>
        <w:rPr>
          <w:rFonts w:hint="eastAsia" w:hAnsi="宋体"/>
          <w:b/>
          <w:bCs/>
          <w:color w:val="000000" w:themeColor="text1"/>
          <w:sz w:val="30"/>
          <w:szCs w:val="30"/>
          <w14:textFill>
            <w14:solidFill>
              <w14:schemeClr w14:val="tx1"/>
            </w14:solidFill>
          </w14:textFill>
        </w:rPr>
      </w:pPr>
      <w:r>
        <w:rPr>
          <w:rFonts w:hint="eastAsia" w:hAnsi="宋体"/>
          <w:b/>
          <w:color w:val="000000" w:themeColor="text1"/>
          <w:sz w:val="30"/>
          <w:szCs w:val="72"/>
          <w14:textFill>
            <w14:solidFill>
              <w14:schemeClr w14:val="tx1"/>
            </w14:solidFill>
          </w14:textFill>
        </w:rPr>
        <w:t>采购人：</w:t>
      </w:r>
      <w:r>
        <w:rPr>
          <w:rFonts w:hint="eastAsia" w:hAnsi="宋体"/>
          <w:b/>
          <w:color w:val="000000" w:themeColor="text1"/>
          <w:sz w:val="30"/>
          <w:szCs w:val="72"/>
          <w:u w:val="single"/>
          <w14:textFill>
            <w14:solidFill>
              <w14:schemeClr w14:val="tx1"/>
            </w14:solidFill>
          </w14:textFill>
        </w:rPr>
        <w:t>北京航空航天大学宁波创新研究院</w:t>
      </w:r>
    </w:p>
    <w:p w14:paraId="255F5710">
      <w:pPr>
        <w:pStyle w:val="24"/>
        <w:snapToGrid w:val="0"/>
        <w:spacing w:beforeLines="0" w:afterLines="0" w:line="600" w:lineRule="auto"/>
        <w:rPr>
          <w:rFonts w:hint="eastAsia" w:hAnsi="宋体"/>
          <w:b/>
          <w:color w:val="000000" w:themeColor="text1"/>
          <w:sz w:val="30"/>
          <w:szCs w:val="72"/>
          <w14:textFill>
            <w14:solidFill>
              <w14:schemeClr w14:val="tx1"/>
            </w14:solidFill>
          </w14:textFill>
        </w:rPr>
      </w:pPr>
      <w:r>
        <w:rPr>
          <w:rFonts w:hint="eastAsia" w:hAnsi="宋体"/>
          <w:b/>
          <w:color w:val="000000" w:themeColor="text1"/>
          <w:sz w:val="30"/>
          <w:szCs w:val="72"/>
          <w14:textFill>
            <w14:solidFill>
              <w14:schemeClr w14:val="tx1"/>
            </w14:solidFill>
          </w14:textFill>
        </w:rPr>
        <w:t>招标代理机构：</w:t>
      </w:r>
      <w:r>
        <w:rPr>
          <w:rFonts w:hint="eastAsia" w:hAnsi="宋体"/>
          <w:b/>
          <w:color w:val="000000" w:themeColor="text1"/>
          <w:sz w:val="30"/>
          <w:szCs w:val="72"/>
          <w:u w:val="single"/>
          <w14:textFill>
            <w14:solidFill>
              <w14:schemeClr w14:val="tx1"/>
            </w14:solidFill>
          </w14:textFill>
        </w:rPr>
        <w:t>宁波中基国际招标有限公司</w:t>
      </w:r>
    </w:p>
    <w:p w14:paraId="559BBA5B">
      <w:pPr>
        <w:pStyle w:val="24"/>
        <w:snapToGrid w:val="0"/>
        <w:spacing w:beforeLines="0" w:afterLines="0" w:line="600" w:lineRule="auto"/>
        <w:rPr>
          <w:rFonts w:hint="eastAsia" w:hAnsi="宋体"/>
          <w:b/>
          <w:color w:val="000000" w:themeColor="text1"/>
          <w:sz w:val="30"/>
          <w:szCs w:val="72"/>
          <w14:textFill>
            <w14:solidFill>
              <w14:schemeClr w14:val="tx1"/>
            </w14:solidFill>
          </w14:textFill>
        </w:rPr>
      </w:pPr>
      <w:r>
        <w:rPr>
          <w:rFonts w:hint="eastAsia" w:hAnsi="宋体"/>
          <w:b/>
          <w:color w:val="000000" w:themeColor="text1"/>
          <w:sz w:val="30"/>
          <w:szCs w:val="72"/>
          <w14:textFill>
            <w14:solidFill>
              <w14:schemeClr w14:val="tx1"/>
            </w14:solidFill>
          </w14:textFill>
        </w:rPr>
        <w:t>编制日期：二</w:t>
      </w:r>
      <w:r>
        <w:rPr>
          <w:rFonts w:hAnsi="宋体"/>
          <w:b/>
          <w:color w:val="000000" w:themeColor="text1"/>
          <w:sz w:val="30"/>
          <w:szCs w:val="72"/>
          <w14:textFill>
            <w14:solidFill>
              <w14:schemeClr w14:val="tx1"/>
            </w14:solidFill>
          </w14:textFill>
        </w:rPr>
        <w:t>〇</w:t>
      </w:r>
      <w:r>
        <w:rPr>
          <w:rFonts w:hint="eastAsia" w:hAnsi="宋体"/>
          <w:b/>
          <w:color w:val="000000" w:themeColor="text1"/>
          <w:sz w:val="30"/>
          <w:szCs w:val="72"/>
          <w14:textFill>
            <w14:solidFill>
              <w14:schemeClr w14:val="tx1"/>
            </w14:solidFill>
          </w14:textFill>
        </w:rPr>
        <w:t>二四年</w:t>
      </w:r>
      <w:r>
        <w:rPr>
          <w:rFonts w:hint="eastAsia" w:hAnsi="宋体"/>
          <w:b/>
          <w:color w:val="000000" w:themeColor="text1"/>
          <w:sz w:val="30"/>
          <w:szCs w:val="72"/>
          <w:lang w:val="en-US" w:eastAsia="zh-CN"/>
          <w14:textFill>
            <w14:solidFill>
              <w14:schemeClr w14:val="tx1"/>
            </w14:solidFill>
          </w14:textFill>
        </w:rPr>
        <w:t>九</w:t>
      </w:r>
      <w:r>
        <w:rPr>
          <w:rFonts w:hint="eastAsia" w:hAnsi="宋体"/>
          <w:b/>
          <w:color w:val="000000" w:themeColor="text1"/>
          <w:sz w:val="30"/>
          <w:szCs w:val="72"/>
          <w14:textFill>
            <w14:solidFill>
              <w14:schemeClr w14:val="tx1"/>
            </w14:solidFill>
          </w14:textFill>
        </w:rPr>
        <w:t>月</w:t>
      </w:r>
      <w:r>
        <w:rPr>
          <w:rFonts w:hint="eastAsia" w:hAnsi="宋体"/>
          <w:color w:val="000000" w:themeColor="text1"/>
          <w14:textFill>
            <w14:solidFill>
              <w14:schemeClr w14:val="tx1"/>
            </w14:solidFill>
          </w14:textFill>
        </w:rPr>
        <w:br w:type="page"/>
      </w:r>
    </w:p>
    <w:p w14:paraId="52492214">
      <w:pPr>
        <w:wordWrap w:val="0"/>
        <w:spacing w:line="1200" w:lineRule="exact"/>
        <w:jc w:val="center"/>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温馨提醒</w:t>
      </w:r>
    </w:p>
    <w:p w14:paraId="5AAD3E1E">
      <w:pPr>
        <w:wordWrap w:val="0"/>
        <w:spacing w:line="1200" w:lineRule="exact"/>
        <w:jc w:val="center"/>
        <w:rPr>
          <w:rFonts w:hint="eastAsia" w:ascii="宋体" w:hAnsi="宋体"/>
          <w:b/>
          <w:color w:val="000000" w:themeColor="text1"/>
          <w:sz w:val="52"/>
          <w:szCs w:val="52"/>
          <w14:textFill>
            <w14:solidFill>
              <w14:schemeClr w14:val="tx1"/>
            </w14:solidFill>
          </w14:textFill>
        </w:rPr>
      </w:pPr>
    </w:p>
    <w:p w14:paraId="4334F178">
      <w:pPr>
        <w:wordWrap w:val="0"/>
        <w:spacing w:line="1000" w:lineRule="exact"/>
        <w:jc w:val="left"/>
        <w:rPr>
          <w:rFonts w:hint="eastAsia"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1</w:t>
      </w:r>
      <w:r>
        <w:rPr>
          <w:rFonts w:hint="eastAsia" w:ascii="宋体" w:hAnsi="宋体"/>
          <w:b/>
          <w:color w:val="000000" w:themeColor="text1"/>
          <w:sz w:val="30"/>
          <w:szCs w:val="30"/>
          <w14:textFill>
            <w14:solidFill>
              <w14:schemeClr w14:val="tx1"/>
            </w14:solidFill>
          </w14:textFill>
        </w:rPr>
        <w:t>、投标文件应按采购文件要求将“资格文件”“商务和技术文件”“报价文件”分别编制。</w:t>
      </w:r>
    </w:p>
    <w:p w14:paraId="61206A00">
      <w:pPr>
        <w:wordWrap w:val="0"/>
        <w:spacing w:line="1000" w:lineRule="exact"/>
        <w:jc w:val="left"/>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2、采购人可以对已发出的采购文件进行必要的澄清或者修改，将以“更正公告”的形式发布在政采云平台，供应商应及时登录政采云平台，进行浏览并下载，未及时浏览下载的责任自负。</w:t>
      </w:r>
    </w:p>
    <w:p w14:paraId="338F60EF">
      <w:pPr>
        <w:widowControl/>
        <w:jc w:val="left"/>
        <w:rPr>
          <w:rFonts w:hint="eastAsia" w:ascii="宋体" w:hAnsi="宋体"/>
          <w:b/>
          <w:color w:val="000000" w:themeColor="text1"/>
          <w:sz w:val="52"/>
          <w:szCs w:val="52"/>
          <w14:textFill>
            <w14:solidFill>
              <w14:schemeClr w14:val="tx1"/>
            </w14:solidFill>
          </w14:textFill>
        </w:rPr>
      </w:pPr>
      <w:r>
        <w:rPr>
          <w:rFonts w:ascii="宋体" w:hAnsi="宋体"/>
          <w:b/>
          <w:color w:val="000000" w:themeColor="text1"/>
          <w:sz w:val="52"/>
          <w:szCs w:val="52"/>
          <w14:textFill>
            <w14:solidFill>
              <w14:schemeClr w14:val="tx1"/>
            </w14:solidFill>
          </w14:textFill>
        </w:rPr>
        <w:br w:type="page"/>
      </w:r>
    </w:p>
    <w:p w14:paraId="1E868FFC">
      <w:pPr>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目  录</w:t>
      </w:r>
    </w:p>
    <w:p w14:paraId="2B4E8440">
      <w:pPr>
        <w:pStyle w:val="32"/>
        <w:tabs>
          <w:tab w:val="right" w:leader="dot" w:pos="8949"/>
        </w:tabs>
        <w:spacing w:line="360" w:lineRule="auto"/>
        <w:rPr>
          <w:rFonts w:hint="eastAsia" w:ascii="宋体" w:hAnsi="宋体"/>
          <w:color w:val="000000" w:themeColor="text1"/>
          <w:sz w:val="24"/>
          <w14:textFill>
            <w14:solidFill>
              <w14:schemeClr w14:val="tx1"/>
            </w14:solidFill>
          </w14:textFill>
        </w:rPr>
      </w:pPr>
    </w:p>
    <w:p w14:paraId="7E344C96">
      <w:pPr>
        <w:pStyle w:val="32"/>
        <w:tabs>
          <w:tab w:val="right" w:leader="dot" w:pos="9747"/>
        </w:tabs>
        <w:spacing w:line="480" w:lineRule="auto"/>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ascii="宋体" w:hAnsi="宋体"/>
          <w:color w:val="000000" w:themeColor="text1"/>
          <w:sz w:val="24"/>
          <w14:textFill>
            <w14:solidFill>
              <w14:schemeClr w14:val="tx1"/>
            </w14:solidFill>
          </w14:textFill>
        </w:rPr>
        <w:fldChar w:fldCharType="separate"/>
      </w:r>
      <w:r>
        <w:fldChar w:fldCharType="begin"/>
      </w:r>
      <w:r>
        <w:instrText xml:space="preserve"> HYPERLINK \l "_Toc7160" </w:instrText>
      </w:r>
      <w:r>
        <w:fldChar w:fldCharType="separate"/>
      </w:r>
      <w:r>
        <w:rPr>
          <w:rFonts w:hint="eastAsia" w:ascii="宋体" w:hAnsi="宋体"/>
          <w:color w:val="000000" w:themeColor="text1"/>
          <w14:textFill>
            <w14:solidFill>
              <w14:schemeClr w14:val="tx1"/>
            </w14:solidFill>
          </w14:textFill>
        </w:rPr>
        <w:t>第一章  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76AFF51">
      <w:pPr>
        <w:pStyle w:val="32"/>
        <w:tabs>
          <w:tab w:val="right" w:leader="dot" w:pos="9747"/>
        </w:tabs>
        <w:spacing w:line="480" w:lineRule="auto"/>
        <w:rPr>
          <w:color w:val="000000" w:themeColor="text1"/>
          <w14:textFill>
            <w14:solidFill>
              <w14:schemeClr w14:val="tx1"/>
            </w14:solidFill>
          </w14:textFill>
        </w:rPr>
      </w:pPr>
      <w:r>
        <w:fldChar w:fldCharType="begin"/>
      </w:r>
      <w:r>
        <w:instrText xml:space="preserve"> HYPERLINK \l "_Toc22608" </w:instrText>
      </w:r>
      <w:r>
        <w:fldChar w:fldCharType="separate"/>
      </w:r>
      <w:r>
        <w:rPr>
          <w:rFonts w:hint="eastAsia" w:ascii="宋体" w:hAnsi="宋体"/>
          <w:color w:val="000000" w:themeColor="text1"/>
          <w14:textFill>
            <w14:solidFill>
              <w14:schemeClr w14:val="tx1"/>
            </w14:solidFill>
          </w14:textFill>
        </w:rPr>
        <w:t>第二章  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ED1A4C3">
      <w:pPr>
        <w:pStyle w:val="32"/>
        <w:tabs>
          <w:tab w:val="right" w:leader="dot" w:pos="9747"/>
        </w:tabs>
        <w:spacing w:line="480" w:lineRule="auto"/>
        <w:rPr>
          <w:color w:val="000000" w:themeColor="text1"/>
          <w14:textFill>
            <w14:solidFill>
              <w14:schemeClr w14:val="tx1"/>
            </w14:solidFill>
          </w14:textFill>
        </w:rPr>
      </w:pPr>
      <w:r>
        <w:fldChar w:fldCharType="begin"/>
      </w:r>
      <w:r>
        <w:instrText xml:space="preserve"> HYPERLINK \l "_Toc15668" </w:instrText>
      </w:r>
      <w:r>
        <w:fldChar w:fldCharType="separate"/>
      </w:r>
      <w:r>
        <w:rPr>
          <w:rFonts w:hint="eastAsia" w:ascii="宋体" w:hAnsi="宋体"/>
          <w:color w:val="000000" w:themeColor="text1"/>
          <w:szCs w:val="30"/>
          <w14:textFill>
            <w14:solidFill>
              <w14:schemeClr w14:val="tx1"/>
            </w14:solidFill>
          </w14:textFill>
        </w:rPr>
        <w:t>第三章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BAA9A9D">
      <w:pPr>
        <w:pStyle w:val="32"/>
        <w:tabs>
          <w:tab w:val="right" w:leader="dot" w:pos="9747"/>
        </w:tabs>
        <w:spacing w:line="480" w:lineRule="auto"/>
        <w:rPr>
          <w:color w:val="000000" w:themeColor="text1"/>
          <w14:textFill>
            <w14:solidFill>
              <w14:schemeClr w14:val="tx1"/>
            </w14:solidFill>
          </w14:textFill>
        </w:rPr>
      </w:pPr>
      <w:r>
        <w:fldChar w:fldCharType="begin"/>
      </w:r>
      <w:r>
        <w:instrText xml:space="preserve"> HYPERLINK \l "_Toc5496" </w:instrText>
      </w:r>
      <w:r>
        <w:fldChar w:fldCharType="separate"/>
      </w:r>
      <w:r>
        <w:rPr>
          <w:rFonts w:hint="eastAsia" w:ascii="宋体" w:hAnsi="宋体"/>
          <w:color w:val="000000" w:themeColor="text1"/>
          <w14:textFill>
            <w14:solidFill>
              <w14:schemeClr w14:val="tx1"/>
            </w14:solidFill>
          </w14:textFill>
        </w:rPr>
        <w:t>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_Toc5496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AFA67B5">
      <w:pPr>
        <w:pStyle w:val="32"/>
        <w:tabs>
          <w:tab w:val="right" w:leader="dot" w:pos="9747"/>
        </w:tabs>
        <w:spacing w:line="480" w:lineRule="auto"/>
        <w:rPr>
          <w:color w:val="000000" w:themeColor="text1"/>
          <w14:textFill>
            <w14:solidFill>
              <w14:schemeClr w14:val="tx1"/>
            </w14:solidFill>
          </w14:textFill>
        </w:rPr>
      </w:pPr>
      <w:r>
        <w:fldChar w:fldCharType="begin"/>
      </w:r>
      <w:r>
        <w:instrText xml:space="preserve"> HYPERLINK \l "_Toc26939" </w:instrText>
      </w:r>
      <w:r>
        <w:fldChar w:fldCharType="separate"/>
      </w:r>
      <w:r>
        <w:rPr>
          <w:rFonts w:hint="eastAsia" w:ascii="宋体" w:hAnsi="宋体"/>
          <w:color w:val="000000" w:themeColor="text1"/>
          <w14:textFill>
            <w14:solidFill>
              <w14:schemeClr w14:val="tx1"/>
            </w14:solidFill>
          </w14:textFill>
        </w:rPr>
        <w:t>第四章  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369492B">
      <w:pPr>
        <w:pStyle w:val="32"/>
        <w:tabs>
          <w:tab w:val="right" w:leader="dot" w:pos="9747"/>
        </w:tabs>
        <w:spacing w:line="480" w:lineRule="auto"/>
        <w:rPr>
          <w:color w:val="000000" w:themeColor="text1"/>
          <w14:textFill>
            <w14:solidFill>
              <w14:schemeClr w14:val="tx1"/>
            </w14:solidFill>
          </w14:textFill>
        </w:rPr>
      </w:pPr>
      <w:r>
        <w:fldChar w:fldCharType="begin"/>
      </w:r>
      <w:r>
        <w:instrText xml:space="preserve"> HYPERLINK \l "_Toc14241" </w:instrText>
      </w:r>
      <w:r>
        <w:fldChar w:fldCharType="separate"/>
      </w:r>
      <w:r>
        <w:rPr>
          <w:rFonts w:hint="eastAsia" w:ascii="宋体" w:hAnsi="宋体"/>
          <w:color w:val="000000" w:themeColor="text1"/>
          <w14:textFill>
            <w14:solidFill>
              <w14:schemeClr w14:val="tx1"/>
            </w14:solidFill>
          </w14:textFill>
        </w:rPr>
        <w:t>第五章  政府采购合同主要条款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928DC39">
      <w:pPr>
        <w:pStyle w:val="32"/>
        <w:tabs>
          <w:tab w:val="right" w:leader="dot" w:pos="9747"/>
        </w:tabs>
        <w:spacing w:line="480" w:lineRule="auto"/>
        <w:rPr>
          <w:color w:val="000000" w:themeColor="text1"/>
          <w14:textFill>
            <w14:solidFill>
              <w14:schemeClr w14:val="tx1"/>
            </w14:solidFill>
          </w14:textFill>
        </w:rPr>
      </w:pPr>
      <w:r>
        <w:fldChar w:fldCharType="begin"/>
      </w:r>
      <w:r>
        <w:instrText xml:space="preserve"> HYPERLINK \l "_Toc19983" </w:instrText>
      </w:r>
      <w:r>
        <w:fldChar w:fldCharType="separate"/>
      </w:r>
      <w:r>
        <w:rPr>
          <w:rFonts w:hint="eastAsia" w:ascii="宋体" w:hAnsi="宋体"/>
          <w:color w:val="000000" w:themeColor="text1"/>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F955C3B">
      <w:pPr>
        <w:pStyle w:val="32"/>
        <w:tabs>
          <w:tab w:val="right" w:leader="dot" w:pos="8311"/>
        </w:tabs>
        <w:spacing w:line="48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end"/>
      </w:r>
    </w:p>
    <w:p w14:paraId="5000485B">
      <w:pPr>
        <w:spacing w:line="360" w:lineRule="exact"/>
        <w:rPr>
          <w:rFonts w:hint="eastAsia" w:ascii="宋体" w:hAnsi="宋体"/>
          <w:b/>
          <w:color w:val="000000" w:themeColor="text1"/>
          <w:szCs w:val="21"/>
          <w14:textFill>
            <w14:solidFill>
              <w14:schemeClr w14:val="tx1"/>
            </w14:solidFill>
          </w14:textFill>
        </w:rPr>
      </w:pPr>
    </w:p>
    <w:p w14:paraId="59BE9C65">
      <w:pPr>
        <w:pStyle w:val="2"/>
        <w:spacing w:before="0" w:after="0" w:line="360" w:lineRule="auto"/>
        <w:jc w:val="center"/>
        <w:rPr>
          <w:rFonts w:hint="eastAsia" w:ascii="宋体" w:hAnsi="宋体"/>
          <w:color w:val="000000" w:themeColor="text1"/>
          <w:sz w:val="30"/>
          <w14:textFill>
            <w14:solidFill>
              <w14:schemeClr w14:val="tx1"/>
            </w14:solidFill>
          </w14:textFill>
        </w:rPr>
        <w:sectPr>
          <w:footerReference r:id="rId5" w:type="first"/>
          <w:headerReference r:id="rId3" w:type="default"/>
          <w:footerReference r:id="rId4" w:type="default"/>
          <w:pgSz w:w="11907" w:h="16840"/>
          <w:pgMar w:top="1134" w:right="1080" w:bottom="1134" w:left="1080" w:header="720" w:footer="720" w:gutter="0"/>
          <w:pgNumType w:fmt="numberInDash"/>
          <w:cols w:space="720" w:num="1"/>
          <w:docGrid w:linePitch="285" w:charSpace="0"/>
        </w:sectPr>
      </w:pPr>
      <w:bookmarkStart w:id="0" w:name="_Toc460857890"/>
    </w:p>
    <w:p w14:paraId="20EFCDB6">
      <w:pPr>
        <w:pStyle w:val="2"/>
        <w:spacing w:before="0" w:after="0" w:line="360" w:lineRule="auto"/>
        <w:jc w:val="center"/>
        <w:rPr>
          <w:rFonts w:hint="eastAsia" w:ascii="宋体" w:hAnsi="宋体"/>
          <w:color w:val="000000" w:themeColor="text1"/>
          <w:sz w:val="30"/>
          <w14:textFill>
            <w14:solidFill>
              <w14:schemeClr w14:val="tx1"/>
            </w14:solidFill>
          </w14:textFill>
        </w:rPr>
      </w:pPr>
      <w:bookmarkStart w:id="1" w:name="_Toc7160"/>
      <w:r>
        <w:rPr>
          <w:rFonts w:hint="eastAsia" w:ascii="宋体" w:hAnsi="宋体"/>
          <w:color w:val="000000" w:themeColor="text1"/>
          <w:sz w:val="30"/>
          <w14:textFill>
            <w14:solidFill>
              <w14:schemeClr w14:val="tx1"/>
            </w14:solidFill>
          </w14:textFill>
        </w:rPr>
        <w:t>第一章  采购公告</w:t>
      </w:r>
      <w:bookmarkEnd w:id="0"/>
      <w:bookmarkEnd w:id="1"/>
    </w:p>
    <w:p w14:paraId="2AB37657">
      <w:pPr>
        <w:wordWrap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发布日期：2024年</w:t>
      </w:r>
      <w:r>
        <w:rPr>
          <w:rFonts w:hint="eastAsia" w:ascii="宋体" w:hAnsi="宋体" w:cs="宋体"/>
          <w:color w:val="000000" w:themeColor="text1"/>
          <w:szCs w:val="21"/>
          <w:lang w:val="en-US" w:eastAsia="zh-CN"/>
          <w14:textFill>
            <w14:solidFill>
              <w14:schemeClr w14:val="tx1"/>
            </w14:solidFill>
          </w14:textFill>
        </w:rPr>
        <w:t>09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日</w:t>
      </w:r>
    </w:p>
    <w:p w14:paraId="41CFBC6D">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项目概况：</w:t>
      </w:r>
      <w:r>
        <w:rPr>
          <w:rFonts w:hint="eastAsia" w:ascii="宋体" w:hAnsi="宋体" w:cs="宋体"/>
          <w:color w:val="000000" w:themeColor="text1"/>
          <w:szCs w:val="21"/>
          <w:u w:val="single"/>
          <w14:textFill>
            <w14:solidFill>
              <w14:schemeClr w14:val="tx1"/>
            </w14:solidFill>
          </w14:textFill>
        </w:rPr>
        <w:t>北京航空航天大学宁波创新研究院数字化协同运营平台三期采购项目</w:t>
      </w:r>
      <w:r>
        <w:rPr>
          <w:rFonts w:hint="eastAsia" w:ascii="宋体" w:hAnsi="宋体" w:cs="宋体"/>
          <w:snapToGrid w:val="0"/>
          <w:color w:val="000000" w:themeColor="text1"/>
          <w:kern w:val="0"/>
          <w:szCs w:val="21"/>
          <w14:textFill>
            <w14:solidFill>
              <w14:schemeClr w14:val="tx1"/>
            </w14:solidFill>
          </w14:textFill>
        </w:rPr>
        <w:t>的潜在投标人应在</w:t>
      </w:r>
      <w:r>
        <w:rPr>
          <w:rFonts w:hint="eastAsia" w:ascii="宋体" w:hAnsi="宋体" w:cs="宋体"/>
          <w:snapToGrid w:val="0"/>
          <w:color w:val="000000" w:themeColor="text1"/>
          <w:kern w:val="0"/>
          <w:szCs w:val="21"/>
          <w:u w:val="single"/>
          <w14:textFill>
            <w14:solidFill>
              <w14:schemeClr w14:val="tx1"/>
            </w14:solidFill>
          </w14:textFill>
        </w:rPr>
        <w:t>政采云平台</w:t>
      </w:r>
      <w:r>
        <w:rPr>
          <w:rFonts w:hint="eastAsia" w:ascii="宋体" w:hAnsi="宋体" w:cs="宋体"/>
          <w:snapToGrid w:val="0"/>
          <w:color w:val="000000" w:themeColor="text1"/>
          <w:kern w:val="0"/>
          <w:szCs w:val="21"/>
          <w14:textFill>
            <w14:solidFill>
              <w14:schemeClr w14:val="tx1"/>
            </w14:solidFill>
          </w14:textFill>
        </w:rPr>
        <w:t>获取招标文件，并于</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08</w:t>
      </w:r>
      <w:r>
        <w:rPr>
          <w:rFonts w:hint="eastAsia" w:ascii="宋体" w:hAnsi="宋体" w:cs="宋体"/>
          <w:color w:val="000000" w:themeColor="text1"/>
          <w:szCs w:val="21"/>
          <w:highlight w:val="none"/>
          <w:u w:val="single"/>
          <w14:textFill>
            <w14:solidFill>
              <w14:schemeClr w14:val="tx1"/>
            </w14:solidFill>
          </w14:textFill>
        </w:rPr>
        <w:t>日13:</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0</w:t>
      </w:r>
      <w:r>
        <w:rPr>
          <w:rFonts w:hint="eastAsia" w:ascii="宋体" w:hAnsi="宋体" w:cs="宋体"/>
          <w:bCs/>
          <w:snapToGrid w:val="0"/>
          <w:color w:val="000000" w:themeColor="text1"/>
          <w:kern w:val="0"/>
          <w:szCs w:val="21"/>
          <w:u w:val="single"/>
          <w14:textFill>
            <w14:solidFill>
              <w14:schemeClr w14:val="tx1"/>
            </w14:solidFill>
          </w14:textFill>
        </w:rPr>
        <w:t>（</w:t>
      </w:r>
      <w:r>
        <w:rPr>
          <w:rFonts w:hint="eastAsia" w:ascii="宋体" w:hAnsi="宋体" w:cs="宋体"/>
          <w:bCs/>
          <w:snapToGrid w:val="0"/>
          <w:color w:val="000000" w:themeColor="text1"/>
          <w:kern w:val="0"/>
          <w:szCs w:val="21"/>
          <w14:textFill>
            <w14:solidFill>
              <w14:schemeClr w14:val="tx1"/>
            </w14:solidFill>
          </w14:textFill>
        </w:rPr>
        <w:t>北京时间）前递交投标文件</w:t>
      </w:r>
      <w:r>
        <w:rPr>
          <w:rFonts w:hint="eastAsia" w:ascii="宋体" w:hAnsi="宋体" w:cs="宋体"/>
          <w:snapToGrid w:val="0"/>
          <w:color w:val="000000" w:themeColor="text1"/>
          <w:kern w:val="0"/>
          <w:szCs w:val="21"/>
          <w14:textFill>
            <w14:solidFill>
              <w14:schemeClr w14:val="tx1"/>
            </w14:solidFill>
          </w14:textFill>
        </w:rPr>
        <w:t>。</w:t>
      </w:r>
    </w:p>
    <w:p w14:paraId="597C6CC0">
      <w:pPr>
        <w:wordWrap w:val="0"/>
        <w:spacing w:line="360" w:lineRule="auto"/>
        <w:ind w:firstLine="420"/>
        <w:rPr>
          <w:rFonts w:hint="eastAsia" w:ascii="宋体" w:hAnsi="宋体" w:cs="宋体"/>
          <w:b/>
          <w:color w:val="000000" w:themeColor="text1"/>
          <w:szCs w:val="21"/>
          <w14:textFill>
            <w14:solidFill>
              <w14:schemeClr w14:val="tx1"/>
            </w14:solidFill>
          </w14:textFill>
        </w:rPr>
      </w:pPr>
      <w:bookmarkStart w:id="2" w:name="_Toc28359079"/>
      <w:bookmarkStart w:id="3" w:name="_Toc28359002"/>
      <w:bookmarkStart w:id="4" w:name="_Hlk24379207"/>
      <w:bookmarkStart w:id="5" w:name="_Toc35393621"/>
      <w:bookmarkStart w:id="6" w:name="_Toc35393790"/>
      <w:r>
        <w:rPr>
          <w:rFonts w:hint="eastAsia" w:ascii="宋体" w:hAnsi="宋体" w:cs="宋体"/>
          <w:b/>
          <w:color w:val="000000" w:themeColor="text1"/>
          <w:szCs w:val="21"/>
          <w14:textFill>
            <w14:solidFill>
              <w14:schemeClr w14:val="tx1"/>
            </w14:solidFill>
          </w14:textFill>
        </w:rPr>
        <w:t>一、项目基本情况</w:t>
      </w:r>
    </w:p>
    <w:p w14:paraId="1564E2B6">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项目编号：CBNB-20243364-BL086G</w:t>
      </w:r>
    </w:p>
    <w:p w14:paraId="5A5A153D">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项目名称：北京航空航天大学宁波创新研究院数字化协同运营平台三期采购项目</w:t>
      </w:r>
    </w:p>
    <w:p w14:paraId="4CEDBD0C">
      <w:pPr>
        <w:wordWrap w:val="0"/>
        <w:spacing w:line="360" w:lineRule="auto"/>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预算金额（元）：</w:t>
      </w:r>
      <w:r>
        <w:rPr>
          <w:rFonts w:hint="eastAsia" w:ascii="宋体" w:hAnsi="宋体"/>
          <w:color w:val="000000" w:themeColor="text1"/>
          <w:szCs w:val="21"/>
          <w14:textFill>
            <w14:solidFill>
              <w14:schemeClr w14:val="tx1"/>
            </w14:solidFill>
          </w14:textFill>
        </w:rPr>
        <w:t>1100000.00</w:t>
      </w:r>
    </w:p>
    <w:p w14:paraId="577A40D0">
      <w:pPr>
        <w:wordWrap w:val="0"/>
        <w:spacing w:line="360" w:lineRule="auto"/>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最高限价（元）：</w:t>
      </w:r>
      <w:r>
        <w:rPr>
          <w:rFonts w:hint="eastAsia" w:ascii="宋体" w:hAnsi="宋体"/>
          <w:color w:val="000000" w:themeColor="text1"/>
          <w:szCs w:val="21"/>
          <w14:textFill>
            <w14:solidFill>
              <w14:schemeClr w14:val="tx1"/>
            </w14:solidFill>
          </w14:textFill>
        </w:rPr>
        <w:t>1045000.00</w:t>
      </w:r>
    </w:p>
    <w:p w14:paraId="08154209">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p w14:paraId="3292F7E9">
      <w:pPr>
        <w:wordWrap w:val="0"/>
        <w:spacing w:line="360" w:lineRule="auto"/>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标项名称：</w:t>
      </w:r>
      <w:r>
        <w:rPr>
          <w:rFonts w:hint="eastAsia" w:ascii="宋体" w:hAnsi="宋体"/>
          <w:color w:val="000000" w:themeColor="text1"/>
          <w:szCs w:val="21"/>
          <w14:textFill>
            <w14:solidFill>
              <w14:schemeClr w14:val="tx1"/>
            </w14:solidFill>
          </w14:textFill>
        </w:rPr>
        <w:t>北京航空航天大学宁波创新研究院数字化协同运营平台三期采购</w:t>
      </w:r>
    </w:p>
    <w:p w14:paraId="4B3D78AA">
      <w:pPr>
        <w:wordWrap w:val="0"/>
        <w:spacing w:line="360" w:lineRule="auto"/>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数量：</w:t>
      </w:r>
      <w:r>
        <w:rPr>
          <w:rFonts w:hint="eastAsia" w:ascii="宋体" w:hAnsi="宋体"/>
          <w:color w:val="000000" w:themeColor="text1"/>
          <w:szCs w:val="21"/>
          <w14:textFill>
            <w14:solidFill>
              <w14:schemeClr w14:val="tx1"/>
            </w14:solidFill>
          </w14:textFill>
        </w:rPr>
        <w:t>1</w:t>
      </w:r>
    </w:p>
    <w:p w14:paraId="104AF57E">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预算金额（元）：</w:t>
      </w:r>
      <w:r>
        <w:rPr>
          <w:rFonts w:hint="eastAsia" w:ascii="宋体" w:hAnsi="宋体"/>
          <w:color w:val="000000" w:themeColor="text1"/>
          <w:szCs w:val="21"/>
          <w14:textFill>
            <w14:solidFill>
              <w14:schemeClr w14:val="tx1"/>
            </w14:solidFill>
          </w14:textFill>
        </w:rPr>
        <w:t>1100000.00</w:t>
      </w:r>
    </w:p>
    <w:p w14:paraId="26B88D2F">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简要规格描述或项目基本概况介绍、用途：本项目需采购北京航空航天大学宁波创新研究院数字化协同运营平台三期。</w:t>
      </w:r>
    </w:p>
    <w:p w14:paraId="110D1693">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备注：详细采购需求见本公告附件，最高限价：</w:t>
      </w:r>
      <w:r>
        <w:rPr>
          <w:rFonts w:hint="eastAsia" w:ascii="宋体" w:hAnsi="宋体"/>
          <w:color w:val="000000" w:themeColor="text1"/>
          <w:szCs w:val="21"/>
          <w14:textFill>
            <w14:solidFill>
              <w14:schemeClr w14:val="tx1"/>
            </w14:solidFill>
          </w14:textFill>
        </w:rPr>
        <w:t>1045000.00</w:t>
      </w:r>
      <w:r>
        <w:rPr>
          <w:rFonts w:hint="eastAsia" w:ascii="宋体" w:hAnsi="宋体" w:cs="宋体"/>
          <w:color w:val="000000" w:themeColor="text1"/>
          <w:szCs w:val="21"/>
          <w14:textFill>
            <w14:solidFill>
              <w14:schemeClr w14:val="tx1"/>
            </w14:solidFill>
          </w14:textFill>
        </w:rPr>
        <w:t>元。</w:t>
      </w:r>
    </w:p>
    <w:p w14:paraId="3E27B85B">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合同履约期限：标项 1，项目建设周期120天。中标人在签订合同后7个工作日内，组织项目组入驻用户现场进行需求分析并驻场开发，在合同签订后120天内完成需求分析、平台开发、系统测试、整体部署等所有工作，保证系统稳定上线运行并完成验收。</w:t>
      </w:r>
    </w:p>
    <w:p w14:paraId="14D84252">
      <w:pPr>
        <w:wordWrap w:val="0"/>
        <w:spacing w:line="360" w:lineRule="auto"/>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本项目</w:t>
      </w:r>
      <w:r>
        <w:rPr>
          <w:rFonts w:hint="eastAsia" w:ascii="宋体" w:hAnsi="宋体"/>
          <w:color w:val="000000" w:themeColor="text1"/>
          <w:szCs w:val="21"/>
          <w14:textFill>
            <w14:solidFill>
              <w14:schemeClr w14:val="tx1"/>
            </w14:solidFill>
          </w14:textFill>
        </w:rPr>
        <w:t>（是）接受</w:t>
      </w:r>
      <w:r>
        <w:rPr>
          <w:rFonts w:ascii="宋体" w:hAnsi="宋体"/>
          <w:color w:val="000000" w:themeColor="text1"/>
          <w:szCs w:val="21"/>
          <w14:textFill>
            <w14:solidFill>
              <w14:schemeClr w14:val="tx1"/>
            </w14:solidFill>
          </w14:textFill>
        </w:rPr>
        <w:t>联合体投标。</w:t>
      </w:r>
    </w:p>
    <w:p w14:paraId="4774ED4D">
      <w:pPr>
        <w:wordWrap w:val="0"/>
        <w:spacing w:line="360" w:lineRule="auto"/>
        <w:ind w:firstLine="42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二、申请人的资格要求：</w:t>
      </w:r>
    </w:p>
    <w:p w14:paraId="6BC06E93">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05EE1CE">
      <w:pPr>
        <w:wordWrap w:val="0"/>
        <w:spacing w:line="360" w:lineRule="auto"/>
        <w:ind w:firstLine="42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2.落实政府采购政策需满足的资格要求：标项1：无</w:t>
      </w:r>
      <w:r>
        <w:rPr>
          <w:rFonts w:hint="eastAsia" w:ascii="宋体" w:hAnsi="宋体" w:cs="宋体"/>
          <w:color w:val="000000" w:themeColor="text1"/>
          <w:szCs w:val="21"/>
          <w:lang w:eastAsia="zh-CN"/>
          <w14:textFill>
            <w14:solidFill>
              <w14:schemeClr w14:val="tx1"/>
            </w14:solidFill>
          </w14:textFill>
        </w:rPr>
        <w:t>。</w:t>
      </w:r>
    </w:p>
    <w:p w14:paraId="630984F5">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7F3EA522">
      <w:pPr>
        <w:wordWrap w:val="0"/>
        <w:spacing w:line="360" w:lineRule="auto"/>
        <w:ind w:firstLine="42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三、获取采购文件</w:t>
      </w:r>
    </w:p>
    <w:p w14:paraId="21520C67">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kern w:val="0"/>
          <w:szCs w:val="21"/>
          <w:highlight w:val="none"/>
          <w:lang w:val="en-US" w:eastAsia="zh-CN"/>
          <w14:textFill>
            <w14:solidFill>
              <w14:schemeClr w14:val="tx1"/>
            </w14:solidFill>
          </w14:textFill>
        </w:rPr>
        <w:t>2024年09月14日</w:t>
      </w:r>
      <w:r>
        <w:rPr>
          <w:rFonts w:hint="eastAsia" w:ascii="宋体" w:hAnsi="宋体" w:cs="宋体"/>
          <w:color w:val="000000" w:themeColor="text1"/>
          <w:kern w:val="0"/>
          <w:szCs w:val="21"/>
          <w:highlight w:val="none"/>
          <w14:textFill>
            <w14:solidFill>
              <w14:schemeClr w14:val="tx1"/>
            </w14:solidFill>
          </w14:textFill>
        </w:rPr>
        <w:t>至</w:t>
      </w:r>
      <w:r>
        <w:rPr>
          <w:rFonts w:hint="eastAsia" w:ascii="宋体" w:hAnsi="宋体" w:cs="宋体"/>
          <w:color w:val="000000" w:themeColor="text1"/>
          <w:szCs w:val="21"/>
          <w:highlight w:val="none"/>
          <w14:textFill>
            <w14:solidFill>
              <w14:schemeClr w14:val="tx1"/>
            </w14:solidFill>
          </w14:textFill>
        </w:rPr>
        <w:t>2024年</w:t>
      </w:r>
      <w:r>
        <w:rPr>
          <w:rFonts w:hint="eastAsia" w:ascii="宋体" w:hAnsi="宋体" w:cs="宋体"/>
          <w:color w:val="000000" w:themeColor="text1"/>
          <w:szCs w:val="21"/>
          <w:highlight w:val="none"/>
          <w:lang w:val="en-US" w:eastAsia="zh-CN"/>
          <w14:textFill>
            <w14:solidFill>
              <w14:schemeClr w14:val="tx1"/>
            </w14:solidFill>
          </w14:textFill>
        </w:rPr>
        <w:t>09</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24</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14:textFill>
            <w14:solidFill>
              <w14:schemeClr w14:val="tx1"/>
            </w14:solidFill>
          </w14:textFill>
        </w:rPr>
        <w:t>，每天上午00:00至12:00，下午12:00至23:59（北京时间，线上获取法定节假日均可，线下获取文件法定节假日除外）</w:t>
      </w:r>
    </w:p>
    <w:p w14:paraId="63B2996B">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地点（网址）：政府采购云平台（www.zcygov.cn）</w:t>
      </w:r>
    </w:p>
    <w:p w14:paraId="55B47B15">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供应商登录政府采购云平台（www.zcygov.cn）的注册账号后，进入政采云系统“项目采购”模块“获取采购文件”菜单，进行网上获取采购文件。如有疑问请及时咨询网站客服，咨询电话：95763。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14:paraId="07E2ACF9">
      <w:pPr>
        <w:wordWrap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售价（元）：0</w:t>
      </w:r>
    </w:p>
    <w:p w14:paraId="1E1285DB">
      <w:pPr>
        <w:wordWrap w:val="0"/>
        <w:spacing w:line="360" w:lineRule="auto"/>
        <w:ind w:firstLine="42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四、提交投标文件截止时间、开标时间和地点</w:t>
      </w:r>
    </w:p>
    <w:p w14:paraId="47A5DB47">
      <w:pPr>
        <w:wordWrap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提交投标文件截止时间：2024年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08</w:t>
      </w:r>
      <w:r>
        <w:rPr>
          <w:rFonts w:hint="eastAsia" w:ascii="宋体" w:hAnsi="宋体" w:cs="宋体"/>
          <w:color w:val="000000" w:themeColor="text1"/>
          <w:szCs w:val="21"/>
          <w:highlight w:val="none"/>
          <w14:textFill>
            <w14:solidFill>
              <w14:schemeClr w14:val="tx1"/>
            </w14:solidFill>
          </w14:textFill>
        </w:rPr>
        <w:t>日13: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0（北京时间）</w:t>
      </w:r>
    </w:p>
    <w:p w14:paraId="40DA1FE4">
      <w:pPr>
        <w:wordWrap w:val="0"/>
        <w:spacing w:line="360" w:lineRule="auto"/>
        <w:ind w:firstLine="42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投标地点（网址）：</w:t>
      </w:r>
      <w:r>
        <w:rPr>
          <w:rFonts w:hint="eastAsia" w:ascii="宋体" w:hAnsi="宋体" w:cs="宋体"/>
          <w:bCs/>
          <w:iCs/>
          <w:color w:val="000000" w:themeColor="text1"/>
          <w:highlight w:val="none"/>
          <w14:textFill>
            <w14:solidFill>
              <w14:schemeClr w14:val="tx1"/>
            </w14:solidFill>
          </w14:textFill>
        </w:rPr>
        <w:t>宁波市</w:t>
      </w:r>
      <w:r>
        <w:rPr>
          <w:rFonts w:hint="eastAsia" w:ascii="宋体" w:hAnsi="宋体" w:cs="宋体"/>
          <w:color w:val="000000" w:themeColor="text1"/>
          <w:szCs w:val="21"/>
          <w:highlight w:val="none"/>
          <w14:textFill>
            <w14:solidFill>
              <w14:schemeClr w14:val="tx1"/>
            </w14:solidFill>
          </w14:textFill>
        </w:rPr>
        <w:t>北仑区招投标中心开标室（北仑区长江路1166号行政服务中心B座三楼），本项目通过“政府采购云平台（www.zcygov.cn）”实行在线制作并提交投标文件（电子投标）。</w:t>
      </w:r>
    </w:p>
    <w:p w14:paraId="0B06334A">
      <w:pPr>
        <w:wordWrap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开标时间：2024年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08</w:t>
      </w:r>
      <w:r>
        <w:rPr>
          <w:rFonts w:hint="eastAsia" w:ascii="宋体" w:hAnsi="宋体" w:cs="宋体"/>
          <w:color w:val="000000" w:themeColor="text1"/>
          <w:szCs w:val="21"/>
          <w:highlight w:val="none"/>
          <w14:textFill>
            <w14:solidFill>
              <w14:schemeClr w14:val="tx1"/>
            </w14:solidFill>
          </w14:textFill>
        </w:rPr>
        <w:t>日13: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p>
    <w:p w14:paraId="07EA5FF9">
      <w:pPr>
        <w:wordWrap w:val="0"/>
        <w:spacing w:line="360" w:lineRule="auto"/>
        <w:ind w:firstLine="42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开标地点（网址）：</w:t>
      </w:r>
      <w:r>
        <w:rPr>
          <w:rFonts w:hint="eastAsia" w:ascii="宋体" w:hAnsi="宋体" w:cs="宋体"/>
          <w:bCs/>
          <w:iCs/>
          <w:color w:val="000000" w:themeColor="text1"/>
          <w14:textFill>
            <w14:solidFill>
              <w14:schemeClr w14:val="tx1"/>
            </w14:solidFill>
          </w14:textFill>
        </w:rPr>
        <w:t>宁波市</w:t>
      </w:r>
      <w:r>
        <w:rPr>
          <w:rFonts w:hint="eastAsia" w:ascii="宋体" w:hAnsi="宋体" w:cs="宋体"/>
          <w:color w:val="000000" w:themeColor="text1"/>
          <w:szCs w:val="21"/>
          <w14:textFill>
            <w14:solidFill>
              <w14:schemeClr w14:val="tx1"/>
            </w14:solidFill>
          </w14:textFill>
        </w:rPr>
        <w:t>北仑区招投标中心开标室（北仑区长江路1166号行政服务中心B座三楼），本项目通过“政府采购云平台（www.zcygov.cn）”实行在线开标。</w:t>
      </w:r>
    </w:p>
    <w:p w14:paraId="45708EE0">
      <w:pPr>
        <w:wordWrap w:val="0"/>
        <w:spacing w:line="360" w:lineRule="auto"/>
        <w:ind w:firstLine="42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五、公告期限</w:t>
      </w:r>
    </w:p>
    <w:p w14:paraId="0A2602CB">
      <w:pPr>
        <w:wordWrap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bookmarkEnd w:id="2"/>
      <w:bookmarkEnd w:id="3"/>
      <w:bookmarkEnd w:id="4"/>
      <w:bookmarkEnd w:id="5"/>
      <w:bookmarkEnd w:id="6"/>
      <w:bookmarkStart w:id="7" w:name="_Toc35393795"/>
      <w:bookmarkStart w:id="8" w:name="_Toc35393626"/>
    </w:p>
    <w:p w14:paraId="6F45C9EF">
      <w:pPr>
        <w:wordWrap w:val="0"/>
        <w:spacing w:line="360" w:lineRule="auto"/>
        <w:ind w:firstLine="420"/>
        <w:rPr>
          <w:rFonts w:hint="eastAsia" w:ascii="宋体" w:hAnsi="宋体" w:cs="宋体"/>
          <w:b/>
          <w:bCs/>
          <w:snapToGrid w:val="0"/>
          <w:color w:val="000000" w:themeColor="text1"/>
          <w:kern w:val="0"/>
          <w:szCs w:val="21"/>
          <w14:textFill>
            <w14:solidFill>
              <w14:schemeClr w14:val="tx1"/>
            </w14:solidFill>
          </w14:textFill>
        </w:rPr>
      </w:pPr>
      <w:r>
        <w:rPr>
          <w:rFonts w:hint="eastAsia" w:ascii="宋体" w:hAnsi="宋体" w:cs="宋体"/>
          <w:b/>
          <w:snapToGrid w:val="0"/>
          <w:color w:val="000000" w:themeColor="text1"/>
          <w:kern w:val="0"/>
          <w:szCs w:val="21"/>
          <w14:textFill>
            <w14:solidFill>
              <w14:schemeClr w14:val="tx1"/>
            </w14:solidFill>
          </w14:textFill>
        </w:rPr>
        <w:t>六、其他补充事宜</w:t>
      </w:r>
      <w:bookmarkEnd w:id="7"/>
      <w:bookmarkEnd w:id="8"/>
    </w:p>
    <w:p w14:paraId="3E4580CA">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bookmarkStart w:id="9" w:name="_Toc28359008"/>
      <w:bookmarkStart w:id="10" w:name="_Toc35393796"/>
      <w:bookmarkStart w:id="11" w:name="_Toc35393627"/>
      <w:bookmarkStart w:id="12" w:name="_Toc28359085"/>
      <w:r>
        <w:rPr>
          <w:rFonts w:hint="eastAsia" w:ascii="宋体" w:hAnsi="宋体" w:cs="宋体"/>
          <w:color w:val="000000" w:themeColor="text1"/>
          <w:szCs w:val="27"/>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9DA0054">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F91AC6">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Start w:id="261" w:name="_GoBack"/>
      <w:bookmarkEnd w:id="261"/>
    </w:p>
    <w:p w14:paraId="1375CE16">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lang w:val="en-US" w:eastAsia="zh-CN"/>
          <w14:textFill>
            <w14:solidFill>
              <w14:schemeClr w14:val="tx1"/>
            </w14:solidFill>
          </w14:textFill>
        </w:rPr>
        <w:t>4</w:t>
      </w:r>
      <w:r>
        <w:rPr>
          <w:rFonts w:hint="eastAsia" w:ascii="宋体" w:hAnsi="宋体" w:cs="宋体"/>
          <w:color w:val="000000" w:themeColor="text1"/>
          <w:szCs w:val="27"/>
          <w14:textFill>
            <w14:solidFill>
              <w14:schemeClr w14:val="tx1"/>
            </w14:solidFill>
          </w14:textFill>
        </w:rPr>
        <w:t>.其他事项：</w:t>
      </w:r>
    </w:p>
    <w:p w14:paraId="296FD818">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（1）单位负责人为同一人或者存在直接控股、管理关系的不同供应商，不得参加同一标项号的投标。</w:t>
      </w:r>
    </w:p>
    <w:p w14:paraId="42C1C9BD">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（2）为本项目提供整体设计、规范编制或者项目管理、监理、检测等服务的供应商，不得再参加本项目的投标。</w:t>
      </w:r>
    </w:p>
    <w:p w14:paraId="1F653A45">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（3）与采购人存在利害关系可能影响招标公正性的法人或其他组织不得参加投标。存在利害关系的投标人包括但不限于：</w:t>
      </w:r>
      <w:r>
        <w:rPr>
          <w:rFonts w:hint="eastAsia" w:ascii="宋体" w:hAnsi="宋体" w:cs="宋体"/>
          <w:color w:val="000000" w:themeColor="text1"/>
          <w:szCs w:val="27"/>
          <w14:textFill>
            <w14:solidFill>
              <w14:schemeClr w14:val="tx1"/>
            </w14:solidFill>
          </w14:textFill>
        </w:rPr>
        <w:fldChar w:fldCharType="begin"/>
      </w:r>
      <w:r>
        <w:rPr>
          <w:rFonts w:hint="eastAsia" w:ascii="宋体" w:hAnsi="宋体" w:cs="宋体"/>
          <w:color w:val="000000" w:themeColor="text1"/>
          <w:szCs w:val="27"/>
          <w14:textFill>
            <w14:solidFill>
              <w14:schemeClr w14:val="tx1"/>
            </w14:solidFill>
          </w14:textFill>
        </w:rPr>
        <w:instrText xml:space="preserve"> = 1 \* GB3 </w:instrText>
      </w:r>
      <w:r>
        <w:rPr>
          <w:rFonts w:hint="eastAsia" w:ascii="宋体" w:hAnsi="宋体" w:cs="宋体"/>
          <w:color w:val="000000" w:themeColor="text1"/>
          <w:szCs w:val="27"/>
          <w14:textFill>
            <w14:solidFill>
              <w14:schemeClr w14:val="tx1"/>
            </w14:solidFill>
          </w14:textFill>
        </w:rPr>
        <w:fldChar w:fldCharType="separate"/>
      </w:r>
      <w:r>
        <w:rPr>
          <w:rFonts w:hint="eastAsia" w:ascii="宋体" w:hAnsi="宋体" w:cs="宋体"/>
          <w:color w:val="000000" w:themeColor="text1"/>
          <w:szCs w:val="27"/>
          <w14:textFill>
            <w14:solidFill>
              <w14:schemeClr w14:val="tx1"/>
            </w14:solidFill>
          </w14:textFill>
        </w:rPr>
        <w:t>①</w:t>
      </w:r>
      <w:r>
        <w:rPr>
          <w:rFonts w:hint="eastAsia" w:ascii="宋体" w:hAnsi="宋体" w:cs="宋体"/>
          <w:color w:val="000000" w:themeColor="text1"/>
          <w:szCs w:val="27"/>
          <w14:textFill>
            <w14:solidFill>
              <w14:schemeClr w14:val="tx1"/>
            </w14:solidFill>
          </w14:textFill>
        </w:rPr>
        <w:fldChar w:fldCharType="end"/>
      </w:r>
      <w:r>
        <w:rPr>
          <w:rFonts w:hint="eastAsia" w:ascii="宋体" w:hAnsi="宋体" w:cs="宋体"/>
          <w:color w:val="000000" w:themeColor="text1"/>
          <w:szCs w:val="27"/>
          <w14:textFill>
            <w14:solidFill>
              <w14:schemeClr w14:val="tx1"/>
            </w14:solidFill>
          </w14:textFill>
        </w:rPr>
        <w:t>北京航空航天大学、北京航空航天大学宁波创新研究院在该投标人中有股份的。</w:t>
      </w:r>
      <w:r>
        <w:rPr>
          <w:rFonts w:hint="eastAsia" w:ascii="宋体" w:hAnsi="宋体" w:cs="宋体"/>
          <w:color w:val="000000" w:themeColor="text1"/>
          <w:szCs w:val="27"/>
          <w14:textFill>
            <w14:solidFill>
              <w14:schemeClr w14:val="tx1"/>
            </w14:solidFill>
          </w14:textFill>
        </w:rPr>
        <w:fldChar w:fldCharType="begin"/>
      </w:r>
      <w:r>
        <w:rPr>
          <w:rFonts w:hint="eastAsia" w:ascii="宋体" w:hAnsi="宋体" w:cs="宋体"/>
          <w:color w:val="000000" w:themeColor="text1"/>
          <w:szCs w:val="27"/>
          <w14:textFill>
            <w14:solidFill>
              <w14:schemeClr w14:val="tx1"/>
            </w14:solidFill>
          </w14:textFill>
        </w:rPr>
        <w:instrText xml:space="preserve"> = 2 \* GB3 </w:instrText>
      </w:r>
      <w:r>
        <w:rPr>
          <w:rFonts w:hint="eastAsia" w:ascii="宋体" w:hAnsi="宋体" w:cs="宋体"/>
          <w:color w:val="000000" w:themeColor="text1"/>
          <w:szCs w:val="27"/>
          <w14:textFill>
            <w14:solidFill>
              <w14:schemeClr w14:val="tx1"/>
            </w14:solidFill>
          </w14:textFill>
        </w:rPr>
        <w:fldChar w:fldCharType="separate"/>
      </w:r>
      <w:r>
        <w:rPr>
          <w:rFonts w:hint="eastAsia" w:ascii="宋体" w:hAnsi="宋体" w:cs="宋体"/>
          <w:color w:val="000000" w:themeColor="text1"/>
          <w:szCs w:val="27"/>
          <w14:textFill>
            <w14:solidFill>
              <w14:schemeClr w14:val="tx1"/>
            </w14:solidFill>
          </w14:textFill>
        </w:rPr>
        <w:t>②</w:t>
      </w:r>
      <w:r>
        <w:rPr>
          <w:rFonts w:hint="eastAsia" w:ascii="宋体" w:hAnsi="宋体" w:cs="宋体"/>
          <w:color w:val="000000" w:themeColor="text1"/>
          <w:szCs w:val="27"/>
          <w14:textFill>
            <w14:solidFill>
              <w14:schemeClr w14:val="tx1"/>
            </w14:solidFill>
          </w14:textFill>
        </w:rPr>
        <w:fldChar w:fldCharType="end"/>
      </w:r>
      <w:r>
        <w:rPr>
          <w:rFonts w:hint="eastAsia" w:ascii="宋体" w:hAnsi="宋体" w:cs="宋体"/>
          <w:color w:val="000000" w:themeColor="text1"/>
          <w:szCs w:val="27"/>
          <w14:textFill>
            <w14:solidFill>
              <w14:schemeClr w14:val="tx1"/>
            </w14:solidFill>
          </w14:textFill>
        </w:rPr>
        <w:t>项目负责人、项目主要成员或经办人在该投标人中有股份或任职的。</w:t>
      </w:r>
    </w:p>
    <w:p w14:paraId="09791E0B">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4）落实的政策：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14:paraId="06824F96">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（5）本公告发布网站：浙江省政府采购网、宁波市政府采购网、宁波市公共资源交易电子服务系统（甬易阳光）、北京航空航天大学宁波创新研究院网站、宁波中基国际招标有限公司网站。</w:t>
      </w:r>
    </w:p>
    <w:p w14:paraId="5033DAD3">
      <w:pPr>
        <w:spacing w:line="360" w:lineRule="auto"/>
        <w:ind w:firstLine="420"/>
        <w:contextualSpacing/>
        <w:jc w:val="left"/>
        <w:rPr>
          <w:rFonts w:hint="eastAsia" w:ascii="宋体" w:hAnsi="宋体" w:cs="宋体"/>
          <w:color w:val="000000" w:themeColor="text1"/>
          <w:szCs w:val="27"/>
          <w14:textFill>
            <w14:solidFill>
              <w14:schemeClr w14:val="tx1"/>
            </w14:solidFill>
          </w14:textFill>
        </w:rPr>
      </w:pPr>
      <w:r>
        <w:rPr>
          <w:rFonts w:hint="eastAsia" w:ascii="宋体" w:hAnsi="宋体" w:cs="宋体"/>
          <w:color w:val="000000" w:themeColor="text1"/>
          <w:szCs w:val="27"/>
          <w14:textFill>
            <w14:solidFill>
              <w14:schemeClr w14:val="tx1"/>
            </w14:solidFill>
          </w14:textFill>
        </w:rPr>
        <w:t>（6）投标人应于2024年</w:t>
      </w:r>
      <w:r>
        <w:rPr>
          <w:rFonts w:hint="eastAsia" w:ascii="宋体" w:hAnsi="宋体" w:cs="宋体"/>
          <w:color w:val="000000" w:themeColor="text1"/>
          <w:szCs w:val="27"/>
          <w:lang w:val="en-US" w:eastAsia="zh-CN"/>
          <w14:textFill>
            <w14:solidFill>
              <w14:schemeClr w14:val="tx1"/>
            </w14:solidFill>
          </w14:textFill>
        </w:rPr>
        <w:t>10</w:t>
      </w:r>
      <w:r>
        <w:rPr>
          <w:rFonts w:hint="eastAsia" w:ascii="宋体" w:hAnsi="宋体" w:cs="宋体"/>
          <w:color w:val="000000" w:themeColor="text1"/>
          <w:szCs w:val="27"/>
          <w14:textFill>
            <w14:solidFill>
              <w14:schemeClr w14:val="tx1"/>
            </w14:solidFill>
          </w14:textFill>
        </w:rPr>
        <w:t>月</w:t>
      </w:r>
      <w:r>
        <w:rPr>
          <w:rFonts w:hint="eastAsia" w:ascii="宋体" w:hAnsi="宋体" w:cs="宋体"/>
          <w:color w:val="000000" w:themeColor="text1"/>
          <w:szCs w:val="27"/>
          <w:lang w:val="en-US" w:eastAsia="zh-CN"/>
          <w14:textFill>
            <w14:solidFill>
              <w14:schemeClr w14:val="tx1"/>
            </w14:solidFill>
          </w14:textFill>
        </w:rPr>
        <w:t>08</w:t>
      </w:r>
      <w:r>
        <w:rPr>
          <w:rFonts w:hint="eastAsia" w:ascii="宋体" w:hAnsi="宋体" w:cs="宋体"/>
          <w:color w:val="000000" w:themeColor="text1"/>
          <w:szCs w:val="27"/>
          <w14:textFill>
            <w14:solidFill>
              <w14:schemeClr w14:val="tx1"/>
            </w14:solidFill>
          </w14:textFill>
        </w:rPr>
        <w:t>日13:</w:t>
      </w:r>
      <w:r>
        <w:rPr>
          <w:rFonts w:hint="eastAsia" w:ascii="宋体" w:hAnsi="宋体" w:cs="宋体"/>
          <w:color w:val="000000" w:themeColor="text1"/>
          <w:szCs w:val="27"/>
          <w:lang w:val="en-US" w:eastAsia="zh-CN"/>
          <w14:textFill>
            <w14:solidFill>
              <w14:schemeClr w14:val="tx1"/>
            </w14:solidFill>
          </w14:textFill>
        </w:rPr>
        <w:t>3</w:t>
      </w:r>
      <w:r>
        <w:rPr>
          <w:rFonts w:hint="eastAsia" w:ascii="宋体" w:hAnsi="宋体" w:cs="宋体"/>
          <w:color w:val="000000" w:themeColor="text1"/>
          <w:szCs w:val="27"/>
          <w14:textFill>
            <w14:solidFill>
              <w14:schemeClr w14:val="tx1"/>
            </w14:solidFill>
          </w14:textFill>
        </w:rPr>
        <w:t>0时前将电子加密投标文件上传到政府采购云平台（www.zcygov.cn），未上传电子加密投标文件，视为投标人放弃投标。</w:t>
      </w:r>
    </w:p>
    <w:p w14:paraId="705EA65E">
      <w:pPr>
        <w:spacing w:line="360" w:lineRule="auto"/>
        <w:ind w:firstLine="42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7"/>
          <w14:textFill>
            <w14:solidFill>
              <w14:schemeClr w14:val="tx1"/>
            </w14:solidFill>
          </w14:textFill>
        </w:rPr>
        <w:t>（7）代理机构将在招标文件规定的时间通过政府采购云平台组织开标、开启投标文件，所有</w:t>
      </w:r>
      <w:r>
        <w:rPr>
          <w:rFonts w:hint="eastAsia" w:ascii="宋体" w:hAnsi="宋体" w:cs="宋体"/>
          <w:color w:val="000000" w:themeColor="text1"/>
          <w:szCs w:val="21"/>
          <w14:textFill>
            <w14:solidFill>
              <w14:schemeClr w14:val="tx1"/>
            </w14:solidFill>
          </w14:textFill>
        </w:rPr>
        <w:t>投标人均应准时在线参加。开标时间后30分钟内投标人可以登录政府采购云平台（www.zcygov.cn），用“项目采购－开标评标”功能进行解密投标文件。</w:t>
      </w:r>
    </w:p>
    <w:p w14:paraId="7A215C8E">
      <w:pP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（8）投标与开标注意事项：</w:t>
      </w:r>
    </w:p>
    <w:p w14:paraId="6CE8AFE4">
      <w:pP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1）本项目实行网上投标，采用电子加密投标文件。若投标人参与投标，自行承担投标一切费用。</w:t>
      </w:r>
    </w:p>
    <w:p w14:paraId="35B0A4DB">
      <w:pP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2）标前准备：各投标人应在开标前确保成为浙江政府采购网正式注册入库投标人，并完成CA数字证书办理。因未注册入库、未办理CA数字证书等原因造成无法投标或投标失败等后果由投标人自行承担。</w:t>
      </w:r>
    </w:p>
    <w:p w14:paraId="54B1361B">
      <w:pP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（9）投标文件制作：</w:t>
      </w:r>
    </w:p>
    <w:p w14:paraId="2D758DC4">
      <w:pP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1）应按照本项目招标文件和政府采购云平台的要求编制、加密并递交投标文件。投标人在使用系统进行投标的过程中遇到涉及平台使用的任何问题，可致电政府采购云平台技术支持热线咨询，联系方式：95763。</w:t>
      </w:r>
    </w:p>
    <w:p w14:paraId="11CC5785">
      <w:pP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2）投标人通过政府采购云平台电子投标工具制作投标文件，电子投标工具请投标人自行前往浙江政府采购网下载并安装，投标文件制作具体流程详见政府采购云平台。</w:t>
      </w:r>
    </w:p>
    <w:p w14:paraId="67464F72">
      <w:pPr>
        <w:wordWrap w:val="0"/>
        <w:spacing w:line="360" w:lineRule="auto"/>
        <w:ind w:firstLine="420"/>
        <w:rPr>
          <w:rFonts w:hint="eastAsia" w:ascii="宋体" w:hAnsi="宋体" w:cs="宋体"/>
          <w:b/>
          <w:bCs/>
          <w:snapToGrid w:val="0"/>
          <w:color w:val="000000" w:themeColor="text1"/>
          <w:kern w:val="0"/>
          <w:szCs w:val="21"/>
          <w14:textFill>
            <w14:solidFill>
              <w14:schemeClr w14:val="tx1"/>
            </w14:solidFill>
          </w14:textFill>
        </w:rPr>
      </w:pPr>
      <w:r>
        <w:rPr>
          <w:rFonts w:hint="eastAsia" w:ascii="宋体" w:hAnsi="宋体" w:cs="宋体"/>
          <w:b/>
          <w:snapToGrid w:val="0"/>
          <w:color w:val="000000" w:themeColor="text1"/>
          <w:kern w:val="0"/>
          <w:szCs w:val="21"/>
          <w14:textFill>
            <w14:solidFill>
              <w14:schemeClr w14:val="tx1"/>
            </w14:solidFill>
          </w14:textFill>
        </w:rPr>
        <w:t>七、对本次招标提出询问，请按以下方式联系</w:t>
      </w:r>
      <w:bookmarkEnd w:id="9"/>
      <w:bookmarkEnd w:id="10"/>
      <w:bookmarkEnd w:id="11"/>
      <w:bookmarkEnd w:id="12"/>
    </w:p>
    <w:p w14:paraId="0F62C938">
      <w:pPr>
        <w:widowControl/>
        <w:spacing w:line="360" w:lineRule="auto"/>
        <w:ind w:firstLine="420" w:firstLineChars="200"/>
        <w:jc w:val="left"/>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1.采购人信息</w:t>
      </w:r>
    </w:p>
    <w:p w14:paraId="5BCE260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名称：</w:t>
      </w:r>
      <w:r>
        <w:rPr>
          <w:rFonts w:hint="eastAsia" w:ascii="宋体" w:hAnsi="宋体" w:cs="宋体"/>
          <w:color w:val="000000" w:themeColor="text1"/>
          <w:szCs w:val="21"/>
          <w14:textFill>
            <w14:solidFill>
              <w14:schemeClr w14:val="tx1"/>
            </w14:solidFill>
          </w14:textFill>
        </w:rPr>
        <w:t>北京航空航天大学宁波创新研究院</w:t>
      </w:r>
    </w:p>
    <w:p w14:paraId="0E96060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使用中心：</w:t>
      </w:r>
      <w:r>
        <w:rPr>
          <w:rFonts w:hint="eastAsia" w:ascii="宋体" w:hAnsi="宋体" w:cs="宋体"/>
          <w:bCs/>
          <w:color w:val="000000" w:themeColor="text1"/>
          <w:szCs w:val="21"/>
          <w14:textFill>
            <w14:solidFill>
              <w14:schemeClr w14:val="tx1"/>
            </w14:solidFill>
          </w14:textFill>
        </w:rPr>
        <w:t>网络信息中心</w:t>
      </w:r>
    </w:p>
    <w:p w14:paraId="2C73184F">
      <w:pPr>
        <w:spacing w:line="360" w:lineRule="auto"/>
        <w:ind w:firstLine="420" w:firstLineChars="200"/>
        <w:jc w:val="left"/>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地址：浙江省宁波市北仑区梅山街道康达路399号</w:t>
      </w:r>
    </w:p>
    <w:p w14:paraId="567864A4">
      <w:pPr>
        <w:wordWrap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13" w:name="_Toc28359086"/>
      <w:bookmarkStart w:id="14" w:name="_Toc28359009"/>
      <w:r>
        <w:rPr>
          <w:rFonts w:hint="eastAsia" w:ascii="宋体" w:hAnsi="宋体" w:cs="宋体"/>
          <w:color w:val="000000" w:themeColor="text1"/>
          <w:kern w:val="0"/>
          <w:szCs w:val="21"/>
          <w14:textFill>
            <w14:solidFill>
              <w14:schemeClr w14:val="tx1"/>
            </w14:solidFill>
          </w14:textFill>
        </w:rPr>
        <w:t>项目联系人（</w:t>
      </w:r>
      <w:r>
        <w:rPr>
          <w:rFonts w:hint="eastAsia" w:ascii="宋体" w:hAnsi="宋体" w:cs="宋体"/>
          <w:color w:val="000000" w:themeColor="text1"/>
          <w:szCs w:val="21"/>
          <w14:textFill>
            <w14:solidFill>
              <w14:schemeClr w14:val="tx1"/>
            </w14:solidFill>
          </w14:textFill>
        </w:rPr>
        <w:t>询问</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吴</w:t>
      </w:r>
      <w:r>
        <w:rPr>
          <w:rFonts w:hint="eastAsia" w:ascii="宋体" w:hAnsi="宋体" w:cs="宋体"/>
          <w:color w:val="000000" w:themeColor="text1"/>
          <w:szCs w:val="21"/>
          <w:highlight w:val="none"/>
          <w14:textFill>
            <w14:solidFill>
              <w14:schemeClr w14:val="tx1"/>
            </w14:solidFill>
          </w14:textFill>
        </w:rPr>
        <w:t>老师</w:t>
      </w:r>
    </w:p>
    <w:p w14:paraId="63B9CE87">
      <w:pPr>
        <w:wordWrap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项目联系方式（</w:t>
      </w:r>
      <w:r>
        <w:rPr>
          <w:rFonts w:hint="eastAsia" w:ascii="宋体" w:hAnsi="宋体" w:cs="宋体"/>
          <w:color w:val="000000" w:themeColor="text1"/>
          <w:szCs w:val="21"/>
          <w:highlight w:val="none"/>
          <w14:textFill>
            <w14:solidFill>
              <w14:schemeClr w14:val="tx1"/>
            </w14:solidFill>
          </w14:textFill>
        </w:rPr>
        <w:t>询问</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0574-86001579</w:t>
      </w:r>
    </w:p>
    <w:p w14:paraId="6A3500E9">
      <w:pPr>
        <w:wordWrap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w:t>
      </w:r>
      <w:r>
        <w:rPr>
          <w:rFonts w:hint="eastAsia" w:ascii="宋体" w:hAnsi="宋体" w:cs="宋体"/>
          <w:color w:val="000000" w:themeColor="text1"/>
          <w:szCs w:val="21"/>
          <w14:textFill>
            <w14:solidFill>
              <w14:schemeClr w14:val="tx1"/>
            </w14:solidFill>
          </w14:textFill>
        </w:rPr>
        <w:t>张老师</w:t>
      </w:r>
    </w:p>
    <w:p w14:paraId="0E70CBC1">
      <w:pP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w:t>
      </w:r>
      <w:r>
        <w:rPr>
          <w:rFonts w:hint="eastAsia" w:ascii="宋体" w:hAnsi="宋体" w:cs="宋体"/>
          <w:color w:val="000000" w:themeColor="text1"/>
          <w:szCs w:val="21"/>
          <w14:textFill>
            <w14:solidFill>
              <w14:schemeClr w14:val="tx1"/>
            </w14:solidFill>
          </w14:textFill>
        </w:rPr>
        <w:t>0574-86001572</w:t>
      </w:r>
    </w:p>
    <w:bookmarkEnd w:id="13"/>
    <w:bookmarkEnd w:id="14"/>
    <w:p w14:paraId="18456E2D">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3AA07DA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p>
    <w:p w14:paraId="3A0055B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称：宁波中基国际招标有限公司</w:t>
      </w:r>
    </w:p>
    <w:p w14:paraId="39E436B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址：宁波市天童南路666号中基大厦19楼</w:t>
      </w:r>
    </w:p>
    <w:p w14:paraId="031445B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    真：0574- 87425386</w:t>
      </w:r>
    </w:p>
    <w:p w14:paraId="3BC3C75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项目联系人（询问）：胡栋、徐军、高书焓、林申杰、梁慧强</w:t>
      </w:r>
    </w:p>
    <w:p w14:paraId="60C3151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项目联系方式（询问）：0574-88090338、0574-88090336</w:t>
      </w:r>
    </w:p>
    <w:p w14:paraId="370E1F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质疑联系人：夏巍</w:t>
      </w:r>
    </w:p>
    <w:p w14:paraId="33E6D7A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质疑联系方式：0574-87425385</w:t>
      </w:r>
    </w:p>
    <w:p w14:paraId="39EB4BBA">
      <w:pPr>
        <w:pStyle w:val="55"/>
        <w:spacing w:before="120" w:after="120"/>
        <w:rPr>
          <w:rFonts w:hint="eastAsia" w:hAnsi="宋体" w:cs="宋体"/>
          <w:color w:val="000000" w:themeColor="text1"/>
          <w14:textFill>
            <w14:solidFill>
              <w14:schemeClr w14:val="tx1"/>
            </w14:solidFill>
          </w14:textFill>
        </w:rPr>
      </w:pPr>
    </w:p>
    <w:p w14:paraId="12C4EB4D">
      <w:pPr>
        <w:snapToGrid w:val="0"/>
        <w:spacing w:line="360" w:lineRule="auto"/>
        <w:ind w:left="4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同级政府采购监督管理部门</w:t>
      </w:r>
    </w:p>
    <w:p w14:paraId="27839C73">
      <w:pPr>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名称：宁波市北仑区财政局政府采购管理办公室</w:t>
      </w:r>
    </w:p>
    <w:p w14:paraId="7F15B972">
      <w:pPr>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地址：宁波市北仑区新碶长江路1166号6楼</w:t>
      </w:r>
    </w:p>
    <w:p w14:paraId="7F784A2A">
      <w:pPr>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p w14:paraId="44C221EC">
      <w:pPr>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联系人：严老师</w:t>
      </w:r>
    </w:p>
    <w:p w14:paraId="669C2D87">
      <w:pPr>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监督投诉电话：0574-89383756</w:t>
      </w:r>
    </w:p>
    <w:p w14:paraId="108B893C">
      <w:pPr>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政策咨询：/</w:t>
      </w:r>
    </w:p>
    <w:p w14:paraId="541C799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Cs w:val="21"/>
          <w14:textFill>
            <w14:solidFill>
              <w14:schemeClr w14:val="tx1"/>
            </w14:solidFill>
          </w14:textFill>
        </w:rPr>
        <w:t>95763</w:t>
      </w:r>
      <w:r>
        <w:rPr>
          <w:rFonts w:hint="eastAsia" w:ascii="宋体" w:hAnsi="宋体" w:cs="宋体"/>
          <w:color w:val="000000" w:themeColor="text1"/>
          <w:kern w:val="0"/>
          <w:szCs w:val="21"/>
          <w14:textFill>
            <w14:solidFill>
              <w14:schemeClr w14:val="tx1"/>
            </w14:solidFill>
          </w14:textFill>
        </w:rPr>
        <w:t>获取热线服务帮助。</w:t>
      </w:r>
    </w:p>
    <w:p w14:paraId="6370A76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CA问题联系电话（人工）：汇信CA 400-888-4636；天谷CA 400-087-8198。</w:t>
      </w:r>
    </w:p>
    <w:p w14:paraId="73D34B05">
      <w:pPr>
        <w:widowControl/>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0BF203E4">
      <w:pPr>
        <w:rPr>
          <w:rFonts w:hint="eastAsia" w:ascii="宋体" w:hAnsi="宋体"/>
          <w:color w:val="000000" w:themeColor="text1"/>
          <w14:textFill>
            <w14:solidFill>
              <w14:schemeClr w14:val="tx1"/>
            </w14:solidFill>
          </w14:textFill>
        </w:rPr>
      </w:pPr>
    </w:p>
    <w:p w14:paraId="5E8C0C15">
      <w:pPr>
        <w:pStyle w:val="2"/>
        <w:spacing w:before="0" w:after="0" w:line="360" w:lineRule="auto"/>
        <w:jc w:val="center"/>
        <w:rPr>
          <w:rFonts w:hint="eastAsia" w:ascii="宋体" w:hAnsi="宋体"/>
          <w:color w:val="000000" w:themeColor="text1"/>
          <w:sz w:val="30"/>
          <w14:textFill>
            <w14:solidFill>
              <w14:schemeClr w14:val="tx1"/>
            </w14:solidFill>
          </w14:textFill>
        </w:rPr>
      </w:pPr>
      <w:bookmarkStart w:id="15" w:name="_Toc460416585"/>
      <w:bookmarkStart w:id="16" w:name="_Toc22608"/>
      <w:bookmarkStart w:id="17" w:name="_Toc460857891"/>
      <w:r>
        <w:rPr>
          <w:rFonts w:hint="eastAsia" w:ascii="宋体" w:hAnsi="宋体"/>
          <w:color w:val="000000" w:themeColor="text1"/>
          <w:sz w:val="30"/>
          <w14:textFill>
            <w14:solidFill>
              <w14:schemeClr w14:val="tx1"/>
            </w14:solidFill>
          </w14:textFill>
        </w:rPr>
        <w:t>第二章  招标需求</w:t>
      </w:r>
      <w:bookmarkEnd w:id="15"/>
      <w:bookmarkEnd w:id="16"/>
      <w:bookmarkEnd w:id="17"/>
      <w:bookmarkStart w:id="18" w:name="_Toc460857894"/>
    </w:p>
    <w:p w14:paraId="3DB85BB1">
      <w:pPr>
        <w:spacing w:before="120" w:beforeLines="50" w:line="360" w:lineRule="auto"/>
        <w:jc w:val="center"/>
        <w:rPr>
          <w:rFonts w:hint="eastAsia" w:ascii="宋体" w:hAnsi="宋体"/>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前附表</w:t>
      </w:r>
    </w:p>
    <w:tbl>
      <w:tblPr>
        <w:tblStyle w:val="42"/>
        <w:tblW w:w="0" w:type="auto"/>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14:paraId="2F86C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14:paraId="64A27BE0">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3840" w:type="dxa"/>
            <w:vAlign w:val="center"/>
          </w:tcPr>
          <w:p w14:paraId="487733C4">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子项</w:t>
            </w:r>
          </w:p>
        </w:tc>
        <w:tc>
          <w:tcPr>
            <w:tcW w:w="4425" w:type="dxa"/>
            <w:vAlign w:val="center"/>
          </w:tcPr>
          <w:p w14:paraId="2009B58E">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招标需求</w:t>
            </w:r>
          </w:p>
        </w:tc>
      </w:tr>
      <w:tr w14:paraId="69F83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vAlign w:val="center"/>
          </w:tcPr>
          <w:p w14:paraId="60F78BD1">
            <w:pPr>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w:t>
            </w:r>
          </w:p>
        </w:tc>
        <w:tc>
          <w:tcPr>
            <w:tcW w:w="3840" w:type="dxa"/>
            <w:vAlign w:val="center"/>
          </w:tcPr>
          <w:p w14:paraId="13BBB76E">
            <w:pP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采购标的需实现的功能或者目标</w:t>
            </w:r>
          </w:p>
        </w:tc>
        <w:tc>
          <w:tcPr>
            <w:tcW w:w="4425" w:type="dxa"/>
            <w:vAlign w:val="center"/>
          </w:tcPr>
          <w:p w14:paraId="2378BD05">
            <w:pPr>
              <w:rPr>
                <w:rFonts w:hint="eastAsia"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招标需求第一条。</w:t>
            </w:r>
          </w:p>
        </w:tc>
      </w:tr>
      <w:tr w14:paraId="3C6CC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14:paraId="732DA3B1">
            <w:pPr>
              <w:spacing w:line="400" w:lineRule="exact"/>
              <w:jc w:val="center"/>
              <w:rPr>
                <w:rFonts w:hint="eastAsia" w:ascii="宋体" w:hAnsi="宋体"/>
                <w:color w:val="000000" w:themeColor="text1"/>
                <w14:textFill>
                  <w14:solidFill>
                    <w14:schemeClr w14:val="tx1"/>
                  </w14:solidFill>
                </w14:textFill>
              </w:rPr>
            </w:pPr>
          </w:p>
        </w:tc>
        <w:tc>
          <w:tcPr>
            <w:tcW w:w="3840" w:type="dxa"/>
            <w:vAlign w:val="center"/>
          </w:tcPr>
          <w:p w14:paraId="38EDC213">
            <w:pP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为落实政府采购需满足的要求</w:t>
            </w:r>
          </w:p>
        </w:tc>
        <w:tc>
          <w:tcPr>
            <w:tcW w:w="4425" w:type="dxa"/>
            <w:vAlign w:val="center"/>
          </w:tcPr>
          <w:p w14:paraId="143B27A6">
            <w:pPr>
              <w:rPr>
                <w:rFonts w:hint="eastAsia"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招标需求第一条。</w:t>
            </w:r>
          </w:p>
        </w:tc>
      </w:tr>
      <w:tr w14:paraId="78FA2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vAlign w:val="center"/>
          </w:tcPr>
          <w:p w14:paraId="3560D37D">
            <w:pPr>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w:t>
            </w:r>
          </w:p>
        </w:tc>
        <w:tc>
          <w:tcPr>
            <w:tcW w:w="3840" w:type="dxa"/>
            <w:vAlign w:val="center"/>
          </w:tcPr>
          <w:p w14:paraId="5E9E3D85">
            <w:pPr>
              <w:spacing w:line="400" w:lineRule="exact"/>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采购标的需执行的国家相关标准、行业标准、地方标准或者其他标准规范</w:t>
            </w:r>
          </w:p>
        </w:tc>
        <w:tc>
          <w:tcPr>
            <w:tcW w:w="4425" w:type="dxa"/>
            <w:vAlign w:val="center"/>
          </w:tcPr>
          <w:p w14:paraId="77AB12B8">
            <w:pPr>
              <w:spacing w:line="4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由采购人认可的有关国家标准、行业标准、地方标准或者其他标准规范。</w:t>
            </w:r>
          </w:p>
        </w:tc>
      </w:tr>
      <w:tr w14:paraId="68BAB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14:paraId="2F27BC73">
            <w:pPr>
              <w:spacing w:line="4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w:t>
            </w:r>
          </w:p>
        </w:tc>
        <w:tc>
          <w:tcPr>
            <w:tcW w:w="3840" w:type="dxa"/>
            <w:vAlign w:val="center"/>
          </w:tcPr>
          <w:p w14:paraId="22754C0A">
            <w:pPr>
              <w:spacing w:line="400" w:lineRule="exact"/>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采购标的需满足的质量、安全、技术规格、物理特性等要求</w:t>
            </w:r>
          </w:p>
        </w:tc>
        <w:tc>
          <w:tcPr>
            <w:tcW w:w="4425" w:type="dxa"/>
            <w:vAlign w:val="center"/>
          </w:tcPr>
          <w:p w14:paraId="08F2E152">
            <w:pPr>
              <w:spacing w:line="400" w:lineRule="exact"/>
              <w:rPr>
                <w:rFonts w:hint="eastAsia"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招标需求第二条。</w:t>
            </w:r>
          </w:p>
        </w:tc>
      </w:tr>
      <w:tr w14:paraId="1057C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Align w:val="center"/>
          </w:tcPr>
          <w:p w14:paraId="5E1B594A">
            <w:pPr>
              <w:spacing w:line="400" w:lineRule="exact"/>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四</w:t>
            </w:r>
          </w:p>
        </w:tc>
        <w:tc>
          <w:tcPr>
            <w:tcW w:w="3840" w:type="dxa"/>
            <w:vAlign w:val="center"/>
          </w:tcPr>
          <w:p w14:paraId="5A3D486B">
            <w:pPr>
              <w:spacing w:line="400" w:lineRule="exact"/>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采购标的的数量、采购项目交付或者实施的时间和地点</w:t>
            </w:r>
          </w:p>
        </w:tc>
        <w:tc>
          <w:tcPr>
            <w:tcW w:w="4425" w:type="dxa"/>
            <w:vAlign w:val="center"/>
          </w:tcPr>
          <w:p w14:paraId="7C101738">
            <w:pPr>
              <w:spacing w:line="400" w:lineRule="exact"/>
              <w:rPr>
                <w:rFonts w:hint="eastAsia"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招标需求第三条</w:t>
            </w:r>
          </w:p>
        </w:tc>
      </w:tr>
      <w:tr w14:paraId="3BD02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14:paraId="120E6797">
            <w:pPr>
              <w:spacing w:line="400" w:lineRule="exact"/>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五</w:t>
            </w:r>
          </w:p>
        </w:tc>
        <w:tc>
          <w:tcPr>
            <w:tcW w:w="3840" w:type="dxa"/>
            <w:vAlign w:val="center"/>
          </w:tcPr>
          <w:p w14:paraId="4DA8D2E3">
            <w:pPr>
              <w:spacing w:line="400" w:lineRule="exact"/>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采购标的需满足的服务标准、期限、效率等要求</w:t>
            </w:r>
          </w:p>
        </w:tc>
        <w:tc>
          <w:tcPr>
            <w:tcW w:w="4425" w:type="dxa"/>
            <w:vAlign w:val="center"/>
          </w:tcPr>
          <w:p w14:paraId="60AF2FCC">
            <w:pPr>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1）采购人根据采购文件和投标人提供的投标文件及投标人和采购人签订的政府采购合同为标准进行验收。</w:t>
            </w:r>
          </w:p>
          <w:p w14:paraId="3BC97D13">
            <w:pPr>
              <w:spacing w:line="400" w:lineRule="exact"/>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项目安装、调试并完成初步验收后，应经过六个月的试运行，试运行后，由采购人进行最终验收。系统验收合格的条件必须至少满足以下要求：已提供了合同要求的全部功能模块和资料；性能测试和试运行验收时出现的问题已被解决。</w:t>
            </w:r>
          </w:p>
        </w:tc>
      </w:tr>
      <w:tr w14:paraId="1A4E6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14:paraId="3B2F4967">
            <w:pPr>
              <w:spacing w:line="400" w:lineRule="exact"/>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六</w:t>
            </w:r>
          </w:p>
        </w:tc>
        <w:tc>
          <w:tcPr>
            <w:tcW w:w="3840" w:type="dxa"/>
            <w:vAlign w:val="center"/>
          </w:tcPr>
          <w:p w14:paraId="201FB948">
            <w:pPr>
              <w:spacing w:line="400" w:lineRule="exact"/>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采购标的的验收标准</w:t>
            </w:r>
          </w:p>
        </w:tc>
        <w:tc>
          <w:tcPr>
            <w:tcW w:w="4425" w:type="dxa"/>
            <w:vAlign w:val="center"/>
          </w:tcPr>
          <w:p w14:paraId="7C13AFDB">
            <w:pPr>
              <w:spacing w:line="400" w:lineRule="exact"/>
              <w:rPr>
                <w:rFonts w:hint="eastAsia" w:ascii="宋体" w:hAnsi="宋体"/>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采购人根据采购文件和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提供的投标文件及</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和采购人签订的政府采购合同为标准进行验收。</w:t>
            </w:r>
          </w:p>
        </w:tc>
      </w:tr>
      <w:tr w14:paraId="4B67F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14:paraId="4CDE1A30">
            <w:pPr>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七</w:t>
            </w:r>
          </w:p>
        </w:tc>
        <w:tc>
          <w:tcPr>
            <w:tcW w:w="3840" w:type="dxa"/>
            <w:vAlign w:val="center"/>
          </w:tcPr>
          <w:p w14:paraId="7F9F9121">
            <w:pP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采购标的的其他技术、服务等要求</w:t>
            </w:r>
          </w:p>
        </w:tc>
        <w:tc>
          <w:tcPr>
            <w:tcW w:w="4425" w:type="dxa"/>
            <w:vAlign w:val="center"/>
          </w:tcPr>
          <w:p w14:paraId="278F9C32">
            <w:pP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详见第二章 招标需求第三条。</w:t>
            </w:r>
          </w:p>
        </w:tc>
      </w:tr>
      <w:tr w14:paraId="51319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14:paraId="6DB10B97">
            <w:pPr>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八</w:t>
            </w:r>
          </w:p>
        </w:tc>
        <w:tc>
          <w:tcPr>
            <w:tcW w:w="3840" w:type="dxa"/>
            <w:vAlign w:val="center"/>
          </w:tcPr>
          <w:p w14:paraId="3C168156">
            <w:pP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核心产品</w:t>
            </w:r>
          </w:p>
        </w:tc>
        <w:tc>
          <w:tcPr>
            <w:tcW w:w="4425" w:type="dxa"/>
            <w:vAlign w:val="center"/>
          </w:tcPr>
          <w:p w14:paraId="466CA638">
            <w:pPr>
              <w:rPr>
                <w:rFonts w:hint="eastAsia"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w:t>
            </w:r>
          </w:p>
        </w:tc>
      </w:tr>
      <w:tr w14:paraId="31101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14:paraId="76150AA6">
            <w:pPr>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九</w:t>
            </w:r>
          </w:p>
        </w:tc>
        <w:tc>
          <w:tcPr>
            <w:tcW w:w="3840" w:type="dxa"/>
            <w:vAlign w:val="center"/>
          </w:tcPr>
          <w:p w14:paraId="204666DC">
            <w:pPr>
              <w:rPr>
                <w:rFonts w:hint="eastAsia"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现场踏勘</w:t>
            </w:r>
          </w:p>
        </w:tc>
        <w:tc>
          <w:tcPr>
            <w:tcW w:w="4425" w:type="dxa"/>
            <w:vAlign w:val="center"/>
          </w:tcPr>
          <w:p w14:paraId="47E4D6C5">
            <w:pP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由</w:t>
            </w:r>
            <w:r>
              <w:rPr>
                <w:rFonts w:ascii="宋体" w:hAnsi="宋体"/>
                <w:bCs/>
                <w:color w:val="000000" w:themeColor="text1"/>
                <w14:textFill>
                  <w14:solidFill>
                    <w14:schemeClr w14:val="tx1"/>
                  </w14:solidFill>
                </w14:textFill>
              </w:rPr>
              <w:t>投标人</w:t>
            </w:r>
            <w:r>
              <w:rPr>
                <w:rFonts w:hint="eastAsia" w:ascii="宋体" w:hAnsi="宋体"/>
                <w:bCs/>
                <w:color w:val="000000" w:themeColor="text1"/>
                <w14:textFill>
                  <w14:solidFill>
                    <w14:schemeClr w14:val="tx1"/>
                  </w14:solidFill>
                </w14:textFill>
              </w:rPr>
              <w:t>自行前往现场进行踏勘。</w:t>
            </w:r>
          </w:p>
        </w:tc>
      </w:tr>
      <w:tr w14:paraId="2A2CF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14:paraId="52369119">
            <w:pPr>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十</w:t>
            </w:r>
          </w:p>
        </w:tc>
        <w:tc>
          <w:tcPr>
            <w:tcW w:w="3840" w:type="dxa"/>
            <w:vAlign w:val="center"/>
          </w:tcPr>
          <w:p w14:paraId="12695A14">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样品要求</w:t>
            </w:r>
          </w:p>
        </w:tc>
        <w:tc>
          <w:tcPr>
            <w:tcW w:w="4425" w:type="dxa"/>
            <w:vAlign w:val="center"/>
          </w:tcPr>
          <w:p w14:paraId="6EB17D9D">
            <w:pP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无要求。</w:t>
            </w:r>
          </w:p>
        </w:tc>
      </w:tr>
      <w:tr w14:paraId="5663D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14:paraId="19903FE8">
            <w:pPr>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十一</w:t>
            </w:r>
          </w:p>
        </w:tc>
        <w:tc>
          <w:tcPr>
            <w:tcW w:w="3840" w:type="dxa"/>
            <w:vAlign w:val="center"/>
          </w:tcPr>
          <w:p w14:paraId="4DF0665F">
            <w:pPr>
              <w:jc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演示</w:t>
            </w:r>
          </w:p>
        </w:tc>
        <w:tc>
          <w:tcPr>
            <w:tcW w:w="4425" w:type="dxa"/>
            <w:vAlign w:val="center"/>
          </w:tcPr>
          <w:p w14:paraId="1A94221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w:char="00A8"/>
            </w:r>
            <w:r>
              <w:rPr>
                <w:rFonts w:hint="eastAsia" w:ascii="宋体" w:hAnsi="宋体" w:cs="宋体"/>
                <w:color w:val="000000" w:themeColor="text1"/>
                <w14:textFill>
                  <w14:solidFill>
                    <w14:schemeClr w14:val="tx1"/>
                  </w14:solidFill>
                </w14:textFill>
              </w:rPr>
              <w:t>A不组织。</w:t>
            </w:r>
          </w:p>
          <w:p w14:paraId="3FED263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■B组织。</w:t>
            </w:r>
          </w:p>
          <w:p w14:paraId="07E120D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（1）在评标时安排投标人进行演示。每个投标人时间不超过15分钟，演示次序以投标文件解密时间先后次序为准，演示人员不超过2人。演示结束后按要求解答评标委员会提问（如有）。</w:t>
            </w:r>
          </w:p>
          <w:p w14:paraId="62B4DB46">
            <w:pPr>
              <w:spacing w:line="400" w:lineRule="exact"/>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w:t>
            </w:r>
            <w:r>
              <w:rPr>
                <w:rFonts w:hint="eastAsia" w:ascii="宋体" w:hAnsi="宋体" w:cs="宋体"/>
                <w:color w:val="000000" w:themeColor="text1"/>
                <w14:textFill>
                  <w14:solidFill>
                    <w14:schemeClr w14:val="tx1"/>
                  </w14:solidFill>
                </w14:textFill>
              </w:rPr>
              <w:t>演示</w:t>
            </w:r>
            <w:r>
              <w:rPr>
                <w:rFonts w:hint="eastAsia" w:ascii="宋体" w:hAnsi="宋体" w:cs="宋体"/>
                <w:color w:val="000000" w:themeColor="text1"/>
                <w:lang w:val="zh-CN"/>
                <w14:textFill>
                  <w14:solidFill>
                    <w14:schemeClr w14:val="tx1"/>
                  </w14:solidFill>
                </w14:textFill>
              </w:rPr>
              <w:t>方式：评标现场</w:t>
            </w:r>
            <w:r>
              <w:rPr>
                <w:rFonts w:hint="eastAsia" w:ascii="宋体" w:hAnsi="宋体" w:cs="宋体"/>
                <w:color w:val="000000" w:themeColor="text1"/>
                <w14:textFill>
                  <w14:solidFill>
                    <w14:schemeClr w14:val="tx1"/>
                  </w14:solidFill>
                </w14:textFill>
              </w:rPr>
              <w:t>演示</w:t>
            </w:r>
            <w:r>
              <w:rPr>
                <w:rFonts w:hint="eastAsia" w:ascii="宋体" w:hAnsi="宋体" w:cs="宋体"/>
                <w:color w:val="000000" w:themeColor="text1"/>
                <w:lang w:val="zh-CN"/>
                <w14:textFill>
                  <w14:solidFill>
                    <w14:schemeClr w14:val="tx1"/>
                  </w14:solidFill>
                </w14:textFill>
              </w:rPr>
              <w:t>。地点为</w:t>
            </w:r>
            <w:r>
              <w:rPr>
                <w:rFonts w:hint="eastAsia" w:ascii="宋体" w:hAnsi="宋体" w:cs="宋体"/>
                <w:color w:val="000000" w:themeColor="text1"/>
                <w14:textFill>
                  <w14:solidFill>
                    <w14:schemeClr w14:val="tx1"/>
                  </w14:solidFill>
                </w14:textFill>
              </w:rPr>
              <w:t>宁波市北仑区招投标中心评标室（北仑区长江路1166号行政服务中心B座三楼，具体服从招标代理安排）</w:t>
            </w:r>
            <w:r>
              <w:rPr>
                <w:rFonts w:hint="eastAsia" w:ascii="宋体" w:hAnsi="宋体" w:cs="宋体"/>
                <w:color w:val="000000" w:themeColor="text1"/>
                <w:lang w:val="zh-CN"/>
                <w14:textFill>
                  <w14:solidFill>
                    <w14:schemeClr w14:val="tx1"/>
                  </w14:solidFill>
                </w14:textFill>
              </w:rPr>
              <w:t>，所用设备由投标人自备。</w:t>
            </w:r>
          </w:p>
          <w:p w14:paraId="4F4CF51B">
            <w:pPr>
              <w:spacing w:line="400" w:lineRule="exact"/>
              <w:rPr>
                <w:rFonts w:hint="eastAsia" w:ascii="宋体" w:hAnsi="宋体"/>
                <w:bCs/>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w:t>
            </w:r>
            <w:r>
              <w:rPr>
                <w:rFonts w:hint="eastAsia" w:ascii="宋体" w:hAnsi="宋体" w:cs="宋体"/>
                <w:color w:val="000000" w:themeColor="text1"/>
                <w:kern w:val="0"/>
                <w:szCs w:val="21"/>
                <w14:textFill>
                  <w14:solidFill>
                    <w14:schemeClr w14:val="tx1"/>
                  </w14:solidFill>
                </w14:textFill>
              </w:rPr>
              <w:t>因投标人自身原因导致无法演示或者演示效果不理想的，责任自负。</w:t>
            </w:r>
          </w:p>
        </w:tc>
      </w:tr>
    </w:tbl>
    <w:p w14:paraId="50273066">
      <w:pPr>
        <w:spacing w:before="120" w:beforeLines="50" w:line="360" w:lineRule="auto"/>
        <w:rPr>
          <w:rFonts w:hint="eastAsia" w:ascii="宋体" w:hAnsi="宋体"/>
          <w:b/>
          <w:color w:val="000000" w:themeColor="text1"/>
          <w14:textFill>
            <w14:solidFill>
              <w14:schemeClr w14:val="tx1"/>
            </w14:solidFill>
          </w14:textFill>
        </w:rPr>
      </w:pPr>
    </w:p>
    <w:p w14:paraId="0A78AB19">
      <w:pPr>
        <w:spacing w:before="120" w:beforeLines="50" w:line="360" w:lineRule="auto"/>
        <w:rPr>
          <w:rFonts w:hint="eastAsia" w:ascii="宋体" w:hAnsi="宋体" w:cs="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cs="宋体"/>
          <w:b/>
          <w:color w:val="000000" w:themeColor="text1"/>
          <w14:textFill>
            <w14:solidFill>
              <w14:schemeClr w14:val="tx1"/>
            </w14:solidFill>
          </w14:textFill>
        </w:rPr>
        <w:t>一、采购标的需实现的功能或者目标、以及为落实政府采购需满足的要求</w:t>
      </w:r>
    </w:p>
    <w:p w14:paraId="5248A317">
      <w:pPr>
        <w:spacing w:line="360" w:lineRule="auto"/>
        <w:ind w:firstLine="42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本次采购为北京航空航天大学宁波创新研究院数字化协同运营平台三期采购项目，完成后可满足</w:t>
      </w:r>
      <w:r>
        <w:rPr>
          <w:rFonts w:hint="eastAsia" w:ascii="宋体" w:hAnsi="宋体" w:cs="宋体"/>
          <w:color w:val="000000" w:themeColor="text1"/>
          <w:szCs w:val="21"/>
          <w14:textFill>
            <w14:solidFill>
              <w14:schemeClr w14:val="tx1"/>
            </w14:solidFill>
          </w14:textFill>
        </w:rPr>
        <w:t>宁波创新研究院教学和科研的</w:t>
      </w:r>
      <w:r>
        <w:rPr>
          <w:rFonts w:hint="eastAsia" w:ascii="宋体" w:hAnsi="宋体" w:cs="宋体"/>
          <w:color w:val="000000" w:themeColor="text1"/>
          <w14:textFill>
            <w14:solidFill>
              <w14:schemeClr w14:val="tx1"/>
            </w14:solidFill>
          </w14:textFill>
        </w:rPr>
        <w:t>使用要求。</w:t>
      </w:r>
    </w:p>
    <w:p w14:paraId="47A58E5C">
      <w:pPr>
        <w:spacing w:line="360" w:lineRule="auto"/>
        <w:ind w:firstLine="42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7"/>
          <w14:textFill>
            <w14:solidFill>
              <w14:schemeClr w14:val="tx1"/>
            </w14:solidFill>
          </w14:textFill>
        </w:rPr>
        <w:t>落实的政策：</w:t>
      </w:r>
      <w:r>
        <w:rPr>
          <w:rFonts w:hint="eastAsia" w:ascii="宋体" w:hAnsi="宋体" w:cs="宋体"/>
          <w:color w:val="000000" w:themeColor="text1"/>
          <w14:textFill>
            <w14:solidFill>
              <w14:schemeClr w14:val="tx1"/>
            </w14:solidFill>
          </w14:textFill>
        </w:rPr>
        <w:t>详见第一章采购公告。</w:t>
      </w:r>
    </w:p>
    <w:p w14:paraId="35533391">
      <w:pPr>
        <w:spacing w:before="120" w:beforeLines="50" w:line="360" w:lineRule="auto"/>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二、采购标的需满足的质量、安全、技术规格、物理特性等要求</w:t>
      </w:r>
    </w:p>
    <w:p w14:paraId="53EE1AD7">
      <w:pPr>
        <w:snapToGrid w:val="0"/>
        <w:spacing w:line="360"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（一）招标产品清单</w:t>
      </w:r>
    </w:p>
    <w:tbl>
      <w:tblPr>
        <w:tblStyle w:val="4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820"/>
        <w:gridCol w:w="950"/>
        <w:gridCol w:w="1593"/>
      </w:tblGrid>
      <w:tr w14:paraId="1920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14:paraId="708889C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5820" w:type="dxa"/>
            <w:vAlign w:val="center"/>
          </w:tcPr>
          <w:p w14:paraId="411AE28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950" w:type="dxa"/>
            <w:vAlign w:val="center"/>
          </w:tcPr>
          <w:p w14:paraId="3F70135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w:t>
            </w:r>
          </w:p>
        </w:tc>
        <w:tc>
          <w:tcPr>
            <w:tcW w:w="1593" w:type="dxa"/>
            <w:vAlign w:val="center"/>
          </w:tcPr>
          <w:p w14:paraId="49A34F24">
            <w:pPr>
              <w:snapToGrid w:val="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14:paraId="0D46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4" w:type="dxa"/>
            <w:vAlign w:val="center"/>
          </w:tcPr>
          <w:p w14:paraId="7C4836BE">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1</w:t>
            </w:r>
          </w:p>
        </w:tc>
        <w:tc>
          <w:tcPr>
            <w:tcW w:w="5820" w:type="dxa"/>
            <w:vAlign w:val="center"/>
          </w:tcPr>
          <w:p w14:paraId="796916E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北京航空航天大学宁波创新研究院数字化协同运营平台三期</w:t>
            </w:r>
          </w:p>
        </w:tc>
        <w:tc>
          <w:tcPr>
            <w:tcW w:w="950" w:type="dxa"/>
            <w:vAlign w:val="center"/>
          </w:tcPr>
          <w:p w14:paraId="4FA15E5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1套</w:t>
            </w:r>
          </w:p>
        </w:tc>
        <w:tc>
          <w:tcPr>
            <w:tcW w:w="1593" w:type="dxa"/>
            <w:vAlign w:val="center"/>
          </w:tcPr>
          <w:p w14:paraId="7CACD3CB">
            <w:pPr>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*本项目不允许采购进口产品</w:t>
            </w:r>
          </w:p>
        </w:tc>
      </w:tr>
    </w:tbl>
    <w:p w14:paraId="52C7F7D1">
      <w:pPr>
        <w:jc w:val="center"/>
        <w:rPr>
          <w:rFonts w:hint="eastAsia" w:ascii="宋体" w:hAnsi="宋体" w:cs="宋体"/>
          <w:b/>
          <w:bCs/>
          <w:color w:val="000000" w:themeColor="text1"/>
          <w:sz w:val="24"/>
          <w:szCs w:val="21"/>
          <w14:textFill>
            <w14:solidFill>
              <w14:schemeClr w14:val="tx1"/>
            </w14:solidFill>
          </w14:textFill>
        </w:rPr>
      </w:pPr>
      <w:bookmarkStart w:id="19" w:name="_Toc326255597"/>
      <w:bookmarkStart w:id="20" w:name="_Toc434566530"/>
      <w:bookmarkStart w:id="21" w:name="_Toc146809079"/>
      <w:bookmarkStart w:id="22" w:name="_Toc151648181"/>
      <w:bookmarkStart w:id="23" w:name="_Toc325971125"/>
    </w:p>
    <w:bookmarkEnd w:id="19"/>
    <w:bookmarkEnd w:id="20"/>
    <w:bookmarkEnd w:id="21"/>
    <w:bookmarkEnd w:id="22"/>
    <w:bookmarkEnd w:id="23"/>
    <w:tbl>
      <w:tblPr>
        <w:tblStyle w:val="43"/>
        <w:tblpPr w:leftFromText="180" w:rightFromText="180" w:vertAnchor="text" w:horzAnchor="page" w:tblpX="1524" w:tblpY="341"/>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57"/>
        <w:gridCol w:w="748"/>
        <w:gridCol w:w="2045"/>
        <w:gridCol w:w="4855"/>
      </w:tblGrid>
      <w:tr w14:paraId="3FCE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65" w:type="dxa"/>
            <w:vAlign w:val="center"/>
          </w:tcPr>
          <w:p w14:paraId="5C7AE96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657" w:type="dxa"/>
            <w:vAlign w:val="center"/>
          </w:tcPr>
          <w:p w14:paraId="72585A5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系统名称</w:t>
            </w:r>
          </w:p>
        </w:tc>
        <w:tc>
          <w:tcPr>
            <w:tcW w:w="748" w:type="dxa"/>
            <w:vAlign w:val="center"/>
          </w:tcPr>
          <w:p w14:paraId="428EEAF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功能大类</w:t>
            </w:r>
          </w:p>
        </w:tc>
        <w:tc>
          <w:tcPr>
            <w:tcW w:w="2045" w:type="dxa"/>
            <w:vAlign w:val="center"/>
          </w:tcPr>
          <w:p w14:paraId="7FD7D48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功能小类</w:t>
            </w:r>
          </w:p>
        </w:tc>
        <w:tc>
          <w:tcPr>
            <w:tcW w:w="4855" w:type="dxa"/>
            <w:vAlign w:val="center"/>
          </w:tcPr>
          <w:p w14:paraId="160102A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功能简要说明</w:t>
            </w:r>
          </w:p>
        </w:tc>
      </w:tr>
      <w:tr w14:paraId="05FB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Align w:val="center"/>
          </w:tcPr>
          <w:p w14:paraId="7702D68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w:t>
            </w:r>
          </w:p>
        </w:tc>
        <w:tc>
          <w:tcPr>
            <w:tcW w:w="657" w:type="dxa"/>
            <w:vMerge w:val="restart"/>
            <w:vAlign w:val="center"/>
          </w:tcPr>
          <w:p w14:paraId="42ED0F9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1、预算费控管理</w:t>
            </w:r>
          </w:p>
        </w:tc>
        <w:tc>
          <w:tcPr>
            <w:tcW w:w="748" w:type="dxa"/>
            <w:vMerge w:val="restart"/>
            <w:vAlign w:val="center"/>
          </w:tcPr>
          <w:p w14:paraId="1B7B511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1.1费控门户</w:t>
            </w:r>
          </w:p>
        </w:tc>
        <w:tc>
          <w:tcPr>
            <w:tcW w:w="2045" w:type="dxa"/>
            <w:vAlign w:val="center"/>
          </w:tcPr>
          <w:p w14:paraId="64E2E5A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待办审批</w:t>
            </w:r>
          </w:p>
        </w:tc>
        <w:tc>
          <w:tcPr>
            <w:tcW w:w="4855" w:type="dxa"/>
            <w:vAlign w:val="center"/>
          </w:tcPr>
          <w:p w14:paraId="6F90182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所有与财务预算费控相关的流程等待办事项的汇总展现。</w:t>
            </w:r>
          </w:p>
        </w:tc>
      </w:tr>
      <w:tr w14:paraId="0B88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Align w:val="center"/>
          </w:tcPr>
          <w:p w14:paraId="0F45B1F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w:t>
            </w:r>
          </w:p>
        </w:tc>
        <w:tc>
          <w:tcPr>
            <w:tcW w:w="657" w:type="dxa"/>
            <w:vMerge w:val="continue"/>
            <w:vAlign w:val="center"/>
          </w:tcPr>
          <w:p w14:paraId="7FC9401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6ABEF98">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D137A3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快捷报账</w:t>
            </w:r>
          </w:p>
        </w:tc>
        <w:tc>
          <w:tcPr>
            <w:tcW w:w="4855" w:type="dxa"/>
            <w:vAlign w:val="center"/>
          </w:tcPr>
          <w:p w14:paraId="1F43EA8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快速发起报销申请、差旅报销申请、合同付款申请、费用分摊等。</w:t>
            </w:r>
          </w:p>
        </w:tc>
      </w:tr>
      <w:tr w14:paraId="692C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Align w:val="center"/>
          </w:tcPr>
          <w:p w14:paraId="1508E88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w:t>
            </w:r>
          </w:p>
        </w:tc>
        <w:tc>
          <w:tcPr>
            <w:tcW w:w="657" w:type="dxa"/>
            <w:vMerge w:val="continue"/>
            <w:vAlign w:val="center"/>
          </w:tcPr>
          <w:p w14:paraId="11CD1434">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38CD939">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D761A6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数据报表</w:t>
            </w:r>
          </w:p>
        </w:tc>
        <w:tc>
          <w:tcPr>
            <w:tcW w:w="4855" w:type="dxa"/>
            <w:vAlign w:val="center"/>
          </w:tcPr>
          <w:p w14:paraId="46DEB75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统计每个月已报销金额、进行中金额统计分析形成数字报表。</w:t>
            </w:r>
          </w:p>
        </w:tc>
      </w:tr>
      <w:tr w14:paraId="44A9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58D366F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w:t>
            </w:r>
          </w:p>
        </w:tc>
        <w:tc>
          <w:tcPr>
            <w:tcW w:w="657" w:type="dxa"/>
            <w:vMerge w:val="continue"/>
            <w:vAlign w:val="center"/>
          </w:tcPr>
          <w:p w14:paraId="4122A47E">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90D5288">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F2426A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预算执行情况</w:t>
            </w:r>
          </w:p>
        </w:tc>
        <w:tc>
          <w:tcPr>
            <w:tcW w:w="4855" w:type="dxa"/>
            <w:vAlign w:val="center"/>
          </w:tcPr>
          <w:p w14:paraId="68EC19E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各部门预算执行情况报表分析。</w:t>
            </w:r>
          </w:p>
        </w:tc>
      </w:tr>
      <w:tr w14:paraId="6DE1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BDB484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1.1.5</w:t>
            </w:r>
          </w:p>
        </w:tc>
        <w:tc>
          <w:tcPr>
            <w:tcW w:w="657" w:type="dxa"/>
            <w:vMerge w:val="continue"/>
            <w:vAlign w:val="center"/>
          </w:tcPr>
          <w:p w14:paraId="667026B4">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789A499">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67C804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门户分权管理</w:t>
            </w:r>
          </w:p>
        </w:tc>
        <w:tc>
          <w:tcPr>
            <w:tcW w:w="4855" w:type="dxa"/>
            <w:vAlign w:val="center"/>
          </w:tcPr>
          <w:p w14:paraId="2152505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实现不同类型人员查看不同的门户界面，分为普通员工门户、财务门户、领导门户等。</w:t>
            </w:r>
          </w:p>
        </w:tc>
      </w:tr>
      <w:tr w14:paraId="652B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CFED23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w:t>
            </w:r>
          </w:p>
        </w:tc>
        <w:tc>
          <w:tcPr>
            <w:tcW w:w="657" w:type="dxa"/>
            <w:vMerge w:val="continue"/>
            <w:vAlign w:val="center"/>
          </w:tcPr>
          <w:p w14:paraId="56D409A8">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1F83655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1.2预算基础设置</w:t>
            </w:r>
          </w:p>
        </w:tc>
        <w:tc>
          <w:tcPr>
            <w:tcW w:w="2045" w:type="dxa"/>
            <w:vAlign w:val="center"/>
          </w:tcPr>
          <w:p w14:paraId="0ED3CFB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预算承担主体设置</w:t>
            </w:r>
          </w:p>
        </w:tc>
        <w:tc>
          <w:tcPr>
            <w:tcW w:w="4855" w:type="dxa"/>
            <w:vAlign w:val="center"/>
          </w:tcPr>
          <w:p w14:paraId="6ED464C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对预算设置预算承担主体（项目、成本中心等），满足不同维度的预算管控要求。</w:t>
            </w:r>
          </w:p>
        </w:tc>
      </w:tr>
      <w:tr w14:paraId="7707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F0A023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w:t>
            </w:r>
          </w:p>
        </w:tc>
        <w:tc>
          <w:tcPr>
            <w:tcW w:w="657" w:type="dxa"/>
            <w:vMerge w:val="continue"/>
            <w:vAlign w:val="center"/>
          </w:tcPr>
          <w:p w14:paraId="4E03D2A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3B4D58B">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B70E18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预算科目设置</w:t>
            </w:r>
          </w:p>
        </w:tc>
        <w:tc>
          <w:tcPr>
            <w:tcW w:w="4855" w:type="dxa"/>
            <w:vAlign w:val="center"/>
          </w:tcPr>
          <w:p w14:paraId="4489D6E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将整个院内涉及到的预算科目进行导入，可设置科目的应用范围，支持按总部、部门、成本中心设置应用范围，支持科目分级维护管理。</w:t>
            </w:r>
          </w:p>
        </w:tc>
      </w:tr>
      <w:tr w14:paraId="6830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01C4C6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w:t>
            </w:r>
          </w:p>
        </w:tc>
        <w:tc>
          <w:tcPr>
            <w:tcW w:w="657" w:type="dxa"/>
            <w:vMerge w:val="continue"/>
            <w:vAlign w:val="center"/>
          </w:tcPr>
          <w:p w14:paraId="08AB678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2AF7FBC">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1C4130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预算期间设置</w:t>
            </w:r>
          </w:p>
        </w:tc>
        <w:tc>
          <w:tcPr>
            <w:tcW w:w="4855" w:type="dxa"/>
            <w:vAlign w:val="center"/>
          </w:tcPr>
          <w:p w14:paraId="2A1AFB8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允许生效多个预算年度，可设置每个月期间的开启或关闭，根据研究院的实际情况定义期间的范围。</w:t>
            </w:r>
          </w:p>
        </w:tc>
      </w:tr>
      <w:tr w14:paraId="143C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E0DF57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w:t>
            </w:r>
          </w:p>
        </w:tc>
        <w:tc>
          <w:tcPr>
            <w:tcW w:w="657" w:type="dxa"/>
            <w:vMerge w:val="continue"/>
            <w:vAlign w:val="center"/>
          </w:tcPr>
          <w:p w14:paraId="688ECB6B">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491EA50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1.3预算编辑设置</w:t>
            </w:r>
          </w:p>
        </w:tc>
        <w:tc>
          <w:tcPr>
            <w:tcW w:w="2045" w:type="dxa"/>
            <w:vAlign w:val="center"/>
          </w:tcPr>
          <w:p w14:paraId="37AD0F1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预算编制</w:t>
            </w:r>
          </w:p>
        </w:tc>
        <w:tc>
          <w:tcPr>
            <w:tcW w:w="4855" w:type="dxa"/>
            <w:vAlign w:val="center"/>
          </w:tcPr>
          <w:p w14:paraId="052915F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系统提供在线编制预算的功能，支持按照成本中心、预算科目、预算期间批量导入预算，支持预算编制权限管理，支持审批中费用结转、跨年结转、手工结转等。</w:t>
            </w:r>
          </w:p>
        </w:tc>
      </w:tr>
      <w:tr w14:paraId="03C9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ACB928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w:t>
            </w:r>
          </w:p>
        </w:tc>
        <w:tc>
          <w:tcPr>
            <w:tcW w:w="657" w:type="dxa"/>
            <w:vMerge w:val="continue"/>
            <w:vAlign w:val="center"/>
          </w:tcPr>
          <w:p w14:paraId="1EC0D26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653B9F7">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51213B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预算审批</w:t>
            </w:r>
          </w:p>
        </w:tc>
        <w:tc>
          <w:tcPr>
            <w:tcW w:w="4855" w:type="dxa"/>
            <w:vAlign w:val="center"/>
          </w:tcPr>
          <w:p w14:paraId="118A5AC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支持对具体成本中心的预算审批的设置，审批通过后生成新的预算数据和版本。</w:t>
            </w:r>
          </w:p>
        </w:tc>
      </w:tr>
      <w:tr w14:paraId="1E47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5D85B7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w:t>
            </w:r>
          </w:p>
        </w:tc>
        <w:tc>
          <w:tcPr>
            <w:tcW w:w="657" w:type="dxa"/>
            <w:vMerge w:val="continue"/>
            <w:vAlign w:val="center"/>
          </w:tcPr>
          <w:p w14:paraId="683AD46D">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3F449C4">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DBEBAD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预算执行</w:t>
            </w:r>
          </w:p>
        </w:tc>
        <w:tc>
          <w:tcPr>
            <w:tcW w:w="4855" w:type="dxa"/>
            <w:vAlign w:val="center"/>
          </w:tcPr>
          <w:p w14:paraId="5911E33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实现对事前预算冻结、事后报销预算的扣除、因某些特殊原因将冻结中的预算进行释放等操作。</w:t>
            </w:r>
          </w:p>
        </w:tc>
      </w:tr>
      <w:tr w14:paraId="70D8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89F111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w:t>
            </w:r>
          </w:p>
        </w:tc>
        <w:tc>
          <w:tcPr>
            <w:tcW w:w="657" w:type="dxa"/>
            <w:vMerge w:val="continue"/>
            <w:vAlign w:val="center"/>
          </w:tcPr>
          <w:p w14:paraId="795FB5CF">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67CEBC3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1.4报销管理</w:t>
            </w:r>
          </w:p>
        </w:tc>
        <w:tc>
          <w:tcPr>
            <w:tcW w:w="2045" w:type="dxa"/>
            <w:vAlign w:val="center"/>
          </w:tcPr>
          <w:p w14:paraId="011740C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事前申请</w:t>
            </w:r>
          </w:p>
        </w:tc>
        <w:tc>
          <w:tcPr>
            <w:tcW w:w="4855" w:type="dxa"/>
            <w:vAlign w:val="center"/>
          </w:tcPr>
          <w:p w14:paraId="741BFD7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将正式立项、采购申请、合同申请、出差申请流程作为事前申请流程冻结预算金额。</w:t>
            </w:r>
          </w:p>
        </w:tc>
      </w:tr>
      <w:tr w14:paraId="4EB2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831AB6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w:t>
            </w:r>
          </w:p>
        </w:tc>
        <w:tc>
          <w:tcPr>
            <w:tcW w:w="657" w:type="dxa"/>
            <w:vMerge w:val="continue"/>
            <w:vAlign w:val="center"/>
          </w:tcPr>
          <w:p w14:paraId="648A1E7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1C04321">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7DC18C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报销流程管理</w:t>
            </w:r>
          </w:p>
        </w:tc>
        <w:tc>
          <w:tcPr>
            <w:tcW w:w="4855" w:type="dxa"/>
            <w:vAlign w:val="center"/>
          </w:tcPr>
          <w:p w14:paraId="01AFC20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将所有跟预算相关的报销流程进行配置管理，实现对事前申请流程的冻结预算金额进行释放扣除等，并实现对报销流程的预算校验功能。</w:t>
            </w:r>
          </w:p>
        </w:tc>
      </w:tr>
      <w:tr w14:paraId="76D5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3798E9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w:t>
            </w:r>
          </w:p>
        </w:tc>
        <w:tc>
          <w:tcPr>
            <w:tcW w:w="657" w:type="dxa"/>
            <w:vMerge w:val="continue"/>
            <w:vAlign w:val="center"/>
          </w:tcPr>
          <w:p w14:paraId="295F6556">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BBF561B">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065716B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多维度管控校验</w:t>
            </w:r>
          </w:p>
        </w:tc>
        <w:tc>
          <w:tcPr>
            <w:tcW w:w="4855" w:type="dxa"/>
            <w:vAlign w:val="center"/>
          </w:tcPr>
          <w:p w14:paraId="560E1F5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可实现预算数据自动带出；超预算管控；费用标准管控；超发票金额报销管控校验等，在提交报销流程时会根据规则进行预算校验，可分为强控、弱控、不控等。</w:t>
            </w:r>
          </w:p>
        </w:tc>
      </w:tr>
      <w:tr w14:paraId="02C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8FA6AC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w:t>
            </w:r>
          </w:p>
        </w:tc>
        <w:tc>
          <w:tcPr>
            <w:tcW w:w="657" w:type="dxa"/>
            <w:vMerge w:val="continue"/>
            <w:vAlign w:val="center"/>
          </w:tcPr>
          <w:p w14:paraId="39DEA876">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DF186D1">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25CDD28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预算变更</w:t>
            </w:r>
          </w:p>
        </w:tc>
        <w:tc>
          <w:tcPr>
            <w:tcW w:w="4855" w:type="dxa"/>
            <w:vAlign w:val="center"/>
          </w:tcPr>
          <w:p w14:paraId="6411326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支持跨成本中心、跨期间、跨科目的预算调整，通过预算变更流程调整的是未使用的预算，将未使用的预算信息进行变更处理，在总预算信息不变的情况下，把一个预算科目的预算变更至另一个科目中。</w:t>
            </w:r>
          </w:p>
        </w:tc>
      </w:tr>
      <w:tr w14:paraId="0EB3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5" w:type="dxa"/>
            <w:vAlign w:val="center"/>
          </w:tcPr>
          <w:p w14:paraId="51F538C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w:t>
            </w:r>
          </w:p>
        </w:tc>
        <w:tc>
          <w:tcPr>
            <w:tcW w:w="657" w:type="dxa"/>
            <w:vMerge w:val="continue"/>
            <w:vAlign w:val="center"/>
          </w:tcPr>
          <w:p w14:paraId="478F58EC">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1533C89">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14635B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费用分摊</w:t>
            </w:r>
          </w:p>
        </w:tc>
        <w:tc>
          <w:tcPr>
            <w:tcW w:w="4855" w:type="dxa"/>
            <w:vAlign w:val="center"/>
          </w:tcPr>
          <w:p w14:paraId="0D86FD6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通过费用分摊流程将已发生的费用分摊到不同的成本中心的预算科目中。</w:t>
            </w:r>
          </w:p>
        </w:tc>
      </w:tr>
      <w:tr w14:paraId="4816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BF3D58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w:t>
            </w:r>
          </w:p>
        </w:tc>
        <w:tc>
          <w:tcPr>
            <w:tcW w:w="657" w:type="dxa"/>
            <w:vMerge w:val="continue"/>
            <w:vAlign w:val="center"/>
          </w:tcPr>
          <w:p w14:paraId="24542AE9">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BFEF852">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0F894D2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付款台账</w:t>
            </w:r>
          </w:p>
        </w:tc>
        <w:tc>
          <w:tcPr>
            <w:tcW w:w="4855" w:type="dxa"/>
            <w:vAlign w:val="center"/>
          </w:tcPr>
          <w:p w14:paraId="216202E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系统将所有报销/付款完成的流程数据形成台账数据，方便用户追踪款项、预算科目、金额等内容。</w:t>
            </w:r>
          </w:p>
        </w:tc>
      </w:tr>
      <w:tr w14:paraId="7C8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FE57D3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w:t>
            </w:r>
          </w:p>
        </w:tc>
        <w:tc>
          <w:tcPr>
            <w:tcW w:w="657" w:type="dxa"/>
            <w:vMerge w:val="continue"/>
            <w:vAlign w:val="center"/>
          </w:tcPr>
          <w:p w14:paraId="7200A07B">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1D198D2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1.5发票管理</w:t>
            </w:r>
          </w:p>
        </w:tc>
        <w:tc>
          <w:tcPr>
            <w:tcW w:w="2045" w:type="dxa"/>
            <w:vAlign w:val="center"/>
          </w:tcPr>
          <w:p w14:paraId="78494F1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发票采集/识别</w:t>
            </w:r>
          </w:p>
        </w:tc>
        <w:tc>
          <w:tcPr>
            <w:tcW w:w="4855" w:type="dxa"/>
            <w:vAlign w:val="center"/>
          </w:tcPr>
          <w:p w14:paraId="2F6CD09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通过OCR识别、电票上传、手工输入识别、邮箱、微信、支付宝电子发票同步等，支持按照不同的发票类型提取不同的数据。</w:t>
            </w:r>
          </w:p>
        </w:tc>
      </w:tr>
      <w:tr w14:paraId="341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2821B14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w:t>
            </w:r>
          </w:p>
        </w:tc>
        <w:tc>
          <w:tcPr>
            <w:tcW w:w="657" w:type="dxa"/>
            <w:vMerge w:val="continue"/>
            <w:vAlign w:val="center"/>
          </w:tcPr>
          <w:p w14:paraId="2F9AC23E">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5F1A8902">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806EC5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发票票夹</w:t>
            </w:r>
          </w:p>
        </w:tc>
        <w:tc>
          <w:tcPr>
            <w:tcW w:w="4855" w:type="dxa"/>
            <w:vAlign w:val="center"/>
          </w:tcPr>
          <w:p w14:paraId="5CA4AA0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将所有上传的发票数据列表展现、发票导入生成记账本信息台账。</w:t>
            </w:r>
          </w:p>
        </w:tc>
      </w:tr>
      <w:tr w14:paraId="4934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BD73F7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w:t>
            </w:r>
          </w:p>
        </w:tc>
        <w:tc>
          <w:tcPr>
            <w:tcW w:w="657" w:type="dxa"/>
            <w:vMerge w:val="continue"/>
            <w:vAlign w:val="center"/>
          </w:tcPr>
          <w:p w14:paraId="1BAA60C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24F234E">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10A5AF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发票验真/验重</w:t>
            </w:r>
          </w:p>
        </w:tc>
        <w:tc>
          <w:tcPr>
            <w:tcW w:w="4855" w:type="dxa"/>
            <w:vAlign w:val="center"/>
          </w:tcPr>
          <w:p w14:paraId="6550009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实现发票验重关联，防止重复提交发票；并对发票进行查验真伪，包含2万次的发票识别及验真数量。</w:t>
            </w:r>
          </w:p>
        </w:tc>
      </w:tr>
      <w:tr w14:paraId="4005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F34D91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w:t>
            </w:r>
          </w:p>
        </w:tc>
        <w:tc>
          <w:tcPr>
            <w:tcW w:w="657" w:type="dxa"/>
            <w:vMerge w:val="continue"/>
            <w:vAlign w:val="center"/>
          </w:tcPr>
          <w:p w14:paraId="597A569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55816D9">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F716DA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票据流程设置</w:t>
            </w:r>
          </w:p>
        </w:tc>
        <w:tc>
          <w:tcPr>
            <w:tcW w:w="4855" w:type="dxa"/>
            <w:vAlign w:val="center"/>
          </w:tcPr>
          <w:p w14:paraId="1D8986C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将发票管理与流程进行配置，可实现对发票锁定、发票核销、发票解锁等管控。</w:t>
            </w:r>
          </w:p>
        </w:tc>
      </w:tr>
      <w:tr w14:paraId="40B2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23988F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657" w:type="dxa"/>
            <w:vMerge w:val="continue"/>
            <w:vAlign w:val="center"/>
          </w:tcPr>
          <w:p w14:paraId="144923E2">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54F2640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1.6报表模块</w:t>
            </w:r>
          </w:p>
        </w:tc>
        <w:tc>
          <w:tcPr>
            <w:tcW w:w="2045" w:type="dxa"/>
            <w:vAlign w:val="center"/>
          </w:tcPr>
          <w:p w14:paraId="71F3381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财务报表</w:t>
            </w:r>
          </w:p>
        </w:tc>
        <w:tc>
          <w:tcPr>
            <w:tcW w:w="4855" w:type="dxa"/>
            <w:vAlign w:val="center"/>
          </w:tcPr>
          <w:p w14:paraId="1ABC311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将财务报表分为预算总额表、预算执行情况表、费用汇总表、费用查询统计表，相关有权限的人员可根据成本中心、预算科目、预算期间等条件进行自定义搜索查询并导出。</w:t>
            </w:r>
          </w:p>
        </w:tc>
      </w:tr>
      <w:tr w14:paraId="4435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BCBE47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1.7.1</w:t>
            </w:r>
          </w:p>
        </w:tc>
        <w:tc>
          <w:tcPr>
            <w:tcW w:w="657" w:type="dxa"/>
            <w:vMerge w:val="continue"/>
            <w:vAlign w:val="center"/>
          </w:tcPr>
          <w:p w14:paraId="4807E7AB">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724F676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1.7集成管理</w:t>
            </w:r>
          </w:p>
        </w:tc>
        <w:tc>
          <w:tcPr>
            <w:tcW w:w="2045" w:type="dxa"/>
            <w:vAlign w:val="center"/>
          </w:tcPr>
          <w:p w14:paraId="6B3FDEC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财务系统集成</w:t>
            </w:r>
          </w:p>
        </w:tc>
        <w:tc>
          <w:tcPr>
            <w:tcW w:w="4855" w:type="dxa"/>
            <w:vAlign w:val="center"/>
          </w:tcPr>
          <w:p w14:paraId="0C52167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与研究院的财务管理系统集成开发，将报销管理/付款管理与财务系统集成，流程审批结束后将报账的金额传给财务系统。</w:t>
            </w:r>
          </w:p>
        </w:tc>
      </w:tr>
      <w:tr w14:paraId="5D60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789C27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w:t>
            </w:r>
          </w:p>
        </w:tc>
        <w:tc>
          <w:tcPr>
            <w:tcW w:w="657" w:type="dxa"/>
            <w:vMerge w:val="continue"/>
            <w:vAlign w:val="center"/>
          </w:tcPr>
          <w:p w14:paraId="5AF66EC0">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B03B0F0">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7A7C45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数字化协同运营平台集成</w:t>
            </w:r>
          </w:p>
        </w:tc>
        <w:tc>
          <w:tcPr>
            <w:tcW w:w="4855" w:type="dxa"/>
            <w:vAlign w:val="center"/>
          </w:tcPr>
          <w:p w14:paraId="1A23758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预算费控系统与数字化协同运营平台付款业务审批链条打通，实现财务系统付款完成后，预算费控系统流程自动归档，同时扣除预算信息。</w:t>
            </w:r>
          </w:p>
        </w:tc>
      </w:tr>
      <w:tr w14:paraId="7DCF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92441A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w:t>
            </w:r>
          </w:p>
        </w:tc>
        <w:tc>
          <w:tcPr>
            <w:tcW w:w="657" w:type="dxa"/>
            <w:vMerge w:val="continue"/>
            <w:vAlign w:val="center"/>
          </w:tcPr>
          <w:p w14:paraId="5EF7BAA6">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0C04C5E">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C3E98B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资产系统集成</w:t>
            </w:r>
          </w:p>
        </w:tc>
        <w:tc>
          <w:tcPr>
            <w:tcW w:w="4855" w:type="dxa"/>
            <w:vAlign w:val="center"/>
          </w:tcPr>
          <w:p w14:paraId="1875E49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系统进行资产报销，实现资产系统数据从资产系统中获取并与预算费控系统报销进行打通。</w:t>
            </w:r>
          </w:p>
        </w:tc>
      </w:tr>
      <w:tr w14:paraId="3065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EF7E20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w:t>
            </w:r>
          </w:p>
        </w:tc>
        <w:tc>
          <w:tcPr>
            <w:tcW w:w="657" w:type="dxa"/>
            <w:vMerge w:val="restart"/>
            <w:vAlign w:val="center"/>
          </w:tcPr>
          <w:p w14:paraId="26A6682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2、科研项目管理</w:t>
            </w:r>
          </w:p>
        </w:tc>
        <w:tc>
          <w:tcPr>
            <w:tcW w:w="748" w:type="dxa"/>
            <w:vMerge w:val="restart"/>
            <w:vAlign w:val="center"/>
          </w:tcPr>
          <w:p w14:paraId="58F5881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2.1科研</w:t>
            </w:r>
            <w:r>
              <w:rPr>
                <w:rFonts w:hint="eastAsia" w:ascii="宋体" w:hAnsi="宋体" w:cs="宋体"/>
                <w:color w:val="000000" w:themeColor="text1"/>
                <w:lang w:eastAsia="zh-Hans"/>
                <w14:textFill>
                  <w14:solidFill>
                    <w14:schemeClr w14:val="tx1"/>
                  </w14:solidFill>
                </w14:textFill>
              </w:rPr>
              <w:t>项目门户</w:t>
            </w:r>
          </w:p>
        </w:tc>
        <w:tc>
          <w:tcPr>
            <w:tcW w:w="2045" w:type="dxa"/>
            <w:vAlign w:val="center"/>
          </w:tcPr>
          <w:p w14:paraId="5E71B1F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待办审批</w:t>
            </w:r>
          </w:p>
        </w:tc>
        <w:tc>
          <w:tcPr>
            <w:tcW w:w="4855" w:type="dxa"/>
            <w:vAlign w:val="center"/>
          </w:tcPr>
          <w:p w14:paraId="4AC6317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所有科研合同审批流程、项目审批流程、科研经费到账流程、科研成果上报流程等待办事项的汇总展现。</w:t>
            </w:r>
          </w:p>
        </w:tc>
      </w:tr>
      <w:tr w14:paraId="5D1C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432835D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w:t>
            </w:r>
          </w:p>
        </w:tc>
        <w:tc>
          <w:tcPr>
            <w:tcW w:w="657" w:type="dxa"/>
            <w:vMerge w:val="continue"/>
            <w:vAlign w:val="center"/>
          </w:tcPr>
          <w:p w14:paraId="78A677F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554DFB3">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416ACD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通知元素</w:t>
            </w:r>
          </w:p>
        </w:tc>
        <w:tc>
          <w:tcPr>
            <w:tcW w:w="4855" w:type="dxa"/>
            <w:vAlign w:val="center"/>
          </w:tcPr>
          <w:p w14:paraId="34F2AE7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到款通知 合同到款登记之后的通知提醒。</w:t>
            </w:r>
          </w:p>
        </w:tc>
      </w:tr>
      <w:tr w14:paraId="1C5C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3C1192D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w:t>
            </w:r>
          </w:p>
        </w:tc>
        <w:tc>
          <w:tcPr>
            <w:tcW w:w="657" w:type="dxa"/>
            <w:vMerge w:val="continue"/>
            <w:vAlign w:val="center"/>
          </w:tcPr>
          <w:p w14:paraId="093A8E2F">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66D5946">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C068EB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快捷入口</w:t>
            </w:r>
          </w:p>
        </w:tc>
        <w:tc>
          <w:tcPr>
            <w:tcW w:w="4855" w:type="dxa"/>
            <w:vAlign w:val="center"/>
          </w:tcPr>
          <w:p w14:paraId="329F17B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项目立项申请、经费到账、成果上报、论文上报。</w:t>
            </w:r>
          </w:p>
        </w:tc>
      </w:tr>
      <w:tr w14:paraId="1F9A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2E50110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2.1.4</w:t>
            </w:r>
          </w:p>
        </w:tc>
        <w:tc>
          <w:tcPr>
            <w:tcW w:w="657" w:type="dxa"/>
            <w:vMerge w:val="continue"/>
            <w:vAlign w:val="center"/>
          </w:tcPr>
          <w:p w14:paraId="50AB3EA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548F23BF">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25B2E2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提醒元素</w:t>
            </w:r>
          </w:p>
        </w:tc>
        <w:tc>
          <w:tcPr>
            <w:tcW w:w="4855" w:type="dxa"/>
            <w:vAlign w:val="center"/>
          </w:tcPr>
          <w:p w14:paraId="4F05765D">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项目到期预警提醒、项目中期提醒。</w:t>
            </w:r>
          </w:p>
        </w:tc>
      </w:tr>
      <w:tr w14:paraId="0A15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0B17B70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2.1.5</w:t>
            </w:r>
          </w:p>
        </w:tc>
        <w:tc>
          <w:tcPr>
            <w:tcW w:w="657" w:type="dxa"/>
            <w:vMerge w:val="continue"/>
            <w:vAlign w:val="center"/>
          </w:tcPr>
          <w:p w14:paraId="27D675B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96EE151">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DC6D99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数据报表</w:t>
            </w:r>
          </w:p>
        </w:tc>
        <w:tc>
          <w:tcPr>
            <w:tcW w:w="4855" w:type="dxa"/>
            <w:vAlign w:val="center"/>
          </w:tcPr>
          <w:p w14:paraId="30961E5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按照项目类型的数量及金额统计报表。</w:t>
            </w:r>
          </w:p>
        </w:tc>
      </w:tr>
      <w:tr w14:paraId="5A8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53AF3B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w:t>
            </w:r>
          </w:p>
        </w:tc>
        <w:tc>
          <w:tcPr>
            <w:tcW w:w="657" w:type="dxa"/>
            <w:vMerge w:val="continue"/>
            <w:vAlign w:val="center"/>
          </w:tcPr>
          <w:p w14:paraId="41A36474">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345194D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2.2科研项目库管理</w:t>
            </w:r>
          </w:p>
        </w:tc>
        <w:tc>
          <w:tcPr>
            <w:tcW w:w="2045" w:type="dxa"/>
            <w:vAlign w:val="center"/>
          </w:tcPr>
          <w:p w14:paraId="38C8397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w:t>
            </w:r>
            <w:r>
              <w:rPr>
                <w:rFonts w:hint="eastAsia" w:ascii="宋体" w:hAnsi="宋体" w:cs="宋体"/>
                <w:color w:val="000000" w:themeColor="text1"/>
                <w:lang w:eastAsia="zh-Hans"/>
                <w14:textFill>
                  <w14:solidFill>
                    <w14:schemeClr w14:val="tx1"/>
                  </w14:solidFill>
                </w14:textFill>
              </w:rPr>
              <w:t>项目</w:t>
            </w:r>
            <w:r>
              <w:rPr>
                <w:rFonts w:hint="eastAsia" w:ascii="宋体" w:hAnsi="宋体" w:cs="宋体"/>
                <w:color w:val="000000" w:themeColor="text1"/>
                <w14:textFill>
                  <w14:solidFill>
                    <w14:schemeClr w14:val="tx1"/>
                  </w14:solidFill>
                </w14:textFill>
              </w:rPr>
              <w:t>立项</w:t>
            </w:r>
          </w:p>
        </w:tc>
        <w:tc>
          <w:tcPr>
            <w:tcW w:w="4855" w:type="dxa"/>
            <w:vAlign w:val="center"/>
          </w:tcPr>
          <w:p w14:paraId="7450CAD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通过科研合同审批登记表(研究院作为受托方/卖方/让与方)流程进行科研项目的立项。</w:t>
            </w:r>
          </w:p>
        </w:tc>
      </w:tr>
      <w:tr w14:paraId="19AC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B8F86A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w:t>
            </w:r>
          </w:p>
        </w:tc>
        <w:tc>
          <w:tcPr>
            <w:tcW w:w="657" w:type="dxa"/>
            <w:vMerge w:val="continue"/>
            <w:vAlign w:val="center"/>
          </w:tcPr>
          <w:p w14:paraId="2C2E712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CB83BB1">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2D6AA3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横向项目台账</w:t>
            </w:r>
          </w:p>
        </w:tc>
        <w:tc>
          <w:tcPr>
            <w:tcW w:w="4855" w:type="dxa"/>
            <w:vAlign w:val="center"/>
          </w:tcPr>
          <w:p w14:paraId="504C498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根据立项时不同的项目类型转入横向项目台账卡片中，实现对横向项目信息的汇总。</w:t>
            </w:r>
          </w:p>
        </w:tc>
      </w:tr>
      <w:tr w14:paraId="7DF9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6E8F35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w:t>
            </w:r>
          </w:p>
        </w:tc>
        <w:tc>
          <w:tcPr>
            <w:tcW w:w="657" w:type="dxa"/>
            <w:vMerge w:val="continue"/>
            <w:vAlign w:val="center"/>
          </w:tcPr>
          <w:p w14:paraId="01CC262D">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FE15076">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1D8769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纵向项目台账</w:t>
            </w:r>
          </w:p>
        </w:tc>
        <w:tc>
          <w:tcPr>
            <w:tcW w:w="4855" w:type="dxa"/>
            <w:vAlign w:val="center"/>
          </w:tcPr>
          <w:p w14:paraId="784B5B4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根据立项时不同的项目类型转入纵向项目台账卡片中，实现对纵向项目信息的汇总，其中纵向项目又分为宁波专项、市级项目，纵向项目课题会涉及外拨。</w:t>
            </w:r>
          </w:p>
        </w:tc>
      </w:tr>
      <w:tr w14:paraId="2FBF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1B30F6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w:t>
            </w:r>
          </w:p>
        </w:tc>
        <w:tc>
          <w:tcPr>
            <w:tcW w:w="657" w:type="dxa"/>
            <w:vMerge w:val="continue"/>
            <w:vAlign w:val="center"/>
          </w:tcPr>
          <w:p w14:paraId="2D6212C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676E62F">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A69720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w:t>
            </w:r>
            <w:r>
              <w:rPr>
                <w:rFonts w:hint="eastAsia" w:ascii="宋体" w:hAnsi="宋体" w:cs="宋体"/>
                <w:color w:val="000000" w:themeColor="text1"/>
                <w:lang w:eastAsia="zh-Hans"/>
                <w14:textFill>
                  <w14:solidFill>
                    <w14:schemeClr w14:val="tx1"/>
                  </w14:solidFill>
                </w14:textFill>
              </w:rPr>
              <w:t>项目台账卡片</w:t>
            </w:r>
          </w:p>
        </w:tc>
        <w:tc>
          <w:tcPr>
            <w:tcW w:w="4855" w:type="dxa"/>
            <w:vAlign w:val="center"/>
          </w:tcPr>
          <w:p w14:paraId="7A47CE3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项目信息卡片中，实现对项目关键信息如：基本信息、合同信息、进度信息、经费信息。一个项目对应一个项目编号、一个项目可对应多个经费负责人及经费号。</w:t>
            </w:r>
          </w:p>
        </w:tc>
      </w:tr>
      <w:tr w14:paraId="10BC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34D87C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2.2.5</w:t>
            </w:r>
          </w:p>
        </w:tc>
        <w:tc>
          <w:tcPr>
            <w:tcW w:w="657" w:type="dxa"/>
            <w:vMerge w:val="continue"/>
            <w:vAlign w:val="center"/>
          </w:tcPr>
          <w:p w14:paraId="30600D2E">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FE676A6">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762AF7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科研采购项目台账</w:t>
            </w:r>
          </w:p>
        </w:tc>
        <w:tc>
          <w:tcPr>
            <w:tcW w:w="4855" w:type="dxa"/>
            <w:vAlign w:val="center"/>
          </w:tcPr>
          <w:p w14:paraId="1FF18D0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登记采购项目信息，分为四种固定化采购审批流程（A、B、C类设备/D类设备、E类设备、耗材采购），从形式审查、可行性论证、招标采购、科研采购合同、验收、报销/付款全过程数据汇总至台账内进行管理。</w:t>
            </w:r>
          </w:p>
        </w:tc>
      </w:tr>
      <w:tr w14:paraId="3D57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2BB3F0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2.2.6</w:t>
            </w:r>
          </w:p>
        </w:tc>
        <w:tc>
          <w:tcPr>
            <w:tcW w:w="657" w:type="dxa"/>
            <w:vMerge w:val="continue"/>
            <w:vAlign w:val="center"/>
          </w:tcPr>
          <w:p w14:paraId="546E15F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E4D421B">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4EDC11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科研外协项目台账</w:t>
            </w:r>
          </w:p>
        </w:tc>
        <w:tc>
          <w:tcPr>
            <w:tcW w:w="4855" w:type="dxa"/>
            <w:vAlign w:val="center"/>
          </w:tcPr>
          <w:p w14:paraId="0014E9B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依托科研项目台账新建外协项目信息，从科研项目外协任务基本信息、科研项目招标采购、科研外协采购合同、验收、报销/付款全过程数据汇总至台账进行管理。</w:t>
            </w:r>
          </w:p>
        </w:tc>
      </w:tr>
      <w:tr w14:paraId="0CA5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1BE771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2.2.7</w:t>
            </w:r>
          </w:p>
        </w:tc>
        <w:tc>
          <w:tcPr>
            <w:tcW w:w="657" w:type="dxa"/>
            <w:vMerge w:val="continue"/>
            <w:vAlign w:val="center"/>
          </w:tcPr>
          <w:p w14:paraId="32EC7E4F">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5B67065">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302A86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项目过程管理</w:t>
            </w:r>
          </w:p>
        </w:tc>
        <w:tc>
          <w:tcPr>
            <w:tcW w:w="4855" w:type="dxa"/>
            <w:vAlign w:val="center"/>
          </w:tcPr>
          <w:p w14:paraId="0803963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快速了解项目当前状态，执行中、终止、延期、结题等，通过项目变更、结题结算等流程变更项目信息等内容。</w:t>
            </w:r>
          </w:p>
        </w:tc>
      </w:tr>
      <w:tr w14:paraId="7D56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AB79F1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p>
        </w:tc>
        <w:tc>
          <w:tcPr>
            <w:tcW w:w="657" w:type="dxa"/>
            <w:vMerge w:val="continue"/>
            <w:vAlign w:val="center"/>
          </w:tcPr>
          <w:p w14:paraId="015F9C70">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4C012F0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2.3对外服务</w:t>
            </w:r>
          </w:p>
        </w:tc>
        <w:tc>
          <w:tcPr>
            <w:tcW w:w="2045" w:type="dxa"/>
            <w:vAlign w:val="center"/>
          </w:tcPr>
          <w:p w14:paraId="6477190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检验检测</w:t>
            </w:r>
          </w:p>
        </w:tc>
        <w:tc>
          <w:tcPr>
            <w:tcW w:w="4855" w:type="dxa"/>
            <w:vAlign w:val="center"/>
          </w:tcPr>
          <w:p w14:paraId="4808314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通过预约申请、结算流程，生成设备检验检测台账，支持结算清单导出用于费用结算，支持与后续的仪器设备管理集成对接。</w:t>
            </w:r>
          </w:p>
        </w:tc>
      </w:tr>
      <w:tr w14:paraId="707E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891AE3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w:t>
            </w:r>
          </w:p>
        </w:tc>
        <w:tc>
          <w:tcPr>
            <w:tcW w:w="657" w:type="dxa"/>
            <w:vMerge w:val="continue"/>
            <w:vAlign w:val="center"/>
          </w:tcPr>
          <w:p w14:paraId="07D4F64F">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0FF9DA1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2.4科研经费管理</w:t>
            </w:r>
          </w:p>
        </w:tc>
        <w:tc>
          <w:tcPr>
            <w:tcW w:w="2045" w:type="dxa"/>
            <w:vAlign w:val="center"/>
          </w:tcPr>
          <w:p w14:paraId="7F30705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科研经费来款</w:t>
            </w:r>
          </w:p>
        </w:tc>
        <w:tc>
          <w:tcPr>
            <w:tcW w:w="4855" w:type="dxa"/>
            <w:vAlign w:val="center"/>
          </w:tcPr>
          <w:p w14:paraId="00524DC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通过横向/纵向科研课题经费通知单流程生成项目卡片中科研经费信息，由财务赋予经费号信息。</w:t>
            </w:r>
          </w:p>
        </w:tc>
      </w:tr>
      <w:tr w14:paraId="1BFA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DC9ACF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2.4.2</w:t>
            </w:r>
          </w:p>
        </w:tc>
        <w:tc>
          <w:tcPr>
            <w:tcW w:w="657" w:type="dxa"/>
            <w:vMerge w:val="continue"/>
            <w:vAlign w:val="center"/>
          </w:tcPr>
          <w:p w14:paraId="2CFC488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5775EF9">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2F8360E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横向项目经费信息</w:t>
            </w:r>
          </w:p>
        </w:tc>
        <w:tc>
          <w:tcPr>
            <w:tcW w:w="4855" w:type="dxa"/>
            <w:vAlign w:val="center"/>
          </w:tcPr>
          <w:p w14:paraId="5E2A689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横向项目经费分为新版/旧版，其中包含间接费，以及费用科目包含院基金、中心/团队基金、风险保证金、课题组、直接经费等。</w:t>
            </w:r>
          </w:p>
        </w:tc>
      </w:tr>
      <w:tr w14:paraId="5DA7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54ABA1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2.4.3</w:t>
            </w:r>
          </w:p>
        </w:tc>
        <w:tc>
          <w:tcPr>
            <w:tcW w:w="657" w:type="dxa"/>
            <w:vMerge w:val="continue"/>
            <w:vAlign w:val="center"/>
          </w:tcPr>
          <w:p w14:paraId="4ED234A9">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13B20AB">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046121D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纵向项目经费信息</w:t>
            </w:r>
          </w:p>
        </w:tc>
        <w:tc>
          <w:tcPr>
            <w:tcW w:w="4855" w:type="dxa"/>
            <w:vAlign w:val="center"/>
          </w:tcPr>
          <w:p w14:paraId="1D5B967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纵向项目经费分为直接经费、间接经费、转拨费等。</w:t>
            </w:r>
          </w:p>
        </w:tc>
      </w:tr>
      <w:tr w14:paraId="6BA3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069D2B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2.4.4</w:t>
            </w:r>
          </w:p>
        </w:tc>
        <w:tc>
          <w:tcPr>
            <w:tcW w:w="657" w:type="dxa"/>
            <w:vMerge w:val="continue"/>
            <w:vAlign w:val="center"/>
          </w:tcPr>
          <w:p w14:paraId="46C4D047">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77716ED">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EB7417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科研经费报销</w:t>
            </w:r>
          </w:p>
        </w:tc>
        <w:tc>
          <w:tcPr>
            <w:tcW w:w="4855" w:type="dxa"/>
            <w:vAlign w:val="center"/>
          </w:tcPr>
          <w:p w14:paraId="5758258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实现基于科研</w:t>
            </w:r>
            <w:r>
              <w:rPr>
                <w:rFonts w:hint="eastAsia" w:ascii="宋体" w:hAnsi="宋体" w:cs="宋体"/>
                <w:color w:val="000000" w:themeColor="text1"/>
                <w:lang w:eastAsia="zh-Hans"/>
                <w14:textFill>
                  <w14:solidFill>
                    <w14:schemeClr w14:val="tx1"/>
                  </w14:solidFill>
                </w14:textFill>
              </w:rPr>
              <w:t>项目</w:t>
            </w:r>
            <w:r>
              <w:rPr>
                <w:rFonts w:hint="eastAsia" w:ascii="宋体" w:hAnsi="宋体" w:cs="宋体"/>
                <w:color w:val="000000" w:themeColor="text1"/>
                <w14:textFill>
                  <w14:solidFill>
                    <w14:schemeClr w14:val="tx1"/>
                  </w14:solidFill>
                </w14:textFill>
              </w:rPr>
              <w:t>预算的费用管理，通过网上报销的手段，实现经费支出的累计；管理每个项目中经费号的经费使用情况。经费使用情况分为知识产权、科研采购项目、人员支出等。</w:t>
            </w:r>
          </w:p>
        </w:tc>
      </w:tr>
      <w:tr w14:paraId="3E5C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A2DCF9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2.4.5</w:t>
            </w:r>
          </w:p>
        </w:tc>
        <w:tc>
          <w:tcPr>
            <w:tcW w:w="657" w:type="dxa"/>
            <w:vMerge w:val="continue"/>
            <w:vAlign w:val="center"/>
          </w:tcPr>
          <w:p w14:paraId="1A815E46">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00A606B">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921E38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经费分析</w:t>
            </w:r>
          </w:p>
        </w:tc>
        <w:tc>
          <w:tcPr>
            <w:tcW w:w="4855" w:type="dxa"/>
            <w:vAlign w:val="center"/>
          </w:tcPr>
          <w:p w14:paraId="0422993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结合合同管理、支付</w:t>
            </w:r>
            <w:r>
              <w:rPr>
                <w:rFonts w:hint="eastAsia" w:ascii="宋体" w:hAnsi="宋体" w:cs="宋体"/>
                <w:color w:val="000000" w:themeColor="text1"/>
                <w14:textFill>
                  <w14:solidFill>
                    <w14:schemeClr w14:val="tx1"/>
                  </w14:solidFill>
                </w14:textFill>
              </w:rPr>
              <w:t>、报销</w:t>
            </w:r>
            <w:r>
              <w:rPr>
                <w:rFonts w:hint="eastAsia" w:ascii="宋体" w:hAnsi="宋体" w:cs="宋体"/>
                <w:color w:val="000000" w:themeColor="text1"/>
                <w:lang w:eastAsia="zh-Hans"/>
                <w14:textFill>
                  <w14:solidFill>
                    <w14:schemeClr w14:val="tx1"/>
                  </w14:solidFill>
                </w14:textFill>
              </w:rPr>
              <w:t>管理等信息，统计项目总体花销</w:t>
            </w:r>
            <w:r>
              <w:rPr>
                <w:rFonts w:hint="eastAsia" w:ascii="宋体" w:hAnsi="宋体" w:cs="宋体"/>
                <w:color w:val="000000" w:themeColor="text1"/>
                <w14:textFill>
                  <w14:solidFill>
                    <w14:schemeClr w14:val="tx1"/>
                  </w14:solidFill>
                </w14:textFill>
              </w:rPr>
              <w:t>、项目中经费号的花销</w:t>
            </w:r>
            <w:r>
              <w:rPr>
                <w:rFonts w:hint="eastAsia" w:ascii="宋体" w:hAnsi="宋体" w:cs="宋体"/>
                <w:color w:val="000000" w:themeColor="text1"/>
                <w:lang w:eastAsia="zh-Hans"/>
                <w14:textFill>
                  <w14:solidFill>
                    <w14:schemeClr w14:val="tx1"/>
                  </w14:solidFill>
                </w14:textFill>
              </w:rPr>
              <w:t>，为绩效考核提供数据支撑。</w:t>
            </w:r>
          </w:p>
        </w:tc>
      </w:tr>
      <w:tr w14:paraId="2DD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ACDDBD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657" w:type="dxa"/>
            <w:vMerge w:val="continue"/>
            <w:vAlign w:val="center"/>
          </w:tcPr>
          <w:p w14:paraId="16784B1C">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1FE62FE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2.5科研中期检查</w:t>
            </w:r>
          </w:p>
        </w:tc>
        <w:tc>
          <w:tcPr>
            <w:tcW w:w="2045" w:type="dxa"/>
            <w:vAlign w:val="center"/>
          </w:tcPr>
          <w:p w14:paraId="5CC7F29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项目中期</w:t>
            </w:r>
          </w:p>
        </w:tc>
        <w:tc>
          <w:tcPr>
            <w:tcW w:w="4855" w:type="dxa"/>
            <w:vAlign w:val="center"/>
          </w:tcPr>
          <w:p w14:paraId="7DB1ECC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项目卡片中含预计中期时间点，用于提醒项目负责人进行中期检查，项目负责人可对科研项目进行中期汇报登记。</w:t>
            </w:r>
          </w:p>
        </w:tc>
      </w:tr>
      <w:tr w14:paraId="0079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DF535B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w:t>
            </w:r>
          </w:p>
        </w:tc>
        <w:tc>
          <w:tcPr>
            <w:tcW w:w="657" w:type="dxa"/>
            <w:vMerge w:val="continue"/>
            <w:vAlign w:val="center"/>
          </w:tcPr>
          <w:p w14:paraId="631ABE64">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1406E76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2.6项目结题结算</w:t>
            </w:r>
          </w:p>
        </w:tc>
        <w:tc>
          <w:tcPr>
            <w:tcW w:w="2045" w:type="dxa"/>
            <w:vAlign w:val="center"/>
          </w:tcPr>
          <w:p w14:paraId="67E85BE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项目结题结算</w:t>
            </w:r>
          </w:p>
        </w:tc>
        <w:tc>
          <w:tcPr>
            <w:tcW w:w="4855" w:type="dxa"/>
            <w:vAlign w:val="center"/>
          </w:tcPr>
          <w:p w14:paraId="581A353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通过科研项目结题结算流程，对科研项目结题进行验收完结，且可以对项目的结余经费进行处理。</w:t>
            </w:r>
          </w:p>
        </w:tc>
      </w:tr>
      <w:tr w14:paraId="2CB2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5" w:type="dxa"/>
            <w:vAlign w:val="center"/>
          </w:tcPr>
          <w:p w14:paraId="41A18C2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2.7.1</w:t>
            </w:r>
          </w:p>
        </w:tc>
        <w:tc>
          <w:tcPr>
            <w:tcW w:w="657" w:type="dxa"/>
            <w:vMerge w:val="continue"/>
            <w:vAlign w:val="center"/>
          </w:tcPr>
          <w:p w14:paraId="6D8A90C7">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77E11B1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2.7科研成果管理</w:t>
            </w:r>
          </w:p>
        </w:tc>
        <w:tc>
          <w:tcPr>
            <w:tcW w:w="2045" w:type="dxa"/>
            <w:vAlign w:val="center"/>
          </w:tcPr>
          <w:p w14:paraId="11D8A09D">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科研专利管理</w:t>
            </w:r>
          </w:p>
        </w:tc>
        <w:tc>
          <w:tcPr>
            <w:tcW w:w="4855" w:type="dxa"/>
            <w:vAlign w:val="center"/>
          </w:tcPr>
          <w:p w14:paraId="3E96727D">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结合现有的专利信息管理关联对应的科研项目。</w:t>
            </w:r>
          </w:p>
        </w:tc>
      </w:tr>
      <w:tr w14:paraId="724C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65" w:type="dxa"/>
            <w:vAlign w:val="center"/>
          </w:tcPr>
          <w:p w14:paraId="6975B1B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w:t>
            </w:r>
          </w:p>
        </w:tc>
        <w:tc>
          <w:tcPr>
            <w:tcW w:w="657" w:type="dxa"/>
            <w:vMerge w:val="continue"/>
            <w:vAlign w:val="center"/>
          </w:tcPr>
          <w:p w14:paraId="6330990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5A6C1EB9">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00E3965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科研论文管理</w:t>
            </w:r>
          </w:p>
        </w:tc>
        <w:tc>
          <w:tcPr>
            <w:tcW w:w="4855" w:type="dxa"/>
            <w:vAlign w:val="center"/>
          </w:tcPr>
          <w:p w14:paraId="360B807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结合现有的论文信息管理关联对应的科研项目。</w:t>
            </w:r>
          </w:p>
        </w:tc>
      </w:tr>
      <w:tr w14:paraId="72B5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6FA2839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w:t>
            </w:r>
          </w:p>
        </w:tc>
        <w:tc>
          <w:tcPr>
            <w:tcW w:w="657" w:type="dxa"/>
            <w:vMerge w:val="restart"/>
            <w:vAlign w:val="center"/>
          </w:tcPr>
          <w:p w14:paraId="489EB2F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3、研究生管理</w:t>
            </w:r>
          </w:p>
        </w:tc>
        <w:tc>
          <w:tcPr>
            <w:tcW w:w="748" w:type="dxa"/>
            <w:vMerge w:val="restart"/>
            <w:vAlign w:val="center"/>
          </w:tcPr>
          <w:p w14:paraId="0B454EE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3.1研究生门户</w:t>
            </w:r>
          </w:p>
        </w:tc>
        <w:tc>
          <w:tcPr>
            <w:tcW w:w="2045" w:type="dxa"/>
            <w:vAlign w:val="center"/>
          </w:tcPr>
          <w:p w14:paraId="7CEFE5B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快捷通道</w:t>
            </w:r>
          </w:p>
        </w:tc>
        <w:tc>
          <w:tcPr>
            <w:tcW w:w="4855" w:type="dxa"/>
            <w:vAlign w:val="center"/>
          </w:tcPr>
          <w:p w14:paraId="1A4C0DA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研究生补贴发放、北航学生派驻申请、离返甬申请。</w:t>
            </w:r>
          </w:p>
        </w:tc>
      </w:tr>
      <w:tr w14:paraId="74C6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30536C4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w:t>
            </w:r>
          </w:p>
        </w:tc>
        <w:tc>
          <w:tcPr>
            <w:tcW w:w="657" w:type="dxa"/>
            <w:vMerge w:val="continue"/>
            <w:vAlign w:val="center"/>
          </w:tcPr>
          <w:p w14:paraId="0B6E4C3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16DD090">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0CE6F93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待办审批</w:t>
            </w:r>
          </w:p>
        </w:tc>
        <w:tc>
          <w:tcPr>
            <w:tcW w:w="4855" w:type="dxa"/>
            <w:vAlign w:val="center"/>
          </w:tcPr>
          <w:p w14:paraId="13F3386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所有研究生相关流程等待办事项的汇总展现。</w:t>
            </w:r>
          </w:p>
        </w:tc>
      </w:tr>
      <w:tr w14:paraId="0A0F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01B6FCF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w:t>
            </w:r>
          </w:p>
        </w:tc>
        <w:tc>
          <w:tcPr>
            <w:tcW w:w="657" w:type="dxa"/>
            <w:vMerge w:val="continue"/>
            <w:vAlign w:val="center"/>
          </w:tcPr>
          <w:p w14:paraId="6413F75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D046307">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C57EAA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研究生数据报表</w:t>
            </w:r>
          </w:p>
        </w:tc>
        <w:tc>
          <w:tcPr>
            <w:tcW w:w="4855" w:type="dxa"/>
            <w:vAlign w:val="center"/>
          </w:tcPr>
          <w:p w14:paraId="33D1936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研究生人员信息图形分析、学生党员分析</w:t>
            </w:r>
          </w:p>
        </w:tc>
      </w:tr>
      <w:tr w14:paraId="531C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062926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w:t>
            </w:r>
          </w:p>
        </w:tc>
        <w:tc>
          <w:tcPr>
            <w:tcW w:w="657" w:type="dxa"/>
            <w:vMerge w:val="continue"/>
            <w:vAlign w:val="center"/>
          </w:tcPr>
          <w:p w14:paraId="00976206">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4A98232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3.2研究生考勤管理</w:t>
            </w:r>
          </w:p>
        </w:tc>
        <w:tc>
          <w:tcPr>
            <w:tcW w:w="2045" w:type="dxa"/>
            <w:vAlign w:val="center"/>
          </w:tcPr>
          <w:p w14:paraId="498A222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研究生考勤台账</w:t>
            </w:r>
          </w:p>
        </w:tc>
        <w:tc>
          <w:tcPr>
            <w:tcW w:w="4855" w:type="dxa"/>
            <w:vAlign w:val="center"/>
          </w:tcPr>
          <w:p w14:paraId="534D2F4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将钉钉考勤数据导入研究生考勤台账，系统根据规则来判断学生考勤是否有效，每月生成研究生考勤汇总台账数据。</w:t>
            </w:r>
          </w:p>
        </w:tc>
      </w:tr>
      <w:tr w14:paraId="213E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23B46F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w:t>
            </w:r>
          </w:p>
        </w:tc>
        <w:tc>
          <w:tcPr>
            <w:tcW w:w="657" w:type="dxa"/>
            <w:vMerge w:val="continue"/>
            <w:vAlign w:val="center"/>
          </w:tcPr>
          <w:p w14:paraId="371D972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53C2922">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7002BAC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研究生考勤补贴台账</w:t>
            </w:r>
          </w:p>
        </w:tc>
        <w:tc>
          <w:tcPr>
            <w:tcW w:w="4855" w:type="dxa"/>
            <w:vAlign w:val="center"/>
          </w:tcPr>
          <w:p w14:paraId="33C4D57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通过研究生类别发放补贴标准，每月生成研究生的补贴发放记录数据并关联研究生档案。</w:t>
            </w:r>
          </w:p>
        </w:tc>
      </w:tr>
      <w:tr w14:paraId="6DFA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5C4DA95">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w:t>
            </w:r>
          </w:p>
        </w:tc>
        <w:tc>
          <w:tcPr>
            <w:tcW w:w="657" w:type="dxa"/>
            <w:vMerge w:val="continue"/>
            <w:vAlign w:val="center"/>
          </w:tcPr>
          <w:p w14:paraId="6C0245BE">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2E3A6C0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3.3研究生档案管理</w:t>
            </w:r>
          </w:p>
        </w:tc>
        <w:tc>
          <w:tcPr>
            <w:tcW w:w="2045" w:type="dxa"/>
            <w:vAlign w:val="center"/>
          </w:tcPr>
          <w:p w14:paraId="124F38D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研究生档案库</w:t>
            </w:r>
          </w:p>
        </w:tc>
        <w:tc>
          <w:tcPr>
            <w:tcW w:w="4855" w:type="dxa"/>
            <w:vAlign w:val="center"/>
          </w:tcPr>
          <w:p w14:paraId="0445347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研究生个人档案信息汇总台账，校外学生来院实习实践、北航学生派驻申请通过后，形成研究生信息台账。授权人员可编辑台账信息。</w:t>
            </w:r>
          </w:p>
        </w:tc>
      </w:tr>
      <w:tr w14:paraId="15C1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C9745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w:t>
            </w:r>
          </w:p>
        </w:tc>
        <w:tc>
          <w:tcPr>
            <w:tcW w:w="657" w:type="dxa"/>
            <w:vMerge w:val="continue"/>
            <w:vAlign w:val="center"/>
          </w:tcPr>
          <w:p w14:paraId="5B813167">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65129AB">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72B8322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研究生报表成果</w:t>
            </w:r>
          </w:p>
        </w:tc>
        <w:tc>
          <w:tcPr>
            <w:tcW w:w="4855" w:type="dxa"/>
            <w:vAlign w:val="center"/>
          </w:tcPr>
          <w:p w14:paraId="1F68E26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根据研究生档案信息来生成学生培养成果报表；累计在院学生报表。</w:t>
            </w:r>
          </w:p>
        </w:tc>
      </w:tr>
      <w:tr w14:paraId="08A3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675ED2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w:t>
            </w:r>
          </w:p>
        </w:tc>
        <w:tc>
          <w:tcPr>
            <w:tcW w:w="657" w:type="dxa"/>
            <w:vMerge w:val="continue"/>
            <w:vAlign w:val="center"/>
          </w:tcPr>
          <w:p w14:paraId="6517B8DF">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5A1C3CB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3.4宿舍管理</w:t>
            </w:r>
          </w:p>
        </w:tc>
        <w:tc>
          <w:tcPr>
            <w:tcW w:w="2045" w:type="dxa"/>
            <w:vAlign w:val="center"/>
          </w:tcPr>
          <w:p w14:paraId="085151E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宿舍台账</w:t>
            </w:r>
          </w:p>
        </w:tc>
        <w:tc>
          <w:tcPr>
            <w:tcW w:w="4855" w:type="dxa"/>
            <w:vAlign w:val="center"/>
          </w:tcPr>
          <w:p w14:paraId="32BFF19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研究院宿舍台账信息汇总，通过宿舍申请后，学生的宿舍信息关联学生档案。宿舍的使用情况用可视化图表展示。</w:t>
            </w:r>
          </w:p>
        </w:tc>
      </w:tr>
      <w:tr w14:paraId="550A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A291E7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3.5.1</w:t>
            </w:r>
          </w:p>
        </w:tc>
        <w:tc>
          <w:tcPr>
            <w:tcW w:w="657" w:type="dxa"/>
            <w:vMerge w:val="continue"/>
            <w:vAlign w:val="center"/>
          </w:tcPr>
          <w:p w14:paraId="1683D611">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5AB7FB4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3.5联合培养研究生</w:t>
            </w:r>
          </w:p>
        </w:tc>
        <w:tc>
          <w:tcPr>
            <w:tcW w:w="2045" w:type="dxa"/>
            <w:vAlign w:val="center"/>
          </w:tcPr>
          <w:p w14:paraId="5F2EC57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学生联合培养</w:t>
            </w:r>
          </w:p>
        </w:tc>
        <w:tc>
          <w:tcPr>
            <w:tcW w:w="4855" w:type="dxa"/>
            <w:vAlign w:val="center"/>
          </w:tcPr>
          <w:p w14:paraId="205AC37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联合培养非全日制硕士研究生从需求审批到进行立项，再对培养研究生整个过程进行采购、报销全过程管理。需要与现有的项目管理进行关联改造。</w:t>
            </w:r>
          </w:p>
        </w:tc>
      </w:tr>
      <w:tr w14:paraId="0F83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3DDA93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3.5.2</w:t>
            </w:r>
          </w:p>
        </w:tc>
        <w:tc>
          <w:tcPr>
            <w:tcW w:w="657" w:type="dxa"/>
            <w:vMerge w:val="continue"/>
            <w:vAlign w:val="center"/>
          </w:tcPr>
          <w:p w14:paraId="39B20F9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F0D789C">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42D8E79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集成管理</w:t>
            </w:r>
          </w:p>
        </w:tc>
        <w:tc>
          <w:tcPr>
            <w:tcW w:w="4855" w:type="dxa"/>
            <w:vAlign w:val="center"/>
          </w:tcPr>
          <w:p w14:paraId="163878E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研究生培养项中“属地指导老师”关联高层次人才模块（数据穿透），并关联研究生个人档案。</w:t>
            </w:r>
          </w:p>
        </w:tc>
      </w:tr>
      <w:tr w14:paraId="3488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D9CB92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w:t>
            </w:r>
          </w:p>
        </w:tc>
        <w:tc>
          <w:tcPr>
            <w:tcW w:w="657" w:type="dxa"/>
            <w:vMerge w:val="continue"/>
            <w:vAlign w:val="center"/>
          </w:tcPr>
          <w:p w14:paraId="10774757">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4AF87CF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3.5学生日常活动开展</w:t>
            </w:r>
          </w:p>
        </w:tc>
        <w:tc>
          <w:tcPr>
            <w:tcW w:w="2045" w:type="dxa"/>
            <w:vAlign w:val="center"/>
          </w:tcPr>
          <w:p w14:paraId="39DFF27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学生日常活动开展</w:t>
            </w:r>
          </w:p>
        </w:tc>
        <w:tc>
          <w:tcPr>
            <w:tcW w:w="4855" w:type="dxa"/>
            <w:vAlign w:val="center"/>
          </w:tcPr>
          <w:p w14:paraId="5F64AE8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学生经费号105001会将部分学生日常活动的经费分给各个中心/团队，提前在预算费控中增加各个中心/团队“学生日常活动”科目的经费，与项目管理做关联集成。</w:t>
            </w:r>
          </w:p>
        </w:tc>
      </w:tr>
      <w:tr w14:paraId="34DA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41F583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3.7</w:t>
            </w:r>
          </w:p>
        </w:tc>
        <w:tc>
          <w:tcPr>
            <w:tcW w:w="657" w:type="dxa"/>
            <w:vMerge w:val="continue"/>
            <w:vAlign w:val="center"/>
          </w:tcPr>
          <w:p w14:paraId="4188AE4B">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33934B7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3.6系统集成</w:t>
            </w:r>
          </w:p>
        </w:tc>
        <w:tc>
          <w:tcPr>
            <w:tcW w:w="2045" w:type="dxa"/>
            <w:vAlign w:val="center"/>
          </w:tcPr>
          <w:p w14:paraId="34C1D98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系统集成</w:t>
            </w:r>
          </w:p>
        </w:tc>
        <w:tc>
          <w:tcPr>
            <w:tcW w:w="4855" w:type="dxa"/>
            <w:vAlign w:val="center"/>
          </w:tcPr>
          <w:p w14:paraId="0BC2378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集成研究院目前项目管理系统、本次建设的预算管理系统。</w:t>
            </w:r>
          </w:p>
        </w:tc>
      </w:tr>
      <w:tr w14:paraId="445E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2B87958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w:t>
            </w:r>
          </w:p>
        </w:tc>
        <w:tc>
          <w:tcPr>
            <w:tcW w:w="657" w:type="dxa"/>
            <w:vMerge w:val="restart"/>
            <w:vAlign w:val="center"/>
          </w:tcPr>
          <w:p w14:paraId="0B80BA6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4、督查督办</w:t>
            </w:r>
          </w:p>
        </w:tc>
        <w:tc>
          <w:tcPr>
            <w:tcW w:w="748" w:type="dxa"/>
            <w:vMerge w:val="restart"/>
            <w:vAlign w:val="center"/>
          </w:tcPr>
          <w:p w14:paraId="647CEBF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4.1督办立项</w:t>
            </w:r>
          </w:p>
        </w:tc>
        <w:tc>
          <w:tcPr>
            <w:tcW w:w="2045" w:type="dxa"/>
            <w:vAlign w:val="center"/>
          </w:tcPr>
          <w:p w14:paraId="27766DE7">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年度重点工作</w:t>
            </w:r>
          </w:p>
        </w:tc>
        <w:tc>
          <w:tcPr>
            <w:tcW w:w="4855" w:type="dxa"/>
            <w:vAlign w:val="center"/>
          </w:tcPr>
          <w:p w14:paraId="05630FB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年度重点工作的督办立项管理。</w:t>
            </w:r>
          </w:p>
        </w:tc>
      </w:tr>
      <w:tr w14:paraId="3BF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6E024B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w:t>
            </w:r>
          </w:p>
        </w:tc>
        <w:tc>
          <w:tcPr>
            <w:tcW w:w="657" w:type="dxa"/>
            <w:vMerge w:val="continue"/>
            <w:vAlign w:val="center"/>
          </w:tcPr>
          <w:p w14:paraId="0FEDBC8E">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E674411">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4AAB07A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会议督办</w:t>
            </w:r>
          </w:p>
        </w:tc>
        <w:tc>
          <w:tcPr>
            <w:tcW w:w="4855" w:type="dxa"/>
            <w:vAlign w:val="center"/>
          </w:tcPr>
          <w:p w14:paraId="1E519CD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院务会等会议决议、事项任务安排。</w:t>
            </w:r>
          </w:p>
        </w:tc>
      </w:tr>
      <w:tr w14:paraId="7EAE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11B1BF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w:t>
            </w:r>
          </w:p>
        </w:tc>
        <w:tc>
          <w:tcPr>
            <w:tcW w:w="657" w:type="dxa"/>
            <w:vMerge w:val="continue"/>
            <w:vAlign w:val="center"/>
          </w:tcPr>
          <w:p w14:paraId="380E0A8F">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DB7F2C8">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64E9AC8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4855" w:type="dxa"/>
            <w:vAlign w:val="center"/>
          </w:tcPr>
          <w:p w14:paraId="738CE15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其他类别产生的督办事项。</w:t>
            </w:r>
          </w:p>
        </w:tc>
      </w:tr>
      <w:tr w14:paraId="49DE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C2F66E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w:t>
            </w:r>
          </w:p>
        </w:tc>
        <w:tc>
          <w:tcPr>
            <w:tcW w:w="657" w:type="dxa"/>
            <w:vMerge w:val="continue"/>
            <w:vAlign w:val="center"/>
          </w:tcPr>
          <w:p w14:paraId="418B19DC">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06BEF75">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17CE098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督办台账管理</w:t>
            </w:r>
          </w:p>
        </w:tc>
        <w:tc>
          <w:tcPr>
            <w:tcW w:w="4855" w:type="dxa"/>
            <w:vAlign w:val="center"/>
          </w:tcPr>
          <w:p w14:paraId="564FAE4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负责事项、参与事项、发起事项、督办查询。</w:t>
            </w:r>
          </w:p>
        </w:tc>
      </w:tr>
      <w:tr w14:paraId="5FED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65" w:type="dxa"/>
            <w:vAlign w:val="center"/>
          </w:tcPr>
          <w:p w14:paraId="7505BFB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w:t>
            </w:r>
          </w:p>
        </w:tc>
        <w:tc>
          <w:tcPr>
            <w:tcW w:w="657" w:type="dxa"/>
            <w:vMerge w:val="continue"/>
            <w:vAlign w:val="center"/>
          </w:tcPr>
          <w:p w14:paraId="78981CAD">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7E91135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4.2督办台账</w:t>
            </w:r>
          </w:p>
        </w:tc>
        <w:tc>
          <w:tcPr>
            <w:tcW w:w="2045" w:type="dxa"/>
            <w:vAlign w:val="center"/>
          </w:tcPr>
          <w:p w14:paraId="1EA0634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督办任务管理</w:t>
            </w:r>
          </w:p>
        </w:tc>
        <w:tc>
          <w:tcPr>
            <w:tcW w:w="4855" w:type="dxa"/>
            <w:vAlign w:val="center"/>
          </w:tcPr>
          <w:p w14:paraId="0A0E415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任务分解、任务名称、状态、进度、责任人、计划开始时间、结束时间、任务到期提醒。</w:t>
            </w:r>
          </w:p>
        </w:tc>
      </w:tr>
      <w:tr w14:paraId="1098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FD0C75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w:t>
            </w:r>
          </w:p>
        </w:tc>
        <w:tc>
          <w:tcPr>
            <w:tcW w:w="657" w:type="dxa"/>
            <w:vMerge w:val="continue"/>
            <w:vAlign w:val="center"/>
          </w:tcPr>
          <w:p w14:paraId="777CFCB8">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10F8190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4.3督办反馈</w:t>
            </w:r>
          </w:p>
        </w:tc>
        <w:tc>
          <w:tcPr>
            <w:tcW w:w="2045" w:type="dxa"/>
            <w:vAlign w:val="center"/>
          </w:tcPr>
          <w:p w14:paraId="18E5EB7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督办反馈</w:t>
            </w:r>
          </w:p>
        </w:tc>
        <w:tc>
          <w:tcPr>
            <w:tcW w:w="4855" w:type="dxa"/>
            <w:vAlign w:val="center"/>
          </w:tcPr>
          <w:p w14:paraId="478691E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任务进度的反馈、相关材料附件管理。</w:t>
            </w:r>
          </w:p>
        </w:tc>
      </w:tr>
      <w:tr w14:paraId="77E8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7EC7E2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4.4</w:t>
            </w:r>
          </w:p>
        </w:tc>
        <w:tc>
          <w:tcPr>
            <w:tcW w:w="657" w:type="dxa"/>
            <w:vMerge w:val="continue"/>
            <w:vAlign w:val="center"/>
          </w:tcPr>
          <w:p w14:paraId="56B171F7">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706E06F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4.4督办查询</w:t>
            </w:r>
          </w:p>
        </w:tc>
        <w:tc>
          <w:tcPr>
            <w:tcW w:w="2045" w:type="dxa"/>
            <w:vAlign w:val="center"/>
          </w:tcPr>
          <w:p w14:paraId="480E23B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督办统计查询</w:t>
            </w:r>
          </w:p>
        </w:tc>
        <w:tc>
          <w:tcPr>
            <w:tcW w:w="4855" w:type="dxa"/>
            <w:vAlign w:val="center"/>
          </w:tcPr>
          <w:p w14:paraId="617C482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按督办事项、督办项目等各类别进行统计。</w:t>
            </w:r>
          </w:p>
        </w:tc>
      </w:tr>
      <w:tr w14:paraId="42EE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D16D0A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4.5</w:t>
            </w:r>
          </w:p>
        </w:tc>
        <w:tc>
          <w:tcPr>
            <w:tcW w:w="657" w:type="dxa"/>
            <w:vMerge w:val="continue"/>
            <w:vAlign w:val="center"/>
          </w:tcPr>
          <w:p w14:paraId="5F4EB3FC">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695BC24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4.5集成管理</w:t>
            </w:r>
          </w:p>
        </w:tc>
        <w:tc>
          <w:tcPr>
            <w:tcW w:w="2045" w:type="dxa"/>
            <w:vAlign w:val="center"/>
          </w:tcPr>
          <w:p w14:paraId="0039280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集成对接</w:t>
            </w:r>
          </w:p>
        </w:tc>
        <w:tc>
          <w:tcPr>
            <w:tcW w:w="4855" w:type="dxa"/>
            <w:vAlign w:val="center"/>
          </w:tcPr>
          <w:p w14:paraId="2BC1BFF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集成当前数字化协同运营管理平台，集成钉钉流程处理。</w:t>
            </w:r>
          </w:p>
        </w:tc>
      </w:tr>
      <w:tr w14:paraId="1F3F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DD9132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w:t>
            </w:r>
          </w:p>
        </w:tc>
        <w:tc>
          <w:tcPr>
            <w:tcW w:w="657" w:type="dxa"/>
            <w:vMerge w:val="restart"/>
            <w:vAlign w:val="center"/>
          </w:tcPr>
          <w:p w14:paraId="6BC0077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5、供应商采购管理</w:t>
            </w:r>
          </w:p>
        </w:tc>
        <w:tc>
          <w:tcPr>
            <w:tcW w:w="748" w:type="dxa"/>
            <w:vAlign w:val="center"/>
          </w:tcPr>
          <w:p w14:paraId="40EC6E8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5.1供应商门户</w:t>
            </w:r>
          </w:p>
        </w:tc>
        <w:tc>
          <w:tcPr>
            <w:tcW w:w="2045" w:type="dxa"/>
            <w:vAlign w:val="center"/>
          </w:tcPr>
          <w:p w14:paraId="4959E1C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供应商登录后门户</w:t>
            </w:r>
          </w:p>
        </w:tc>
        <w:tc>
          <w:tcPr>
            <w:tcW w:w="4855" w:type="dxa"/>
            <w:vAlign w:val="center"/>
          </w:tcPr>
          <w:p w14:paraId="18375ED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支持供应商在门户中能处理所有待办事项</w:t>
            </w:r>
          </w:p>
        </w:tc>
      </w:tr>
      <w:tr w14:paraId="4789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8A3878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w:t>
            </w:r>
          </w:p>
        </w:tc>
        <w:tc>
          <w:tcPr>
            <w:tcW w:w="657" w:type="dxa"/>
            <w:vMerge w:val="continue"/>
            <w:vAlign w:val="center"/>
          </w:tcPr>
          <w:p w14:paraId="1493ED7D">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0A0A8FE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5.2征信查询</w:t>
            </w:r>
          </w:p>
        </w:tc>
        <w:tc>
          <w:tcPr>
            <w:tcW w:w="2045" w:type="dxa"/>
            <w:vAlign w:val="center"/>
          </w:tcPr>
          <w:p w14:paraId="523F734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企业基本信息查询</w:t>
            </w:r>
          </w:p>
        </w:tc>
        <w:tc>
          <w:tcPr>
            <w:tcW w:w="4855" w:type="dxa"/>
            <w:vAlign w:val="center"/>
          </w:tcPr>
          <w:p w14:paraId="6737176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对接启信宝，采购方录入供应商基本信息时，点击启信宝查询征信信息</w:t>
            </w:r>
          </w:p>
        </w:tc>
      </w:tr>
      <w:tr w14:paraId="1ED0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0AB3988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5.3.1</w:t>
            </w:r>
          </w:p>
        </w:tc>
        <w:tc>
          <w:tcPr>
            <w:tcW w:w="657" w:type="dxa"/>
            <w:vMerge w:val="continue"/>
            <w:vAlign w:val="center"/>
          </w:tcPr>
          <w:p w14:paraId="26EE6D26">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23DE0DF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5.3供应商信息库</w:t>
            </w:r>
          </w:p>
        </w:tc>
        <w:tc>
          <w:tcPr>
            <w:tcW w:w="2045" w:type="dxa"/>
            <w:vAlign w:val="center"/>
          </w:tcPr>
          <w:p w14:paraId="18C9A6CD">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供应商注册</w:t>
            </w:r>
          </w:p>
        </w:tc>
        <w:tc>
          <w:tcPr>
            <w:tcW w:w="4855" w:type="dxa"/>
            <w:vAlign w:val="center"/>
          </w:tcPr>
          <w:p w14:paraId="0B10CE8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供应商信息注册</w:t>
            </w:r>
          </w:p>
        </w:tc>
      </w:tr>
      <w:tr w14:paraId="7208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2FB39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5.3.2</w:t>
            </w:r>
          </w:p>
        </w:tc>
        <w:tc>
          <w:tcPr>
            <w:tcW w:w="657" w:type="dxa"/>
            <w:vMerge w:val="continue"/>
            <w:vAlign w:val="center"/>
          </w:tcPr>
          <w:p w14:paraId="5109DD1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2743D90">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406A6E3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基础信息批量导入及新增</w:t>
            </w:r>
          </w:p>
        </w:tc>
        <w:tc>
          <w:tcPr>
            <w:tcW w:w="4855" w:type="dxa"/>
            <w:vAlign w:val="center"/>
          </w:tcPr>
          <w:p w14:paraId="4E140B7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支持直接批量导入供应商进入供应商库或新增加入</w:t>
            </w:r>
          </w:p>
        </w:tc>
      </w:tr>
      <w:tr w14:paraId="508F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422D10F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5.3.3</w:t>
            </w:r>
          </w:p>
        </w:tc>
        <w:tc>
          <w:tcPr>
            <w:tcW w:w="657" w:type="dxa"/>
            <w:vMerge w:val="continue"/>
            <w:vAlign w:val="center"/>
          </w:tcPr>
          <w:p w14:paraId="55F00B9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4F8E34F">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0B3556E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供应商分类定义</w:t>
            </w:r>
          </w:p>
        </w:tc>
        <w:tc>
          <w:tcPr>
            <w:tcW w:w="4855" w:type="dxa"/>
            <w:vAlign w:val="center"/>
          </w:tcPr>
          <w:p w14:paraId="1853592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支持用户自定义供应商分类信息</w:t>
            </w:r>
          </w:p>
        </w:tc>
      </w:tr>
      <w:tr w14:paraId="393B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36853B5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5.3.4</w:t>
            </w:r>
          </w:p>
        </w:tc>
        <w:tc>
          <w:tcPr>
            <w:tcW w:w="657" w:type="dxa"/>
            <w:vMerge w:val="continue"/>
            <w:vAlign w:val="center"/>
          </w:tcPr>
          <w:p w14:paraId="30421DC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37CEC00">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1A76A94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供应商评价</w:t>
            </w:r>
          </w:p>
        </w:tc>
        <w:tc>
          <w:tcPr>
            <w:tcW w:w="4855" w:type="dxa"/>
            <w:vAlign w:val="center"/>
          </w:tcPr>
          <w:p w14:paraId="5547A96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供应商评价</w:t>
            </w:r>
          </w:p>
        </w:tc>
      </w:tr>
      <w:tr w14:paraId="6C2D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685191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w:t>
            </w:r>
          </w:p>
        </w:tc>
        <w:tc>
          <w:tcPr>
            <w:tcW w:w="657" w:type="dxa"/>
            <w:vMerge w:val="continue"/>
          </w:tcPr>
          <w:p w14:paraId="7B20A933">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2F07F08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5.4采购需求申请</w:t>
            </w:r>
          </w:p>
        </w:tc>
        <w:tc>
          <w:tcPr>
            <w:tcW w:w="2045" w:type="dxa"/>
            <w:vAlign w:val="center"/>
          </w:tcPr>
          <w:p w14:paraId="5EA4482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采购需求申请</w:t>
            </w:r>
          </w:p>
        </w:tc>
        <w:tc>
          <w:tcPr>
            <w:tcW w:w="4855" w:type="dxa"/>
            <w:vAlign w:val="center"/>
          </w:tcPr>
          <w:p w14:paraId="5F70244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在线发起采购申请，展示归档后的采购申请列表</w:t>
            </w:r>
          </w:p>
        </w:tc>
      </w:tr>
      <w:tr w14:paraId="4CFB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EE0219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5.5.1</w:t>
            </w:r>
          </w:p>
        </w:tc>
        <w:tc>
          <w:tcPr>
            <w:tcW w:w="657" w:type="dxa"/>
            <w:vMerge w:val="continue"/>
          </w:tcPr>
          <w:p w14:paraId="677551EE">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1AD4FA85">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5.5询报价管理</w:t>
            </w:r>
          </w:p>
        </w:tc>
        <w:tc>
          <w:tcPr>
            <w:tcW w:w="2045" w:type="dxa"/>
            <w:vAlign w:val="center"/>
          </w:tcPr>
          <w:p w14:paraId="779B78B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需求转询价</w:t>
            </w:r>
          </w:p>
        </w:tc>
        <w:tc>
          <w:tcPr>
            <w:tcW w:w="4855" w:type="dxa"/>
            <w:vAlign w:val="center"/>
          </w:tcPr>
          <w:p w14:paraId="2273BBE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采购需求任务，转为询价单据，将需求中的物料相关信息直接带入询价单中</w:t>
            </w:r>
          </w:p>
        </w:tc>
      </w:tr>
      <w:tr w14:paraId="609A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6CAAC3F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5.5.2</w:t>
            </w:r>
          </w:p>
        </w:tc>
        <w:tc>
          <w:tcPr>
            <w:tcW w:w="657" w:type="dxa"/>
            <w:vMerge w:val="continue"/>
          </w:tcPr>
          <w:p w14:paraId="6E2C0AC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2AA67BD7">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4FE9B13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询价发布</w:t>
            </w:r>
          </w:p>
        </w:tc>
        <w:tc>
          <w:tcPr>
            <w:tcW w:w="4855" w:type="dxa"/>
            <w:vAlign w:val="center"/>
          </w:tcPr>
          <w:p w14:paraId="534030B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询价发布支持发布至对应范围</w:t>
            </w:r>
          </w:p>
        </w:tc>
      </w:tr>
      <w:tr w14:paraId="50C6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2F5745B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5.5.3</w:t>
            </w:r>
          </w:p>
        </w:tc>
        <w:tc>
          <w:tcPr>
            <w:tcW w:w="657" w:type="dxa"/>
            <w:vMerge w:val="continue"/>
          </w:tcPr>
          <w:p w14:paraId="421B86C7">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350E6AB1">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051FDF7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询价截止时间管理</w:t>
            </w:r>
          </w:p>
        </w:tc>
        <w:tc>
          <w:tcPr>
            <w:tcW w:w="4855" w:type="dxa"/>
            <w:vAlign w:val="center"/>
          </w:tcPr>
          <w:p w14:paraId="32CBD56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设置询价截止时间，到点不允许报价</w:t>
            </w:r>
          </w:p>
        </w:tc>
      </w:tr>
      <w:tr w14:paraId="0CEC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5697F0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5.5.4</w:t>
            </w:r>
          </w:p>
        </w:tc>
        <w:tc>
          <w:tcPr>
            <w:tcW w:w="657" w:type="dxa"/>
            <w:vMerge w:val="continue"/>
          </w:tcPr>
          <w:p w14:paraId="6B3A20CD">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300957C7">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7179382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短信对接</w:t>
            </w:r>
          </w:p>
        </w:tc>
        <w:tc>
          <w:tcPr>
            <w:tcW w:w="4855" w:type="dxa"/>
            <w:vAlign w:val="center"/>
          </w:tcPr>
          <w:p w14:paraId="526BCEE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支持对接短信平台，实现询价短信通知，</w:t>
            </w:r>
            <w:bookmarkStart w:id="24" w:name="OLE_LINK1"/>
            <w:r>
              <w:rPr>
                <w:rFonts w:hint="eastAsia" w:ascii="宋体" w:hAnsi="宋体" w:cs="宋体"/>
                <w:color w:val="000000" w:themeColor="text1"/>
                <w:highlight w:val="none"/>
                <w14:textFill>
                  <w14:solidFill>
                    <w14:schemeClr w14:val="tx1"/>
                  </w14:solidFill>
                </w14:textFill>
              </w:rPr>
              <w:t>包含7万条短信数量。</w:t>
            </w:r>
            <w:bookmarkEnd w:id="24"/>
          </w:p>
        </w:tc>
      </w:tr>
      <w:tr w14:paraId="6909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28B467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5.5.5</w:t>
            </w:r>
          </w:p>
        </w:tc>
        <w:tc>
          <w:tcPr>
            <w:tcW w:w="657" w:type="dxa"/>
            <w:vMerge w:val="continue"/>
          </w:tcPr>
          <w:p w14:paraId="641AA170">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6CB022AC">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3C2F0A4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供应商报价IP跟踪</w:t>
            </w:r>
          </w:p>
        </w:tc>
        <w:tc>
          <w:tcPr>
            <w:tcW w:w="4855" w:type="dxa"/>
            <w:vAlign w:val="center"/>
          </w:tcPr>
          <w:p w14:paraId="73AA584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供应商报价IP跟踪</w:t>
            </w:r>
          </w:p>
        </w:tc>
      </w:tr>
      <w:tr w14:paraId="54BE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2B90B29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5.5.6</w:t>
            </w:r>
          </w:p>
        </w:tc>
        <w:tc>
          <w:tcPr>
            <w:tcW w:w="657" w:type="dxa"/>
            <w:vMerge w:val="continue"/>
          </w:tcPr>
          <w:p w14:paraId="691F02C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65BB26B2">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7C86BA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w:t>
            </w:r>
          </w:p>
        </w:tc>
        <w:tc>
          <w:tcPr>
            <w:tcW w:w="4855" w:type="dxa"/>
            <w:vAlign w:val="center"/>
          </w:tcPr>
          <w:p w14:paraId="3ED6E29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支持供应商在线报价及线下报价导入</w:t>
            </w:r>
          </w:p>
        </w:tc>
      </w:tr>
      <w:tr w14:paraId="124F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C8B78C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5.5.7</w:t>
            </w:r>
          </w:p>
        </w:tc>
        <w:tc>
          <w:tcPr>
            <w:tcW w:w="657" w:type="dxa"/>
            <w:vMerge w:val="continue"/>
          </w:tcPr>
          <w:p w14:paraId="4DA52809">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53FDAE85">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461D089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资质查看</w:t>
            </w:r>
          </w:p>
        </w:tc>
        <w:tc>
          <w:tcPr>
            <w:tcW w:w="4855" w:type="dxa"/>
            <w:vAlign w:val="center"/>
          </w:tcPr>
          <w:p w14:paraId="62DEA43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点击预审查看按钮，进入资格预审页面，可查看提交资格预审的供应商列表，可下载供应商附件，并对供应商进行预审审批，包含退回、通过和不通过。退回后，预审截止时间前，供应商可修改预审文件再次提交审批流程</w:t>
            </w:r>
          </w:p>
        </w:tc>
      </w:tr>
      <w:tr w14:paraId="5326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0B4FE9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5.5.8</w:t>
            </w:r>
          </w:p>
        </w:tc>
        <w:tc>
          <w:tcPr>
            <w:tcW w:w="657" w:type="dxa"/>
            <w:vMerge w:val="continue"/>
          </w:tcPr>
          <w:p w14:paraId="3A96D5A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478EF408">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234BB1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询价结果确认</w:t>
            </w:r>
          </w:p>
        </w:tc>
        <w:tc>
          <w:tcPr>
            <w:tcW w:w="4855" w:type="dxa"/>
            <w:vAlign w:val="center"/>
          </w:tcPr>
          <w:p w14:paraId="4BFA0F3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确认询价结果，支持同步OA系统相关审批流程</w:t>
            </w:r>
          </w:p>
        </w:tc>
      </w:tr>
      <w:tr w14:paraId="4BC9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3DA235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5.6</w:t>
            </w:r>
          </w:p>
        </w:tc>
        <w:tc>
          <w:tcPr>
            <w:tcW w:w="657" w:type="dxa"/>
            <w:vMerge w:val="continue"/>
          </w:tcPr>
          <w:p w14:paraId="62898C8D">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51E1EAE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5.6采购结果通知</w:t>
            </w:r>
          </w:p>
        </w:tc>
        <w:tc>
          <w:tcPr>
            <w:tcW w:w="2045" w:type="dxa"/>
            <w:vAlign w:val="center"/>
          </w:tcPr>
          <w:p w14:paraId="62FE103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采购结果通知</w:t>
            </w:r>
          </w:p>
        </w:tc>
        <w:tc>
          <w:tcPr>
            <w:tcW w:w="4855" w:type="dxa"/>
            <w:vAlign w:val="center"/>
          </w:tcPr>
          <w:p w14:paraId="47C0D57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点击采购通知/公告按钮，选择公告模板，系统根据招标表单信息，自动生成结果通知书</w:t>
            </w:r>
          </w:p>
        </w:tc>
      </w:tr>
    </w:tbl>
    <w:p w14:paraId="1DBB438C">
      <w:pPr>
        <w:snapToGrid w:val="0"/>
        <w:spacing w:line="360" w:lineRule="auto"/>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（二）表B采购内容技术规格要求</w:t>
      </w:r>
    </w:p>
    <w:p w14:paraId="341B1106">
      <w:pPr>
        <w:rPr>
          <w:rFonts w:hint="eastAsia" w:ascii="宋体" w:hAnsi="宋体" w:cs="宋体"/>
          <w:color w:val="000000" w:themeColor="text1"/>
          <w14:textFill>
            <w14:solidFill>
              <w14:schemeClr w14:val="tx1"/>
            </w14:solidFill>
          </w14:textFill>
        </w:rPr>
      </w:pPr>
    </w:p>
    <w:p w14:paraId="0D68F1BE">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6、其他要求：</w:t>
      </w:r>
    </w:p>
    <w:p w14:paraId="0E0EC258">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6.1项目团队要求：投标方需构建一支专业团队，该团队应明确包含一名项目负责人及一名技术负责人，以确保项目的顺利推进。此外，项目组的其他成员亦需具备胜任本项目各项任务的能力，以保障项目整体实施的质量与效率。</w:t>
      </w:r>
    </w:p>
    <w:p w14:paraId="674265E9">
      <w:pPr>
        <w:rPr>
          <w:rFonts w:hint="eastAsia" w:ascii="宋体" w:hAnsi="宋体" w:cs="宋体"/>
          <w:color w:val="000000" w:themeColor="text1"/>
          <w14:textFill>
            <w14:solidFill>
              <w14:schemeClr w14:val="tx1"/>
            </w14:solidFill>
          </w14:textFill>
        </w:rPr>
      </w:pPr>
    </w:p>
    <w:p w14:paraId="794C8178">
      <w:pPr>
        <w:rPr>
          <w:rFonts w:hint="eastAsia" w:ascii="宋体" w:hAnsi="宋体" w:cs="宋体"/>
          <w:b/>
          <w:color w:val="000000" w:themeColor="text1"/>
          <w:szCs w:val="21"/>
          <w14:textFill>
            <w14:solidFill>
              <w14:schemeClr w14:val="tx1"/>
            </w14:solidFill>
          </w14:textFill>
        </w:rPr>
      </w:pPr>
    </w:p>
    <w:p w14:paraId="070FD308">
      <w:pP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14:paraId="051F85E5">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1、投标人需对以上技术参数做出逐条具体应答，并填写偏离情况，否则作技术参数负偏离处理。</w:t>
      </w:r>
    </w:p>
    <w:p w14:paraId="25604735">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投标人应认真阅读标书，理解标书的全部内容。严禁以虚假的技术参数和描述来应标，一经查实，将直接导致无效标处理。任何对投标供货范围不完整的、有遗漏的投标，如果评委会认为该不完整、有遗漏的投标将对整体的使用和性能产生较大影响，经评委会评议，将可能直接导致无效标处理。</w:t>
      </w:r>
    </w:p>
    <w:p w14:paraId="79988BC0">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3、投标文件中任何内容使用中文以外的其他语言，须提供中文译本，否则将导致投标被否决。中文译本与原文如有冲突，以中文译本为准。</w:t>
      </w:r>
    </w:p>
    <w:p w14:paraId="6C363A3C">
      <w:pPr>
        <w:spacing w:line="360" w:lineRule="auto"/>
        <w:rPr>
          <w:rFonts w:hint="eastAsia" w:ascii="宋体" w:hAnsi="宋体"/>
          <w:b/>
          <w:color w:val="000000" w:themeColor="text1"/>
          <w:szCs w:val="28"/>
          <w14:textFill>
            <w14:solidFill>
              <w14:schemeClr w14:val="tx1"/>
            </w14:solidFill>
          </w14:textFill>
        </w:rPr>
      </w:pPr>
    </w:p>
    <w:p w14:paraId="776508CE">
      <w:pPr>
        <w:spacing w:line="360" w:lineRule="auto"/>
        <w:rPr>
          <w:rFonts w:hint="eastAsia"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四、商务要求</w:t>
      </w:r>
    </w:p>
    <w:tbl>
      <w:tblPr>
        <w:tblStyle w:val="42"/>
        <w:tblW w:w="97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21"/>
        <w:gridCol w:w="7349"/>
      </w:tblGrid>
      <w:tr w14:paraId="0151C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71" w:type="dxa"/>
            <w:tcBorders>
              <w:tl2br w:val="nil"/>
              <w:tr2bl w:val="nil"/>
            </w:tcBorders>
            <w:vAlign w:val="center"/>
          </w:tcPr>
          <w:p w14:paraId="7A0FAE29">
            <w:pPr>
              <w:spacing w:line="400" w:lineRule="exact"/>
              <w:contextualSpacing/>
              <w:jc w:val="center"/>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序号</w:t>
            </w:r>
          </w:p>
        </w:tc>
        <w:tc>
          <w:tcPr>
            <w:tcW w:w="8870" w:type="dxa"/>
            <w:gridSpan w:val="2"/>
            <w:tcBorders>
              <w:tl2br w:val="nil"/>
              <w:tr2bl w:val="nil"/>
            </w:tcBorders>
            <w:vAlign w:val="center"/>
          </w:tcPr>
          <w:p w14:paraId="46994751">
            <w:pPr>
              <w:spacing w:line="400" w:lineRule="exact"/>
              <w:contextualSpacing/>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商务要求</w:t>
            </w:r>
          </w:p>
        </w:tc>
      </w:tr>
      <w:tr w14:paraId="0D717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871" w:type="dxa"/>
            <w:tcBorders>
              <w:tl2br w:val="nil"/>
              <w:tr2bl w:val="nil"/>
            </w:tcBorders>
            <w:vAlign w:val="center"/>
          </w:tcPr>
          <w:p w14:paraId="388B353D">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521" w:type="dxa"/>
            <w:tcBorders>
              <w:tl2br w:val="nil"/>
              <w:tr2bl w:val="nil"/>
            </w:tcBorders>
            <w:vAlign w:val="center"/>
          </w:tcPr>
          <w:p w14:paraId="4F863F73">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7349" w:type="dxa"/>
            <w:tcBorders>
              <w:tl2br w:val="nil"/>
              <w:tr2bl w:val="nil"/>
            </w:tcBorders>
            <w:vAlign w:val="center"/>
          </w:tcPr>
          <w:p w14:paraId="6C3CFF5C">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履约保证金金额：合同总价的1%。</w:t>
            </w:r>
          </w:p>
          <w:p w14:paraId="7B1D4B6D">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履约保证金形式：转账或银行、保险公司出具的保函形式。</w:t>
            </w:r>
          </w:p>
          <w:p w14:paraId="2DE3A117">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履约保证金递交时间：中标通知书发出后30天内缴纳</w:t>
            </w:r>
          </w:p>
          <w:p w14:paraId="10A7B903">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履约保证金退还时间：最终验收合格后，具体详见付款方式。</w:t>
            </w:r>
          </w:p>
        </w:tc>
      </w:tr>
      <w:tr w14:paraId="44903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71" w:type="dxa"/>
            <w:tcBorders>
              <w:tl2br w:val="nil"/>
              <w:tr2bl w:val="nil"/>
            </w:tcBorders>
            <w:vAlign w:val="center"/>
          </w:tcPr>
          <w:p w14:paraId="540016BF">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21" w:type="dxa"/>
            <w:tcBorders>
              <w:tl2br w:val="nil"/>
              <w:tr2bl w:val="nil"/>
            </w:tcBorders>
            <w:vAlign w:val="center"/>
          </w:tcPr>
          <w:p w14:paraId="22758DC8">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7349" w:type="dxa"/>
            <w:tcBorders>
              <w:tl2br w:val="nil"/>
              <w:tr2bl w:val="nil"/>
            </w:tcBorders>
            <w:vAlign w:val="center"/>
          </w:tcPr>
          <w:p w14:paraId="12CCF6D1">
            <w:pPr>
              <w:snapToGrid w:val="0"/>
              <w:spacing w:line="300" w:lineRule="auto"/>
              <w:contextualSpacing/>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1）合同签订后，采购人在收到中标人提供的预付款保函</w:t>
            </w:r>
            <w:r>
              <w:rPr>
                <w:rFonts w:hint="eastAsia" w:ascii="宋体" w:hAnsi="宋体" w:cs="宋体"/>
                <w:bCs/>
                <w:color w:val="000000" w:themeColor="text1"/>
                <w:szCs w:val="21"/>
                <w:lang w:eastAsia="zh-Hans"/>
                <w14:textFill>
                  <w14:solidFill>
                    <w14:schemeClr w14:val="tx1"/>
                  </w14:solidFill>
                </w14:textFill>
              </w:rPr>
              <w:t>（保函金额不得低于采购人预付款金额，</w:t>
            </w:r>
            <w:r>
              <w:rPr>
                <w:rFonts w:hint="eastAsia" w:ascii="宋体" w:hAnsi="宋体" w:cs="宋体"/>
                <w:bCs/>
                <w:color w:val="000000" w:themeColor="text1"/>
                <w:szCs w:val="21"/>
                <w14:textFill>
                  <w14:solidFill>
                    <w14:schemeClr w14:val="tx1"/>
                  </w14:solidFill>
                </w14:textFill>
              </w:rPr>
              <w:t>有效期须与交货期相一致</w:t>
            </w:r>
            <w:r>
              <w:rPr>
                <w:rFonts w:hint="eastAsia" w:ascii="宋体" w:hAnsi="宋体" w:cs="宋体"/>
                <w:bCs/>
                <w:color w:val="000000" w:themeColor="text1"/>
                <w:szCs w:val="21"/>
                <w:lang w:eastAsia="zh-Hans"/>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具备实施条件后7个工作日内支付中标人合同总价的40%作为预付款；</w:t>
            </w:r>
          </w:p>
          <w:p w14:paraId="5C257C80">
            <w:pPr>
              <w:snapToGrid w:val="0"/>
              <w:spacing w:line="300" w:lineRule="auto"/>
              <w:contextualSpacing/>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2）系统调试安装完毕经采购人初步验收合格后，采购人支付中标人合同总价的50%。</w:t>
            </w:r>
          </w:p>
          <w:p w14:paraId="25262CC5">
            <w:pPr>
              <w:snapToGrid w:val="0"/>
              <w:spacing w:line="300" w:lineRule="auto"/>
              <w:contextualSpacing/>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3）系统试运行满6个月并经采购人最终验收后，采购人收到中标人提供的全额增值税专用发票及抵扣联后7个工作日内支付中标人剩余合同总价的10%，同时无息返还履约保证金。</w:t>
            </w:r>
          </w:p>
        </w:tc>
      </w:tr>
      <w:tr w14:paraId="3B3E3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871" w:type="dxa"/>
            <w:tcBorders>
              <w:tl2br w:val="nil"/>
              <w:tr2bl w:val="nil"/>
            </w:tcBorders>
            <w:vAlign w:val="center"/>
          </w:tcPr>
          <w:p w14:paraId="6B529889">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21" w:type="dxa"/>
            <w:tcBorders>
              <w:tl2br w:val="nil"/>
              <w:tr2bl w:val="nil"/>
            </w:tcBorders>
            <w:vAlign w:val="center"/>
          </w:tcPr>
          <w:p w14:paraId="5AB2BB66">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交货时间及地点</w:t>
            </w:r>
          </w:p>
        </w:tc>
        <w:tc>
          <w:tcPr>
            <w:tcW w:w="7349" w:type="dxa"/>
            <w:tcBorders>
              <w:tl2br w:val="nil"/>
              <w:tr2bl w:val="nil"/>
            </w:tcBorders>
            <w:vAlign w:val="center"/>
          </w:tcPr>
          <w:p w14:paraId="15CC2D2C">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期：项目建设周期120天。中标人在签订合同后7个工作日内，组织项目组入驻用户现场进行需求分析并驻场开发，在合同签订后120天内完成需求分析、平台开发、系统测试、整体部署等所有工作，保证系统稳定上线运行并完成</w:t>
            </w:r>
            <w:r>
              <w:rPr>
                <w:rFonts w:hint="eastAsia"/>
              </w:rPr>
              <w:t>初步</w:t>
            </w:r>
            <w:r>
              <w:rPr>
                <w:rFonts w:hint="eastAsia" w:ascii="宋体" w:hAnsi="宋体" w:cs="宋体"/>
                <w:color w:val="000000" w:themeColor="text1"/>
                <w:szCs w:val="21"/>
                <w14:textFill>
                  <w14:solidFill>
                    <w14:schemeClr w14:val="tx1"/>
                  </w14:solidFill>
                </w14:textFill>
              </w:rPr>
              <w:t>验收。</w:t>
            </w:r>
          </w:p>
          <w:p w14:paraId="54EDA0CA">
            <w:pPr>
              <w:snapToGrid w:val="0"/>
              <w:spacing w:line="300" w:lineRule="auto"/>
              <w:contextualSpacing/>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交货地点：</w:t>
            </w:r>
            <w:r>
              <w:rPr>
                <w:rFonts w:hint="eastAsia" w:ascii="宋体" w:hAnsi="宋体" w:cs="宋体"/>
                <w:color w:val="000000" w:themeColor="text1"/>
                <w14:textFill>
                  <w14:solidFill>
                    <w14:schemeClr w14:val="tx1"/>
                  </w14:solidFill>
                </w14:textFill>
              </w:rPr>
              <w:t>北京航空航天大学宁波创新研究院</w:t>
            </w:r>
            <w:r>
              <w:rPr>
                <w:rFonts w:hint="eastAsia" w:ascii="宋体" w:hAnsi="宋体" w:cs="宋体"/>
                <w:bCs/>
                <w:color w:val="000000" w:themeColor="text1"/>
                <w:szCs w:val="21"/>
                <w14:textFill>
                  <w14:solidFill>
                    <w14:schemeClr w14:val="tx1"/>
                  </w14:solidFill>
                </w14:textFill>
              </w:rPr>
              <w:t>（具体由采购人指定）</w:t>
            </w:r>
          </w:p>
        </w:tc>
      </w:tr>
      <w:tr w14:paraId="64C50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871" w:type="dxa"/>
            <w:tcBorders>
              <w:tl2br w:val="nil"/>
              <w:tr2bl w:val="nil"/>
            </w:tcBorders>
            <w:vAlign w:val="center"/>
          </w:tcPr>
          <w:p w14:paraId="5D6586E1">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21" w:type="dxa"/>
            <w:tcBorders>
              <w:tl2br w:val="nil"/>
              <w:tr2bl w:val="nil"/>
            </w:tcBorders>
            <w:vAlign w:val="center"/>
          </w:tcPr>
          <w:p w14:paraId="1AF447F9">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安装调试</w:t>
            </w:r>
          </w:p>
        </w:tc>
        <w:tc>
          <w:tcPr>
            <w:tcW w:w="7349" w:type="dxa"/>
            <w:tcBorders>
              <w:tl2br w:val="nil"/>
              <w:tr2bl w:val="nil"/>
            </w:tcBorders>
            <w:vAlign w:val="center"/>
          </w:tcPr>
          <w:p w14:paraId="2879D3F4">
            <w:pPr>
              <w:snapToGrid w:val="0"/>
              <w:spacing w:line="300" w:lineRule="auto"/>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安装调试阶段，投标人需根据采购人的要求安排工程师现场指导安装调试，并提供相关技术培训确保采购人能够熟练使用系统。安装调试与培训费用由投标人承担。</w:t>
            </w:r>
          </w:p>
        </w:tc>
      </w:tr>
      <w:tr w14:paraId="32BA2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871" w:type="dxa"/>
            <w:tcBorders>
              <w:tl2br w:val="nil"/>
              <w:tr2bl w:val="nil"/>
            </w:tcBorders>
            <w:vAlign w:val="center"/>
          </w:tcPr>
          <w:p w14:paraId="76FD3033">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21" w:type="dxa"/>
            <w:tcBorders>
              <w:tl2br w:val="nil"/>
              <w:tr2bl w:val="nil"/>
            </w:tcBorders>
            <w:vAlign w:val="center"/>
          </w:tcPr>
          <w:p w14:paraId="6A2EFBDA">
            <w:pPr>
              <w:contextualSpacing/>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w:t>
            </w:r>
          </w:p>
        </w:tc>
        <w:tc>
          <w:tcPr>
            <w:tcW w:w="7349" w:type="dxa"/>
            <w:tcBorders>
              <w:tl2br w:val="nil"/>
              <w:tr2bl w:val="nil"/>
            </w:tcBorders>
            <w:vAlign w:val="center"/>
          </w:tcPr>
          <w:p w14:paraId="2780C69E">
            <w:pPr>
              <w:snapToGrid w:val="0"/>
              <w:spacing w:line="30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投标人需提供项目验收合格之日起1年的质保期（质保期从最终验收通过之日算起）</w:t>
            </w:r>
          </w:p>
          <w:p w14:paraId="12506EDF">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注：质保期后，每年维护费用不超过系统金额的10%。</w:t>
            </w:r>
          </w:p>
        </w:tc>
      </w:tr>
      <w:tr w14:paraId="0B6B0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32" w:hRule="atLeast"/>
          <w:jc w:val="center"/>
        </w:trPr>
        <w:tc>
          <w:tcPr>
            <w:tcW w:w="871" w:type="dxa"/>
            <w:tcBorders>
              <w:tl2br w:val="nil"/>
              <w:tr2bl w:val="nil"/>
            </w:tcBorders>
            <w:vAlign w:val="center"/>
          </w:tcPr>
          <w:p w14:paraId="29B07A10">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521" w:type="dxa"/>
            <w:tcBorders>
              <w:tl2br w:val="nil"/>
              <w:tr2bl w:val="nil"/>
            </w:tcBorders>
            <w:vAlign w:val="center"/>
          </w:tcPr>
          <w:p w14:paraId="72478C8E">
            <w:pPr>
              <w:spacing w:line="400" w:lineRule="exact"/>
              <w:contextualSpacing/>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售后服务要求</w:t>
            </w:r>
          </w:p>
        </w:tc>
        <w:tc>
          <w:tcPr>
            <w:tcW w:w="7349" w:type="dxa"/>
            <w:tcBorders>
              <w:tl2br w:val="nil"/>
              <w:tr2bl w:val="nil"/>
            </w:tcBorders>
            <w:vAlign w:val="center"/>
          </w:tcPr>
          <w:p w14:paraId="3DE80E22">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投标人须提供经调试、试运行、验收合格后，投标方需保证项目的核心开发人员对本项目提供免费技术支持（包括一般性修改及国家相关性政策调整后的修改）。提供1年的免费售后服务技术支持服务。</w:t>
            </w:r>
          </w:p>
          <w:p w14:paraId="0A731395">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1）投标人在售后服务期内（以项目验收合格日期为准）免费提供至少1年应用软件维护与升级服务。</w:t>
            </w:r>
          </w:p>
          <w:p w14:paraId="7BC2FDD0">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2）在项目实施过程及售后服务期内，投标人需指定专人负责与用户进行项目对接与服务。</w:t>
            </w:r>
          </w:p>
          <w:p w14:paraId="029007BB">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3）售后服务期内免费5×8在线技术服务及系统数据容灾恢复上门现场服务。</w:t>
            </w:r>
          </w:p>
          <w:p w14:paraId="6A854B73">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4）应用支持：通过电话、电子邮件以及其他方式提供5×8小时的应用支持服务，包括使用咨询、系统管理协助、应用政策建议。</w:t>
            </w:r>
          </w:p>
          <w:p w14:paraId="16AC75AA">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5）故障响应及修复：提供快捷、周到、规范的服务，在接到维修及技术服务要求后应在1小时之内作出响应，24小时之内解决问题。</w:t>
            </w:r>
          </w:p>
          <w:p w14:paraId="712AC10A">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6）除软件模块和用户许可扩充外的产品升级，包括系统的各种集成接口升级等，应及时告知。</w:t>
            </w:r>
          </w:p>
          <w:p w14:paraId="103C8503">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7）提供完整的平台配套产品资料，包括系统安装使用手册、系统功能模块说明书、用户使用手册、帮助文档。</w:t>
            </w:r>
          </w:p>
          <w:p w14:paraId="7CC7789C">
            <w:pPr>
              <w:autoSpaceDE w:val="0"/>
              <w:autoSpaceDN w:val="0"/>
              <w:snapToGrid w:val="0"/>
              <w:spacing w:line="30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8）提供使用帮助文档和数据库结构文档。</w:t>
            </w:r>
          </w:p>
        </w:tc>
      </w:tr>
      <w:tr w14:paraId="51EB0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871" w:type="dxa"/>
            <w:tcBorders>
              <w:tl2br w:val="nil"/>
              <w:tr2bl w:val="nil"/>
            </w:tcBorders>
            <w:vAlign w:val="center"/>
          </w:tcPr>
          <w:p w14:paraId="23C04531">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521" w:type="dxa"/>
            <w:tcBorders>
              <w:tl2br w:val="nil"/>
              <w:tr2bl w:val="nil"/>
            </w:tcBorders>
            <w:vAlign w:val="center"/>
          </w:tcPr>
          <w:p w14:paraId="222B3C46">
            <w:pPr>
              <w:spacing w:line="400" w:lineRule="exact"/>
              <w:contextualSpacing/>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产品及服务质量保证</w:t>
            </w:r>
          </w:p>
        </w:tc>
        <w:tc>
          <w:tcPr>
            <w:tcW w:w="7349" w:type="dxa"/>
            <w:tcBorders>
              <w:tl2br w:val="nil"/>
              <w:tr2bl w:val="nil"/>
            </w:tcBorders>
            <w:vAlign w:val="center"/>
          </w:tcPr>
          <w:p w14:paraId="6FB40A3D">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如发生所提供的商品（或服务）与合同不符，</w:t>
            </w:r>
            <w:r>
              <w:rPr>
                <w:rFonts w:hint="eastAsia" w:ascii="宋体" w:hAnsi="宋体" w:cs="宋体"/>
                <w:bCs/>
                <w:color w:val="000000" w:themeColor="text1"/>
                <w:szCs w:val="21"/>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有权拒收或退货,由此产生的一切责任和后果由投标人承担。</w:t>
            </w:r>
          </w:p>
          <w:p w14:paraId="68F9CAEE">
            <w:pPr>
              <w:snapToGrid w:val="0"/>
              <w:spacing w:line="300" w:lineRule="auto"/>
              <w:contextualSpacing/>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安装调试过程中在安装地点提供免费培训服务，确保设备操作人员能熟练掌握系统的各项性能；提供必要的培训资料。</w:t>
            </w:r>
          </w:p>
        </w:tc>
      </w:tr>
      <w:tr w14:paraId="00E05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871" w:type="dxa"/>
            <w:tcBorders>
              <w:tl2br w:val="nil"/>
              <w:tr2bl w:val="nil"/>
            </w:tcBorders>
            <w:vAlign w:val="center"/>
          </w:tcPr>
          <w:p w14:paraId="408E3039">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521" w:type="dxa"/>
            <w:tcBorders>
              <w:tl2br w:val="nil"/>
              <w:tr2bl w:val="nil"/>
            </w:tcBorders>
            <w:vAlign w:val="center"/>
          </w:tcPr>
          <w:p w14:paraId="29DCDFC9">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7349" w:type="dxa"/>
            <w:tcBorders>
              <w:tl2br w:val="nil"/>
              <w:tr2bl w:val="nil"/>
            </w:tcBorders>
            <w:vAlign w:val="center"/>
          </w:tcPr>
          <w:p w14:paraId="1981FD23">
            <w:pPr>
              <w:snapToGrid w:val="0"/>
              <w:spacing w:line="30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验收在采购人指定地点进行。</w:t>
            </w:r>
          </w:p>
          <w:p w14:paraId="2AD8D666">
            <w:pPr>
              <w:snapToGrid w:val="0"/>
              <w:spacing w:line="30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1）采购人根据采购文件和供应商提供的采购响应文件及供应商和采购人签订的采购合同为标准进行验收。</w:t>
            </w:r>
          </w:p>
          <w:p w14:paraId="5BA5C0C0">
            <w:pPr>
              <w:snapToGrid w:val="0"/>
              <w:spacing w:line="30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项目完成后，初步验收合格后应经过6个月的试用期，试用期后，由采购人进行统一验收。系统验收合格的条件必须至少满足以下要求：已提供了合同要求的全部功能和资料；性能测试和试运行验收时出现的问题已被解决。</w:t>
            </w:r>
          </w:p>
        </w:tc>
      </w:tr>
      <w:tr w14:paraId="36150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71" w:type="dxa"/>
            <w:tcBorders>
              <w:tl2br w:val="nil"/>
              <w:tr2bl w:val="nil"/>
            </w:tcBorders>
            <w:vAlign w:val="center"/>
          </w:tcPr>
          <w:p w14:paraId="39F6BE95">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521" w:type="dxa"/>
            <w:tcBorders>
              <w:tl2br w:val="nil"/>
              <w:tr2bl w:val="nil"/>
            </w:tcBorders>
            <w:vAlign w:val="center"/>
          </w:tcPr>
          <w:p w14:paraId="49FA2116">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培训要求</w:t>
            </w:r>
          </w:p>
        </w:tc>
        <w:tc>
          <w:tcPr>
            <w:tcW w:w="7349" w:type="dxa"/>
            <w:tcBorders>
              <w:tl2br w:val="nil"/>
              <w:tr2bl w:val="nil"/>
            </w:tcBorders>
            <w:vAlign w:val="center"/>
          </w:tcPr>
          <w:p w14:paraId="1BD42ED3">
            <w:pPr>
              <w:snapToGrid w:val="0"/>
              <w:spacing w:line="300" w:lineRule="auto"/>
              <w:contextualSpacing/>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投标人需提供不少于</w:t>
            </w: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天的系统培训，并确保采购人能够熟练使用系统，培训地点为</w:t>
            </w:r>
            <w:r>
              <w:rPr>
                <w:rFonts w:hint="eastAsia" w:ascii="宋体" w:hAnsi="宋体" w:cs="宋体"/>
                <w:color w:val="000000" w:themeColor="text1"/>
                <w14:textFill>
                  <w14:solidFill>
                    <w14:schemeClr w14:val="tx1"/>
                  </w14:solidFill>
                </w14:textFill>
              </w:rPr>
              <w:t>北京航空航天大学宁波创新研究院</w:t>
            </w:r>
            <w:r>
              <w:rPr>
                <w:rFonts w:hint="eastAsia" w:ascii="宋体" w:hAnsi="宋体" w:cs="宋体"/>
                <w:bCs/>
                <w:color w:val="000000" w:themeColor="text1"/>
                <w:szCs w:val="21"/>
                <w14:textFill>
                  <w14:solidFill>
                    <w14:schemeClr w14:val="tx1"/>
                  </w14:solidFill>
                </w14:textFill>
              </w:rPr>
              <w:t>（具体由采购人指定）。</w:t>
            </w:r>
          </w:p>
        </w:tc>
      </w:tr>
      <w:tr w14:paraId="6C047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71" w:type="dxa"/>
            <w:tcBorders>
              <w:tl2br w:val="nil"/>
              <w:tr2bl w:val="nil"/>
            </w:tcBorders>
            <w:vAlign w:val="center"/>
          </w:tcPr>
          <w:p w14:paraId="5F08559E">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521" w:type="dxa"/>
            <w:tcBorders>
              <w:tl2br w:val="nil"/>
              <w:tr2bl w:val="nil"/>
            </w:tcBorders>
            <w:vAlign w:val="center"/>
          </w:tcPr>
          <w:p w14:paraId="5DC9723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后期维护要求</w:t>
            </w:r>
          </w:p>
        </w:tc>
        <w:tc>
          <w:tcPr>
            <w:tcW w:w="7349" w:type="dxa"/>
            <w:tcBorders>
              <w:tl2br w:val="nil"/>
              <w:tr2bl w:val="nil"/>
            </w:tcBorders>
            <w:vAlign w:val="center"/>
          </w:tcPr>
          <w:p w14:paraId="142F0CA2">
            <w:pPr>
              <w:snapToGrid w:val="0"/>
              <w:spacing w:line="30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质保期满后维护费、软件升级及相关服务内容，</w:t>
            </w:r>
            <w:r>
              <w:rPr>
                <w:rFonts w:hint="eastAsia" w:ascii="宋体" w:hAnsi="宋体" w:cs="宋体"/>
                <w:color w:val="000000" w:themeColor="text1"/>
                <w:szCs w:val="21"/>
                <w14:textFill>
                  <w14:solidFill>
                    <w14:schemeClr w14:val="tx1"/>
                  </w14:solidFill>
                </w14:textFill>
              </w:rPr>
              <w:t>并列出清单及价格，不计入投标总价。</w:t>
            </w:r>
          </w:p>
        </w:tc>
      </w:tr>
      <w:tr w14:paraId="1A4AF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871" w:type="dxa"/>
            <w:tcBorders>
              <w:tl2br w:val="nil"/>
              <w:tr2bl w:val="nil"/>
            </w:tcBorders>
            <w:vAlign w:val="center"/>
          </w:tcPr>
          <w:p w14:paraId="017897C3">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521" w:type="dxa"/>
            <w:tcBorders>
              <w:tl2br w:val="nil"/>
              <w:tr2bl w:val="nil"/>
            </w:tcBorders>
            <w:vAlign w:val="center"/>
          </w:tcPr>
          <w:p w14:paraId="0A62D7A7">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p>
        </w:tc>
        <w:tc>
          <w:tcPr>
            <w:tcW w:w="7349" w:type="dxa"/>
            <w:tcBorders>
              <w:tl2br w:val="nil"/>
              <w:tr2bl w:val="nil"/>
            </w:tcBorders>
            <w:vAlign w:val="center"/>
          </w:tcPr>
          <w:p w14:paraId="0CF7E3E9">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报价以人民币报价，为交钥匙价：包括但不限于项目准备、需求调研、系统实施部署开发、现场实施、安装调试、测试运行、验收、质保期内系统维护、培训、税费、售后服务及质保期（质保期以供应商承诺为准）内维护费等费用。包含与现有数字化运营平台（项目管理、合同管理、人事管理、移动办公、流程管理、权限管理、数据等）所有集成，</w:t>
            </w:r>
            <w:r>
              <w:rPr>
                <w:rFonts w:hint="eastAsia"/>
              </w:rPr>
              <w:t>满足数字化运营管理平台整体主从帐号管理功能，</w:t>
            </w:r>
            <w:r>
              <w:rPr>
                <w:rFonts w:hint="eastAsia" w:ascii="宋体" w:hAnsi="宋体" w:cs="宋体"/>
                <w:color w:val="000000" w:themeColor="text1"/>
                <w:szCs w:val="21"/>
                <w14:textFill>
                  <w14:solidFill>
                    <w14:schemeClr w14:val="tx1"/>
                  </w14:solidFill>
                </w14:textFill>
              </w:rPr>
              <w:t>具体集成功能以招标人实施过程中实际需求为准，所产生的一切费用（例如数字化协同运营平台开发商技术接口支持所产生的费用）由投标人承担</w:t>
            </w:r>
          </w:p>
          <w:p w14:paraId="1CEF1024">
            <w:pPr>
              <w:snapToGrid w:val="0"/>
              <w:spacing w:line="300" w:lineRule="auto"/>
              <w:contextualSpacing/>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2、本次招标采购预算和最高限价详见第一章 采购公告；投标报价（人民币报价）超过本次招标最高限价的作无效标处理。</w:t>
            </w:r>
          </w:p>
        </w:tc>
      </w:tr>
      <w:tr w14:paraId="49CE2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61" w:hRule="atLeast"/>
          <w:jc w:val="center"/>
        </w:trPr>
        <w:tc>
          <w:tcPr>
            <w:tcW w:w="871" w:type="dxa"/>
            <w:tcBorders>
              <w:tl2br w:val="nil"/>
              <w:tr2bl w:val="nil"/>
            </w:tcBorders>
            <w:vAlign w:val="center"/>
          </w:tcPr>
          <w:p w14:paraId="47FA837C">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521" w:type="dxa"/>
            <w:tcBorders>
              <w:tl2br w:val="nil"/>
              <w:tr2bl w:val="nil"/>
            </w:tcBorders>
            <w:vAlign w:val="center"/>
          </w:tcPr>
          <w:p w14:paraId="709307B8">
            <w:pPr>
              <w:spacing w:line="400" w:lineRule="exact"/>
              <w:contextualSpacing/>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保密要求</w:t>
            </w:r>
          </w:p>
        </w:tc>
        <w:tc>
          <w:tcPr>
            <w:tcW w:w="7349" w:type="dxa"/>
            <w:tcBorders>
              <w:tl2br w:val="nil"/>
              <w:tr2bl w:val="nil"/>
            </w:tcBorders>
            <w:vAlign w:val="center"/>
          </w:tcPr>
          <w:p w14:paraId="539C13EE">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（1）对服务的过程数据和结果数据严格保密，未经授权不得泄露给任何单位和个人，不得利用此数据进行任何侵害采购人的行为，否则采购人有权追究供应商的责任；</w:t>
            </w:r>
          </w:p>
          <w:p w14:paraId="25B5757E">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 对涉及采购人的检查项目、资料、检查过程和结果以及采购人的知识产权、所有权等其它信息采取保密措施；</w:t>
            </w:r>
          </w:p>
          <w:p w14:paraId="3D69290F">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（3）在接收采购人的检查项目时，应对检查项目加强监管，防止泄密。项目实施前必须签订保密协议。所有检查项目，不经用户同意，不得向与检查无关人员展示；</w:t>
            </w:r>
          </w:p>
          <w:p w14:paraId="0658E677">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（4）所有检查过程均对外保密，与检查无关人员未经采购人批准，不得擅自进入检查现场；</w:t>
            </w:r>
          </w:p>
          <w:p w14:paraId="1B8E17AF">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（5）在未经许可的情况下与检查无关的人员不得接触被检查项目及相关资料，不得参与检查和编制检查报告；</w:t>
            </w:r>
          </w:p>
          <w:p w14:paraId="352F4DBF">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（6）出具的检查报告应为采购人保密，未经采购人授权，不得将检查报告转交他人，不得擅自公布检查结果；</w:t>
            </w:r>
          </w:p>
          <w:p w14:paraId="72C66290">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（7）当采购人要求用电话、图文传真或其它方式传送检查结果时，应有采购人正式的书面委托并证实相关通讯方式可靠后方可执行；</w:t>
            </w:r>
          </w:p>
          <w:p w14:paraId="3FC027C6">
            <w:pPr>
              <w:autoSpaceDE w:val="0"/>
              <w:autoSpaceDN w:val="0"/>
              <w:snapToGrid w:val="0"/>
              <w:spacing w:line="300" w:lineRule="auto"/>
              <w:textAlignment w:val="bottom"/>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（8）不得向无关人员泄露任何有关客户资料和检查结果，检查结果只能通过相关程序及约定的告知方式通知相应业务单位和个人；</w:t>
            </w:r>
          </w:p>
          <w:p w14:paraId="49C29B57">
            <w:pPr>
              <w:autoSpaceDE w:val="0"/>
              <w:autoSpaceDN w:val="0"/>
              <w:snapToGrid w:val="0"/>
              <w:spacing w:line="300" w:lineRule="auto"/>
              <w:textAlignment w:val="bottom"/>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（9）对接触客户检查项目、资料及其它相关信息的人员应履行为采购人保护所有权的义务，不得利用采购人的有关知识产权为己牟利。</w:t>
            </w:r>
          </w:p>
        </w:tc>
      </w:tr>
      <w:tr w14:paraId="60A0A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871" w:type="dxa"/>
            <w:tcBorders>
              <w:tl2br w:val="nil"/>
              <w:tr2bl w:val="nil"/>
            </w:tcBorders>
            <w:vAlign w:val="center"/>
          </w:tcPr>
          <w:p w14:paraId="05837BD3">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521" w:type="dxa"/>
            <w:tcBorders>
              <w:tl2br w:val="nil"/>
              <w:tr2bl w:val="nil"/>
            </w:tcBorders>
            <w:vAlign w:val="center"/>
          </w:tcPr>
          <w:p w14:paraId="2031FD75">
            <w:pPr>
              <w:spacing w:line="400" w:lineRule="exact"/>
              <w:contextualSpacing/>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知识产权要求</w:t>
            </w:r>
          </w:p>
        </w:tc>
        <w:tc>
          <w:tcPr>
            <w:tcW w:w="7349" w:type="dxa"/>
            <w:tcBorders>
              <w:tl2br w:val="nil"/>
              <w:tr2bl w:val="nil"/>
            </w:tcBorders>
            <w:vAlign w:val="center"/>
          </w:tcPr>
          <w:p w14:paraId="38D546FF">
            <w:pPr>
              <w:adjustRightInd w:val="0"/>
              <w:snapToGrid w:val="0"/>
              <w:spacing w:line="30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（1）投标报价应包括所有应支付的对专利权和版权或其他知识产权而需要向其他方支付的款项。</w:t>
            </w:r>
          </w:p>
          <w:p w14:paraId="69118824">
            <w:pPr>
              <w:adjustRightInd w:val="0"/>
              <w:snapToGrid w:val="0"/>
              <w:spacing w:line="30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（2）中标人应保证向采购人提供的服务（或货物）时免受第三方提出侵犯其专利权或其他知识产权；如中标人涉及侵权的，采购人有权解除合同，由此产生的责任及赔偿均由中标人自行承担。</w:t>
            </w:r>
          </w:p>
        </w:tc>
      </w:tr>
      <w:tr w14:paraId="65418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871" w:type="dxa"/>
            <w:tcBorders>
              <w:tl2br w:val="nil"/>
              <w:tr2bl w:val="nil"/>
            </w:tcBorders>
            <w:vAlign w:val="center"/>
          </w:tcPr>
          <w:p w14:paraId="0F724890">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521" w:type="dxa"/>
            <w:tcBorders>
              <w:tl2br w:val="nil"/>
              <w:tr2bl w:val="nil"/>
            </w:tcBorders>
            <w:vAlign w:val="center"/>
          </w:tcPr>
          <w:p w14:paraId="2E566E24">
            <w:pPr>
              <w:spacing w:line="400" w:lineRule="exact"/>
              <w:contextualSpacing/>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合同终止</w:t>
            </w:r>
          </w:p>
        </w:tc>
        <w:tc>
          <w:tcPr>
            <w:tcW w:w="7349" w:type="dxa"/>
            <w:tcBorders>
              <w:tl2br w:val="nil"/>
              <w:tr2bl w:val="nil"/>
            </w:tcBorders>
            <w:vAlign w:val="center"/>
          </w:tcPr>
          <w:p w14:paraId="44CC2CE6">
            <w:pPr>
              <w:adjustRightInd w:val="0"/>
              <w:snapToGrid w:val="0"/>
              <w:spacing w:line="30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（1）中标人在合同有效期内，不得以任何理由终止合同，确有特殊情况的，须提前两个月向采购人提出书面申请，经采购人同意后，方可终止合同，同时酌情扣除履约保证金。</w:t>
            </w:r>
          </w:p>
          <w:p w14:paraId="67E35AE1">
            <w:pPr>
              <w:adjustRightInd w:val="0"/>
              <w:snapToGrid w:val="0"/>
              <w:spacing w:line="30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（2）服务期间如出现下列情形之一的，一经发现采购人有权单方解除合同，并由中标人承担由此造成的一切损失及赔偿。</w:t>
            </w:r>
          </w:p>
          <w:p w14:paraId="18225616">
            <w:pPr>
              <w:adjustRightInd w:val="0"/>
              <w:snapToGrid w:val="0"/>
              <w:spacing w:line="30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1）投标文件中实质性条款未按投标承诺内容执行或不服从采购人要求。</w:t>
            </w:r>
          </w:p>
          <w:p w14:paraId="784D567E">
            <w:pPr>
              <w:adjustRightInd w:val="0"/>
              <w:snapToGrid w:val="0"/>
              <w:spacing w:line="30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2）未经审核展出（或策划内容）出现重大违规、违法行为或其他造成恶劣影响。</w:t>
            </w:r>
          </w:p>
          <w:p w14:paraId="49FC0B12">
            <w:pPr>
              <w:adjustRightInd w:val="0"/>
              <w:snapToGrid w:val="0"/>
              <w:spacing w:line="30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3）项目期间出现重大事故或造成严重社会负面影响。</w:t>
            </w:r>
          </w:p>
        </w:tc>
      </w:tr>
      <w:tr w14:paraId="51BA3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71" w:type="dxa"/>
            <w:tcBorders>
              <w:tl2br w:val="nil"/>
              <w:tr2bl w:val="nil"/>
            </w:tcBorders>
            <w:vAlign w:val="center"/>
          </w:tcPr>
          <w:p w14:paraId="1F2DD2AC">
            <w:pPr>
              <w:spacing w:line="40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521" w:type="dxa"/>
            <w:tcBorders>
              <w:tl2br w:val="nil"/>
              <w:tr2bl w:val="nil"/>
            </w:tcBorders>
            <w:vAlign w:val="center"/>
          </w:tcPr>
          <w:p w14:paraId="3BF7C2E9">
            <w:pPr>
              <w:spacing w:line="400" w:lineRule="exact"/>
              <w:contextualSpacing/>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其他要求</w:t>
            </w:r>
          </w:p>
        </w:tc>
        <w:tc>
          <w:tcPr>
            <w:tcW w:w="7349" w:type="dxa"/>
            <w:tcBorders>
              <w:tl2br w:val="nil"/>
              <w:tr2bl w:val="nil"/>
            </w:tcBorders>
            <w:vAlign w:val="center"/>
          </w:tcPr>
          <w:p w14:paraId="2AFD47DA">
            <w:pPr>
              <w:snapToGrid w:val="0"/>
              <w:spacing w:line="300" w:lineRule="auto"/>
              <w:contextualSpacing/>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如果投标人提供的功能模块与投标文件、相关澄清文件、合同等要约中承诺内容不一致，经采购人确认，必须接受无条件退货并赔偿合同金额100%的赔款。</w:t>
            </w:r>
          </w:p>
        </w:tc>
      </w:tr>
    </w:tbl>
    <w:p w14:paraId="70B1DC90">
      <w:pPr>
        <w:rPr>
          <w:rFonts w:hint="eastAsia" w:ascii="宋体" w:hAnsi="宋体"/>
          <w:color w:val="000000" w:themeColor="text1"/>
          <w14:textFill>
            <w14:solidFill>
              <w14:schemeClr w14:val="tx1"/>
            </w14:solidFill>
          </w14:textFill>
        </w:rPr>
      </w:pPr>
    </w:p>
    <w:p w14:paraId="72677D5D">
      <w:pPr>
        <w:spacing w:line="360" w:lineRule="auto"/>
        <w:rPr>
          <w:rFonts w:hint="eastAsia" w:ascii="宋体" w:hAnsi="宋体"/>
          <w:b/>
          <w:color w:val="000000" w:themeColor="text1"/>
          <w:szCs w:val="28"/>
          <w14:textFill>
            <w14:solidFill>
              <w14:schemeClr w14:val="tx1"/>
            </w14:solidFill>
          </w14:textFill>
        </w:rPr>
      </w:pPr>
    </w:p>
    <w:bookmarkEnd w:id="18"/>
    <w:p w14:paraId="07415F23">
      <w:pPr>
        <w:spacing w:line="400" w:lineRule="exact"/>
        <w:rPr>
          <w:rFonts w:hint="eastAsia" w:ascii="宋体" w:hAnsi="宋体"/>
          <w:b/>
          <w:color w:val="000000" w:themeColor="text1"/>
          <w:szCs w:val="21"/>
          <w14:textFill>
            <w14:solidFill>
              <w14:schemeClr w14:val="tx1"/>
            </w14:solidFill>
          </w14:textFill>
        </w:rPr>
      </w:pPr>
      <w:bookmarkStart w:id="25" w:name="_Toc460857895"/>
      <w:bookmarkStart w:id="26" w:name="_Toc460416594"/>
    </w:p>
    <w:p w14:paraId="71EB690D">
      <w:pPr>
        <w:widowControl/>
        <w:jc w:val="left"/>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p>
    <w:p w14:paraId="29F8B652">
      <w:pPr>
        <w:pStyle w:val="2"/>
        <w:jc w:val="center"/>
        <w:rPr>
          <w:rFonts w:hint="eastAsia" w:ascii="宋体" w:hAnsi="宋体"/>
          <w:color w:val="000000" w:themeColor="text1"/>
          <w:sz w:val="30"/>
          <w:szCs w:val="30"/>
          <w14:textFill>
            <w14:solidFill>
              <w14:schemeClr w14:val="tx1"/>
            </w14:solidFill>
          </w14:textFill>
        </w:rPr>
        <w:sectPr>
          <w:footerReference r:id="rId6" w:type="default"/>
          <w:pgSz w:w="11907" w:h="16840"/>
          <w:pgMar w:top="1361" w:right="1474" w:bottom="1242" w:left="1474" w:header="720" w:footer="720" w:gutter="0"/>
          <w:pgNumType w:fmt="numberInDash"/>
          <w:cols w:space="720" w:num="1"/>
          <w:docGrid w:linePitch="285" w:charSpace="0"/>
        </w:sectPr>
      </w:pPr>
    </w:p>
    <w:p w14:paraId="3938BB0F">
      <w:pPr>
        <w:pStyle w:val="2"/>
        <w:spacing w:after="0" w:line="360" w:lineRule="auto"/>
        <w:jc w:val="center"/>
        <w:rPr>
          <w:rFonts w:hint="eastAsia" w:ascii="宋体" w:hAnsi="宋体"/>
          <w:color w:val="000000" w:themeColor="text1"/>
          <w:sz w:val="30"/>
          <w:szCs w:val="30"/>
          <w14:textFill>
            <w14:solidFill>
              <w14:schemeClr w14:val="tx1"/>
            </w14:solidFill>
          </w14:textFill>
        </w:rPr>
      </w:pPr>
      <w:bookmarkStart w:id="27" w:name="_Toc15668"/>
      <w:r>
        <w:rPr>
          <w:rFonts w:hint="eastAsia" w:ascii="宋体" w:hAnsi="宋体"/>
          <w:color w:val="000000" w:themeColor="text1"/>
          <w:sz w:val="30"/>
          <w:szCs w:val="30"/>
          <w14:textFill>
            <w14:solidFill>
              <w14:schemeClr w14:val="tx1"/>
            </w14:solidFill>
          </w14:textFill>
        </w:rPr>
        <w:t>第三章  投标人须知</w:t>
      </w:r>
      <w:bookmarkEnd w:id="25"/>
      <w:bookmarkEnd w:id="26"/>
      <w:bookmarkEnd w:id="27"/>
    </w:p>
    <w:p w14:paraId="506D0CC9">
      <w:pPr>
        <w:pStyle w:val="2"/>
        <w:spacing w:before="0" w:after="0" w:line="360" w:lineRule="auto"/>
        <w:jc w:val="center"/>
        <w:rPr>
          <w:rFonts w:hint="eastAsia" w:ascii="宋体" w:hAnsi="宋体"/>
          <w:color w:val="000000" w:themeColor="text1"/>
          <w:sz w:val="24"/>
          <w:szCs w:val="24"/>
          <w14:textFill>
            <w14:solidFill>
              <w14:schemeClr w14:val="tx1"/>
            </w14:solidFill>
          </w14:textFill>
        </w:rPr>
      </w:pPr>
      <w:bookmarkStart w:id="28" w:name="_Toc460857896"/>
      <w:bookmarkStart w:id="29" w:name="_Toc460416644"/>
      <w:bookmarkStart w:id="30" w:name="_Toc460416339"/>
      <w:bookmarkStart w:id="31" w:name="_Toc460416595"/>
      <w:bookmarkStart w:id="32" w:name="_Toc5496"/>
      <w:r>
        <w:rPr>
          <w:rFonts w:hint="eastAsia" w:ascii="宋体" w:hAnsi="宋体"/>
          <w:color w:val="000000" w:themeColor="text1"/>
          <w:sz w:val="24"/>
          <w:szCs w:val="24"/>
          <w14:textFill>
            <w14:solidFill>
              <w14:schemeClr w14:val="tx1"/>
            </w14:solidFill>
          </w14:textFill>
        </w:rPr>
        <w:t>前附表</w:t>
      </w:r>
      <w:bookmarkEnd w:id="28"/>
      <w:bookmarkEnd w:id="29"/>
      <w:bookmarkEnd w:id="30"/>
      <w:bookmarkEnd w:id="31"/>
      <w:bookmarkEnd w:id="32"/>
    </w:p>
    <w:tbl>
      <w:tblPr>
        <w:tblStyle w:val="42"/>
        <w:tblW w:w="89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22"/>
      </w:tblGrid>
      <w:tr w14:paraId="29A90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vAlign w:val="center"/>
          </w:tcPr>
          <w:p w14:paraId="029048CD">
            <w:pPr>
              <w:snapToGrid w:val="0"/>
              <w:jc w:val="center"/>
              <w:rPr>
                <w:rFonts w:hint="eastAsia" w:ascii="宋体" w:hAnsi="宋体" w:cs="宋体"/>
                <w:b/>
                <w:color w:val="000000" w:themeColor="text1"/>
                <w:szCs w:val="21"/>
                <w14:textFill>
                  <w14:solidFill>
                    <w14:schemeClr w14:val="tx1"/>
                  </w14:solidFill>
                </w14:textFill>
              </w:rPr>
            </w:pPr>
            <w:bookmarkStart w:id="33" w:name="_Toc460857897"/>
            <w:r>
              <w:rPr>
                <w:rFonts w:hint="eastAsia" w:ascii="宋体" w:hAnsi="宋体" w:cs="宋体"/>
                <w:b/>
                <w:color w:val="000000" w:themeColor="text1"/>
                <w:szCs w:val="21"/>
                <w14:textFill>
                  <w14:solidFill>
                    <w14:schemeClr w14:val="tx1"/>
                  </w14:solidFill>
                </w14:textFill>
              </w:rPr>
              <w:t>序号</w:t>
            </w:r>
          </w:p>
        </w:tc>
        <w:tc>
          <w:tcPr>
            <w:tcW w:w="8222" w:type="dxa"/>
            <w:vAlign w:val="center"/>
          </w:tcPr>
          <w:p w14:paraId="7445826A">
            <w:pPr>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内容、要求</w:t>
            </w:r>
          </w:p>
        </w:tc>
      </w:tr>
      <w:tr w14:paraId="693B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3A06A54">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222" w:type="dxa"/>
            <w:vAlign w:val="center"/>
          </w:tcPr>
          <w:p w14:paraId="4C1C0011">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项目名称：北京航空航天大学宁波创新研究院数字化协同运营平台三期采购项目</w:t>
            </w:r>
          </w:p>
        </w:tc>
      </w:tr>
      <w:tr w14:paraId="20B9C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9" w:type="dxa"/>
            <w:vAlign w:val="center"/>
          </w:tcPr>
          <w:p w14:paraId="26EDB751">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222" w:type="dxa"/>
            <w:vAlign w:val="center"/>
          </w:tcPr>
          <w:p w14:paraId="089E647D">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使用中心：</w:t>
            </w:r>
            <w:r>
              <w:rPr>
                <w:rFonts w:hint="eastAsia" w:ascii="宋体" w:hAnsi="宋体" w:cs="宋体"/>
                <w:bCs/>
                <w:color w:val="000000" w:themeColor="text1"/>
                <w:szCs w:val="21"/>
                <w14:textFill>
                  <w14:solidFill>
                    <w14:schemeClr w14:val="tx1"/>
                  </w14:solidFill>
                </w14:textFill>
              </w:rPr>
              <w:t>网络信息中心</w:t>
            </w:r>
          </w:p>
          <w:p w14:paraId="3F81BC84">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项目负责人：吴舸吉</w:t>
            </w:r>
          </w:p>
          <w:p w14:paraId="6F29FB20">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项目主要成员：车佳裕</w:t>
            </w:r>
          </w:p>
          <w:p w14:paraId="3893FF66">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经办人：徐嘉晖</w:t>
            </w:r>
          </w:p>
        </w:tc>
      </w:tr>
      <w:tr w14:paraId="13E2B3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11263CA9">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222" w:type="dxa"/>
            <w:vAlign w:val="center"/>
          </w:tcPr>
          <w:p w14:paraId="02F1DE1D">
            <w:pPr>
              <w:snapToGrid w:val="0"/>
              <w:spacing w:line="30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w:t>
            </w:r>
            <w:r>
              <w:rPr>
                <w:rFonts w:hint="eastAsia" w:ascii="宋体" w:hAnsi="宋体" w:cs="宋体"/>
                <w:color w:val="000000" w:themeColor="text1"/>
                <w:szCs w:val="21"/>
                <w:u w:val="single"/>
                <w14:textFill>
                  <w14:solidFill>
                    <w14:schemeClr w14:val="tx1"/>
                  </w14:solidFill>
                </w14:textFill>
              </w:rPr>
              <w:t>数字化协同运营平台三期</w:t>
            </w:r>
            <w:r>
              <w:rPr>
                <w:rFonts w:hint="eastAsia" w:ascii="宋体" w:hAnsi="宋体" w:cs="宋体"/>
                <w:color w:val="000000" w:themeColor="text1"/>
                <w:szCs w:val="21"/>
                <w14:textFill>
                  <w14:solidFill>
                    <w14:schemeClr w14:val="tx1"/>
                  </w14:solidFill>
                </w14:textFill>
              </w:rPr>
              <w:t xml:space="preserve">   数量：</w:t>
            </w:r>
            <w:r>
              <w:rPr>
                <w:rFonts w:hint="eastAsia" w:ascii="宋体" w:hAnsi="宋体" w:cs="宋体"/>
                <w:color w:val="000000" w:themeColor="text1"/>
                <w:szCs w:val="21"/>
                <w:u w:val="single"/>
                <w14:textFill>
                  <w14:solidFill>
                    <w14:schemeClr w14:val="tx1"/>
                  </w14:solidFill>
                </w14:textFill>
              </w:rPr>
              <w:t>1项</w:t>
            </w:r>
          </w:p>
        </w:tc>
      </w:tr>
      <w:tr w14:paraId="6E1EB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7B04CC90">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8222" w:type="dxa"/>
            <w:vAlign w:val="center"/>
          </w:tcPr>
          <w:p w14:paraId="0228A761">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w:t>
            </w:r>
          </w:p>
          <w:p w14:paraId="6CA9D97A">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1、投标报价：详见第二章招标需求中商务要求条款。</w:t>
            </w:r>
          </w:p>
          <w:p w14:paraId="4B0901BA">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2、不论投标结果如何，投标人均应自行承担所有与投标有关的全部费用。</w:t>
            </w:r>
          </w:p>
          <w:p w14:paraId="33941669">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3、招标代理服务费的收取标准：</w:t>
            </w:r>
          </w:p>
          <w:p w14:paraId="532C8BD1">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（1）本招标公司参照国家发改委发改办价格[2003]857号通知和国家计委计价格[2002]1980号文件的规定的服务招标费率标准，按照中标通知书确定的中标总金额向中标人收取招标服务费</w:t>
            </w:r>
            <w:r>
              <w:rPr>
                <w:rFonts w:hint="eastAsia" w:ascii="宋体" w:hAnsi="宋体" w:cs="宋体"/>
                <w:color w:val="000000" w:themeColor="text1"/>
                <w14:textFill>
                  <w14:solidFill>
                    <w14:schemeClr w14:val="tx1"/>
                  </w14:solidFill>
                </w14:textFill>
              </w:rPr>
              <w:t>（按下浮30%收取，</w:t>
            </w:r>
            <w:r>
              <w:rPr>
                <w:rFonts w:hint="eastAsia" w:ascii="宋体" w:hAnsi="宋体" w:cs="宋体"/>
                <w:color w:val="000000" w:themeColor="text1"/>
                <w:szCs w:val="21"/>
                <w14:textFill>
                  <w14:solidFill>
                    <w14:schemeClr w14:val="tx1"/>
                  </w14:solidFill>
                </w14:textFill>
              </w:rPr>
              <w:t>最低收费4000元/标项</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6EFCAA50">
            <w:pPr>
              <w:spacing w:line="276"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（2）中标人在领取中标通知书时即向本招标代理机构电汇方式支付服务费。</w:t>
            </w:r>
          </w:p>
        </w:tc>
      </w:tr>
      <w:tr w14:paraId="580E6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ADED96C">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8222" w:type="dxa"/>
            <w:vAlign w:val="center"/>
          </w:tcPr>
          <w:p w14:paraId="4247D049">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投标保证金：本项目无须缴纳投标保证金</w:t>
            </w:r>
          </w:p>
        </w:tc>
      </w:tr>
      <w:tr w14:paraId="779F7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BC6D4E9">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8222" w:type="dxa"/>
            <w:vAlign w:val="center"/>
          </w:tcPr>
          <w:p w14:paraId="55E2C4A9">
            <w:pPr>
              <w:contextualSpacing/>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现场踏勘：</w:t>
            </w:r>
            <w:r>
              <w:rPr>
                <w:rFonts w:hint="eastAsia" w:ascii="宋体" w:hAnsi="宋体" w:cs="宋体"/>
                <w:color w:val="000000" w:themeColor="text1"/>
                <w:szCs w:val="21"/>
                <w14:textFill>
                  <w14:solidFill>
                    <w14:schemeClr w14:val="tx1"/>
                  </w14:solidFill>
                </w14:textFill>
              </w:rPr>
              <w:t>请投标人自行</w:t>
            </w:r>
            <w:r>
              <w:rPr>
                <w:rFonts w:hint="eastAsia" w:ascii="宋体" w:hAnsi="宋体" w:cs="宋体"/>
                <w:color w:val="000000" w:themeColor="text1"/>
                <w14:textFill>
                  <w14:solidFill>
                    <w14:schemeClr w14:val="tx1"/>
                  </w14:solidFill>
                </w14:textFill>
              </w:rPr>
              <w:t>踏勘现场</w:t>
            </w:r>
            <w:r>
              <w:rPr>
                <w:rFonts w:hint="eastAsia" w:ascii="宋体" w:hAnsi="宋体" w:cs="宋体"/>
                <w:color w:val="000000" w:themeColor="text1"/>
                <w:szCs w:val="21"/>
                <w14:textFill>
                  <w14:solidFill>
                    <w14:schemeClr w14:val="tx1"/>
                  </w14:solidFill>
                </w14:textFill>
              </w:rPr>
              <w:t>。</w:t>
            </w:r>
          </w:p>
        </w:tc>
      </w:tr>
      <w:tr w14:paraId="1C001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14:paraId="3B6469CF">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8222" w:type="dxa"/>
            <w:vAlign w:val="center"/>
          </w:tcPr>
          <w:p w14:paraId="163C0BD5">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投标文件组成与份数：</w:t>
            </w:r>
          </w:p>
          <w:p w14:paraId="189EB7DC">
            <w:pPr>
              <w:snapToGrid w:val="0"/>
              <w:spacing w:line="30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上传到政府采购云平台的电子加密投标文件（”资格文件”、“商务和技术文件”、“报价文件”）1份；</w:t>
            </w:r>
          </w:p>
        </w:tc>
      </w:tr>
      <w:tr w14:paraId="2C97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vAlign w:val="center"/>
          </w:tcPr>
          <w:p w14:paraId="4BBFB4E2">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8222" w:type="dxa"/>
            <w:vAlign w:val="center"/>
          </w:tcPr>
          <w:p w14:paraId="148B1F3E">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投标文件递交时间：2024年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08</w:t>
            </w:r>
            <w:r>
              <w:rPr>
                <w:rFonts w:hint="eastAsia" w:ascii="宋体" w:hAnsi="宋体" w:cs="宋体"/>
                <w:color w:val="000000" w:themeColor="text1"/>
                <w:szCs w:val="21"/>
                <w14:textFill>
                  <w14:solidFill>
                    <w14:schemeClr w14:val="tx1"/>
                  </w14:solidFill>
                </w14:textFill>
              </w:rPr>
              <w:t>日13:</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0（北京时间）</w:t>
            </w:r>
          </w:p>
          <w:p w14:paraId="383A3888">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投标截止时间及地点：详见第一章 采购公告。</w:t>
            </w:r>
          </w:p>
        </w:tc>
      </w:tr>
      <w:tr w14:paraId="2B0B4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F79D83A">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8222" w:type="dxa"/>
            <w:vAlign w:val="center"/>
          </w:tcPr>
          <w:p w14:paraId="106919B1">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开标时间及地点：详见第一章 采购公告。</w:t>
            </w:r>
          </w:p>
        </w:tc>
      </w:tr>
      <w:tr w14:paraId="4EDB2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BE29993">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8222" w:type="dxa"/>
            <w:vAlign w:val="center"/>
          </w:tcPr>
          <w:p w14:paraId="6F2A8FCA">
            <w:pPr>
              <w:autoSpaceDE w:val="0"/>
              <w:autoSpaceDN w:val="0"/>
              <w:spacing w:line="276"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评标办法及评分标准：详见第四章  评标办法及评分标准。</w:t>
            </w:r>
          </w:p>
        </w:tc>
      </w:tr>
      <w:tr w14:paraId="70D71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vAlign w:val="center"/>
          </w:tcPr>
          <w:p w14:paraId="49843658">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8222" w:type="dxa"/>
            <w:vAlign w:val="center"/>
          </w:tcPr>
          <w:p w14:paraId="7025AFD3">
            <w:pPr>
              <w:spacing w:line="276" w:lineRule="auto"/>
              <w:contextualSpacing/>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中标结果公示：评标结束后，经采购人确认后，中标结果公示于</w:t>
            </w:r>
            <w:r>
              <w:rPr>
                <w:rFonts w:hint="eastAsia" w:ascii="宋体" w:hAnsi="宋体" w:cs="宋体"/>
                <w:color w:val="000000" w:themeColor="text1"/>
                <w:szCs w:val="21"/>
                <w14:textFill>
                  <w14:solidFill>
                    <w14:schemeClr w14:val="tx1"/>
                  </w14:solidFill>
                </w14:textFill>
              </w:rPr>
              <w:t>浙江省政府采购网、宁波市政府采购网、宁波市公共资源交易电子服务系统（甬易阳光）、</w:t>
            </w:r>
            <w:r>
              <w:rPr>
                <w:rFonts w:hint="eastAsia" w:ascii="宋体" w:hAnsi="宋体" w:cs="宋体"/>
                <w:color w:val="000000" w:themeColor="text1"/>
                <w14:textFill>
                  <w14:solidFill>
                    <w14:schemeClr w14:val="tx1"/>
                  </w14:solidFill>
                </w14:textFill>
              </w:rPr>
              <w:t>宁波中基国际招标有限公司</w:t>
            </w:r>
            <w:r>
              <w:rPr>
                <w:rFonts w:hint="eastAsia" w:ascii="宋体" w:hAnsi="宋体" w:cs="宋体"/>
                <w:color w:val="000000" w:themeColor="text1"/>
                <w:szCs w:val="21"/>
                <w14:textFill>
                  <w14:solidFill>
                    <w14:schemeClr w14:val="tx1"/>
                  </w14:solidFill>
                </w14:textFill>
              </w:rPr>
              <w:t>网站</w:t>
            </w:r>
            <w:r>
              <w:rPr>
                <w:rFonts w:hint="eastAsia" w:ascii="宋体" w:hAnsi="宋体" w:cs="宋体"/>
                <w:color w:val="000000" w:themeColor="text1"/>
                <w14:textFill>
                  <w14:solidFill>
                    <w14:schemeClr w14:val="tx1"/>
                  </w14:solidFill>
                </w14:textFill>
              </w:rPr>
              <w:t>。</w:t>
            </w:r>
          </w:p>
        </w:tc>
      </w:tr>
      <w:tr w14:paraId="29770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9" w:type="dxa"/>
            <w:vAlign w:val="center"/>
          </w:tcPr>
          <w:p w14:paraId="062863C8">
            <w:pPr>
              <w:snapToGrid w:val="0"/>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8222" w:type="dxa"/>
            <w:vAlign w:val="center"/>
          </w:tcPr>
          <w:p w14:paraId="5688A049">
            <w:pPr>
              <w:autoSpaceDE w:val="0"/>
              <w:autoSpaceDN w:val="0"/>
              <w:spacing w:line="276"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签订合同时间：中标通知书发出后30日内。</w:t>
            </w:r>
          </w:p>
          <w:p w14:paraId="5279E5F0">
            <w:pPr>
              <w:autoSpaceDE w:val="0"/>
              <w:autoSpaceDN w:val="0"/>
              <w:spacing w:line="276"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14:paraId="15960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5FD138F">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8222" w:type="dxa"/>
            <w:vAlign w:val="center"/>
          </w:tcPr>
          <w:p w14:paraId="68E4336E">
            <w:pPr>
              <w:autoSpaceDE w:val="0"/>
              <w:autoSpaceDN w:val="0"/>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采购资金来源：预算资金。</w:t>
            </w:r>
          </w:p>
        </w:tc>
      </w:tr>
      <w:tr w14:paraId="5AA5F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74C10B3">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8222" w:type="dxa"/>
            <w:vAlign w:val="center"/>
          </w:tcPr>
          <w:p w14:paraId="7C29621D">
            <w:pPr>
              <w:autoSpaceDE w:val="0"/>
              <w:autoSpaceDN w:val="0"/>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投标文件有效期：90天。</w:t>
            </w:r>
          </w:p>
        </w:tc>
      </w:tr>
      <w:tr w14:paraId="3A2AA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B07D24A">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8222" w:type="dxa"/>
            <w:vAlign w:val="center"/>
          </w:tcPr>
          <w:p w14:paraId="661B236B">
            <w:pPr>
              <w:autoSpaceDE w:val="0"/>
              <w:autoSpaceDN w:val="0"/>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解释：本采购文件的解释权属于招标采购人。</w:t>
            </w:r>
          </w:p>
        </w:tc>
      </w:tr>
    </w:tbl>
    <w:p w14:paraId="07628ABD">
      <w:pPr>
        <w:pStyle w:val="2"/>
        <w:spacing w:before="0" w:after="0" w:line="360" w:lineRule="auto"/>
        <w:rPr>
          <w:rFonts w:hint="eastAsia" w:ascii="宋体" w:hAnsi="宋体"/>
          <w:color w:val="000000" w:themeColor="text1"/>
          <w:sz w:val="21"/>
          <w:szCs w:val="21"/>
          <w14:textFill>
            <w14:solidFill>
              <w14:schemeClr w14:val="tx1"/>
            </w14:solidFill>
          </w14:textFill>
        </w:rPr>
        <w:sectPr>
          <w:pgSz w:w="11907" w:h="16840"/>
          <w:pgMar w:top="1361" w:right="1474" w:bottom="1242" w:left="1474" w:header="720" w:footer="720" w:gutter="0"/>
          <w:pgNumType w:fmt="numberInDash"/>
          <w:cols w:space="720" w:num="1"/>
          <w:docGrid w:linePitch="285" w:charSpace="0"/>
        </w:sectPr>
      </w:pPr>
    </w:p>
    <w:p w14:paraId="2B5B7A28">
      <w:pPr>
        <w:spacing w:line="360" w:lineRule="auto"/>
        <w:rPr>
          <w:rFonts w:hint="eastAsia" w:ascii="宋体" w:hAnsi="宋体"/>
          <w:b/>
          <w:color w:val="000000" w:themeColor="text1"/>
          <w14:textFill>
            <w14:solidFill>
              <w14:schemeClr w14:val="tx1"/>
            </w14:solidFill>
          </w14:textFill>
        </w:rPr>
      </w:pPr>
      <w:bookmarkStart w:id="34" w:name="_Toc17884814"/>
      <w:r>
        <w:rPr>
          <w:rFonts w:hint="eastAsia" w:ascii="宋体" w:hAnsi="宋体"/>
          <w:b/>
          <w:color w:val="000000" w:themeColor="text1"/>
          <w14:textFill>
            <w14:solidFill>
              <w14:schemeClr w14:val="tx1"/>
            </w14:solidFill>
          </w14:textFill>
        </w:rPr>
        <w:t>一、总则</w:t>
      </w:r>
      <w:bookmarkEnd w:id="33"/>
      <w:bookmarkEnd w:id="34"/>
    </w:p>
    <w:p w14:paraId="6F6A0AF9">
      <w:pPr>
        <w:spacing w:line="360" w:lineRule="auto"/>
        <w:rPr>
          <w:rFonts w:hint="eastAsia" w:ascii="宋体" w:hAnsi="宋体"/>
          <w:b/>
          <w:color w:val="000000" w:themeColor="text1"/>
          <w14:textFill>
            <w14:solidFill>
              <w14:schemeClr w14:val="tx1"/>
            </w14:solidFill>
          </w14:textFill>
        </w:rPr>
      </w:pPr>
      <w:bookmarkStart w:id="35" w:name="_Toc460416596"/>
      <w:bookmarkStart w:id="36" w:name="_Toc17884815"/>
      <w:bookmarkStart w:id="37" w:name="_Toc460416340"/>
      <w:bookmarkStart w:id="38" w:name="_Toc460416645"/>
      <w:bookmarkStart w:id="39" w:name="_Toc460857898"/>
      <w:r>
        <w:rPr>
          <w:rFonts w:hint="eastAsia" w:ascii="宋体" w:hAnsi="宋体"/>
          <w:b/>
          <w:color w:val="000000" w:themeColor="text1"/>
          <w14:textFill>
            <w14:solidFill>
              <w14:schemeClr w14:val="tx1"/>
            </w14:solidFill>
          </w14:textFill>
        </w:rPr>
        <w:t>（一）适用范围</w:t>
      </w:r>
      <w:bookmarkEnd w:id="35"/>
      <w:bookmarkEnd w:id="36"/>
      <w:bookmarkEnd w:id="37"/>
      <w:bookmarkEnd w:id="38"/>
      <w:bookmarkEnd w:id="39"/>
    </w:p>
    <w:p w14:paraId="5233E65F">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本采购文件适用于本采购项目的招标、投标、评标、定标、验收、合同履约、付款等行为（法律法规另有规定的，从其规定）。</w:t>
      </w:r>
    </w:p>
    <w:p w14:paraId="2C19A45A">
      <w:pPr>
        <w:spacing w:line="360" w:lineRule="auto"/>
        <w:rPr>
          <w:rFonts w:hint="eastAsia" w:ascii="宋体" w:hAnsi="宋体"/>
          <w:b/>
          <w:color w:val="000000" w:themeColor="text1"/>
          <w14:textFill>
            <w14:solidFill>
              <w14:schemeClr w14:val="tx1"/>
            </w14:solidFill>
          </w14:textFill>
        </w:rPr>
      </w:pPr>
      <w:bookmarkStart w:id="40" w:name="_Toc460416597"/>
      <w:bookmarkStart w:id="41" w:name="_Toc460857899"/>
      <w:bookmarkStart w:id="42" w:name="_Toc460416341"/>
      <w:bookmarkStart w:id="43" w:name="_Toc460416646"/>
      <w:bookmarkStart w:id="44" w:name="_Toc17884816"/>
      <w:r>
        <w:rPr>
          <w:rFonts w:hint="eastAsia" w:ascii="宋体" w:hAnsi="宋体"/>
          <w:b/>
          <w:color w:val="000000" w:themeColor="text1"/>
          <w14:textFill>
            <w14:solidFill>
              <w14:schemeClr w14:val="tx1"/>
            </w14:solidFill>
          </w14:textFill>
        </w:rPr>
        <w:t>（二）定义</w:t>
      </w:r>
      <w:bookmarkEnd w:id="40"/>
      <w:bookmarkEnd w:id="41"/>
      <w:bookmarkEnd w:id="42"/>
      <w:bookmarkEnd w:id="43"/>
      <w:bookmarkEnd w:id="44"/>
    </w:p>
    <w:p w14:paraId="6EC2E25D">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1、“采购人”系指</w:t>
      </w:r>
      <w:r>
        <w:rPr>
          <w:rFonts w:hint="eastAsia" w:ascii="宋体" w:hAnsi="宋体"/>
          <w:color w:val="000000" w:themeColor="text1"/>
          <w14:textFill>
            <w14:solidFill>
              <w14:schemeClr w14:val="tx1"/>
            </w14:solidFill>
          </w14:textFill>
        </w:rPr>
        <w:t>北京航空航天大学宁波创新研究院</w:t>
      </w:r>
      <w:r>
        <w:rPr>
          <w:rFonts w:hint="eastAsia" w:ascii="宋体" w:hAnsi="宋体"/>
          <w:color w:val="000000" w:themeColor="text1"/>
          <w:szCs w:val="21"/>
          <w14:textFill>
            <w14:solidFill>
              <w14:schemeClr w14:val="tx1"/>
            </w14:solidFill>
          </w14:textFill>
        </w:rPr>
        <w:t>（“招标人”）。</w:t>
      </w:r>
    </w:p>
    <w:p w14:paraId="4573098A">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2、“投标人”系指向采购人提交投标文件的单位或个人（“供应商”）。</w:t>
      </w:r>
    </w:p>
    <w:p w14:paraId="6941C16E">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3、“产品”系指供投标人按采购文件规定，须向采购人提供的一切设备、保险、税金、备品备件、工具、手册及其他有关技术资料和材料。</w:t>
      </w:r>
    </w:p>
    <w:p w14:paraId="1AA6920C">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4、“服务”系指采购文件规定投标人须承担的安装、调试、技术协助、校准、培训、技术指导以及其他类似的义务。</w:t>
      </w:r>
    </w:p>
    <w:p w14:paraId="033D9E38">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5、“项目”系指投标人按采购文件规定向采购人提供的产品和服务。</w:t>
      </w:r>
    </w:p>
    <w:p w14:paraId="6DEB853C">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6、“书面形式”包括信函、传真、电报等。</w:t>
      </w:r>
    </w:p>
    <w:p w14:paraId="7F634628">
      <w:pPr>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7、“*”系指实质性要求条款。</w:t>
      </w:r>
    </w:p>
    <w:p w14:paraId="1E876AF0">
      <w:pPr>
        <w:spacing w:line="360" w:lineRule="auto"/>
        <w:rPr>
          <w:rFonts w:hint="eastAsia" w:ascii="宋体" w:hAnsi="宋体"/>
          <w:b/>
          <w:color w:val="000000" w:themeColor="text1"/>
          <w14:textFill>
            <w14:solidFill>
              <w14:schemeClr w14:val="tx1"/>
            </w14:solidFill>
          </w14:textFill>
        </w:rPr>
      </w:pPr>
      <w:bookmarkStart w:id="45" w:name="_Toc460857900"/>
      <w:bookmarkStart w:id="46" w:name="_Toc460416598"/>
      <w:bookmarkStart w:id="47" w:name="_Toc460416647"/>
      <w:bookmarkStart w:id="48" w:name="_Toc17884817"/>
      <w:bookmarkStart w:id="49" w:name="_Toc460416342"/>
      <w:r>
        <w:rPr>
          <w:rFonts w:hint="eastAsia" w:ascii="宋体" w:hAnsi="宋体"/>
          <w:b/>
          <w:color w:val="000000" w:themeColor="text1"/>
          <w14:textFill>
            <w14:solidFill>
              <w14:schemeClr w14:val="tx1"/>
            </w14:solidFill>
          </w14:textFill>
        </w:rPr>
        <w:t>（三）招标方式</w:t>
      </w:r>
      <w:bookmarkEnd w:id="45"/>
      <w:bookmarkEnd w:id="46"/>
      <w:bookmarkEnd w:id="47"/>
      <w:bookmarkEnd w:id="48"/>
      <w:bookmarkEnd w:id="49"/>
    </w:p>
    <w:p w14:paraId="4C1E3D26">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本次招标采用公开招标方式进行。</w:t>
      </w:r>
    </w:p>
    <w:p w14:paraId="3F1CAAFA">
      <w:pPr>
        <w:spacing w:line="360" w:lineRule="auto"/>
        <w:rPr>
          <w:rFonts w:hint="eastAsia" w:ascii="宋体" w:hAnsi="宋体"/>
          <w:b/>
          <w:color w:val="000000" w:themeColor="text1"/>
          <w14:textFill>
            <w14:solidFill>
              <w14:schemeClr w14:val="tx1"/>
            </w14:solidFill>
          </w14:textFill>
        </w:rPr>
      </w:pPr>
      <w:bookmarkStart w:id="50" w:name="_Toc460416648"/>
      <w:bookmarkStart w:id="51" w:name="_Toc460857901"/>
      <w:bookmarkStart w:id="52" w:name="_Toc460416343"/>
      <w:bookmarkStart w:id="53" w:name="_Toc460416599"/>
      <w:bookmarkStart w:id="54" w:name="_Toc17884818"/>
      <w:r>
        <w:rPr>
          <w:rFonts w:hint="eastAsia" w:ascii="宋体" w:hAnsi="宋体"/>
          <w:b/>
          <w:color w:val="000000" w:themeColor="text1"/>
          <w14:textFill>
            <w14:solidFill>
              <w14:schemeClr w14:val="tx1"/>
            </w14:solidFill>
          </w14:textFill>
        </w:rPr>
        <w:t>（四）投标委托</w:t>
      </w:r>
      <w:bookmarkEnd w:id="50"/>
      <w:bookmarkEnd w:id="51"/>
      <w:bookmarkEnd w:id="52"/>
      <w:bookmarkEnd w:id="53"/>
      <w:bookmarkEnd w:id="54"/>
    </w:p>
    <w:p w14:paraId="49D8204C">
      <w:pPr>
        <w:snapToGrid w:val="0"/>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投标人代</w:t>
      </w:r>
      <w:r>
        <w:rPr>
          <w:rFonts w:hint="eastAsia" w:ascii="宋体" w:hAnsi="宋体"/>
          <w:color w:val="000000" w:themeColor="text1"/>
          <w:szCs w:val="21"/>
          <w14:textFill>
            <w14:solidFill>
              <w14:schemeClr w14:val="tx1"/>
            </w14:solidFill>
          </w14:textFill>
        </w:rPr>
        <w:t>表须</w:t>
      </w:r>
      <w:r>
        <w:rPr>
          <w:rFonts w:hint="eastAsia" w:hAnsi="宋体"/>
          <w:color w:val="000000" w:themeColor="text1"/>
          <w:szCs w:val="21"/>
          <w14:textFill>
            <w14:solidFill>
              <w14:schemeClr w14:val="tx1"/>
            </w14:solidFill>
          </w14:textFill>
        </w:rPr>
        <w:t>携带有效身份证件。如投标人代表不是法定代表人，须有法定代表人出具的授权委托书（正本用原件，副本可用复印件，格式见第六章）。</w:t>
      </w:r>
    </w:p>
    <w:p w14:paraId="035BD788">
      <w:pPr>
        <w:spacing w:line="360" w:lineRule="auto"/>
        <w:rPr>
          <w:rFonts w:hint="eastAsia" w:ascii="宋体" w:hAnsi="宋体"/>
          <w:b/>
          <w:color w:val="000000" w:themeColor="text1"/>
          <w14:textFill>
            <w14:solidFill>
              <w14:schemeClr w14:val="tx1"/>
            </w14:solidFill>
          </w14:textFill>
        </w:rPr>
      </w:pPr>
      <w:bookmarkStart w:id="55" w:name="_Toc17884819"/>
      <w:bookmarkStart w:id="56" w:name="_Toc460416600"/>
      <w:bookmarkStart w:id="57" w:name="_Toc460416649"/>
      <w:bookmarkStart w:id="58" w:name="_Toc460857902"/>
      <w:bookmarkStart w:id="59" w:name="_Toc460416344"/>
      <w:r>
        <w:rPr>
          <w:rFonts w:hint="eastAsia" w:ascii="宋体" w:hAnsi="宋体"/>
          <w:b/>
          <w:color w:val="000000" w:themeColor="text1"/>
          <w14:textFill>
            <w14:solidFill>
              <w14:schemeClr w14:val="tx1"/>
            </w14:solidFill>
          </w14:textFill>
        </w:rPr>
        <w:t>（五）投标费用</w:t>
      </w:r>
      <w:bookmarkEnd w:id="55"/>
      <w:bookmarkEnd w:id="56"/>
      <w:bookmarkEnd w:id="57"/>
      <w:bookmarkEnd w:id="58"/>
      <w:bookmarkEnd w:id="59"/>
    </w:p>
    <w:p w14:paraId="756840AA">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不论投标结果如何，投标人均应自行承担所有与投标有关的全部费用（采购文件有相反规定除外）。</w:t>
      </w:r>
    </w:p>
    <w:p w14:paraId="3B85A5CE">
      <w:pPr>
        <w:spacing w:line="360" w:lineRule="auto"/>
        <w:rPr>
          <w:rFonts w:hint="eastAsia" w:ascii="宋体" w:hAnsi="宋体"/>
          <w:b/>
          <w:color w:val="000000" w:themeColor="text1"/>
          <w14:textFill>
            <w14:solidFill>
              <w14:schemeClr w14:val="tx1"/>
            </w14:solidFill>
          </w14:textFill>
        </w:rPr>
      </w:pPr>
      <w:bookmarkStart w:id="60" w:name="_Toc17884820"/>
      <w:bookmarkStart w:id="61" w:name="_Toc460857903"/>
      <w:r>
        <w:rPr>
          <w:rFonts w:hint="eastAsia" w:ascii="宋体" w:hAnsi="宋体"/>
          <w:b/>
          <w:color w:val="000000" w:themeColor="text1"/>
          <w14:textFill>
            <w14:solidFill>
              <w14:schemeClr w14:val="tx1"/>
            </w14:solidFill>
          </w14:textFill>
        </w:rPr>
        <w:t>（六）联合体投标</w:t>
      </w:r>
      <w:bookmarkEnd w:id="60"/>
      <w:bookmarkEnd w:id="61"/>
    </w:p>
    <w:p w14:paraId="1136A6FB">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本项目接受联合体投标。</w:t>
      </w:r>
    </w:p>
    <w:p w14:paraId="78B0A82C">
      <w:pPr>
        <w:spacing w:line="360" w:lineRule="auto"/>
        <w:rPr>
          <w:rFonts w:hint="eastAsia" w:ascii="宋体" w:hAnsi="宋体"/>
          <w:b/>
          <w:color w:val="000000" w:themeColor="text1"/>
          <w14:textFill>
            <w14:solidFill>
              <w14:schemeClr w14:val="tx1"/>
            </w14:solidFill>
          </w14:textFill>
        </w:rPr>
      </w:pPr>
      <w:bookmarkStart w:id="62" w:name="_Toc460857904"/>
      <w:bookmarkStart w:id="63" w:name="_Toc17884821"/>
      <w:r>
        <w:rPr>
          <w:rFonts w:hint="eastAsia" w:ascii="宋体" w:hAnsi="宋体"/>
          <w:b/>
          <w:color w:val="000000" w:themeColor="text1"/>
          <w14:textFill>
            <w14:solidFill>
              <w14:schemeClr w14:val="tx1"/>
            </w14:solidFill>
          </w14:textFill>
        </w:rPr>
        <w:t>（七）转包与分包</w:t>
      </w:r>
      <w:bookmarkEnd w:id="62"/>
      <w:bookmarkEnd w:id="63"/>
    </w:p>
    <w:p w14:paraId="2C309AA5">
      <w:pPr>
        <w:snapToGrid w:val="0"/>
        <w:spacing w:line="360" w:lineRule="auto"/>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项目</w:t>
      </w:r>
      <w:r>
        <w:rPr>
          <w:rFonts w:hint="eastAsia" w:ascii="宋体" w:hAnsi="宋体"/>
          <w:color w:val="000000" w:themeColor="text1"/>
          <w:kern w:val="0"/>
          <w:szCs w:val="21"/>
          <w14:textFill>
            <w14:solidFill>
              <w14:schemeClr w14:val="tx1"/>
            </w14:solidFill>
          </w14:textFill>
        </w:rPr>
        <w:t>不允许转包。</w:t>
      </w:r>
    </w:p>
    <w:p w14:paraId="5FA96CC1">
      <w:pPr>
        <w:spacing w:line="360" w:lineRule="auto"/>
        <w:rPr>
          <w:rFonts w:hint="eastAsia" w:ascii="宋体" w:hAnsi="宋体"/>
          <w:b/>
          <w:color w:val="000000" w:themeColor="text1"/>
          <w14:textFill>
            <w14:solidFill>
              <w14:schemeClr w14:val="tx1"/>
            </w14:solidFill>
          </w14:textFill>
        </w:rPr>
      </w:pPr>
      <w:bookmarkStart w:id="64" w:name="_Toc460857905"/>
      <w:bookmarkStart w:id="65" w:name="_Toc460416601"/>
      <w:bookmarkStart w:id="66" w:name="_Toc460416650"/>
      <w:bookmarkStart w:id="67" w:name="_Toc460416345"/>
      <w:bookmarkStart w:id="68" w:name="_Toc17884822"/>
      <w:r>
        <w:rPr>
          <w:rFonts w:hint="eastAsia" w:ascii="宋体" w:hAnsi="宋体"/>
          <w:b/>
          <w:color w:val="000000" w:themeColor="text1"/>
          <w14:textFill>
            <w14:solidFill>
              <w14:schemeClr w14:val="tx1"/>
            </w14:solidFill>
          </w14:textFill>
        </w:rPr>
        <w:t>（八）特别说明</w:t>
      </w:r>
      <w:bookmarkEnd w:id="64"/>
      <w:bookmarkEnd w:id="65"/>
      <w:bookmarkEnd w:id="66"/>
      <w:bookmarkEnd w:id="67"/>
      <w:bookmarkEnd w:id="68"/>
    </w:p>
    <w:p w14:paraId="01BE0687">
      <w:pPr>
        <w:snapToGrid w:val="0"/>
        <w:spacing w:line="360" w:lineRule="auto"/>
        <w:ind w:firstLine="420" w:firstLineChars="200"/>
        <w:jc w:val="left"/>
        <w:rPr>
          <w:rFonts w:hint="eastAsia" w:ascii="宋体" w:hAnsi="宋体"/>
          <w:bCs/>
          <w:color w:val="000000" w:themeColor="text1"/>
          <w:szCs w:val="21"/>
          <w14:textFill>
            <w14:solidFill>
              <w14:schemeClr w14:val="tx1"/>
            </w14:solidFill>
          </w14:textFill>
        </w:rPr>
      </w:pPr>
      <w:bookmarkStart w:id="69" w:name="_Toc436330203"/>
      <w:bookmarkStart w:id="70" w:name="_Toc304292183"/>
      <w:bookmarkStart w:id="71" w:name="_Toc317685566"/>
      <w:bookmarkStart w:id="72" w:name="_Toc460857906"/>
      <w:bookmarkStart w:id="73" w:name="_Toc17884823"/>
      <w:bookmarkStart w:id="74" w:name="_Toc460416346"/>
      <w:bookmarkStart w:id="75" w:name="_Toc460416602"/>
      <w:bookmarkStart w:id="76" w:name="_Toc460416651"/>
      <w:r>
        <w:rPr>
          <w:rFonts w:hint="eastAsia" w:ascii="宋体" w:hAnsi="宋体"/>
          <w:bCs/>
          <w:color w:val="000000" w:themeColor="text1"/>
          <w:szCs w:val="21"/>
          <w14:textFill>
            <w14:solidFill>
              <w14:schemeClr w14:val="tx1"/>
            </w14:solidFill>
          </w14:textFill>
        </w:rPr>
        <w:t>1、采用最低评标价法的采购项目，提供相同品牌产品的不同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参加同一合同项下投标的，以其中</w:t>
      </w:r>
      <w:r>
        <w:rPr>
          <w:rFonts w:hint="eastAsia" w:ascii="宋体" w:hAnsi="宋体"/>
          <w:color w:val="000000" w:themeColor="text1"/>
          <w:szCs w:val="21"/>
          <w14:textFill>
            <w14:solidFill>
              <w14:schemeClr w14:val="tx1"/>
            </w14:solidFill>
          </w14:textFill>
        </w:rPr>
        <w:t>通过</w:t>
      </w:r>
      <w:r>
        <w:rPr>
          <w:rFonts w:hint="eastAsia" w:ascii="宋体" w:hAnsi="宋体"/>
          <w:bCs/>
          <w:color w:val="000000" w:themeColor="text1"/>
          <w:szCs w:val="21"/>
          <w14:textFill>
            <w14:solidFill>
              <w14:schemeClr w14:val="tx1"/>
            </w14:solidFill>
          </w14:textFill>
        </w:rPr>
        <w:t>资格审查、符合性审查且报价最低的参加评标；报价相同的，由采购人或者采购人委托评标委员会按照采购文件规定的方式确定一个参加评标的</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，采购文件未规定的采取随机抽取方式确定，其他投标无效。</w:t>
      </w:r>
    </w:p>
    <w:p w14:paraId="720D176C">
      <w:pPr>
        <w:widowControl/>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使用综合评分法的采购项目，提供相同品牌产品且通过资格审查、符合性审查的不同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参加同一合同项下投标的，按一家</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计算，评审后得分最高的同品牌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获得中标人推荐资格；评审得分相同的，由采购人或者采购人委托评标委员会按照采购文件规定的方式确定一个</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获得中标人推荐资格，采购文件未规定的采取随机抽取方式确定，其他同品牌</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不作为中标候选人。</w:t>
      </w:r>
    </w:p>
    <w:p w14:paraId="7B4874C8">
      <w:pPr>
        <w:widowControl/>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非单一产品采购项目，多家</w:t>
      </w:r>
      <w:r>
        <w:rPr>
          <w:rFonts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提供的核心产品品牌相同的，按前款处理。</w:t>
      </w:r>
    </w:p>
    <w:p w14:paraId="25B518D0">
      <w:pPr>
        <w:widowControl/>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应仔细阅读采购文件的所有内容，按照采购文件的要求提交投标文件，并对所提供的全部资料的真实性承担法律责任。</w:t>
      </w:r>
    </w:p>
    <w:p w14:paraId="2F85BCA7">
      <w:pPr>
        <w:pStyle w:val="24"/>
        <w:widowControl/>
        <w:spacing w:beforeLines="0" w:afterLines="0" w:line="360" w:lineRule="auto"/>
        <w:ind w:left="2" w:leftChars="1" w:firstLine="420" w:firstLineChars="200"/>
        <w:jc w:val="left"/>
        <w:rPr>
          <w:rFonts w:hint="eastAsia"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*3、</w:t>
      </w:r>
      <w:r>
        <w:rPr>
          <w:rFonts w:hAnsi="宋体"/>
          <w:bCs/>
          <w:color w:val="000000" w:themeColor="text1"/>
          <w:sz w:val="21"/>
          <w:szCs w:val="21"/>
          <w14:textFill>
            <w14:solidFill>
              <w14:schemeClr w14:val="tx1"/>
            </w14:solidFill>
          </w14:textFill>
        </w:rPr>
        <w:t>投标人</w:t>
      </w:r>
      <w:r>
        <w:rPr>
          <w:rFonts w:hint="eastAsia" w:hAnsi="宋体"/>
          <w:bCs/>
          <w:color w:val="000000" w:themeColor="text1"/>
          <w:sz w:val="21"/>
          <w:szCs w:val="21"/>
          <w14:textFill>
            <w14:solidFill>
              <w14:schemeClr w14:val="tx1"/>
            </w14:solidFill>
          </w14:textFill>
        </w:rPr>
        <w:t>在投标活动中提供任何虚假材料，其投标无效，并报监管部门查处。</w:t>
      </w:r>
    </w:p>
    <w:bookmarkEnd w:id="69"/>
    <w:bookmarkEnd w:id="70"/>
    <w:bookmarkEnd w:id="71"/>
    <w:p w14:paraId="38A32B62">
      <w:pPr>
        <w:widowControl/>
        <w:spacing w:line="360" w:lineRule="auto"/>
        <w:jc w:val="lef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（九）关于分公司投标</w:t>
      </w:r>
    </w:p>
    <w:p w14:paraId="66C42AD6">
      <w:pPr>
        <w:widowControl/>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0EAC4496">
      <w:pPr>
        <w:widowControl/>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（十）关于知识产权</w:t>
      </w:r>
    </w:p>
    <w:p w14:paraId="01CFF71A">
      <w:pPr>
        <w:widowControl/>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必须保证，采购人在中华人民共和国境内使用投标货物、资料、技术、服务或其任何一部分时，享有不受限制的无偿使用权，如有第三方向采购人提出侵犯其专利权、商标权或其他知识产权的主张，该责任应由</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承担。</w:t>
      </w:r>
    </w:p>
    <w:p w14:paraId="2247544C">
      <w:pPr>
        <w:widowControl/>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2、投标报价应包含所有应向所有权人支付的专利权、商标权或其他知识产权的一切相关费用。</w:t>
      </w:r>
    </w:p>
    <w:p w14:paraId="2579B5C4">
      <w:pPr>
        <w:widowControl/>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3、系统软件、通用软件必须是具有在中国境内的合法使用权或版权的正版软件，涉及第三方提出侵权或知识产权的起诉及支付版税等费用由</w:t>
      </w:r>
      <w:r>
        <w:rPr>
          <w:rFonts w:ascii="宋体" w:hAnsi="宋体"/>
          <w:bCs/>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承担所有责任及费用。</w:t>
      </w:r>
    </w:p>
    <w:p w14:paraId="493ED5A0">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（十一）质疑和投诉</w:t>
      </w:r>
      <w:bookmarkEnd w:id="72"/>
      <w:bookmarkEnd w:id="73"/>
      <w:bookmarkEnd w:id="74"/>
      <w:bookmarkEnd w:id="75"/>
      <w:bookmarkEnd w:id="76"/>
    </w:p>
    <w:p w14:paraId="0A964886">
      <w:pPr>
        <w:pStyle w:val="17"/>
        <w:spacing w:after="0" w:line="360" w:lineRule="auto"/>
        <w:ind w:firstLine="420" w:firstLineChars="200"/>
        <w:rPr>
          <w:rFonts w:hint="eastAsia" w:ascii="宋体" w:hAnsi="宋体"/>
          <w:color w:val="000000" w:themeColor="text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、供应商</w:t>
      </w:r>
      <w:r>
        <w:rPr>
          <w:rFonts w:ascii="宋体" w:hAnsi="宋体"/>
          <w:color w:val="000000" w:themeColor="text1"/>
          <w:sz w:val="21"/>
          <w:szCs w:val="21"/>
          <w14:textFill>
            <w14:solidFill>
              <w14:schemeClr w14:val="tx1"/>
            </w14:solidFill>
          </w14:textFill>
        </w:rPr>
        <w:t>认为采购文件、采购过程、中标或者成交结果使自己的权益受到损害的，</w:t>
      </w:r>
      <w:r>
        <w:rPr>
          <w:rFonts w:hint="eastAsia" w:ascii="宋体" w:hAnsi="宋体"/>
          <w:color w:val="000000" w:themeColor="text1"/>
          <w:sz w:val="21"/>
          <w:szCs w:val="21"/>
          <w14:textFill>
            <w14:solidFill>
              <w14:schemeClr w14:val="tx1"/>
            </w14:solidFill>
          </w14:textFill>
        </w:rPr>
        <w:t>须</w:t>
      </w:r>
      <w:r>
        <w:rPr>
          <w:rFonts w:ascii="宋体" w:hAnsi="宋体"/>
          <w:color w:val="000000" w:themeColor="text1"/>
          <w:sz w:val="21"/>
          <w:szCs w:val="21"/>
          <w14:textFill>
            <w14:solidFill>
              <w14:schemeClr w14:val="tx1"/>
            </w14:solidFill>
          </w14:textFill>
        </w:rPr>
        <w:t>在应</w:t>
      </w:r>
      <w:r>
        <w:rPr>
          <w:rFonts w:ascii="宋体" w:hAnsi="宋体"/>
          <w:color w:val="000000" w:themeColor="text1"/>
          <w:spacing w:val="2"/>
          <w:sz w:val="21"/>
          <w14:textFill>
            <w14:solidFill>
              <w14:schemeClr w14:val="tx1"/>
            </w14:solidFill>
          </w14:textFill>
        </w:rPr>
        <w:t>知其</w:t>
      </w:r>
      <w:r>
        <w:rPr>
          <w:rFonts w:hint="eastAsia" w:ascii="宋体" w:hAnsi="宋体"/>
          <w:color w:val="000000" w:themeColor="text1"/>
          <w:spacing w:val="2"/>
          <w:sz w:val="21"/>
          <w14:textFill>
            <w14:solidFill>
              <w14:schemeClr w14:val="tx1"/>
            </w14:solidFill>
          </w14:textFill>
        </w:rPr>
        <w:t>利</w:t>
      </w:r>
      <w:r>
        <w:rPr>
          <w:rFonts w:ascii="宋体" w:hAnsi="宋体"/>
          <w:color w:val="000000" w:themeColor="text1"/>
          <w:spacing w:val="2"/>
          <w:sz w:val="21"/>
          <w14:textFill>
            <w14:solidFill>
              <w14:schemeClr w14:val="tx1"/>
            </w14:solidFill>
          </w14:textFill>
        </w:rPr>
        <w:t>益受损之日起七个工作日内以书面形式向</w:t>
      </w:r>
      <w:r>
        <w:rPr>
          <w:rFonts w:hint="eastAsia" w:ascii="宋体" w:hAnsi="宋体"/>
          <w:color w:val="000000" w:themeColor="text1"/>
          <w:spacing w:val="2"/>
          <w:sz w:val="21"/>
          <w14:textFill>
            <w14:solidFill>
              <w14:schemeClr w14:val="tx1"/>
            </w14:solidFill>
          </w14:textFill>
        </w:rPr>
        <w:t>采购人、采购代理机构</w:t>
      </w:r>
      <w:r>
        <w:rPr>
          <w:rFonts w:ascii="宋体" w:hAnsi="宋体"/>
          <w:color w:val="000000" w:themeColor="text1"/>
          <w:spacing w:val="2"/>
          <w:sz w:val="21"/>
          <w14:textFill>
            <w14:solidFill>
              <w14:schemeClr w14:val="tx1"/>
            </w14:solidFill>
          </w14:textFill>
        </w:rPr>
        <w:t>提出质疑。供应商应当在法定质疑期内一次性提出针对同一采购程序环节的质疑。</w:t>
      </w:r>
    </w:p>
    <w:p w14:paraId="4268F7A6">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s="Arial"/>
          <w:color w:val="000000" w:themeColor="text1"/>
          <w14:textFill>
            <w14:solidFill>
              <w14:schemeClr w14:val="tx1"/>
            </w14:solidFill>
          </w14:textFill>
        </w:rPr>
        <w:t>提出质疑的供应商应当是参与所质疑项目采购活动的供应商。</w:t>
      </w:r>
      <w:r>
        <w:rPr>
          <w:rFonts w:ascii="宋体" w:hAnsi="宋体"/>
          <w:color w:val="000000" w:themeColor="text1"/>
          <w14:textFill>
            <w14:solidFill>
              <w14:schemeClr w14:val="tx1"/>
            </w14:solidFill>
          </w14:textFill>
        </w:rPr>
        <w:t>未</w:t>
      </w:r>
      <w:r>
        <w:rPr>
          <w:rFonts w:hint="eastAsia" w:ascii="宋体" w:hAnsi="宋体"/>
          <w:color w:val="000000" w:themeColor="text1"/>
          <w14:textFill>
            <w14:solidFill>
              <w14:schemeClr w14:val="tx1"/>
            </w14:solidFill>
          </w14:textFill>
        </w:rPr>
        <w:t>按招标公告规定</w:t>
      </w:r>
      <w:r>
        <w:rPr>
          <w:rFonts w:ascii="宋体" w:hAnsi="宋体"/>
          <w:color w:val="000000" w:themeColor="text1"/>
          <w14:textFill>
            <w14:solidFill>
              <w14:schemeClr w14:val="tx1"/>
            </w14:solidFill>
          </w14:textFill>
        </w:rPr>
        <w:t>获取采</w:t>
      </w:r>
      <w:r>
        <w:rPr>
          <w:rFonts w:ascii="宋体" w:hAnsi="宋体"/>
          <w:color w:val="000000" w:themeColor="text1"/>
          <w:spacing w:val="2"/>
          <w14:textFill>
            <w14:solidFill>
              <w14:schemeClr w14:val="tx1"/>
            </w14:solidFill>
          </w14:textFill>
        </w:rPr>
        <w:t>购文件的，不得就采购文件提出质疑；未提交投标文件的供应商，视为与采购结</w:t>
      </w:r>
      <w:r>
        <w:rPr>
          <w:rFonts w:ascii="宋体" w:hAnsi="宋体"/>
          <w:color w:val="000000" w:themeColor="text1"/>
          <w14:textFill>
            <w14:solidFill>
              <w14:schemeClr w14:val="tx1"/>
            </w14:solidFill>
          </w14:textFill>
        </w:rPr>
        <w:t>果没有利害关系，不得就采购响应截止时间后的采购过程、采购结果提出质疑。</w:t>
      </w:r>
    </w:p>
    <w:p w14:paraId="4FF17345">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s="Arial"/>
          <w:color w:val="000000" w:themeColor="text1"/>
          <w14:textFill>
            <w14:solidFill>
              <w14:schemeClr w14:val="tx1"/>
            </w14:solidFill>
          </w14:textFill>
        </w:rPr>
        <w:t>供应商提出质疑应当提交质疑函和必要的证明材料</w:t>
      </w:r>
      <w:r>
        <w:rPr>
          <w:rFonts w:hint="eastAsia" w:ascii="宋体" w:hAnsi="宋体" w:cs="Arial"/>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质疑函应当以书面形式</w:t>
      </w:r>
      <w:r>
        <w:rPr>
          <w:rFonts w:hint="eastAsia" w:ascii="宋体" w:hAnsi="宋体"/>
          <w:color w:val="000000" w:themeColor="text1"/>
          <w:szCs w:val="21"/>
          <w14:textFill>
            <w14:solidFill>
              <w14:schemeClr w14:val="tx1"/>
            </w14:solidFill>
          </w14:textFill>
        </w:rPr>
        <w:t>（需符合财政部令第94号</w:t>
      </w:r>
      <w:r>
        <w:rPr>
          <w:rFonts w:ascii="宋体" w:hAnsi="宋体"/>
          <w:color w:val="000000" w:themeColor="text1"/>
          <w:szCs w:val="21"/>
          <w14:textFill>
            <w14:solidFill>
              <w14:schemeClr w14:val="tx1"/>
            </w14:solidFill>
          </w14:textFill>
        </w:rPr>
        <w:t>政府采购质疑和投诉办法</w:t>
      </w:r>
      <w:r>
        <w:rPr>
          <w:rFonts w:hint="eastAsia" w:ascii="宋体" w:hAnsi="宋体"/>
          <w:color w:val="000000" w:themeColor="text1"/>
          <w:szCs w:val="21"/>
          <w14:textFill>
            <w14:solidFill>
              <w14:schemeClr w14:val="tx1"/>
            </w14:solidFill>
          </w14:textFill>
        </w:rPr>
        <w:t>要求）</w:t>
      </w:r>
      <w:r>
        <w:rPr>
          <w:rFonts w:ascii="宋体" w:hAnsi="宋体"/>
          <w:color w:val="000000" w:themeColor="text1"/>
          <w:spacing w:val="2"/>
          <w14:textFill>
            <w14:solidFill>
              <w14:schemeClr w14:val="tx1"/>
            </w14:solidFill>
          </w14:textFill>
        </w:rPr>
        <w:t>提出</w:t>
      </w:r>
      <w:r>
        <w:rPr>
          <w:rFonts w:hint="eastAsia" w:ascii="宋体" w:hAnsi="宋体"/>
          <w:color w:val="000000" w:themeColor="text1"/>
          <w:szCs w:val="21"/>
          <w14:textFill>
            <w14:solidFill>
              <w14:schemeClr w14:val="tx1"/>
            </w14:solidFill>
          </w14:textFill>
        </w:rPr>
        <w:t>。</w:t>
      </w:r>
    </w:p>
    <w:p w14:paraId="7CE00158">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接收</w:t>
      </w:r>
      <w:r>
        <w:rPr>
          <w:rFonts w:hint="eastAsia" w:ascii="宋体" w:hAnsi="宋体"/>
          <w:color w:val="000000" w:themeColor="text1"/>
          <w:szCs w:val="21"/>
          <w14:textFill>
            <w14:solidFill>
              <w14:schemeClr w14:val="tx1"/>
            </w14:solidFill>
          </w14:textFill>
        </w:rPr>
        <w:t>书面</w:t>
      </w:r>
      <w:r>
        <w:rPr>
          <w:rFonts w:ascii="宋体" w:hAnsi="宋体"/>
          <w:color w:val="000000" w:themeColor="text1"/>
          <w:szCs w:val="21"/>
          <w14:textFill>
            <w14:solidFill>
              <w14:schemeClr w14:val="tx1"/>
            </w14:solidFill>
          </w14:textFill>
        </w:rPr>
        <w:t>质疑</w:t>
      </w:r>
      <w:r>
        <w:rPr>
          <w:rFonts w:hint="eastAsia" w:ascii="宋体" w:hAnsi="宋体"/>
          <w:color w:val="000000" w:themeColor="text1"/>
          <w:szCs w:val="21"/>
          <w14:textFill>
            <w14:solidFill>
              <w14:schemeClr w14:val="tx1"/>
            </w14:solidFill>
          </w14:textFill>
        </w:rPr>
        <w:t>函</w:t>
      </w:r>
      <w:r>
        <w:rPr>
          <w:rFonts w:ascii="宋体" w:hAnsi="宋体"/>
          <w:color w:val="000000" w:themeColor="text1"/>
          <w:szCs w:val="21"/>
          <w14:textFill>
            <w14:solidFill>
              <w14:schemeClr w14:val="tx1"/>
            </w14:solidFill>
          </w14:textFill>
        </w:rPr>
        <w:t>的方式</w:t>
      </w:r>
      <w:r>
        <w:rPr>
          <w:rFonts w:hint="eastAsia" w:ascii="宋体" w:hAnsi="宋体"/>
          <w:color w:val="000000" w:themeColor="text1"/>
          <w:szCs w:val="21"/>
          <w14:textFill>
            <w14:solidFill>
              <w14:schemeClr w14:val="tx1"/>
            </w14:solidFill>
          </w14:textFill>
        </w:rPr>
        <w:t>：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w:t>
      </w:r>
      <w:r>
        <w:rPr>
          <w:rFonts w:ascii="宋体" w:hAnsi="宋体"/>
          <w:color w:val="000000" w:themeColor="text1"/>
          <w:szCs w:val="21"/>
          <w14:textFill>
            <w14:solidFill>
              <w14:schemeClr w14:val="tx1"/>
            </w14:solidFill>
          </w14:textFill>
        </w:rPr>
        <w:t>联系部门</w:t>
      </w:r>
      <w:r>
        <w:rPr>
          <w:rFonts w:hint="eastAsia" w:ascii="宋体" w:hAnsi="宋体"/>
          <w:color w:val="000000" w:themeColor="text1"/>
          <w:szCs w:val="21"/>
          <w14:textFill>
            <w14:solidFill>
              <w14:schemeClr w14:val="tx1"/>
            </w14:solidFill>
          </w14:textFill>
        </w:rPr>
        <w:t>：本采购文件第一章中采购代理机构的有关联系方式。</w:t>
      </w:r>
    </w:p>
    <w:p w14:paraId="38A080A9">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5、供应商对采购人或采购代理机构的质疑答复不满意或者采购人或采购代理机构未在规定时间内作出答复的，可以在答复期满后十五个工作日内向同级采购监管部门投诉，</w:t>
      </w:r>
      <w:r>
        <w:rPr>
          <w:rFonts w:ascii="宋体" w:hAnsi="宋体"/>
          <w:color w:val="000000" w:themeColor="text1"/>
          <w:szCs w:val="21"/>
          <w14:textFill>
            <w14:solidFill>
              <w14:schemeClr w14:val="tx1"/>
            </w14:solidFill>
          </w14:textFill>
        </w:rPr>
        <w:t>投诉</w:t>
      </w:r>
      <w:r>
        <w:rPr>
          <w:rFonts w:hint="eastAsia" w:ascii="宋体" w:hAnsi="宋体"/>
          <w:color w:val="000000" w:themeColor="text1"/>
          <w:szCs w:val="21"/>
          <w14:textFill>
            <w14:solidFill>
              <w14:schemeClr w14:val="tx1"/>
            </w14:solidFill>
          </w14:textFill>
        </w:rPr>
        <w:t>须</w:t>
      </w:r>
      <w:r>
        <w:rPr>
          <w:rFonts w:ascii="宋体" w:hAnsi="宋体"/>
          <w:color w:val="000000" w:themeColor="text1"/>
          <w:szCs w:val="21"/>
          <w14:textFill>
            <w14:solidFill>
              <w14:schemeClr w14:val="tx1"/>
            </w14:solidFill>
          </w14:textFill>
        </w:rPr>
        <w:t>采用书面形式</w:t>
      </w:r>
      <w:r>
        <w:rPr>
          <w:rFonts w:hint="eastAsia" w:ascii="宋体" w:hAnsi="宋体"/>
          <w:color w:val="000000" w:themeColor="text1"/>
          <w:szCs w:val="21"/>
          <w14:textFill>
            <w14:solidFill>
              <w14:schemeClr w14:val="tx1"/>
            </w14:solidFill>
          </w14:textFill>
        </w:rPr>
        <w:t>（需符合财政部令第94号</w:t>
      </w:r>
      <w:r>
        <w:rPr>
          <w:rFonts w:ascii="宋体" w:hAnsi="宋体"/>
          <w:color w:val="000000" w:themeColor="text1"/>
          <w:szCs w:val="21"/>
          <w14:textFill>
            <w14:solidFill>
              <w14:schemeClr w14:val="tx1"/>
            </w14:solidFill>
          </w14:textFill>
        </w:rPr>
        <w:t>政府采购质疑和投诉办法</w:t>
      </w:r>
      <w:r>
        <w:rPr>
          <w:rFonts w:hint="eastAsia" w:ascii="宋体" w:hAnsi="宋体"/>
          <w:color w:val="000000" w:themeColor="text1"/>
          <w:szCs w:val="21"/>
          <w14:textFill>
            <w14:solidFill>
              <w14:schemeClr w14:val="tx1"/>
            </w14:solidFill>
          </w14:textFill>
        </w:rPr>
        <w:t>要求）。</w:t>
      </w:r>
    </w:p>
    <w:p w14:paraId="00749842">
      <w:pPr>
        <w:spacing w:line="360" w:lineRule="auto"/>
        <w:rPr>
          <w:rFonts w:hint="eastAsia" w:ascii="宋体" w:hAnsi="宋体"/>
          <w:b/>
          <w:color w:val="000000" w:themeColor="text1"/>
          <w14:textFill>
            <w14:solidFill>
              <w14:schemeClr w14:val="tx1"/>
            </w14:solidFill>
          </w14:textFill>
        </w:rPr>
      </w:pPr>
      <w:bookmarkStart w:id="77" w:name="_Toc460416347"/>
      <w:bookmarkStart w:id="78" w:name="_Toc460416652"/>
      <w:bookmarkStart w:id="79" w:name="_Toc460857907"/>
    </w:p>
    <w:p w14:paraId="1401CCAF">
      <w:pPr>
        <w:spacing w:line="360" w:lineRule="auto"/>
        <w:rPr>
          <w:rFonts w:hint="eastAsia" w:ascii="宋体" w:hAnsi="宋体"/>
          <w:b/>
          <w:color w:val="000000" w:themeColor="text1"/>
          <w14:textFill>
            <w14:solidFill>
              <w14:schemeClr w14:val="tx1"/>
            </w14:solidFill>
          </w14:textFill>
        </w:rPr>
      </w:pPr>
      <w:bookmarkStart w:id="80" w:name="_Toc17884824"/>
      <w:r>
        <w:rPr>
          <w:rFonts w:hint="eastAsia" w:ascii="宋体" w:hAnsi="宋体"/>
          <w:b/>
          <w:color w:val="000000" w:themeColor="text1"/>
          <w14:textFill>
            <w14:solidFill>
              <w14:schemeClr w14:val="tx1"/>
            </w14:solidFill>
          </w14:textFill>
        </w:rPr>
        <w:t>二、采购文件</w:t>
      </w:r>
      <w:bookmarkEnd w:id="77"/>
      <w:bookmarkEnd w:id="78"/>
      <w:bookmarkEnd w:id="79"/>
      <w:bookmarkEnd w:id="80"/>
    </w:p>
    <w:p w14:paraId="24160B9A">
      <w:pPr>
        <w:spacing w:line="360" w:lineRule="auto"/>
        <w:rPr>
          <w:rFonts w:hint="eastAsia" w:ascii="宋体" w:hAnsi="宋体"/>
          <w:b/>
          <w:color w:val="000000" w:themeColor="text1"/>
          <w14:textFill>
            <w14:solidFill>
              <w14:schemeClr w14:val="tx1"/>
            </w14:solidFill>
          </w14:textFill>
        </w:rPr>
      </w:pPr>
      <w:bookmarkStart w:id="81" w:name="_Toc17884825"/>
      <w:bookmarkStart w:id="82" w:name="_Toc460857908"/>
      <w:r>
        <w:rPr>
          <w:rFonts w:hint="eastAsia" w:ascii="宋体" w:hAnsi="宋体"/>
          <w:b/>
          <w:color w:val="000000" w:themeColor="text1"/>
          <w14:textFill>
            <w14:solidFill>
              <w14:schemeClr w14:val="tx1"/>
            </w14:solidFill>
          </w14:textFill>
        </w:rPr>
        <w:t>（一）采购文件的构成。本采购文件由以下部分组成：</w:t>
      </w:r>
      <w:bookmarkEnd w:id="81"/>
      <w:bookmarkEnd w:id="82"/>
    </w:p>
    <w:p w14:paraId="7CC7D07F">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1、采购公告</w:t>
      </w:r>
    </w:p>
    <w:p w14:paraId="18968D84">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2、招标需求</w:t>
      </w:r>
    </w:p>
    <w:p w14:paraId="62BFB613">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3、投标人须知</w:t>
      </w:r>
    </w:p>
    <w:p w14:paraId="6FB8EEC9">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4、评标办法及评分标准</w:t>
      </w:r>
    </w:p>
    <w:p w14:paraId="24AD86D6">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5、政府采购合同主要条款</w:t>
      </w:r>
    </w:p>
    <w:p w14:paraId="301A9649">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14:paraId="0704407F">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7、本项目采购文件的澄清、答复、修改、补充的内容</w:t>
      </w:r>
    </w:p>
    <w:p w14:paraId="492AF0AC">
      <w:pPr>
        <w:spacing w:line="360" w:lineRule="auto"/>
        <w:rPr>
          <w:rFonts w:hint="eastAsia" w:ascii="宋体" w:hAnsi="宋体"/>
          <w:b/>
          <w:color w:val="000000" w:themeColor="text1"/>
          <w14:textFill>
            <w14:solidFill>
              <w14:schemeClr w14:val="tx1"/>
            </w14:solidFill>
          </w14:textFill>
        </w:rPr>
      </w:pPr>
      <w:bookmarkStart w:id="83" w:name="_Toc17884826"/>
      <w:bookmarkStart w:id="84" w:name="_Toc460857909"/>
      <w:r>
        <w:rPr>
          <w:rFonts w:hint="eastAsia" w:ascii="宋体" w:hAnsi="宋体"/>
          <w:b/>
          <w:color w:val="000000" w:themeColor="text1"/>
          <w14:textFill>
            <w14:solidFill>
              <w14:schemeClr w14:val="tx1"/>
            </w14:solidFill>
          </w14:textFill>
        </w:rPr>
        <w:t>（二）投标人的风险</w:t>
      </w:r>
      <w:bookmarkEnd w:id="83"/>
      <w:bookmarkEnd w:id="84"/>
    </w:p>
    <w:p w14:paraId="0F5FDA98">
      <w:pPr>
        <w:spacing w:line="360" w:lineRule="auto"/>
        <w:ind w:firstLine="420" w:firstLineChars="200"/>
        <w:rPr>
          <w:rFonts w:hint="eastAsia" w:ascii="宋体" w:hAnsi="宋体"/>
          <w:color w:val="000000" w:themeColor="text1"/>
          <w:szCs w:val="21"/>
          <w14:textFill>
            <w14:solidFill>
              <w14:schemeClr w14:val="tx1"/>
            </w14:solidFill>
          </w14:textFill>
        </w:rPr>
      </w:pPr>
      <w:bookmarkStart w:id="85" w:name="_Toc17884827"/>
      <w:bookmarkStart w:id="86" w:name="_Toc460857910"/>
      <w:r>
        <w:rPr>
          <w:rFonts w:hint="eastAsia" w:ascii="宋体" w:hAnsi="宋体"/>
          <w:color w:val="000000" w:themeColor="text1"/>
          <w:szCs w:val="21"/>
          <w14:textFill>
            <w14:solidFill>
              <w14:schemeClr w14:val="tx1"/>
            </w14:solidFill>
          </w14:textFill>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14:paraId="6B51A01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2、无论因何种原因导致本次采购活动终止致投标人损失的，相关责任人均不承担任何责任。</w:t>
      </w:r>
    </w:p>
    <w:p w14:paraId="35781010">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（三）采购文件的澄清与修改</w:t>
      </w:r>
      <w:bookmarkEnd w:id="85"/>
      <w:bookmarkEnd w:id="86"/>
    </w:p>
    <w:p w14:paraId="5A0D1126">
      <w:pPr>
        <w:pStyle w:val="36"/>
        <w:numPr>
          <w:ilvl w:val="0"/>
          <w:numId w:val="0"/>
        </w:numPr>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14:paraId="4257C8C1">
      <w:pPr>
        <w:pStyle w:val="36"/>
        <w:numPr>
          <w:ilvl w:val="0"/>
          <w:numId w:val="0"/>
        </w:numPr>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2、更正公告为采购文件的组成部分，一经在网站发布，视同已通知所有采购文件的收受人，不再采用其他方式传达相关信息，若因未能及时了解到上述网站上发布的相关信息而导致的一切后果自行承担。</w:t>
      </w:r>
    </w:p>
    <w:p w14:paraId="3CBD67CF">
      <w:pPr>
        <w:pStyle w:val="36"/>
        <w:numPr>
          <w:ilvl w:val="0"/>
          <w:numId w:val="0"/>
        </w:numPr>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3、如更正公告有重新发布电子采购文件的，</w:t>
      </w:r>
      <w:r>
        <w:rPr>
          <w:rFonts w:ascii="宋体" w:hAnsi="宋体" w:eastAsia="宋体"/>
          <w:color w:val="000000" w:themeColor="text1"/>
          <w:sz w:val="21"/>
          <w:szCs w:val="21"/>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应下载最新发布的电子采购文件制作投标文件。</w:t>
      </w:r>
    </w:p>
    <w:p w14:paraId="494445EB">
      <w:pPr>
        <w:pStyle w:val="36"/>
        <w:numPr>
          <w:ilvl w:val="0"/>
          <w:numId w:val="0"/>
        </w:numPr>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ascii="宋体" w:hAnsi="宋体" w:eastAsia="宋体"/>
          <w:color w:val="000000" w:themeColor="text1"/>
          <w:sz w:val="21"/>
          <w:szCs w:val="21"/>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在规定的时间内未对采购文件提出疑问、质疑或要求澄清的，将视其为无异议。对采购文件中描述有歧义或前后不一致的地方，评标委员会有权进行评判，但对同一条款的评判应适用于每个</w:t>
      </w:r>
      <w:r>
        <w:rPr>
          <w:rFonts w:ascii="宋体" w:hAnsi="宋体" w:eastAsia="宋体"/>
          <w:color w:val="000000" w:themeColor="text1"/>
          <w:sz w:val="21"/>
          <w:szCs w:val="21"/>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w:t>
      </w:r>
    </w:p>
    <w:p w14:paraId="5B3B1A6B">
      <w:pPr>
        <w:spacing w:line="360" w:lineRule="auto"/>
        <w:rPr>
          <w:rFonts w:hint="eastAsia" w:ascii="宋体" w:hAnsi="宋体"/>
          <w:b/>
          <w:color w:val="000000" w:themeColor="text1"/>
          <w14:textFill>
            <w14:solidFill>
              <w14:schemeClr w14:val="tx1"/>
            </w14:solidFill>
          </w14:textFill>
        </w:rPr>
      </w:pPr>
      <w:bookmarkStart w:id="87" w:name="_Toc460857912"/>
      <w:bookmarkStart w:id="88" w:name="_Toc460416348"/>
      <w:bookmarkStart w:id="89" w:name="_Toc460416653"/>
      <w:bookmarkStart w:id="90" w:name="_Toc17884828"/>
      <w:r>
        <w:rPr>
          <w:rFonts w:hint="eastAsia" w:ascii="宋体" w:hAnsi="宋体"/>
          <w:b/>
          <w:color w:val="000000" w:themeColor="text1"/>
          <w14:textFill>
            <w14:solidFill>
              <w14:schemeClr w14:val="tx1"/>
            </w14:solidFill>
          </w14:textFill>
        </w:rPr>
        <w:t>三、投标文件的编制</w:t>
      </w:r>
      <w:bookmarkEnd w:id="87"/>
      <w:bookmarkEnd w:id="88"/>
      <w:bookmarkEnd w:id="89"/>
      <w:bookmarkEnd w:id="90"/>
    </w:p>
    <w:p w14:paraId="057150BE">
      <w:pPr>
        <w:spacing w:line="360" w:lineRule="auto"/>
        <w:rPr>
          <w:rFonts w:hint="eastAsia" w:ascii="宋体" w:hAnsi="宋体"/>
          <w:b/>
          <w:color w:val="000000" w:themeColor="text1"/>
          <w14:textFill>
            <w14:solidFill>
              <w14:schemeClr w14:val="tx1"/>
            </w14:solidFill>
          </w14:textFill>
        </w:rPr>
      </w:pPr>
      <w:bookmarkStart w:id="91" w:name="_Toc460416654"/>
      <w:bookmarkStart w:id="92" w:name="_Toc17884829"/>
      <w:bookmarkStart w:id="93" w:name="_Toc460857913"/>
      <w:bookmarkStart w:id="94" w:name="_Toc460416349"/>
      <w:r>
        <w:rPr>
          <w:rFonts w:hint="eastAsia" w:ascii="宋体" w:hAnsi="宋体"/>
          <w:b/>
          <w:color w:val="000000" w:themeColor="text1"/>
          <w14:textFill>
            <w14:solidFill>
              <w14:schemeClr w14:val="tx1"/>
            </w14:solidFill>
          </w14:textFill>
        </w:rPr>
        <w:t>（一）投标文件的组成</w:t>
      </w:r>
      <w:bookmarkEnd w:id="91"/>
      <w:bookmarkEnd w:id="92"/>
      <w:bookmarkEnd w:id="93"/>
      <w:bookmarkEnd w:id="94"/>
    </w:p>
    <w:p w14:paraId="673342A4">
      <w:pPr>
        <w:snapToGrid w:val="0"/>
        <w:spacing w:line="360" w:lineRule="auto"/>
        <w:ind w:firstLine="413" w:firstLineChars="196"/>
        <w:jc w:val="lef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1、资格文件包括以下内容：</w:t>
      </w:r>
    </w:p>
    <w:p w14:paraId="3490819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（1）有效的企业法人营业执照（或事业法人登记证）、其他组织（个体工商户）的营业执照或者民办非企业单位登记证书复印件（复印件加盖公章）；</w:t>
      </w:r>
    </w:p>
    <w:p w14:paraId="26C7786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（2）投标人资格声明（格式见附件一）；</w:t>
      </w:r>
    </w:p>
    <w:p w14:paraId="4D631AB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（3）投标承诺书（格式见附件二）；</w:t>
      </w:r>
    </w:p>
    <w:p w14:paraId="6E052F74">
      <w:pPr>
        <w:pStyle w:val="41"/>
        <w:spacing w:line="360" w:lineRule="auto"/>
        <w:rPr>
          <w:rFonts w:hint="eastAsia"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（4）联合协议（若有，格式见格式十三：</w:t>
      </w:r>
      <w:r>
        <w:rPr>
          <w:rFonts w:hint="eastAsia" w:hAnsi="宋体"/>
          <w:bCs/>
          <w:color w:val="000000" w:themeColor="text1"/>
          <w:spacing w:val="0"/>
          <w:sz w:val="21"/>
          <w:szCs w:val="21"/>
          <w:lang w:val="zh-CN"/>
          <w14:textFill>
            <w14:solidFill>
              <w14:schemeClr w14:val="tx1"/>
            </w14:solidFill>
          </w14:textFill>
        </w:rPr>
        <w:t>联合协议</w:t>
      </w:r>
      <w:r>
        <w:rPr>
          <w:rFonts w:hint="eastAsia" w:hAnsi="宋体"/>
          <w:bCs/>
          <w:color w:val="000000" w:themeColor="text1"/>
          <w:spacing w:val="0"/>
          <w:sz w:val="21"/>
          <w:szCs w:val="21"/>
          <w14:textFill>
            <w14:solidFill>
              <w14:schemeClr w14:val="tx1"/>
            </w14:solidFill>
          </w14:textFill>
        </w:rPr>
        <w:t>）</w:t>
      </w:r>
    </w:p>
    <w:p w14:paraId="57FA65D5">
      <w:pPr>
        <w:pStyle w:val="41"/>
        <w:spacing w:line="360" w:lineRule="auto"/>
        <w:rPr>
          <w:rFonts w:hint="eastAsia"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（5）分包意向协议（若有，格式见格式十四：分包意向协议）</w:t>
      </w:r>
    </w:p>
    <w:p w14:paraId="3C217D69">
      <w:pPr>
        <w:spacing w:line="360" w:lineRule="auto"/>
        <w:ind w:firstLine="420" w:firstLineChars="200"/>
        <w:rPr>
          <w:rFonts w:hint="eastAsia" w:ascii="宋体" w:hAnsi="宋体"/>
          <w:color w:val="000000" w:themeColor="text1"/>
          <w:szCs w:val="21"/>
          <w14:textFill>
            <w14:solidFill>
              <w14:schemeClr w14:val="tx1"/>
            </w14:solidFill>
          </w14:textFill>
        </w:rPr>
      </w:pPr>
    </w:p>
    <w:p w14:paraId="6BD50799">
      <w:pPr>
        <w:pStyle w:val="41"/>
        <w:spacing w:line="360" w:lineRule="auto"/>
        <w:rPr>
          <w:color w:val="000000" w:themeColor="text1"/>
          <w14:textFill>
            <w14:solidFill>
              <w14:schemeClr w14:val="tx1"/>
            </w14:solidFill>
          </w14:textFill>
        </w:rPr>
      </w:pPr>
      <w:r>
        <w:rPr>
          <w:rFonts w:hint="eastAsia" w:hAnsi="宋体"/>
          <w:b/>
          <w:color w:val="000000" w:themeColor="text1"/>
          <w:spacing w:val="0"/>
          <w:sz w:val="21"/>
          <w:szCs w:val="21"/>
          <w14:textFill>
            <w14:solidFill>
              <w14:schemeClr w14:val="tx1"/>
            </w14:solidFill>
          </w14:textFill>
        </w:rPr>
        <w:t>2、商务技术文件包括以下内容：</w:t>
      </w:r>
    </w:p>
    <w:p w14:paraId="66916C58">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（1）投标函（格式见附件三）；</w:t>
      </w:r>
    </w:p>
    <w:p w14:paraId="73F65E3B">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（2）法定代表人的身份证明或法定代表人授权书（投标人的代表若为非法定代表人的，必须提交法定代表人授权书，格式见附件四</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4D89FDB6">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（3）投标人基本情况说明（格式见附件五）；</w:t>
      </w:r>
    </w:p>
    <w:p w14:paraId="41D707C2">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（4）类似项目业绩表（如有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格式见附件六）；</w:t>
      </w:r>
    </w:p>
    <w:p w14:paraId="715172BE">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（5）商务条款偏离表（格式见附件七）；</w:t>
      </w:r>
    </w:p>
    <w:p w14:paraId="5CABD7FC">
      <w:pPr>
        <w:widowControl/>
        <w:tabs>
          <w:tab w:val="left" w:pos="640"/>
        </w:tabs>
        <w:adjustRightInd w:val="0"/>
        <w:snapToGrid w:val="0"/>
        <w:spacing w:line="360" w:lineRule="auto"/>
        <w:ind w:left="400"/>
        <w:jc w:val="left"/>
        <w:outlineLvl w:val="1"/>
        <w:rPr>
          <w:rFonts w:hint="eastAsia" w:ascii="宋体" w:hAnsi="宋体"/>
          <w:color w:val="000000" w:themeColor="text1"/>
          <w:szCs w:val="21"/>
          <w14:textFill>
            <w14:solidFill>
              <w14:schemeClr w14:val="tx1"/>
            </w14:solidFill>
          </w14:textFill>
        </w:rPr>
      </w:pPr>
      <w:bookmarkStart w:id="95" w:name="_Toc22181"/>
      <w:r>
        <w:rPr>
          <w:rFonts w:hint="eastAsia" w:ascii="宋体" w:hAnsi="宋体"/>
          <w:color w:val="000000" w:themeColor="text1"/>
          <w:szCs w:val="21"/>
          <w14:textFill>
            <w14:solidFill>
              <w14:schemeClr w14:val="tx1"/>
            </w14:solidFill>
          </w14:textFill>
        </w:rPr>
        <w:t>（6）技术服务条款偏离表（格式见附件八）；</w:t>
      </w:r>
      <w:bookmarkEnd w:id="95"/>
    </w:p>
    <w:p w14:paraId="4789CD37">
      <w:pPr>
        <w:widowControl/>
        <w:tabs>
          <w:tab w:val="left" w:pos="640"/>
        </w:tabs>
        <w:adjustRightInd w:val="0"/>
        <w:snapToGrid w:val="0"/>
        <w:spacing w:line="360" w:lineRule="auto"/>
        <w:ind w:left="400"/>
        <w:jc w:val="left"/>
        <w:outlineLvl w:val="1"/>
        <w:rPr>
          <w:rFonts w:hint="eastAsia" w:ascii="宋体" w:hAnsi="宋体"/>
          <w:color w:val="000000" w:themeColor="text1"/>
          <w:szCs w:val="21"/>
          <w14:textFill>
            <w14:solidFill>
              <w14:schemeClr w14:val="tx1"/>
            </w14:solidFill>
          </w14:textFill>
        </w:rPr>
      </w:pPr>
      <w:bookmarkStart w:id="96" w:name="_Toc8802"/>
      <w:r>
        <w:rPr>
          <w:rFonts w:hint="eastAsia" w:ascii="宋体" w:hAnsi="宋体"/>
          <w:color w:val="000000" w:themeColor="text1"/>
          <w:szCs w:val="21"/>
          <w14:textFill>
            <w14:solidFill>
              <w14:schemeClr w14:val="tx1"/>
            </w14:solidFill>
          </w14:textFill>
        </w:rPr>
        <w:t>（7）第四章 评标办法及评分标准 五、评分标准版要求提供的资料及阐述；</w:t>
      </w:r>
      <w:bookmarkEnd w:id="96"/>
    </w:p>
    <w:p w14:paraId="0C929BB0">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（8）投标人认为有必要提交的其他技术资信说明文件和资料。</w:t>
      </w:r>
    </w:p>
    <w:p w14:paraId="6F6B6735">
      <w:pPr>
        <w:snapToGrid w:val="0"/>
        <w:spacing w:line="360" w:lineRule="auto"/>
        <w:ind w:left="413"/>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3、报价文件包括以下内容：</w:t>
      </w:r>
    </w:p>
    <w:p w14:paraId="066345E8">
      <w:pPr>
        <w:tabs>
          <w:tab w:val="left" w:pos="420"/>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（1）开标一览表（格式见附件九）；</w:t>
      </w:r>
    </w:p>
    <w:p w14:paraId="297D8D41">
      <w:pPr>
        <w:tabs>
          <w:tab w:val="left" w:pos="518"/>
        </w:tabs>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（2）投标分项报价表（格式见附件十）；</w:t>
      </w:r>
    </w:p>
    <w:p w14:paraId="50A0C463">
      <w:pPr>
        <w:snapToGrid w:val="0"/>
        <w:spacing w:line="360" w:lineRule="auto"/>
        <w:ind w:firstLine="525" w:firstLineChars="25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本项目为非专门面向中小企业采购的项目，如果供应商和制造商为小微企业，提供《中小企业声明函》。如未按照要求提供，将不得享受评标标准中注明的针对小微企业的价格扣除优惠；</w:t>
      </w:r>
    </w:p>
    <w:p w14:paraId="429AF8A2">
      <w:pPr>
        <w:pStyle w:val="41"/>
        <w:spacing w:line="360" w:lineRule="auto"/>
        <w:rPr>
          <w:rFonts w:hint="eastAsia"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（3）中小企业声明函（若有，格式见附件十一）；</w:t>
      </w:r>
    </w:p>
    <w:p w14:paraId="4E41438E">
      <w:pPr>
        <w:pStyle w:val="41"/>
        <w:spacing w:line="360" w:lineRule="auto"/>
        <w:rPr>
          <w:rFonts w:hint="eastAsia"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（4）残疾人福利性单位声明函（若有，格式见附件十二）。</w:t>
      </w:r>
    </w:p>
    <w:p w14:paraId="38C97D39">
      <w:pPr>
        <w:pStyle w:val="41"/>
        <w:spacing w:line="360" w:lineRule="auto"/>
        <w:rPr>
          <w:rFonts w:hint="eastAsia"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（5）联合协议（若有，格式见格式十三：</w:t>
      </w:r>
      <w:r>
        <w:rPr>
          <w:rFonts w:hint="eastAsia" w:hAnsi="宋体"/>
          <w:bCs/>
          <w:color w:val="000000" w:themeColor="text1"/>
          <w:spacing w:val="0"/>
          <w:sz w:val="21"/>
          <w:szCs w:val="21"/>
          <w:lang w:val="zh-CN"/>
          <w14:textFill>
            <w14:solidFill>
              <w14:schemeClr w14:val="tx1"/>
            </w14:solidFill>
          </w14:textFill>
        </w:rPr>
        <w:t>联合协议</w:t>
      </w:r>
      <w:r>
        <w:rPr>
          <w:rFonts w:hint="eastAsia" w:hAnsi="宋体"/>
          <w:bCs/>
          <w:color w:val="000000" w:themeColor="text1"/>
          <w:spacing w:val="0"/>
          <w:sz w:val="21"/>
          <w:szCs w:val="21"/>
          <w14:textFill>
            <w14:solidFill>
              <w14:schemeClr w14:val="tx1"/>
            </w14:solidFill>
          </w14:textFill>
        </w:rPr>
        <w:t>）</w:t>
      </w:r>
    </w:p>
    <w:p w14:paraId="24D5B6FF">
      <w:pPr>
        <w:pStyle w:val="41"/>
        <w:spacing w:line="360" w:lineRule="auto"/>
        <w:rPr>
          <w:rFonts w:hint="eastAsia" w:hAnsi="宋体"/>
          <w:bCs/>
          <w:color w:val="000000" w:themeColor="text1"/>
          <w:spacing w:val="0"/>
          <w:sz w:val="21"/>
          <w:szCs w:val="21"/>
          <w14:textFill>
            <w14:solidFill>
              <w14:schemeClr w14:val="tx1"/>
            </w14:solidFill>
          </w14:textFill>
        </w:rPr>
      </w:pPr>
      <w:r>
        <w:rPr>
          <w:rFonts w:hint="eastAsia" w:hAnsi="宋体"/>
          <w:bCs/>
          <w:color w:val="000000" w:themeColor="text1"/>
          <w:spacing w:val="0"/>
          <w:sz w:val="21"/>
          <w:szCs w:val="21"/>
          <w14:textFill>
            <w14:solidFill>
              <w14:schemeClr w14:val="tx1"/>
            </w14:solidFill>
          </w14:textFill>
        </w:rPr>
        <w:t>（6）分包意向协议（若有，格式见格式十四：分包意向协议）</w:t>
      </w:r>
    </w:p>
    <w:p w14:paraId="35DA0C7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（5）投标人</w:t>
      </w:r>
      <w:r>
        <w:rPr>
          <w:rFonts w:ascii="宋体" w:hAnsi="宋体"/>
          <w:color w:val="000000" w:themeColor="text1"/>
          <w:szCs w:val="21"/>
          <w14:textFill>
            <w14:solidFill>
              <w14:schemeClr w14:val="tx1"/>
            </w14:solidFill>
          </w14:textFill>
        </w:rPr>
        <w:t>认为还须提供的其他文件。</w:t>
      </w:r>
    </w:p>
    <w:p w14:paraId="091CCAB6">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、上述组成投标文件的各项资料中本采购文件的有规定格式的，应统一按本采购文件的规定格式填写。未有规定格式的资料，投标人应自行编制，但至少要包含以上要求的内容。</w:t>
      </w:r>
    </w:p>
    <w:p w14:paraId="3099524E">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标文件在提供对投标产品技术条款响应表的应答时，对采购文件有技术数值要求的参数，应以投标货物的具体技术数值据实应答；对于采购文件无数值要求的参数的应答，应作出明确、直接、无导致两种理解可能的应答。</w:t>
      </w:r>
    </w:p>
    <w:p w14:paraId="04F737EE">
      <w:pPr>
        <w:spacing w:line="360" w:lineRule="auto"/>
        <w:rPr>
          <w:rFonts w:hint="eastAsia" w:ascii="宋体" w:hAnsi="宋体"/>
          <w:b/>
          <w:color w:val="000000" w:themeColor="text1"/>
          <w14:textFill>
            <w14:solidFill>
              <w14:schemeClr w14:val="tx1"/>
            </w14:solidFill>
          </w14:textFill>
        </w:rPr>
      </w:pPr>
      <w:bookmarkStart w:id="97" w:name="_Toc460857914"/>
      <w:bookmarkStart w:id="98" w:name="_Toc460416350"/>
      <w:bookmarkStart w:id="99" w:name="_Toc17884830"/>
      <w:bookmarkStart w:id="100" w:name="_Toc460416655"/>
      <w:r>
        <w:rPr>
          <w:rFonts w:hint="eastAsia" w:ascii="宋体" w:hAnsi="宋体"/>
          <w:b/>
          <w:color w:val="000000" w:themeColor="text1"/>
          <w14:textFill>
            <w14:solidFill>
              <w14:schemeClr w14:val="tx1"/>
            </w14:solidFill>
          </w14:textFill>
        </w:rPr>
        <w:t>（二）投标文件的语言及计量</w:t>
      </w:r>
      <w:bookmarkEnd w:id="97"/>
      <w:bookmarkEnd w:id="98"/>
      <w:bookmarkEnd w:id="99"/>
      <w:bookmarkEnd w:id="100"/>
    </w:p>
    <w:p w14:paraId="1B2964C7">
      <w:pPr>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*1、投标文件以及投标方与招标人就有关投标事宜的所有来往函电，均应以中文汉语书写。除签名、盖章、专用名称等特殊情形外，以中文汉语以外的文字表述的投标文件视同未提供。</w:t>
      </w:r>
    </w:p>
    <w:p w14:paraId="1E0BEC6E">
      <w:pPr>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*2、投标计量单位，采购文件已有明确规定的，使用采购文件规定的计量单位；采购文件没有规定的，应采用中华人民共和国法定计量单位（货币单位：人民币元），否则视同未响应。</w:t>
      </w:r>
    </w:p>
    <w:p w14:paraId="4A79EC09">
      <w:pPr>
        <w:spacing w:line="360" w:lineRule="auto"/>
        <w:rPr>
          <w:rFonts w:hint="eastAsia" w:ascii="宋体" w:hAnsi="宋体"/>
          <w:b/>
          <w:color w:val="000000" w:themeColor="text1"/>
          <w14:textFill>
            <w14:solidFill>
              <w14:schemeClr w14:val="tx1"/>
            </w14:solidFill>
          </w14:textFill>
        </w:rPr>
      </w:pPr>
      <w:bookmarkStart w:id="101" w:name="_Toc460857915"/>
      <w:bookmarkStart w:id="102" w:name="_Toc460416351"/>
      <w:bookmarkStart w:id="103" w:name="_Toc460416656"/>
      <w:bookmarkStart w:id="104" w:name="_Toc17884831"/>
      <w:r>
        <w:rPr>
          <w:rFonts w:hint="eastAsia" w:ascii="宋体" w:hAnsi="宋体"/>
          <w:b/>
          <w:color w:val="000000" w:themeColor="text1"/>
          <w14:textFill>
            <w14:solidFill>
              <w14:schemeClr w14:val="tx1"/>
            </w14:solidFill>
          </w14:textFill>
        </w:rPr>
        <w:t>（三）投标报价</w:t>
      </w:r>
      <w:bookmarkEnd w:id="101"/>
      <w:bookmarkEnd w:id="102"/>
      <w:bookmarkEnd w:id="103"/>
      <w:bookmarkEnd w:id="104"/>
    </w:p>
    <w:p w14:paraId="4260F853">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1、投标报价应按采购文件中相关附表格式填写。</w:t>
      </w:r>
    </w:p>
    <w:p w14:paraId="1D2366F0">
      <w:pPr>
        <w:tabs>
          <w:tab w:val="left" w:pos="525"/>
        </w:tabs>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*2、投标文件只允许有一个报价，有选择的或有条件的报价将不予接受。</w:t>
      </w:r>
    </w:p>
    <w:p w14:paraId="7230D668">
      <w:pPr>
        <w:spacing w:line="360" w:lineRule="auto"/>
        <w:rPr>
          <w:rFonts w:hint="eastAsia" w:ascii="宋体" w:hAnsi="宋体"/>
          <w:b/>
          <w:color w:val="000000" w:themeColor="text1"/>
          <w14:textFill>
            <w14:solidFill>
              <w14:schemeClr w14:val="tx1"/>
            </w14:solidFill>
          </w14:textFill>
        </w:rPr>
      </w:pPr>
      <w:bookmarkStart w:id="105" w:name="_Toc17884832"/>
      <w:bookmarkStart w:id="106" w:name="_Toc460857916"/>
      <w:r>
        <w:rPr>
          <w:rFonts w:hint="eastAsia" w:ascii="宋体" w:hAnsi="宋体"/>
          <w:b/>
          <w:color w:val="000000" w:themeColor="text1"/>
          <w14:textFill>
            <w14:solidFill>
              <w14:schemeClr w14:val="tx1"/>
            </w14:solidFill>
          </w14:textFill>
        </w:rPr>
        <w:t>（四）投标文件的有效期</w:t>
      </w:r>
      <w:bookmarkEnd w:id="105"/>
      <w:bookmarkEnd w:id="106"/>
    </w:p>
    <w:p w14:paraId="569E5016">
      <w:pPr>
        <w:pStyle w:val="11"/>
        <w:widowControl w:val="0"/>
        <w:tabs>
          <w:tab w:val="clear" w:pos="454"/>
        </w:tabs>
        <w:snapToGrid w:val="0"/>
        <w:spacing w:afterLines="0" w:line="360" w:lineRule="auto"/>
        <w:ind w:left="0"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*1、自投标截止日起</w:t>
      </w:r>
      <w:r>
        <w:rPr>
          <w:rFonts w:hint="eastAsia" w:ascii="宋体" w:hAnsi="宋体"/>
          <w:b/>
          <w:color w:val="000000" w:themeColor="text1"/>
          <w:sz w:val="21"/>
          <w:szCs w:val="21"/>
          <w:u w:val="single"/>
          <w14:textFill>
            <w14:solidFill>
              <w14:schemeClr w14:val="tx1"/>
            </w14:solidFill>
          </w14:textFill>
        </w:rPr>
        <w:t xml:space="preserve">90 </w:t>
      </w:r>
      <w:r>
        <w:rPr>
          <w:rFonts w:hint="eastAsia" w:ascii="宋体" w:hAnsi="宋体"/>
          <w:b/>
          <w:color w:val="000000" w:themeColor="text1"/>
          <w:sz w:val="21"/>
          <w:szCs w:val="21"/>
          <w14:textFill>
            <w14:solidFill>
              <w14:schemeClr w14:val="tx1"/>
            </w14:solidFill>
          </w14:textFill>
        </w:rPr>
        <w:t>天投标文件应保持有效。有效期不足的投标文件将被拒绝。</w:t>
      </w:r>
    </w:p>
    <w:p w14:paraId="12734306">
      <w:pPr>
        <w:pStyle w:val="11"/>
        <w:widowControl w:val="0"/>
        <w:tabs>
          <w:tab w:val="clear" w:pos="454"/>
        </w:tabs>
        <w:snapToGrid w:val="0"/>
        <w:spacing w:afterLines="0" w:line="360" w:lineRule="auto"/>
        <w:ind w:left="0"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2、在特殊情况下，招标人可与投标人协商延长投标书的有效期，这种要求和答复均以书面形式进行。</w:t>
      </w:r>
    </w:p>
    <w:p w14:paraId="6ADEE749">
      <w:pPr>
        <w:pStyle w:val="11"/>
        <w:widowControl w:val="0"/>
        <w:tabs>
          <w:tab w:val="clear" w:pos="454"/>
        </w:tabs>
        <w:snapToGrid w:val="0"/>
        <w:spacing w:afterLines="0" w:line="360" w:lineRule="auto"/>
        <w:ind w:left="0" w:firstLine="420" w:firstLineChars="200"/>
        <w:rPr>
          <w:rFonts w:hint="eastAsia" w:ascii="宋体" w:hAnsi="宋体"/>
          <w:color w:val="000000" w:themeColor="text1"/>
          <w:sz w:val="21"/>
          <w:szCs w:val="21"/>
          <w14:textFill>
            <w14:solidFill>
              <w14:schemeClr w14:val="tx1"/>
            </w14:solidFill>
          </w14:textFill>
        </w:rPr>
      </w:pPr>
      <w:bookmarkStart w:id="107" w:name="_Toc460416352"/>
      <w:bookmarkStart w:id="108" w:name="_Toc460416657"/>
      <w:r>
        <w:rPr>
          <w:rFonts w:hint="eastAsia" w:ascii="宋体" w:hAnsi="宋体"/>
          <w:color w:val="000000" w:themeColor="text1"/>
          <w:sz w:val="21"/>
          <w:szCs w:val="21"/>
          <w14:textFill>
            <w14:solidFill>
              <w14:schemeClr w14:val="tx1"/>
            </w14:solidFill>
          </w14:textFill>
        </w:rPr>
        <w:t>3</w:t>
      </w:r>
      <w:bookmarkEnd w:id="107"/>
      <w:bookmarkEnd w:id="108"/>
      <w:bookmarkStart w:id="109" w:name="_Toc460416353"/>
      <w:bookmarkStart w:id="110" w:name="_Toc460416658"/>
      <w:r>
        <w:rPr>
          <w:rFonts w:hint="eastAsia" w:ascii="宋体" w:hAnsi="宋体"/>
          <w:color w:val="000000" w:themeColor="text1"/>
          <w:sz w:val="21"/>
          <w:szCs w:val="21"/>
          <w14:textFill>
            <w14:solidFill>
              <w14:schemeClr w14:val="tx1"/>
            </w14:solidFill>
          </w14:textFill>
        </w:rPr>
        <w:t>、中标人的投标文件自开标之日起至合同履行完毕止均应保持有效。</w:t>
      </w:r>
      <w:bookmarkEnd w:id="109"/>
      <w:bookmarkEnd w:id="110"/>
    </w:p>
    <w:p w14:paraId="045BDEDF">
      <w:pPr>
        <w:spacing w:line="360" w:lineRule="auto"/>
        <w:rPr>
          <w:rFonts w:hint="eastAsia" w:ascii="宋体" w:hAnsi="宋体"/>
          <w:b/>
          <w:color w:val="000000" w:themeColor="text1"/>
          <w14:textFill>
            <w14:solidFill>
              <w14:schemeClr w14:val="tx1"/>
            </w14:solidFill>
          </w14:textFill>
        </w:rPr>
      </w:pPr>
      <w:bookmarkStart w:id="111" w:name="_Toc17884833"/>
      <w:bookmarkStart w:id="112" w:name="_Toc460416354"/>
      <w:bookmarkStart w:id="113" w:name="_Toc460416659"/>
      <w:bookmarkStart w:id="114" w:name="_Toc460857917"/>
      <w:r>
        <w:rPr>
          <w:rFonts w:hint="eastAsia" w:ascii="宋体" w:hAnsi="宋体"/>
          <w:b/>
          <w:color w:val="000000" w:themeColor="text1"/>
          <w14:textFill>
            <w14:solidFill>
              <w14:schemeClr w14:val="tx1"/>
            </w14:solidFill>
          </w14:textFill>
        </w:rPr>
        <w:t>（五）投标保证金</w:t>
      </w:r>
      <w:bookmarkEnd w:id="111"/>
      <w:bookmarkEnd w:id="112"/>
      <w:bookmarkEnd w:id="113"/>
      <w:bookmarkEnd w:id="114"/>
    </w:p>
    <w:p w14:paraId="5381D485">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本项目无须缴纳投标保证金。</w:t>
      </w:r>
    </w:p>
    <w:p w14:paraId="36C2E568">
      <w:pPr>
        <w:spacing w:line="360" w:lineRule="auto"/>
        <w:rPr>
          <w:rFonts w:hint="eastAsia" w:ascii="宋体" w:hAnsi="宋体"/>
          <w:b/>
          <w:color w:val="000000" w:themeColor="text1"/>
          <w14:textFill>
            <w14:solidFill>
              <w14:schemeClr w14:val="tx1"/>
            </w14:solidFill>
          </w14:textFill>
        </w:rPr>
      </w:pPr>
      <w:bookmarkStart w:id="115" w:name="_Toc17884834"/>
      <w:bookmarkStart w:id="116" w:name="_Toc460416355"/>
      <w:bookmarkStart w:id="117" w:name="_Toc460416660"/>
      <w:bookmarkStart w:id="118" w:name="_Toc460857918"/>
      <w:r>
        <w:rPr>
          <w:rFonts w:hint="eastAsia" w:ascii="宋体" w:hAnsi="宋体"/>
          <w:b/>
          <w:color w:val="000000" w:themeColor="text1"/>
          <w14:textFill>
            <w14:solidFill>
              <w14:schemeClr w14:val="tx1"/>
            </w14:solidFill>
          </w14:textFill>
        </w:rPr>
        <w:t>（六）投标文件的签署和份数</w:t>
      </w:r>
      <w:bookmarkEnd w:id="115"/>
      <w:bookmarkEnd w:id="116"/>
      <w:bookmarkEnd w:id="117"/>
      <w:bookmarkEnd w:id="118"/>
    </w:p>
    <w:p w14:paraId="6DE7A09E">
      <w:pPr>
        <w:spacing w:line="360" w:lineRule="auto"/>
        <w:ind w:firstLine="420"/>
        <w:rPr>
          <w:rFonts w:hint="eastAsia" w:ascii="宋体" w:hAnsi="宋体"/>
          <w:bCs/>
          <w:color w:val="000000" w:themeColor="text1"/>
          <w14:textFill>
            <w14:solidFill>
              <w14:schemeClr w14:val="tx1"/>
            </w14:solidFill>
          </w14:textFill>
        </w:rPr>
      </w:pPr>
      <w:bookmarkStart w:id="119" w:name="_Toc17884835"/>
      <w:bookmarkStart w:id="120" w:name="_Toc460857919"/>
      <w:r>
        <w:rPr>
          <w:rFonts w:hint="eastAsia" w:ascii="宋体" w:hAnsi="宋体"/>
          <w:bCs/>
          <w:color w:val="000000" w:themeColor="text1"/>
          <w14:textFill>
            <w14:solidFill>
              <w14:schemeClr w14:val="tx1"/>
            </w14:solidFill>
          </w14:textFill>
        </w:rPr>
        <w:t>1、投标人应按本招标文件规定的格式和顺序编制、装订投标文件，投标文件要求有目录并标注页码，投标文件内容不完整、编排混乱导致投标文件被误读、漏读或者查找不到相关内容的，是投标人的责任。</w:t>
      </w:r>
    </w:p>
    <w:p w14:paraId="6A09C56E">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2、投标文件的份数：</w:t>
      </w:r>
    </w:p>
    <w:p w14:paraId="13E80CDE">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本项目实行网上投标，投标人应准备以下投标文件：</w:t>
      </w:r>
    </w:p>
    <w:p w14:paraId="48425672">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（1）上传到政府采购云平台的电子加密投标文件（</w:t>
      </w:r>
      <w:r>
        <w:rPr>
          <w:rFonts w:ascii="宋体" w:hAnsi="宋体"/>
          <w:bCs/>
          <w:color w:val="000000" w:themeColor="text1"/>
          <w14:textFill>
            <w14:solidFill>
              <w14:schemeClr w14:val="tx1"/>
            </w14:solidFill>
          </w14:textFill>
        </w:rPr>
        <w:t>资格文件</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商务和技术文件</w:t>
      </w:r>
      <w:r>
        <w:rPr>
          <w:rFonts w:hint="eastAsia" w:ascii="宋体" w:hAnsi="宋体"/>
          <w:bCs/>
          <w:color w:val="000000" w:themeColor="text1"/>
          <w14:textFill>
            <w14:solidFill>
              <w14:schemeClr w14:val="tx1"/>
            </w14:solidFill>
          </w14:textFill>
        </w:rPr>
        <w:t>”“报价文件”）1份。</w:t>
      </w:r>
    </w:p>
    <w:p w14:paraId="33FB3D4A">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（2）投标人应根据政府采购云平台的要求及本招标文件规定的格式和顺序编制电子投标文件并进行关联定位。</w:t>
      </w:r>
    </w:p>
    <w:p w14:paraId="486B0C9C">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（七）投标文件的修改和撤回</w:t>
      </w:r>
      <w:bookmarkEnd w:id="119"/>
      <w:bookmarkEnd w:id="120"/>
    </w:p>
    <w:p w14:paraId="4DCF9683">
      <w:pPr>
        <w:spacing w:line="360" w:lineRule="auto"/>
        <w:ind w:firstLine="420"/>
        <w:rPr>
          <w:rFonts w:hint="eastAsia" w:ascii="宋体" w:hAnsi="宋体"/>
          <w:bCs/>
          <w:color w:val="000000" w:themeColor="text1"/>
          <w14:textFill>
            <w14:solidFill>
              <w14:schemeClr w14:val="tx1"/>
            </w14:solidFill>
          </w14:textFill>
        </w:rPr>
      </w:pPr>
      <w:bookmarkStart w:id="121" w:name="_Toc460416661"/>
      <w:bookmarkStart w:id="122" w:name="_Toc460416356"/>
      <w:bookmarkStart w:id="123" w:name="_Toc460857920"/>
      <w:bookmarkStart w:id="124" w:name="_Toc17884836"/>
      <w:r>
        <w:rPr>
          <w:rFonts w:hint="eastAsia" w:ascii="宋体" w:hAnsi="宋体"/>
          <w:bCs/>
          <w:color w:val="000000" w:themeColor="text1"/>
          <w14:textFill>
            <w14:solidFill>
              <w14:schemeClr w14:val="tx1"/>
            </w14:solidFill>
          </w14:textFill>
        </w:rPr>
        <w:t>投标人应当在投标截止时间前完成电子加密投标文件的传输递交，并可以补充、修改或者撤回电子加密投标文件。补充或者修改电子加密投标文件的，应当先行撤回原文件，补充、修改后重新传输递交。投标截止时间前未完成传输的，视为撤回投标文件。投标、响应截止时间后传输递交的投标、响应文件，将被拒收。</w:t>
      </w:r>
    </w:p>
    <w:p w14:paraId="2FCDF143">
      <w:pPr>
        <w:spacing w:line="360" w:lineRule="auto"/>
        <w:ind w:firstLine="42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（八）投标文件的形式和效力</w:t>
      </w:r>
    </w:p>
    <w:p w14:paraId="0AAD70BC">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①“电子加密投标文件”是指通过“政采云电子交易客户端”完成投标文件编制后生成并加密的数据电文形式的投标文件（文件后缀为：jmbs）。</w:t>
      </w:r>
    </w:p>
    <w:p w14:paraId="3ACA8429">
      <w:pPr>
        <w:spacing w:line="360" w:lineRule="auto"/>
        <w:ind w:firstLine="420"/>
        <w:rPr>
          <w:rFonts w:hint="eastAsia" w:ascii="宋体" w:hAnsi="宋体"/>
          <w:bCs/>
          <w:color w:val="000000" w:themeColor="text1"/>
          <w14:textFill>
            <w14:solidFill>
              <w14:schemeClr w14:val="tx1"/>
            </w14:solidFill>
          </w14:textFill>
        </w:rPr>
      </w:pPr>
      <w:r>
        <w:rPr>
          <w:rFonts w:ascii="Calibri" w:hAnsi="Calibri" w:cs="Calibri"/>
          <w:bCs/>
          <w:color w:val="000000" w:themeColor="text1"/>
          <w14:textFill>
            <w14:solidFill>
              <w14:schemeClr w14:val="tx1"/>
            </w14:solidFill>
          </w14:textFill>
        </w:rPr>
        <w:t>②</w:t>
      </w:r>
      <w:r>
        <w:rPr>
          <w:rFonts w:hint="eastAsia" w:ascii="宋体" w:hAnsi="宋体"/>
          <w:bCs/>
          <w:color w:val="000000" w:themeColor="text1"/>
          <w14:textFill>
            <w14:solidFill>
              <w14:schemeClr w14:val="tx1"/>
            </w14:solidFill>
          </w14:textFill>
        </w:rPr>
        <w:t>采购过程中出现以下情形，导致电子交易平台无法正常运行，或者无法保证电子交易的公平、公正和安全时，采购人（或代理机构）可中止电子交易活动：</w:t>
      </w:r>
    </w:p>
    <w:p w14:paraId="063CE4A7">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A.“政府采购云平台”发生故障而无法登录访问的；</w:t>
      </w:r>
    </w:p>
    <w:p w14:paraId="691C8048">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B.“政府采购云平台”应用或数据库出现错误，不能进行正常操作的；</w:t>
      </w:r>
    </w:p>
    <w:p w14:paraId="05722B0B">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C.“政府采购云平台”发现严重安全漏洞，有潜在泄密危险的；</w:t>
      </w:r>
    </w:p>
    <w:p w14:paraId="07E9F328">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D.病毒发作导致不能进行正常操作的；</w:t>
      </w:r>
    </w:p>
    <w:p w14:paraId="3521F4D0">
      <w:pPr>
        <w:spacing w:line="360" w:lineRule="auto"/>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E.其他无法保证电子交易的公平、公正和安全的情况。</w:t>
      </w:r>
    </w:p>
    <w:p w14:paraId="72B99AA3">
      <w:pPr>
        <w:spacing w:line="360" w:lineRule="auto"/>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556E5F91">
      <w:pPr>
        <w:spacing w:line="360" w:lineRule="auto"/>
        <w:ind w:firstLine="42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（九）投标无效的情形</w:t>
      </w:r>
      <w:bookmarkEnd w:id="121"/>
      <w:bookmarkEnd w:id="122"/>
      <w:bookmarkEnd w:id="123"/>
      <w:bookmarkEnd w:id="124"/>
    </w:p>
    <w:p w14:paraId="06551D5D">
      <w:pPr>
        <w:snapToGrid w:val="0"/>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实质上没有响应采购文件要求的投标将被视为无效投标。投标人不得通过修正或撤销不合要求的偏离或保留从而使其投标成为实质上响应的投标。投标无效情形详见第四章《评标办法及评分标准》。</w:t>
      </w:r>
    </w:p>
    <w:p w14:paraId="0A542A8B">
      <w:pPr>
        <w:spacing w:line="360" w:lineRule="auto"/>
        <w:rPr>
          <w:rFonts w:hint="eastAsia" w:ascii="宋体" w:hAnsi="宋体"/>
          <w:b/>
          <w:color w:val="000000" w:themeColor="text1"/>
          <w14:textFill>
            <w14:solidFill>
              <w14:schemeClr w14:val="tx1"/>
            </w14:solidFill>
          </w14:textFill>
        </w:rPr>
      </w:pPr>
      <w:bookmarkStart w:id="125" w:name="_Toc460416663"/>
      <w:bookmarkStart w:id="126" w:name="_Toc460416358"/>
      <w:bookmarkStart w:id="127" w:name="_Toc17884840"/>
      <w:bookmarkStart w:id="128" w:name="_Toc460857924"/>
      <w:r>
        <w:rPr>
          <w:rFonts w:hint="eastAsia" w:ascii="宋体" w:hAnsi="宋体"/>
          <w:b/>
          <w:color w:val="000000" w:themeColor="text1"/>
          <w14:textFill>
            <w14:solidFill>
              <w14:schemeClr w14:val="tx1"/>
            </w14:solidFill>
          </w14:textFill>
        </w:rPr>
        <w:t>四、评标</w:t>
      </w:r>
      <w:bookmarkEnd w:id="125"/>
      <w:bookmarkEnd w:id="126"/>
      <w:bookmarkEnd w:id="127"/>
      <w:bookmarkEnd w:id="128"/>
    </w:p>
    <w:p w14:paraId="59F0BAFC">
      <w:pPr>
        <w:spacing w:line="360" w:lineRule="auto"/>
        <w:rPr>
          <w:rFonts w:hint="eastAsia" w:ascii="宋体" w:hAnsi="宋体"/>
          <w:b/>
          <w:color w:val="000000" w:themeColor="text1"/>
          <w14:textFill>
            <w14:solidFill>
              <w14:schemeClr w14:val="tx1"/>
            </w14:solidFill>
          </w14:textFill>
        </w:rPr>
      </w:pPr>
      <w:bookmarkStart w:id="129" w:name="_Toc17884841"/>
      <w:bookmarkStart w:id="130" w:name="_Toc460857925"/>
      <w:r>
        <w:rPr>
          <w:rFonts w:hint="eastAsia" w:ascii="宋体" w:hAnsi="宋体"/>
          <w:b/>
          <w:color w:val="000000" w:themeColor="text1"/>
          <w14:textFill>
            <w14:solidFill>
              <w14:schemeClr w14:val="tx1"/>
            </w14:solidFill>
          </w14:textFill>
        </w:rPr>
        <w:t>（一）组建评标委员会</w:t>
      </w:r>
      <w:bookmarkEnd w:id="129"/>
      <w:bookmarkEnd w:id="130"/>
    </w:p>
    <w:p w14:paraId="03424100">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本项目评标委员会依法组建。</w:t>
      </w:r>
    </w:p>
    <w:p w14:paraId="1FC43C3F">
      <w:pPr>
        <w:spacing w:line="360" w:lineRule="auto"/>
        <w:rPr>
          <w:rFonts w:hint="eastAsia" w:ascii="宋体" w:hAnsi="宋体"/>
          <w:b/>
          <w:color w:val="000000" w:themeColor="text1"/>
          <w14:textFill>
            <w14:solidFill>
              <w14:schemeClr w14:val="tx1"/>
            </w14:solidFill>
          </w14:textFill>
        </w:rPr>
      </w:pPr>
      <w:bookmarkStart w:id="131" w:name="_Toc460857926"/>
      <w:bookmarkStart w:id="132" w:name="_Toc17884842"/>
      <w:r>
        <w:rPr>
          <w:rFonts w:hint="eastAsia" w:ascii="宋体" w:hAnsi="宋体"/>
          <w:b/>
          <w:color w:val="000000" w:themeColor="text1"/>
          <w14:textFill>
            <w14:solidFill>
              <w14:schemeClr w14:val="tx1"/>
            </w14:solidFill>
          </w14:textFill>
        </w:rPr>
        <w:t>（二）评标的方式</w:t>
      </w:r>
      <w:bookmarkEnd w:id="131"/>
      <w:bookmarkEnd w:id="132"/>
    </w:p>
    <w:p w14:paraId="46480CEA">
      <w:pPr>
        <w:pStyle w:val="24"/>
        <w:snapToGrid w:val="0"/>
        <w:spacing w:beforeLines="0" w:afterLines="0" w:line="360" w:lineRule="auto"/>
        <w:ind w:left="689" w:leftChars="228" w:hanging="210" w:hangingChars="1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本项目采用不公开方式评标，评标的依据为采购文件和投标文件。</w:t>
      </w:r>
    </w:p>
    <w:p w14:paraId="55243730">
      <w:pPr>
        <w:spacing w:line="360" w:lineRule="auto"/>
        <w:rPr>
          <w:rFonts w:hint="eastAsia" w:ascii="宋体" w:hAnsi="宋体"/>
          <w:b/>
          <w:color w:val="000000" w:themeColor="text1"/>
          <w14:textFill>
            <w14:solidFill>
              <w14:schemeClr w14:val="tx1"/>
            </w14:solidFill>
          </w14:textFill>
        </w:rPr>
      </w:pPr>
      <w:bookmarkStart w:id="133" w:name="_Toc17884843"/>
      <w:bookmarkStart w:id="134" w:name="_Toc460857927"/>
      <w:r>
        <w:rPr>
          <w:rFonts w:hint="eastAsia" w:ascii="宋体" w:hAnsi="宋体"/>
          <w:b/>
          <w:color w:val="000000" w:themeColor="text1"/>
          <w14:textFill>
            <w14:solidFill>
              <w14:schemeClr w14:val="tx1"/>
            </w14:solidFill>
          </w14:textFill>
        </w:rPr>
        <w:t>（三）评标程序</w:t>
      </w:r>
      <w:bookmarkEnd w:id="133"/>
      <w:bookmarkEnd w:id="134"/>
    </w:p>
    <w:p w14:paraId="6965FF88">
      <w:pPr>
        <w:snapToGrid w:val="0"/>
        <w:spacing w:line="360" w:lineRule="auto"/>
        <w:ind w:firstLine="413" w:firstLineChars="196"/>
        <w:jc w:val="lef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1、资格审查</w:t>
      </w:r>
    </w:p>
    <w:p w14:paraId="0908EF1C">
      <w:pPr>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招标代理机构工作人员对投标人的资格</w:t>
      </w:r>
      <w:r>
        <w:rPr>
          <w:rFonts w:ascii="宋体" w:hAnsi="宋体"/>
          <w:color w:val="000000" w:themeColor="text1"/>
          <w:szCs w:val="21"/>
          <w14:textFill>
            <w14:solidFill>
              <w14:schemeClr w14:val="tx1"/>
            </w14:solidFill>
          </w14:textFill>
        </w:rPr>
        <w:t>进行审查。</w:t>
      </w:r>
    </w:p>
    <w:p w14:paraId="36C9AB76">
      <w:pPr>
        <w:snapToGrid w:val="0"/>
        <w:spacing w:line="360" w:lineRule="auto"/>
        <w:ind w:firstLine="413" w:firstLineChars="196"/>
        <w:jc w:val="lef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2、符合性审查与比较</w:t>
      </w:r>
    </w:p>
    <w:p w14:paraId="71C3A0BC">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（1）评标委员会审查投标文件的实质性内容是否符合采购文件的实质性要求。</w:t>
      </w:r>
    </w:p>
    <w:p w14:paraId="78FA4873">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14:paraId="34BA633B">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投标人代表未到场或者拒绝澄清或者澄清的内容改变了投标文件的实质性内容的，评标委员会有权对该投标文件作出不利于投标人的评判。</w:t>
      </w:r>
    </w:p>
    <w:p w14:paraId="6D7DA739">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（3）各投标人的技术商务得分为所有评委的有效评分的算术平均数，由指定专人进行计算复核。</w:t>
      </w:r>
    </w:p>
    <w:p w14:paraId="088518EA">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（4）采购代理机构工作人员协助评标委员会根据本项目的评分标准计算各投标人的商务报价得分。</w:t>
      </w:r>
    </w:p>
    <w:p w14:paraId="75198F5D">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（5）评标委员会完成评标后，评委对各部分得分汇总，计算出本项目最终得分。评标委员会按评标原则推荐中标候选人同时起草评标报告。</w:t>
      </w:r>
    </w:p>
    <w:p w14:paraId="709DD220">
      <w:pPr>
        <w:spacing w:line="360" w:lineRule="auto"/>
        <w:rPr>
          <w:rFonts w:hint="eastAsia" w:ascii="宋体" w:hAnsi="宋体"/>
          <w:b/>
          <w:color w:val="000000" w:themeColor="text1"/>
          <w14:textFill>
            <w14:solidFill>
              <w14:schemeClr w14:val="tx1"/>
            </w14:solidFill>
          </w14:textFill>
        </w:rPr>
      </w:pPr>
      <w:bookmarkStart w:id="135" w:name="_Toc17884844"/>
      <w:bookmarkStart w:id="136" w:name="_Toc460857928"/>
      <w:r>
        <w:rPr>
          <w:rFonts w:hint="eastAsia" w:ascii="宋体" w:hAnsi="宋体"/>
          <w:b/>
          <w:color w:val="000000" w:themeColor="text1"/>
          <w14:textFill>
            <w14:solidFill>
              <w14:schemeClr w14:val="tx1"/>
            </w14:solidFill>
          </w14:textFill>
        </w:rPr>
        <w:t>（四）澄清问题的形式</w:t>
      </w:r>
      <w:bookmarkEnd w:id="135"/>
      <w:bookmarkEnd w:id="136"/>
    </w:p>
    <w:p w14:paraId="719312D4">
      <w:pPr>
        <w:widowControl/>
        <w:spacing w:line="360" w:lineRule="auto"/>
        <w:ind w:firstLine="420" w:firstLineChars="200"/>
        <w:jc w:val="left"/>
        <w:outlineLvl w:val="1"/>
        <w:rPr>
          <w:rFonts w:hint="eastAsia" w:ascii="宋体" w:hAnsi="宋体"/>
          <w:color w:val="000000" w:themeColor="text1"/>
          <w:szCs w:val="21"/>
          <w14:textFill>
            <w14:solidFill>
              <w14:schemeClr w14:val="tx1"/>
            </w14:solidFill>
          </w14:textFill>
        </w:rPr>
      </w:pPr>
      <w:bookmarkStart w:id="137" w:name="_Toc497898868"/>
      <w:bookmarkStart w:id="138" w:name="_Toc2513"/>
      <w:bookmarkStart w:id="139" w:name="_Toc460857930"/>
      <w:bookmarkStart w:id="140" w:name="_Toc17884845"/>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对于投标文件中含义不明确、同类问题表述不一致或者有明显文字和计算错误的内容，评标委员会可要求</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以书面形式作出必要的澄清、说明或者补正。</w:t>
      </w:r>
      <w:bookmarkEnd w:id="137"/>
      <w:bookmarkEnd w:id="138"/>
    </w:p>
    <w:p w14:paraId="32463CF0">
      <w:pPr>
        <w:widowControl/>
        <w:spacing w:line="360" w:lineRule="auto"/>
        <w:ind w:firstLine="420" w:firstLineChars="200"/>
        <w:jc w:val="left"/>
        <w:outlineLvl w:val="1"/>
        <w:rPr>
          <w:rFonts w:hint="eastAsia" w:ascii="宋体" w:hAnsi="宋体"/>
          <w:color w:val="000000" w:themeColor="text1"/>
          <w:szCs w:val="21"/>
          <w14:textFill>
            <w14:solidFill>
              <w14:schemeClr w14:val="tx1"/>
            </w14:solidFill>
          </w14:textFill>
        </w:rPr>
      </w:pPr>
      <w:bookmarkStart w:id="141" w:name="_Toc497898869"/>
      <w:bookmarkStart w:id="142" w:name="_Toc19008"/>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的澄清、说明或者补正应当采用书面形式，并加盖公章，或者由法定代表人或其授权代表签字确认，</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的澄清、说明或者补正不得超出投标文件的范围或者改变投标文件的实质性内容。</w:t>
      </w:r>
      <w:bookmarkEnd w:id="141"/>
      <w:bookmarkEnd w:id="142"/>
    </w:p>
    <w:p w14:paraId="4B9C88A5">
      <w:pPr>
        <w:widowControl/>
        <w:spacing w:line="360" w:lineRule="auto"/>
        <w:jc w:val="left"/>
        <w:outlineLvl w:val="1"/>
        <w:rPr>
          <w:rFonts w:hint="eastAsia" w:ascii="宋体" w:hAnsi="宋体"/>
          <w:b/>
          <w:color w:val="000000" w:themeColor="text1"/>
          <w:szCs w:val="28"/>
          <w14:textFill>
            <w14:solidFill>
              <w14:schemeClr w14:val="tx1"/>
            </w14:solidFill>
          </w14:textFill>
        </w:rPr>
      </w:pPr>
      <w:bookmarkStart w:id="143" w:name="_Toc497898870"/>
      <w:bookmarkStart w:id="144" w:name="_Toc24745"/>
      <w:r>
        <w:rPr>
          <w:rFonts w:hint="eastAsia" w:ascii="宋体" w:hAnsi="宋体"/>
          <w:b/>
          <w:color w:val="000000" w:themeColor="text1"/>
          <w:szCs w:val="28"/>
          <w14:textFill>
            <w14:solidFill>
              <w14:schemeClr w14:val="tx1"/>
            </w14:solidFill>
          </w14:textFill>
        </w:rPr>
        <w:t>（五）错误修正</w:t>
      </w:r>
      <w:bookmarkEnd w:id="143"/>
      <w:bookmarkEnd w:id="144"/>
    </w:p>
    <w:p w14:paraId="4F330A64">
      <w:pPr>
        <w:pStyle w:val="128"/>
        <w:widowControl/>
        <w:spacing w:beforeLines="0" w:afterLines="0" w:line="360" w:lineRule="auto"/>
        <w:ind w:left="689" w:leftChars="228" w:hanging="210" w:hangingChars="1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投标文件报价出现前后不一致的，除采购文件另有规定外，按照下列规定修正：</w:t>
      </w:r>
    </w:p>
    <w:p w14:paraId="7422801B">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1、投标文件中开标一览表（报价表）内容与投标文件中相应内容不一致的，以开标一览表（报价表）为准；</w:t>
      </w:r>
    </w:p>
    <w:p w14:paraId="6A998D95">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2、大写金额和小写金额不一致的，以大写金额为准；</w:t>
      </w:r>
    </w:p>
    <w:p w14:paraId="1FD97E0C">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3、单价金额小数点或者百分比有明显错位的，以开标一览表的总价为准，并修改单价；</w:t>
      </w:r>
    </w:p>
    <w:p w14:paraId="75C561EE">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4、总价金额与按单价汇总金额不一致的，以单价金额计算结果为准；</w:t>
      </w:r>
    </w:p>
    <w:p w14:paraId="304AE3EB">
      <w:pPr>
        <w:pStyle w:val="128"/>
        <w:widowControl/>
        <w:spacing w:beforeLines="0" w:afterLines="0" w:line="360" w:lineRule="auto"/>
        <w:ind w:firstLine="422" w:firstLineChars="200"/>
        <w:jc w:val="left"/>
        <w:rPr>
          <w:rFonts w:hint="eastAsia" w:hAnsi="宋体"/>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同时出现两种以上不一致的，按照前款规定的顺序修正。修正后的报价经</w:t>
      </w:r>
      <w:r>
        <w:rPr>
          <w:rFonts w:hAnsi="宋体"/>
          <w:b/>
          <w:bCs/>
          <w:color w:val="000000" w:themeColor="text1"/>
          <w:sz w:val="21"/>
          <w:szCs w:val="21"/>
          <w14:textFill>
            <w14:solidFill>
              <w14:schemeClr w14:val="tx1"/>
            </w14:solidFill>
          </w14:textFill>
        </w:rPr>
        <w:t>投标人</w:t>
      </w:r>
      <w:r>
        <w:rPr>
          <w:rFonts w:hint="eastAsia" w:hAnsi="宋体"/>
          <w:b/>
          <w:bCs/>
          <w:color w:val="000000" w:themeColor="text1"/>
          <w:sz w:val="21"/>
          <w:szCs w:val="21"/>
          <w14:textFill>
            <w14:solidFill>
              <w14:schemeClr w14:val="tx1"/>
            </w14:solidFill>
          </w14:textFill>
        </w:rPr>
        <w:t>确认后具有约束力，若</w:t>
      </w:r>
      <w:r>
        <w:rPr>
          <w:rFonts w:hAnsi="宋体"/>
          <w:b/>
          <w:bCs/>
          <w:color w:val="000000" w:themeColor="text1"/>
          <w:sz w:val="21"/>
          <w:szCs w:val="21"/>
          <w14:textFill>
            <w14:solidFill>
              <w14:schemeClr w14:val="tx1"/>
            </w14:solidFill>
          </w14:textFill>
        </w:rPr>
        <w:t>投标人</w:t>
      </w:r>
      <w:r>
        <w:rPr>
          <w:rFonts w:hint="eastAsia" w:hAnsi="宋体"/>
          <w:b/>
          <w:bCs/>
          <w:color w:val="000000" w:themeColor="text1"/>
          <w:sz w:val="21"/>
          <w:szCs w:val="21"/>
          <w14:textFill>
            <w14:solidFill>
              <w14:schemeClr w14:val="tx1"/>
            </w14:solidFill>
          </w14:textFill>
        </w:rPr>
        <w:t>不确认的，则其投标无效。</w:t>
      </w:r>
    </w:p>
    <w:p w14:paraId="44167CF9">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（六）评标原则和评标办法</w:t>
      </w:r>
      <w:bookmarkEnd w:id="139"/>
      <w:bookmarkEnd w:id="140"/>
    </w:p>
    <w:p w14:paraId="2DC524B0">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F1D51AB">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2、评标办法。本项目评标办法是</w:t>
      </w:r>
      <w:r>
        <w:rPr>
          <w:rFonts w:hint="eastAsia" w:hAnsi="宋体"/>
          <w:color w:val="000000" w:themeColor="text1"/>
          <w:sz w:val="21"/>
          <w:szCs w:val="21"/>
          <w:u w:val="single"/>
          <w14:textFill>
            <w14:solidFill>
              <w14:schemeClr w14:val="tx1"/>
            </w14:solidFill>
          </w14:textFill>
        </w:rPr>
        <w:t xml:space="preserve"> 综合评分法 </w:t>
      </w:r>
      <w:r>
        <w:rPr>
          <w:rFonts w:hint="eastAsia" w:hAnsi="宋体"/>
          <w:color w:val="000000" w:themeColor="text1"/>
          <w:sz w:val="21"/>
          <w:szCs w:val="21"/>
          <w14:textFill>
            <w14:solidFill>
              <w14:schemeClr w14:val="tx1"/>
            </w14:solidFill>
          </w14:textFill>
        </w:rPr>
        <w:t>，具体评标内容及评分标准等详见《第四章 评标办法及评分标准》。</w:t>
      </w:r>
    </w:p>
    <w:p w14:paraId="22D3163E">
      <w:pPr>
        <w:spacing w:line="360" w:lineRule="auto"/>
        <w:rPr>
          <w:rFonts w:hint="eastAsia" w:ascii="宋体" w:hAnsi="宋体"/>
          <w:b/>
          <w:color w:val="000000" w:themeColor="text1"/>
          <w14:textFill>
            <w14:solidFill>
              <w14:schemeClr w14:val="tx1"/>
            </w14:solidFill>
          </w14:textFill>
        </w:rPr>
      </w:pPr>
      <w:bookmarkStart w:id="145" w:name="_Toc17884846"/>
      <w:bookmarkStart w:id="146" w:name="_Toc460857931"/>
      <w:r>
        <w:rPr>
          <w:rFonts w:hint="eastAsia" w:ascii="宋体" w:hAnsi="宋体"/>
          <w:b/>
          <w:color w:val="000000" w:themeColor="text1"/>
          <w14:textFill>
            <w14:solidFill>
              <w14:schemeClr w14:val="tx1"/>
            </w14:solidFill>
          </w14:textFill>
        </w:rPr>
        <w:t>五、</w:t>
      </w:r>
      <w:bookmarkEnd w:id="145"/>
      <w:bookmarkEnd w:id="146"/>
      <w:r>
        <w:rPr>
          <w:rFonts w:hint="eastAsia" w:ascii="宋体" w:hAnsi="宋体"/>
          <w:b/>
          <w:color w:val="000000" w:themeColor="text1"/>
          <w14:textFill>
            <w14:solidFill>
              <w14:schemeClr w14:val="tx1"/>
            </w14:solidFill>
          </w14:textFill>
        </w:rPr>
        <w:t>项目终止</w:t>
      </w:r>
    </w:p>
    <w:p w14:paraId="17090B96">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bookmarkStart w:id="147" w:name="_Toc460857932"/>
      <w:r>
        <w:rPr>
          <w:rFonts w:hint="eastAsia" w:ascii="宋体" w:hAnsi="宋体"/>
          <w:color w:val="000000" w:themeColor="text1"/>
          <w:szCs w:val="21"/>
          <w14:textFill>
            <w14:solidFill>
              <w14:schemeClr w14:val="tx1"/>
            </w14:solidFill>
          </w14:textFill>
        </w:rPr>
        <w:t>政府采购的国内公开招标，采购响应截止时间或评审期间，出现参与采购响应或者对采购文件作出实质性响应的供应商不足3家的情况，招标人有权全部或部分终止招标。</w:t>
      </w:r>
    </w:p>
    <w:p w14:paraId="510E42C5">
      <w:pPr>
        <w:spacing w:line="360" w:lineRule="auto"/>
        <w:rPr>
          <w:rFonts w:hint="eastAsia" w:ascii="宋体" w:hAnsi="宋体"/>
          <w:b/>
          <w:color w:val="000000" w:themeColor="text1"/>
          <w14:textFill>
            <w14:solidFill>
              <w14:schemeClr w14:val="tx1"/>
            </w14:solidFill>
          </w14:textFill>
        </w:rPr>
      </w:pPr>
      <w:bookmarkStart w:id="148" w:name="_Toc17884847"/>
      <w:r>
        <w:rPr>
          <w:rFonts w:hint="eastAsia" w:ascii="宋体" w:hAnsi="宋体"/>
          <w:b/>
          <w:color w:val="000000" w:themeColor="text1"/>
          <w14:textFill>
            <w14:solidFill>
              <w14:schemeClr w14:val="tx1"/>
            </w14:solidFill>
          </w14:textFill>
        </w:rPr>
        <w:t>六、定标</w:t>
      </w:r>
      <w:bookmarkEnd w:id="147"/>
      <w:bookmarkEnd w:id="148"/>
    </w:p>
    <w:p w14:paraId="2B247222">
      <w:pPr>
        <w:spacing w:line="360" w:lineRule="auto"/>
        <w:rPr>
          <w:rFonts w:hint="eastAsia" w:ascii="宋体" w:hAnsi="宋体"/>
          <w:b/>
          <w:color w:val="000000" w:themeColor="text1"/>
          <w14:textFill>
            <w14:solidFill>
              <w14:schemeClr w14:val="tx1"/>
            </w14:solidFill>
          </w14:textFill>
        </w:rPr>
      </w:pPr>
      <w:bookmarkStart w:id="149" w:name="_Toc17884848"/>
      <w:bookmarkStart w:id="150" w:name="_Toc460857933"/>
      <w:r>
        <w:rPr>
          <w:rFonts w:hint="eastAsia" w:ascii="宋体" w:hAnsi="宋体"/>
          <w:b/>
          <w:color w:val="000000" w:themeColor="text1"/>
          <w14:textFill>
            <w14:solidFill>
              <w14:schemeClr w14:val="tx1"/>
            </w14:solidFill>
          </w14:textFill>
        </w:rPr>
        <w:t>（一）确定中标人</w:t>
      </w:r>
      <w:bookmarkEnd w:id="149"/>
      <w:bookmarkEnd w:id="150"/>
    </w:p>
    <w:p w14:paraId="303B51C7">
      <w:pPr>
        <w:pStyle w:val="24"/>
        <w:widowControl/>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bookmarkStart w:id="151" w:name="_Toc460857934"/>
      <w:bookmarkStart w:id="152" w:name="_Toc17884849"/>
      <w:bookmarkStart w:id="153" w:name="_Toc460416359"/>
      <w:bookmarkStart w:id="154" w:name="_Toc460416664"/>
      <w:r>
        <w:rPr>
          <w:rFonts w:hint="eastAsia" w:hAnsi="宋体"/>
          <w:color w:val="000000" w:themeColor="text1"/>
          <w:sz w:val="21"/>
          <w:szCs w:val="21"/>
          <w14:textFill>
            <w14:solidFill>
              <w14:schemeClr w14:val="tx1"/>
            </w14:solidFill>
          </w14:textFill>
        </w:rPr>
        <w:t>1、确定中标人。本项目由评标委员会推荐中标候选人，采购人不得在评标委员会推荐的中标候选人以外确定中标候选人。</w:t>
      </w:r>
    </w:p>
    <w:p w14:paraId="6EBD0772">
      <w:pPr>
        <w:pStyle w:val="24"/>
        <w:widowControl/>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4D39D8B">
      <w:pPr>
        <w:pStyle w:val="24"/>
        <w:widowControl/>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、采购代理机构自中标人确定之日起2个工作日内，在发布招标公告的网站上对中标结果进行公示，中标结果公告期限为1个工作日。</w:t>
      </w:r>
    </w:p>
    <w:p w14:paraId="254FC486">
      <w:pPr>
        <w:pStyle w:val="24"/>
        <w:widowControl/>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4</w:t>
      </w:r>
      <w:r>
        <w:rPr>
          <w:rFonts w:hint="eastAsia" w:hAnsi="宋体"/>
          <w:color w:val="000000" w:themeColor="text1"/>
          <w:sz w:val="21"/>
          <w:szCs w:val="21"/>
          <w14:textFill>
            <w14:solidFill>
              <w14:schemeClr w14:val="tx1"/>
            </w14:solidFill>
          </w14:textFill>
        </w:rPr>
        <w:t>、凡发现中标人有下列行为之一的，将移交政府采购监督管理部门依法处理：</w:t>
      </w:r>
    </w:p>
    <w:p w14:paraId="00331928">
      <w:pPr>
        <w:numPr>
          <w:ilvl w:val="0"/>
          <w:numId w:val="10"/>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提供虚假材料谋取中标的；</w:t>
      </w:r>
    </w:p>
    <w:p w14:paraId="4358CA27">
      <w:pPr>
        <w:numPr>
          <w:ilvl w:val="0"/>
          <w:numId w:val="10"/>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采取不正当手段诋毁、排挤其他</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w:t>
      </w:r>
    </w:p>
    <w:p w14:paraId="405023F8">
      <w:pPr>
        <w:numPr>
          <w:ilvl w:val="0"/>
          <w:numId w:val="10"/>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与采购人、其他</w:t>
      </w:r>
      <w:r>
        <w:rPr>
          <w:rFonts w:ascii="宋体" w:hAnsi="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或者采购代理机构工作人员恶意串通的；</w:t>
      </w:r>
    </w:p>
    <w:p w14:paraId="5D80B53D">
      <w:pPr>
        <w:numPr>
          <w:ilvl w:val="0"/>
          <w:numId w:val="10"/>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向采购人或采购代理机构人员行贿或者提供其他不正当利益的；</w:t>
      </w:r>
    </w:p>
    <w:p w14:paraId="2DB5BE54">
      <w:pPr>
        <w:numPr>
          <w:ilvl w:val="0"/>
          <w:numId w:val="10"/>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拒绝有关部门监督检查或者提供虚假情况的；</w:t>
      </w:r>
    </w:p>
    <w:p w14:paraId="305355D6">
      <w:pPr>
        <w:numPr>
          <w:ilvl w:val="0"/>
          <w:numId w:val="10"/>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有法律法规规定的其他损害采购人利益和社会公共利益情形的。</w:t>
      </w:r>
    </w:p>
    <w:p w14:paraId="0810CADD">
      <w:pPr>
        <w:widowControl/>
        <w:spacing w:line="360" w:lineRule="auto"/>
        <w:jc w:val="left"/>
        <w:outlineLvl w:val="1"/>
        <w:rPr>
          <w:rFonts w:hint="eastAsia" w:ascii="宋体" w:hAnsi="宋体"/>
          <w:b/>
          <w:color w:val="000000" w:themeColor="text1"/>
          <w:szCs w:val="28"/>
          <w14:textFill>
            <w14:solidFill>
              <w14:schemeClr w14:val="tx1"/>
            </w14:solidFill>
          </w14:textFill>
        </w:rPr>
      </w:pPr>
      <w:bookmarkStart w:id="155" w:name="_Toc8832"/>
      <w:bookmarkStart w:id="156" w:name="_Toc497898872"/>
      <w:r>
        <w:rPr>
          <w:rFonts w:hint="eastAsia" w:ascii="宋体" w:hAnsi="宋体"/>
          <w:b/>
          <w:color w:val="000000" w:themeColor="text1"/>
          <w:szCs w:val="28"/>
          <w14:textFill>
            <w14:solidFill>
              <w14:schemeClr w14:val="tx1"/>
            </w14:solidFill>
          </w14:textFill>
        </w:rPr>
        <w:t>七、评标过程的监控</w:t>
      </w:r>
      <w:bookmarkEnd w:id="155"/>
      <w:bookmarkEnd w:id="156"/>
    </w:p>
    <w:p w14:paraId="074324C7">
      <w:pPr>
        <w:snapToGrid w:val="0"/>
        <w:spacing w:line="360" w:lineRule="auto"/>
        <w:ind w:firstLine="420" w:firstLineChars="200"/>
        <w:jc w:val="left"/>
        <w:rPr>
          <w:rFonts w:hint="eastAsia" w:ascii="宋体" w:hAnsi="宋体"/>
          <w:bCs/>
          <w:color w:val="000000" w:themeColor="text1"/>
          <w:szCs w:val="28"/>
          <w14:textFill>
            <w14:solidFill>
              <w14:schemeClr w14:val="tx1"/>
            </w14:solidFill>
          </w14:textFill>
        </w:rPr>
      </w:pPr>
      <w:bookmarkStart w:id="157" w:name="_Toc497898873"/>
      <w:r>
        <w:rPr>
          <w:rFonts w:hint="eastAsia" w:ascii="宋体" w:hAnsi="宋体"/>
          <w:color w:val="000000" w:themeColor="text1"/>
          <w:szCs w:val="21"/>
          <w14:textFill>
            <w14:solidFill>
              <w14:schemeClr w14:val="tx1"/>
            </w14:solidFill>
          </w14:textFill>
        </w:rPr>
        <w:t>本项目评标过程实行全程录音</w:t>
      </w:r>
      <w:r>
        <w:rPr>
          <w:rFonts w:hint="eastAsia" w:ascii="宋体" w:hAnsi="宋体"/>
          <w:bCs/>
          <w:color w:val="000000" w:themeColor="text1"/>
          <w:szCs w:val="28"/>
          <w14:textFill>
            <w14:solidFill>
              <w14:schemeClr w14:val="tx1"/>
            </w14:solidFill>
          </w14:textFill>
        </w:rPr>
        <w:t>、录像监控，</w:t>
      </w:r>
      <w:r>
        <w:rPr>
          <w:rFonts w:ascii="宋体" w:hAnsi="宋体"/>
          <w:bCs/>
          <w:color w:val="000000" w:themeColor="text1"/>
          <w:szCs w:val="28"/>
          <w14:textFill>
            <w14:solidFill>
              <w14:schemeClr w14:val="tx1"/>
            </w14:solidFill>
          </w14:textFill>
        </w:rPr>
        <w:t>投标人</w:t>
      </w:r>
      <w:r>
        <w:rPr>
          <w:rFonts w:hint="eastAsia" w:ascii="宋体" w:hAnsi="宋体"/>
          <w:bCs/>
          <w:color w:val="000000" w:themeColor="text1"/>
          <w:szCs w:val="28"/>
          <w14:textFill>
            <w14:solidFill>
              <w14:schemeClr w14:val="tx1"/>
            </w14:solidFill>
          </w14:textFill>
        </w:rPr>
        <w:t>在评标过程中所进行的试图影响评标结果的不公正活动，可能导致其投标被拒绝。</w:t>
      </w:r>
      <w:bookmarkEnd w:id="157"/>
    </w:p>
    <w:p w14:paraId="35E6AB61">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八、合同授予</w:t>
      </w:r>
      <w:bookmarkEnd w:id="151"/>
      <w:bookmarkEnd w:id="152"/>
      <w:bookmarkEnd w:id="153"/>
      <w:bookmarkEnd w:id="154"/>
    </w:p>
    <w:p w14:paraId="6D496DD8">
      <w:pPr>
        <w:spacing w:line="360" w:lineRule="auto"/>
        <w:rPr>
          <w:rFonts w:hint="eastAsia" w:ascii="宋体" w:hAnsi="宋体"/>
          <w:b/>
          <w:color w:val="000000" w:themeColor="text1"/>
          <w14:textFill>
            <w14:solidFill>
              <w14:schemeClr w14:val="tx1"/>
            </w14:solidFill>
          </w14:textFill>
        </w:rPr>
      </w:pPr>
      <w:bookmarkStart w:id="158" w:name="_Toc460857935"/>
      <w:bookmarkStart w:id="159" w:name="_Toc17884850"/>
      <w:r>
        <w:rPr>
          <w:rFonts w:hint="eastAsia" w:ascii="宋体" w:hAnsi="宋体"/>
          <w:b/>
          <w:color w:val="000000" w:themeColor="text1"/>
          <w14:textFill>
            <w14:solidFill>
              <w14:schemeClr w14:val="tx1"/>
            </w14:solidFill>
          </w14:textFill>
        </w:rPr>
        <w:t>（一）签订合同</w:t>
      </w:r>
      <w:bookmarkEnd w:id="158"/>
      <w:bookmarkEnd w:id="159"/>
    </w:p>
    <w:p w14:paraId="3507EDDB">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1、采购人与中标人应当在《中标通知书》发出之日起</w:t>
      </w:r>
      <w:r>
        <w:rPr>
          <w:rFonts w:hint="eastAsia" w:ascii="宋体" w:hAnsi="宋体"/>
          <w:b/>
          <w:color w:val="000000" w:themeColor="text1"/>
          <w:szCs w:val="21"/>
          <w:u w:val="single"/>
          <w14:textFill>
            <w14:solidFill>
              <w14:schemeClr w14:val="tx1"/>
            </w14:solidFill>
          </w14:textFill>
        </w:rPr>
        <w:t>30</w:t>
      </w:r>
      <w:r>
        <w:rPr>
          <w:rFonts w:hint="eastAsia" w:ascii="宋体" w:hAnsi="宋体"/>
          <w:color w:val="000000" w:themeColor="text1"/>
          <w:szCs w:val="21"/>
          <w14:textFill>
            <w14:solidFill>
              <w14:schemeClr w14:val="tx1"/>
            </w14:solidFill>
          </w14:textFill>
        </w:rPr>
        <w:t>日内签订政府采购合同。同时，采购代理机构对合同内容进行审查，如发现与采购结果和投标承诺内容不一致的，应予以纠正。</w:t>
      </w:r>
    </w:p>
    <w:p w14:paraId="0C3CC41A">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2、中标人拖延、拒签合同的，将取消中标资格。</w:t>
      </w:r>
    </w:p>
    <w:p w14:paraId="123BCF3F">
      <w:pPr>
        <w:spacing w:line="360" w:lineRule="auto"/>
        <w:rPr>
          <w:rFonts w:hint="eastAsia" w:ascii="宋体" w:hAnsi="宋体"/>
          <w:b/>
          <w:color w:val="000000" w:themeColor="text1"/>
          <w14:textFill>
            <w14:solidFill>
              <w14:schemeClr w14:val="tx1"/>
            </w14:solidFill>
          </w14:textFill>
        </w:rPr>
      </w:pPr>
      <w:bookmarkStart w:id="160" w:name="_Toc17884851"/>
      <w:bookmarkStart w:id="161" w:name="_Toc460857936"/>
      <w:r>
        <w:rPr>
          <w:rFonts w:hint="eastAsia" w:ascii="宋体" w:hAnsi="宋体"/>
          <w:b/>
          <w:color w:val="000000" w:themeColor="text1"/>
          <w14:textFill>
            <w14:solidFill>
              <w14:schemeClr w14:val="tx1"/>
            </w14:solidFill>
          </w14:textFill>
        </w:rPr>
        <w:t>（二）履约保证金</w:t>
      </w:r>
      <w:bookmarkEnd w:id="160"/>
      <w:bookmarkEnd w:id="161"/>
    </w:p>
    <w:p w14:paraId="1B8A6766">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1、中标人应按采购文件确定的履约保证金的金额，向采购人缴纳履约保证金。</w:t>
      </w:r>
    </w:p>
    <w:p w14:paraId="27AD80C8">
      <w:pPr>
        <w:pStyle w:val="24"/>
        <w:snapToGrid w:val="0"/>
        <w:spacing w:beforeLines="0" w:afterLines="0" w:line="360" w:lineRule="auto"/>
        <w:ind w:firstLine="420" w:firstLine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2、签订合同后，如中标人不按双方合同约定履约，则没收其全部履约保证金，履约保证金不足以赔偿损失的，按实际损失赔偿。</w:t>
      </w:r>
    </w:p>
    <w:p w14:paraId="4632527F">
      <w:pPr>
        <w:spacing w:line="360" w:lineRule="auto"/>
        <w:rPr>
          <w:rFonts w:hint="eastAsia" w:ascii="宋体" w:hAnsi="宋体"/>
          <w:b/>
          <w:color w:val="000000" w:themeColor="text1"/>
          <w14:textFill>
            <w14:solidFill>
              <w14:schemeClr w14:val="tx1"/>
            </w14:solidFill>
          </w14:textFill>
        </w:rPr>
      </w:pPr>
      <w:bookmarkStart w:id="162" w:name="_Toc460857937"/>
      <w:bookmarkStart w:id="163" w:name="_Toc17884852"/>
      <w:r>
        <w:rPr>
          <w:rFonts w:hint="eastAsia" w:ascii="宋体" w:hAnsi="宋体"/>
          <w:b/>
          <w:color w:val="000000" w:themeColor="text1"/>
          <w14:textFill>
            <w14:solidFill>
              <w14:schemeClr w14:val="tx1"/>
            </w14:solidFill>
          </w14:textFill>
        </w:rPr>
        <w:t>九、特别说明</w:t>
      </w:r>
      <w:bookmarkEnd w:id="162"/>
      <w:bookmarkEnd w:id="163"/>
    </w:p>
    <w:p w14:paraId="1393A3D0">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1、本项目</w:t>
      </w:r>
      <w:r>
        <w:rPr>
          <w:rFonts w:hint="eastAsia" w:ascii="宋体" w:hAnsi="宋体" w:cs="宋体"/>
          <w:color w:val="000000" w:themeColor="text1"/>
          <w:sz w:val="21"/>
          <w:szCs w:val="21"/>
          <w:u w:val="single"/>
          <w14:textFill>
            <w14:solidFill>
              <w14:schemeClr w14:val="tx1"/>
            </w14:solidFill>
          </w14:textFill>
        </w:rPr>
        <w:t xml:space="preserve">  否  </w:t>
      </w:r>
      <w:r>
        <w:rPr>
          <w:rFonts w:hint="eastAsia" w:ascii="宋体" w:hAnsi="宋体" w:cs="宋体"/>
          <w:color w:val="000000" w:themeColor="text1"/>
          <w:sz w:val="21"/>
          <w:szCs w:val="21"/>
          <w14:textFill>
            <w14:solidFill>
              <w14:schemeClr w14:val="tx1"/>
            </w14:solidFill>
          </w14:textFill>
        </w:rPr>
        <w:t>专门面向中小企业采购。</w:t>
      </w:r>
    </w:p>
    <w:p w14:paraId="22001597">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2、本项目对应的中小企业划分标准所属行业：</w:t>
      </w:r>
      <w:r>
        <w:rPr>
          <w:rFonts w:hint="eastAsia" w:ascii="宋体" w:hAnsi="宋体" w:cs="宋体"/>
          <w:color w:val="000000" w:themeColor="text1"/>
          <w:sz w:val="21"/>
          <w:szCs w:val="21"/>
          <w:u w:val="single"/>
          <w14:textFill>
            <w14:solidFill>
              <w14:schemeClr w14:val="tx1"/>
            </w14:solidFill>
          </w14:textFill>
        </w:rPr>
        <w:t>软件和信息技术服务业</w:t>
      </w:r>
      <w:r>
        <w:rPr>
          <w:rFonts w:hint="eastAsia" w:ascii="宋体" w:hAnsi="宋体" w:cs="宋体"/>
          <w:color w:val="000000" w:themeColor="text1"/>
          <w:sz w:val="21"/>
          <w:szCs w:val="21"/>
          <w14:textFill>
            <w14:solidFill>
              <w14:schemeClr w14:val="tx1"/>
            </w14:solidFill>
          </w14:textFill>
        </w:rPr>
        <w:t>。</w:t>
      </w:r>
    </w:p>
    <w:p w14:paraId="78491014">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3、小微企业是指中华人民共和国境内依法设立，依据国务院批准的中小企业划分标准确定的小型企业和微型企业，但与大企业的负责人为同一人，或者与大企业存在直接控股、管理关系的除外。</w:t>
      </w:r>
    </w:p>
    <w:p w14:paraId="25FAC162">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符合中小企业划分标准的个体工商户，在政府采购活动中视同中小企业。</w:t>
      </w:r>
    </w:p>
    <w:p w14:paraId="1FD998A8">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国务院批准的中小企业划分标准：</w:t>
      </w:r>
      <w:r>
        <w:rPr>
          <w:rFonts w:ascii="宋体" w:hAnsi="宋体" w:cs="宋体"/>
          <w:color w:val="000000" w:themeColor="text1"/>
          <w:sz w:val="21"/>
          <w:szCs w:val="21"/>
          <w14:textFill>
            <w14:solidFill>
              <w14:schemeClr w14:val="tx1"/>
            </w14:solidFill>
          </w14:textFill>
        </w:rPr>
        <w:t>具体见工信部联企业[2011]300号</w:t>
      </w:r>
      <w:r>
        <w:rPr>
          <w:rFonts w:hint="eastAsia" w:ascii="宋体" w:hAnsi="宋体" w:cs="宋体"/>
          <w:color w:val="000000" w:themeColor="text1"/>
          <w:sz w:val="21"/>
          <w:szCs w:val="21"/>
          <w14:textFill>
            <w14:solidFill>
              <w14:schemeClr w14:val="tx1"/>
            </w14:solidFill>
          </w14:textFill>
        </w:rPr>
        <w:t>。</w:t>
      </w:r>
    </w:p>
    <w:p w14:paraId="79C22684">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4、在政府采购活动中，供应商提供的货物、工程或者服务符合下列情形的，可</w:t>
      </w:r>
      <w:r>
        <w:rPr>
          <w:rFonts w:ascii="宋体" w:hAnsi="宋体" w:cs="宋体"/>
          <w:color w:val="000000" w:themeColor="text1"/>
          <w:sz w:val="21"/>
          <w:szCs w:val="21"/>
          <w14:textFill>
            <w14:solidFill>
              <w14:schemeClr w14:val="tx1"/>
            </w14:solidFill>
          </w14:textFill>
        </w:rPr>
        <w:t>享受</w:t>
      </w:r>
      <w:r>
        <w:rPr>
          <w:rFonts w:hint="eastAsia" w:ascii="宋体" w:hAnsi="宋体" w:cs="宋体"/>
          <w:color w:val="000000" w:themeColor="text1"/>
          <w:sz w:val="21"/>
          <w:szCs w:val="21"/>
          <w14:textFill>
            <w14:solidFill>
              <w14:schemeClr w14:val="tx1"/>
            </w14:solidFill>
          </w14:textFill>
        </w:rPr>
        <w:t>小型、微型</w:t>
      </w:r>
      <w:r>
        <w:rPr>
          <w:rFonts w:ascii="宋体" w:hAnsi="宋体" w:cs="宋体"/>
          <w:color w:val="000000" w:themeColor="text1"/>
          <w:sz w:val="21"/>
          <w:szCs w:val="21"/>
          <w14:textFill>
            <w14:solidFill>
              <w14:schemeClr w14:val="tx1"/>
            </w14:solidFill>
          </w14:textFill>
        </w:rPr>
        <w:t>企业</w:t>
      </w:r>
      <w:r>
        <w:rPr>
          <w:rFonts w:hint="eastAsia" w:ascii="宋体" w:hAnsi="宋体" w:cs="宋体"/>
          <w:color w:val="000000" w:themeColor="text1"/>
          <w:sz w:val="21"/>
          <w:szCs w:val="21"/>
          <w14:textFill>
            <w14:solidFill>
              <w14:schemeClr w14:val="tx1"/>
            </w14:solidFill>
          </w14:textFill>
        </w:rPr>
        <w:t>（以下简称小微企业）</w:t>
      </w:r>
      <w:r>
        <w:rPr>
          <w:rFonts w:ascii="宋体" w:hAnsi="宋体" w:cs="宋体"/>
          <w:color w:val="000000" w:themeColor="text1"/>
          <w:sz w:val="21"/>
          <w:szCs w:val="21"/>
          <w14:textFill>
            <w14:solidFill>
              <w14:schemeClr w14:val="tx1"/>
            </w14:solidFill>
          </w14:textFill>
        </w:rPr>
        <w:t>的价格</w:t>
      </w:r>
      <w:r>
        <w:rPr>
          <w:rFonts w:hint="eastAsia" w:ascii="宋体" w:hAnsi="宋体" w:cs="宋体"/>
          <w:color w:val="000000" w:themeColor="text1"/>
          <w:sz w:val="21"/>
          <w:szCs w:val="21"/>
          <w14:textFill>
            <w14:solidFill>
              <w14:schemeClr w14:val="tx1"/>
            </w14:solidFill>
          </w14:textFill>
        </w:rPr>
        <w:t>扣除：</w:t>
      </w:r>
    </w:p>
    <w:p w14:paraId="284C8CB7">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（1）在货物采购项目中，货物由小微企业制造，即货物由小微企业生产且使用该小微企业商号或者注册商标；</w:t>
      </w:r>
    </w:p>
    <w:p w14:paraId="1BBF1E93">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（2）在工程采购项目中，工程由小微企业承建，即工程施工单位为小微企业；</w:t>
      </w:r>
    </w:p>
    <w:p w14:paraId="0E04BBEE">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（3）在服务采购项目中，服务由小微企业承接，即提供服务的人员为小微企业依照《中华人民共和国劳动合同法》订立劳动合同的从业人员。</w:t>
      </w:r>
    </w:p>
    <w:p w14:paraId="66AA5AB9">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以联合体形式参加政府采购活动，联合体各方均为小微企业的，联合体视同小微企业。</w:t>
      </w:r>
    </w:p>
    <w:p w14:paraId="30674D11">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5、在货物采购项目中，供应商提供的货物既有中小企业制造货物，也有大型企业制造货物的，不享受的小微企业价格扣除</w:t>
      </w:r>
      <w:r>
        <w:rPr>
          <w:rFonts w:ascii="宋体" w:hAnsi="宋体" w:cs="宋体"/>
          <w:color w:val="000000" w:themeColor="text1"/>
          <w:sz w:val="21"/>
          <w:szCs w:val="21"/>
          <w14:textFill>
            <w14:solidFill>
              <w14:schemeClr w14:val="tx1"/>
            </w14:solidFill>
          </w14:textFill>
        </w:rPr>
        <w:t>。</w:t>
      </w:r>
    </w:p>
    <w:p w14:paraId="06044132">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6、本项目对符合《政府采购促进中小企业发展管理办法》（财库﹝2020﹞46号）规定的小微企业报价给予10%（工程项目为5%）的扣除，用扣除后的价格参加评审。</w:t>
      </w:r>
    </w:p>
    <w:p w14:paraId="6C45E198">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4FEC7A88">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7、小微企业应按照招标文件格式要求提供《中小企业声明函》。</w:t>
      </w:r>
    </w:p>
    <w:p w14:paraId="3E25860D">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r>
        <w:rPr>
          <w:rFonts w:ascii="宋体" w:hAnsi="宋体" w:cs="宋体"/>
          <w:color w:val="000000" w:themeColor="text1"/>
          <w:sz w:val="21"/>
          <w:szCs w:val="21"/>
          <w14:textFill>
            <w14:solidFill>
              <w14:schemeClr w14:val="tx1"/>
            </w14:solidFill>
          </w14:textFill>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09487F9">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r>
        <w:rPr>
          <w:rFonts w:ascii="宋体" w:hAnsi="宋体" w:cs="宋体"/>
          <w:color w:val="000000" w:themeColor="text1"/>
          <w:sz w:val="21"/>
          <w:szCs w:val="21"/>
          <w14:textFill>
            <w14:solidFill>
              <w14:schemeClr w14:val="tx1"/>
            </w14:solidFill>
          </w14:textFill>
        </w:rPr>
        <w:t>根据《关于促进残疾人就业政府采购政策的通知》（财库[201</w:t>
      </w:r>
      <w:r>
        <w:rPr>
          <w:rFonts w:hint="eastAsia" w:ascii="宋体" w:hAnsi="宋体" w:cs="宋体"/>
          <w:color w:val="000000" w:themeColor="text1"/>
          <w:sz w:val="21"/>
          <w:szCs w:val="21"/>
          <w14:textFill>
            <w14:solidFill>
              <w14:schemeClr w14:val="tx1"/>
            </w14:solidFill>
          </w14:textFill>
        </w:rPr>
        <w:t>7</w:t>
      </w:r>
      <w:r>
        <w:rPr>
          <w:rFonts w:ascii="宋体" w:hAnsi="宋体" w:cs="宋体"/>
          <w:color w:val="000000" w:themeColor="text1"/>
          <w:sz w:val="21"/>
          <w:szCs w:val="21"/>
          <w14:textFill>
            <w14:solidFill>
              <w14:schemeClr w14:val="tx1"/>
            </w14:solidFill>
          </w14:textFill>
        </w:rPr>
        <w:t>]141号）规定，在政府采购活动中，残疾人福利性单位视同小型、微型企业。残疾人福利性单位参加政府采购活动时，提供《残疾人福利性单位声明函》。</w:t>
      </w:r>
    </w:p>
    <w:p w14:paraId="1D3140D6">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10、按规定享受扶持政策获得政府采购合同的，小微企业不得将合同分包给大中型企业，中型企业不得将合同分包给大型企业。</w:t>
      </w:r>
    </w:p>
    <w:p w14:paraId="0591225E">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11、供应商按照《政府采购促进中小企业发展管理办法》（财库﹝2020﹞46号）规定提供声明函内容不实的，属于提供虚假材料谋取中标、成交，依照《中华人民共和国政府采购法》等国家有关规定追究相应责任。</w:t>
      </w:r>
    </w:p>
    <w:p w14:paraId="2BE034B6">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p>
    <w:p w14:paraId="5352E54F">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p>
    <w:p w14:paraId="2E33F492">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p>
    <w:p w14:paraId="1A3A5BF5">
      <w:pPr>
        <w:pStyle w:val="39"/>
        <w:widowControl w:val="0"/>
        <w:spacing w:beforeAutospacing="0" w:afterAutospacing="0" w:line="360" w:lineRule="auto"/>
        <w:ind w:firstLine="420" w:firstLineChars="200"/>
        <w:contextualSpacing/>
        <w:rPr>
          <w:rFonts w:hint="eastAsia" w:ascii="宋体" w:hAnsi="宋体" w:cs="宋体"/>
          <w:color w:val="000000" w:themeColor="text1"/>
          <w:sz w:val="21"/>
          <w:szCs w:val="21"/>
          <w14:textFill>
            <w14:solidFill>
              <w14:schemeClr w14:val="tx1"/>
            </w14:solidFill>
          </w14:textFill>
        </w:rPr>
      </w:pPr>
    </w:p>
    <w:p w14:paraId="345C6EE2">
      <w:pPr>
        <w:pStyle w:val="2"/>
        <w:spacing w:before="0" w:after="0" w:line="360" w:lineRule="auto"/>
        <w:jc w:val="center"/>
        <w:rPr>
          <w:rFonts w:hint="eastAsia" w:ascii="宋体" w:hAnsi="宋体"/>
          <w:color w:val="000000" w:themeColor="text1"/>
          <w:sz w:val="30"/>
          <w14:textFill>
            <w14:solidFill>
              <w14:schemeClr w14:val="tx1"/>
            </w14:solidFill>
          </w14:textFill>
        </w:rPr>
        <w:sectPr>
          <w:pgSz w:w="11907" w:h="16840"/>
          <w:pgMar w:top="1361" w:right="1474" w:bottom="1242" w:left="1474" w:header="720" w:footer="720" w:gutter="0"/>
          <w:pgNumType w:fmt="numberInDash"/>
          <w:cols w:space="720" w:num="1"/>
          <w:docGrid w:linePitch="285" w:charSpace="0"/>
        </w:sectPr>
      </w:pPr>
      <w:bookmarkStart w:id="164" w:name="_Toc26939"/>
    </w:p>
    <w:p w14:paraId="67DA06CC">
      <w:pPr>
        <w:pStyle w:val="2"/>
        <w:spacing w:before="0" w:after="0" w:line="360" w:lineRule="auto"/>
        <w:jc w:val="center"/>
        <w:rPr>
          <w:rFonts w:hint="eastAsia" w:ascii="宋体" w:hAnsi="宋体"/>
          <w:b w:val="0"/>
          <w:bCs w:val="0"/>
          <w:color w:val="000000" w:themeColor="text1"/>
          <w:sz w:val="28"/>
          <w:szCs w:val="28"/>
          <w14:textFill>
            <w14:solidFill>
              <w14:schemeClr w14:val="tx1"/>
            </w14:solidFill>
          </w14:textFill>
        </w:rPr>
      </w:pPr>
      <w:r>
        <w:rPr>
          <w:rFonts w:hint="eastAsia" w:ascii="宋体" w:hAnsi="宋体"/>
          <w:color w:val="000000" w:themeColor="text1"/>
          <w:sz w:val="30"/>
          <w14:textFill>
            <w14:solidFill>
              <w14:schemeClr w14:val="tx1"/>
            </w14:solidFill>
          </w14:textFill>
        </w:rPr>
        <w:t>第四章  评标办法及评分标准</w:t>
      </w:r>
      <w:bookmarkEnd w:id="164"/>
    </w:p>
    <w:p w14:paraId="3243A617">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68477BFF">
      <w:pPr>
        <w:pStyle w:val="28"/>
        <w:spacing w:line="360" w:lineRule="auto"/>
        <w:ind w:firstLine="422" w:firstLineChars="200"/>
        <w:rPr>
          <w:rFonts w:hint="eastAsia" w:ascii="宋体" w:hAnsi="宋体"/>
          <w:color w:val="000000" w:themeColor="text1"/>
          <w:sz w:val="21"/>
          <w:szCs w:val="21"/>
          <w14:textFill>
            <w14:solidFill>
              <w14:schemeClr w14:val="tx1"/>
            </w14:solidFill>
          </w14:textFill>
        </w:rPr>
      </w:pPr>
      <w:bookmarkStart w:id="165" w:name="_Toc317685600"/>
      <w:r>
        <w:rPr>
          <w:rFonts w:hint="eastAsia" w:ascii="宋体" w:hAnsi="宋体"/>
          <w:color w:val="000000" w:themeColor="text1"/>
          <w:sz w:val="21"/>
          <w:szCs w:val="21"/>
          <w14:textFill>
            <w14:solidFill>
              <w14:schemeClr w14:val="tx1"/>
            </w14:solidFill>
          </w14:textFill>
        </w:rPr>
        <w:t>本办法严格遵照《中华人民共和国政府采购法》《政府采购货物和服务招标投标管理办法》《宁波市政府采购招标采购方式暂行实施规程》，结合项目所在地政府有关政府采购规定和项目的实际情况制定。</w:t>
      </w:r>
    </w:p>
    <w:bookmarkEnd w:id="165"/>
    <w:p w14:paraId="196CD5F5">
      <w:pPr>
        <w:spacing w:line="360" w:lineRule="auto"/>
        <w:contextualSpacing/>
        <w:rPr>
          <w:rFonts w:hint="eastAsia" w:ascii="宋体" w:hAnsi="宋体" w:cs="宋体"/>
          <w:b/>
          <w:bCs/>
          <w:color w:val="000000" w:themeColor="text1"/>
          <w:szCs w:val="21"/>
          <w14:textFill>
            <w14:solidFill>
              <w14:schemeClr w14:val="tx1"/>
            </w14:solidFill>
          </w14:textFill>
        </w:rPr>
      </w:pPr>
      <w:bookmarkStart w:id="166" w:name="_Toc493058316"/>
      <w:bookmarkStart w:id="167" w:name="_Toc495957614"/>
      <w:bookmarkStart w:id="168" w:name="_Toc259108326"/>
      <w:bookmarkStart w:id="169" w:name="_Toc249866769"/>
      <w:r>
        <w:rPr>
          <w:rFonts w:hint="eastAsia" w:ascii="宋体" w:hAnsi="宋体" w:cs="宋体"/>
          <w:b/>
          <w:bCs/>
          <w:color w:val="000000" w:themeColor="text1"/>
          <w:szCs w:val="21"/>
          <w14:textFill>
            <w14:solidFill>
              <w14:schemeClr w14:val="tx1"/>
            </w14:solidFill>
          </w14:textFill>
        </w:rPr>
        <w:t>一、开标准备</w:t>
      </w:r>
    </w:p>
    <w:p w14:paraId="7F58D631">
      <w:pPr>
        <w:pStyle w:val="28"/>
        <w:snapToGrid/>
        <w:spacing w:line="360" w:lineRule="auto"/>
        <w:ind w:firstLine="417" w:firstLineChars="199"/>
        <w:contextualSpacing/>
        <w:rPr>
          <w:rFonts w:hint="eastAsia" w:ascii="宋体" w:cs="宋体"/>
          <w:b w:val="0"/>
          <w:bCs w:val="0"/>
          <w:color w:val="000000" w:themeColor="text1"/>
          <w:sz w:val="21"/>
          <w:szCs w:val="21"/>
          <w14:textFill>
            <w14:solidFill>
              <w14:schemeClr w14:val="tx1"/>
            </w14:solidFill>
          </w14:textFill>
        </w:rPr>
      </w:pPr>
      <w:r>
        <w:rPr>
          <w:rFonts w:hint="eastAsia" w:ascii="宋体" w:cs="宋体"/>
          <w:b w:val="0"/>
          <w:bCs w:val="0"/>
          <w:color w:val="000000" w:themeColor="text1"/>
          <w:sz w:val="21"/>
          <w:szCs w:val="21"/>
          <w14:textFill>
            <w14:solidFill>
              <w14:schemeClr w14:val="tx1"/>
            </w14:solidFill>
          </w14:textFill>
        </w:rPr>
        <w:t>采购代理机构将在规定的时间和地点进行开标，投标人的法定代表人或其授权代表可参加开标会。投标人的法定代表人或其授权代表未参加开标会的，视同放弃开标监督权利、认可开标结果。</w:t>
      </w:r>
    </w:p>
    <w:p w14:paraId="0E1E0CDD">
      <w:pPr>
        <w:spacing w:line="36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二、开标程序：</w:t>
      </w:r>
    </w:p>
    <w:p w14:paraId="31E045E4">
      <w:pPr>
        <w:spacing w:line="360" w:lineRule="auto"/>
        <w:ind w:firstLine="420" w:firstLineChars="200"/>
        <w:contextualSpacing/>
        <w:jc w:val="left"/>
        <w:rPr>
          <w:rFonts w:hint="eastAsia" w:ascii="宋体" w:hAnsi="宋体" w:cs="宋体"/>
          <w:bCs/>
          <w:color w:val="000000" w:themeColor="text1"/>
          <w:szCs w:val="21"/>
          <w:lang w:bidi="ar"/>
          <w14:textFill>
            <w14:solidFill>
              <w14:schemeClr w14:val="tx1"/>
            </w14:solidFill>
          </w14:textFill>
        </w:rPr>
      </w:pPr>
      <w:r>
        <w:rPr>
          <w:rFonts w:hint="eastAsia" w:ascii="宋体" w:hAnsi="宋体" w:cs="宋体"/>
          <w:bCs/>
          <w:color w:val="000000" w:themeColor="text1"/>
          <w:szCs w:val="21"/>
          <w:lang w:bidi="ar"/>
          <w14:textFill>
            <w14:solidFill>
              <w14:schemeClr w14:val="tx1"/>
            </w14:solidFill>
          </w14:textFill>
        </w:rPr>
        <w:t>1、电子招投标开标程序：</w:t>
      </w:r>
    </w:p>
    <w:p w14:paraId="03E5F9DF">
      <w:pPr>
        <w:numPr>
          <w:ilvl w:val="0"/>
          <w:numId w:val="11"/>
        </w:num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投标截止时间后，投标人登录政府采购云平台，用“项目采购－开标评标”功能对电子加密投标文件进行在线解密，在线解密电子加密投标文件时间为开标时间后30分钟内。</w:t>
      </w:r>
    </w:p>
    <w:p w14:paraId="28AFA2C6">
      <w:pPr>
        <w:numPr>
          <w:ilvl w:val="0"/>
          <w:numId w:val="11"/>
        </w:num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在政府采购云平台开启已解密投标人的“</w:t>
      </w:r>
      <w:r>
        <w:rPr>
          <w:rFonts w:hint="eastAsia" w:ascii="宋体" w:hAnsi="宋体" w:cs="宋体"/>
          <w:color w:val="000000" w:themeColor="text1"/>
          <w14:textFill>
            <w14:solidFill>
              <w14:schemeClr w14:val="tx1"/>
            </w14:solidFill>
          </w14:textFill>
        </w:rPr>
        <w:t>资格证明文件、</w:t>
      </w:r>
      <w:r>
        <w:rPr>
          <w:rFonts w:hint="eastAsia" w:ascii="宋体" w:hAnsi="宋体" w:cs="宋体"/>
          <w:color w:val="000000" w:themeColor="text1"/>
          <w:szCs w:val="21"/>
          <w14:textFill>
            <w14:solidFill>
              <w14:schemeClr w14:val="tx1"/>
            </w14:solidFill>
          </w14:textFill>
        </w:rPr>
        <w:t>技术商务文件、报价文件”并做开标记录；</w:t>
      </w:r>
    </w:p>
    <w:p w14:paraId="750459B2">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公布评审结果。</w:t>
      </w:r>
    </w:p>
    <w:p w14:paraId="42F204B7">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（4）开标会议结束。</w:t>
      </w:r>
    </w:p>
    <w:p w14:paraId="59ABAE7B">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2、特别说明：</w:t>
      </w:r>
      <w:r>
        <w:rPr>
          <w:rFonts w:hint="eastAsia" w:ascii="宋体" w:hAnsi="宋体" w:cs="宋体"/>
          <w:color w:val="000000" w:themeColor="text1"/>
          <w:kern w:val="0"/>
          <w:szCs w:val="21"/>
          <w14:textFill>
            <w14:solidFill>
              <w14:schemeClr w14:val="tx1"/>
            </w14:solidFill>
          </w14:textFill>
        </w:rPr>
        <w:t>政府采购云平台</w:t>
      </w:r>
      <w:r>
        <w:rPr>
          <w:rFonts w:hint="eastAsia" w:ascii="宋体" w:hAnsi="宋体" w:cs="宋体"/>
          <w:color w:val="000000" w:themeColor="text1"/>
          <w:szCs w:val="21"/>
          <w14:textFill>
            <w14:solidFill>
              <w14:schemeClr w14:val="tx1"/>
            </w14:solidFill>
          </w14:textFill>
        </w:rPr>
        <w:t>如对电子化开标及评审程序有调整的，按调整后的程序操作。</w:t>
      </w:r>
    </w:p>
    <w:p w14:paraId="2A5181E5">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本项目原则上采用政采云</w:t>
      </w:r>
      <w:r>
        <w:rPr>
          <w:rFonts w:hint="eastAsia" w:ascii="宋体" w:hAnsi="宋体" w:cs="宋体"/>
          <w:bCs/>
          <w:color w:val="000000" w:themeColor="text1"/>
          <w:szCs w:val="21"/>
          <w:lang w:bidi="ar"/>
          <w14:textFill>
            <w14:solidFill>
              <w14:schemeClr w14:val="tx1"/>
            </w14:solidFill>
          </w14:textFill>
        </w:rPr>
        <w:t>电子招投标开标程序</w:t>
      </w:r>
      <w:r>
        <w:rPr>
          <w:rFonts w:hint="eastAsia" w:ascii="宋体" w:hAnsi="宋体" w:cs="宋体"/>
          <w:color w:val="000000" w:themeColor="text1"/>
          <w:szCs w:val="21"/>
          <w14:textFill>
            <w14:solidFill>
              <w14:schemeClr w14:val="tx1"/>
            </w14:solidFill>
          </w14:textFill>
        </w:rPr>
        <w:t>，但有以下列情形之一的，按以下情况处理：</w:t>
      </w:r>
    </w:p>
    <w:p w14:paraId="13F10689">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14:paraId="20946F2B">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2.1电子交易平台发生故障而无法登录访问的；</w:t>
      </w:r>
    </w:p>
    <w:p w14:paraId="79797D57">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2.2电子交易平台应用或数据库出现错误，不能进行正常操作的；</w:t>
      </w:r>
    </w:p>
    <w:p w14:paraId="44CA5FB3">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2.3电子交易平台发现严重安全漏洞，有潜在泄密危险的；</w:t>
      </w:r>
    </w:p>
    <w:p w14:paraId="22C641DA">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2.4病毒发作导致不能进行正常操作的； </w:t>
      </w:r>
    </w:p>
    <w:p w14:paraId="2AD90A49">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2.5其他无法保证电子交易的公平、公正和安全的情况。</w:t>
      </w:r>
    </w:p>
    <w:p w14:paraId="636C4DF0">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14:paraId="4CF6CB99">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投标人上传政采云平台的pdf版本电子加密投标文件内容与政采云系统中投标人填写的内容不一致的，经评标委员会审查，应以电子加密投标文件中的内容为准。</w:t>
      </w:r>
    </w:p>
    <w:p w14:paraId="32ED9D80">
      <w:pPr>
        <w:pStyle w:val="33"/>
        <w:spacing w:before="0" w:after="0" w:line="360" w:lineRule="auto"/>
        <w:ind w:firstLine="413" w:firstLineChars="196"/>
        <w:jc w:val="left"/>
        <w:rPr>
          <w:rFonts w:hint="eastAsia" w:ascii="宋体" w:hAnsi="宋体" w:eastAsia="宋体" w:cs="宋体"/>
          <w:color w:val="000000" w:themeColor="text1"/>
          <w:sz w:val="21"/>
          <w:szCs w:val="21"/>
          <w14:textFill>
            <w14:solidFill>
              <w14:schemeClr w14:val="tx1"/>
            </w14:solidFill>
          </w14:textFill>
        </w:rPr>
      </w:pPr>
      <w:bookmarkStart w:id="170" w:name="_Toc24058"/>
      <w:r>
        <w:rPr>
          <w:rFonts w:hint="eastAsia" w:ascii="宋体" w:hAnsi="宋体" w:eastAsia="宋体" w:cs="宋体"/>
          <w:color w:val="000000" w:themeColor="text1"/>
          <w:sz w:val="21"/>
          <w:szCs w:val="21"/>
          <w14:textFill>
            <w14:solidFill>
              <w14:schemeClr w14:val="tx1"/>
            </w14:solidFill>
          </w14:textFill>
        </w:rPr>
        <w:t>二、评标委员会</w:t>
      </w:r>
      <w:bookmarkEnd w:id="166"/>
      <w:bookmarkEnd w:id="167"/>
      <w:bookmarkEnd w:id="170"/>
    </w:p>
    <w:p w14:paraId="60C00712">
      <w:pPr>
        <w:spacing w:line="360" w:lineRule="auto"/>
        <w:ind w:firstLine="315" w:firstLine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（一）本次招标依法组建评标委员会。</w:t>
      </w:r>
    </w:p>
    <w:p w14:paraId="41DC39FF">
      <w:pPr>
        <w:spacing w:line="360" w:lineRule="auto"/>
        <w:ind w:firstLine="315" w:firstLine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38A9BA2A">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71" w:name="_Toc7129"/>
      <w:bookmarkStart w:id="172" w:name="_Toc495957615"/>
      <w:bookmarkStart w:id="173" w:name="_Toc493058317"/>
      <w:bookmarkStart w:id="174" w:name="_Toc481567076"/>
      <w:r>
        <w:rPr>
          <w:rFonts w:hint="eastAsia" w:ascii="宋体" w:hAnsi="宋体" w:eastAsia="宋体" w:cs="宋体"/>
          <w:b w:val="0"/>
          <w:bCs w:val="0"/>
          <w:color w:val="000000" w:themeColor="text1"/>
          <w:sz w:val="21"/>
          <w:szCs w:val="21"/>
          <w14:textFill>
            <w14:solidFill>
              <w14:schemeClr w14:val="tx1"/>
            </w14:solidFill>
          </w14:textFill>
        </w:rPr>
        <w:t>（三）评审专家有下列情形之一的，受到邀请应主动提出回避，采购当事人也可以要求该评审专家回避：</w:t>
      </w:r>
      <w:bookmarkEnd w:id="171"/>
    </w:p>
    <w:p w14:paraId="62579E85">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75" w:name="_Toc26901"/>
      <w:r>
        <w:rPr>
          <w:rFonts w:hint="eastAsia" w:ascii="宋体" w:hAnsi="宋体" w:eastAsia="宋体" w:cs="宋体"/>
          <w:b w:val="0"/>
          <w:bCs w:val="0"/>
          <w:color w:val="000000" w:themeColor="text1"/>
          <w:sz w:val="21"/>
          <w:szCs w:val="21"/>
          <w14:textFill>
            <w14:solidFill>
              <w14:schemeClr w14:val="tx1"/>
            </w14:solidFill>
          </w14:textFill>
        </w:rPr>
        <w:t>1、本人、配偶或直系亲属3年内曾在参加该采购项目的投标人中任职（包括一般工作）或担任顾问，或与参加该采购项目的投标人发生过法律纠纷；</w:t>
      </w:r>
      <w:bookmarkEnd w:id="175"/>
    </w:p>
    <w:p w14:paraId="5669362C">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76" w:name="_Toc6981"/>
      <w:r>
        <w:rPr>
          <w:rFonts w:hint="eastAsia" w:ascii="宋体" w:hAnsi="宋体" w:eastAsia="宋体" w:cs="宋体"/>
          <w:b w:val="0"/>
          <w:bCs w:val="0"/>
          <w:color w:val="000000" w:themeColor="text1"/>
          <w:sz w:val="21"/>
          <w:szCs w:val="21"/>
          <w14:textFill>
            <w14:solidFill>
              <w14:schemeClr w14:val="tx1"/>
            </w14:solidFill>
          </w14:textFill>
        </w:rPr>
        <w:t>2、任职单位与采购人或参加该采购项目投标人存在行政隶属关系；</w:t>
      </w:r>
      <w:bookmarkEnd w:id="176"/>
    </w:p>
    <w:p w14:paraId="1D50185E">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77" w:name="_Toc27573"/>
      <w:r>
        <w:rPr>
          <w:rFonts w:hint="eastAsia" w:ascii="宋体" w:hAnsi="宋体" w:eastAsia="宋体" w:cs="宋体"/>
          <w:b w:val="0"/>
          <w:bCs w:val="0"/>
          <w:color w:val="000000" w:themeColor="text1"/>
          <w:sz w:val="21"/>
          <w:szCs w:val="21"/>
          <w14:textFill>
            <w14:solidFill>
              <w14:schemeClr w14:val="tx1"/>
            </w14:solidFill>
          </w14:textFill>
        </w:rPr>
        <w:t>3、曾经参加过该采购项目的进口产品或招标文件、采购需求、采购方式的论证和咨询服务工作；</w:t>
      </w:r>
      <w:bookmarkEnd w:id="177"/>
    </w:p>
    <w:p w14:paraId="24C39495">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78" w:name="_Toc26454"/>
      <w:r>
        <w:rPr>
          <w:rFonts w:hint="eastAsia" w:ascii="宋体" w:hAnsi="宋体" w:eastAsia="宋体" w:cs="宋体"/>
          <w:b w:val="0"/>
          <w:bCs w:val="0"/>
          <w:color w:val="000000" w:themeColor="text1"/>
          <w:sz w:val="21"/>
          <w:szCs w:val="21"/>
          <w14:textFill>
            <w14:solidFill>
              <w14:schemeClr w14:val="tx1"/>
            </w14:solidFill>
          </w14:textFill>
        </w:rPr>
        <w:t>4、是参加该采购项目投标人的上级主管部门、控股或参股单位的工作人员，或与该投标人存在其他经济利益关系；</w:t>
      </w:r>
      <w:bookmarkEnd w:id="178"/>
    </w:p>
    <w:p w14:paraId="7E27E813">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79" w:name="_Toc2002"/>
      <w:r>
        <w:rPr>
          <w:rFonts w:hint="eastAsia" w:ascii="宋体" w:hAnsi="宋体" w:eastAsia="宋体" w:cs="宋体"/>
          <w:b w:val="0"/>
          <w:bCs w:val="0"/>
          <w:color w:val="000000" w:themeColor="text1"/>
          <w:sz w:val="21"/>
          <w:szCs w:val="21"/>
          <w14:textFill>
            <w14:solidFill>
              <w14:schemeClr w14:val="tx1"/>
            </w14:solidFill>
          </w14:textFill>
        </w:rPr>
        <w:t>5、评审委员会成员之间具有配偶、近亲属关系；</w:t>
      </w:r>
      <w:bookmarkEnd w:id="179"/>
    </w:p>
    <w:p w14:paraId="5BFF19D6">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80" w:name="_Toc7606"/>
      <w:r>
        <w:rPr>
          <w:rFonts w:hint="eastAsia" w:ascii="宋体" w:hAnsi="宋体" w:eastAsia="宋体" w:cs="宋体"/>
          <w:b w:val="0"/>
          <w:bCs w:val="0"/>
          <w:color w:val="000000" w:themeColor="text1"/>
          <w:sz w:val="21"/>
          <w:szCs w:val="21"/>
          <w14:textFill>
            <w14:solidFill>
              <w14:schemeClr w14:val="tx1"/>
            </w14:solidFill>
          </w14:textFill>
        </w:rPr>
        <w:t>6、同一单位的评审专家在同一项目评审委员会成员中超过一名；</w:t>
      </w:r>
      <w:bookmarkEnd w:id="180"/>
    </w:p>
    <w:p w14:paraId="648F072C">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81" w:name="_Toc8628"/>
      <w:r>
        <w:rPr>
          <w:rFonts w:hint="eastAsia" w:ascii="宋体" w:hAnsi="宋体" w:eastAsia="宋体" w:cs="宋体"/>
          <w:b w:val="0"/>
          <w:bCs w:val="0"/>
          <w:color w:val="000000" w:themeColor="text1"/>
          <w:sz w:val="21"/>
          <w:szCs w:val="21"/>
          <w14:textFill>
            <w14:solidFill>
              <w14:schemeClr w14:val="tx1"/>
            </w14:solidFill>
          </w14:textFill>
        </w:rPr>
        <w:t>7、法律法规、规章规定应当回避以及其他可能影响公正评审的。</w:t>
      </w:r>
      <w:bookmarkEnd w:id="181"/>
    </w:p>
    <w:p w14:paraId="5E131A6B">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82" w:name="_Toc426"/>
      <w:r>
        <w:rPr>
          <w:rFonts w:hint="eastAsia" w:ascii="宋体" w:hAnsi="宋体" w:eastAsia="宋体" w:cs="宋体"/>
          <w:b w:val="0"/>
          <w:bCs w:val="0"/>
          <w:color w:val="000000" w:themeColor="text1"/>
          <w:sz w:val="21"/>
          <w:szCs w:val="21"/>
          <w14:textFill>
            <w14:solidFill>
              <w14:schemeClr w14:val="tx1"/>
            </w14:solidFill>
          </w14:textFill>
        </w:rPr>
        <w:t>（四）评标委员会判断投标文件的有效性、合格性和响应情况，仅依据投标人所递交一切文件的真实表述，不授予本项目无直接关联的外部信息、传言而影响自身的专业判断。</w:t>
      </w:r>
      <w:bookmarkEnd w:id="182"/>
    </w:p>
    <w:p w14:paraId="1DE9693E">
      <w:pPr>
        <w:pStyle w:val="33"/>
        <w:spacing w:before="0" w:after="0" w:line="360" w:lineRule="auto"/>
        <w:ind w:firstLine="409" w:firstLineChars="195"/>
        <w:jc w:val="both"/>
        <w:rPr>
          <w:rFonts w:hint="eastAsia" w:ascii="宋体" w:hAnsi="宋体" w:eastAsia="宋体" w:cs="宋体"/>
          <w:b w:val="0"/>
          <w:bCs w:val="0"/>
          <w:color w:val="000000" w:themeColor="text1"/>
          <w:sz w:val="21"/>
          <w:szCs w:val="21"/>
          <w14:textFill>
            <w14:solidFill>
              <w14:schemeClr w14:val="tx1"/>
            </w14:solidFill>
          </w14:textFill>
        </w:rPr>
      </w:pPr>
      <w:bookmarkStart w:id="183" w:name="_Toc10023"/>
      <w:r>
        <w:rPr>
          <w:rFonts w:hint="eastAsia" w:ascii="宋体" w:hAnsi="宋体" w:eastAsia="宋体" w:cs="宋体"/>
          <w:b w:val="0"/>
          <w:bCs w:val="0"/>
          <w:color w:val="000000" w:themeColor="text1"/>
          <w:sz w:val="21"/>
          <w:szCs w:val="21"/>
          <w14:textFill>
            <w14:solidFill>
              <w14:schemeClr w14:val="tx1"/>
            </w14:solidFill>
          </w14:textFill>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作出结论。持不同意见的评委应当在评审报告上签署不同意见并说明理由，否则视为同意。</w:t>
      </w:r>
      <w:bookmarkEnd w:id="183"/>
    </w:p>
    <w:p w14:paraId="1E77385B">
      <w:pPr>
        <w:pStyle w:val="33"/>
        <w:spacing w:before="0" w:after="0" w:line="360" w:lineRule="auto"/>
        <w:ind w:firstLine="411" w:firstLineChars="195"/>
        <w:jc w:val="both"/>
        <w:rPr>
          <w:rFonts w:hint="eastAsia" w:ascii="宋体" w:hAnsi="宋体" w:eastAsia="宋体" w:cs="宋体"/>
          <w:color w:val="000000" w:themeColor="text1"/>
          <w:sz w:val="21"/>
          <w:szCs w:val="21"/>
          <w14:textFill>
            <w14:solidFill>
              <w14:schemeClr w14:val="tx1"/>
            </w14:solidFill>
          </w14:textFill>
        </w:rPr>
      </w:pPr>
      <w:bookmarkStart w:id="184" w:name="_Toc2820"/>
      <w:r>
        <w:rPr>
          <w:rFonts w:hint="eastAsia" w:ascii="宋体" w:hAnsi="宋体" w:eastAsia="宋体" w:cs="宋体"/>
          <w:color w:val="000000" w:themeColor="text1"/>
          <w:sz w:val="21"/>
          <w:szCs w:val="21"/>
          <w14:textFill>
            <w14:solidFill>
              <w14:schemeClr w14:val="tx1"/>
            </w14:solidFill>
          </w14:textFill>
        </w:rPr>
        <w:t>三、评标方法</w:t>
      </w:r>
      <w:bookmarkEnd w:id="172"/>
      <w:bookmarkEnd w:id="173"/>
      <w:bookmarkEnd w:id="174"/>
      <w:bookmarkEnd w:id="184"/>
    </w:p>
    <w:p w14:paraId="5EB9C3D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（一）本次招标项目的评标方法为：综合评分法。</w:t>
      </w:r>
    </w:p>
    <w:p w14:paraId="1799EAB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（二）评分权重</w:t>
      </w:r>
    </w:p>
    <w:tbl>
      <w:tblPr>
        <w:tblStyle w:val="4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3196"/>
      </w:tblGrid>
      <w:tr w14:paraId="26FF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14:paraId="06CE3464">
            <w:pPr>
              <w:ind w:firstLine="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评分项目</w:t>
            </w:r>
          </w:p>
        </w:tc>
        <w:tc>
          <w:tcPr>
            <w:tcW w:w="3714" w:type="dxa"/>
            <w:vAlign w:val="center"/>
          </w:tcPr>
          <w:p w14:paraId="2FBCA5DD">
            <w:pPr>
              <w:ind w:firstLine="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技术资信分（分）</w:t>
            </w:r>
          </w:p>
        </w:tc>
        <w:tc>
          <w:tcPr>
            <w:tcW w:w="3196" w:type="dxa"/>
            <w:vAlign w:val="center"/>
          </w:tcPr>
          <w:p w14:paraId="7333D856">
            <w:pPr>
              <w:ind w:firstLine="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价格分（分）</w:t>
            </w:r>
          </w:p>
        </w:tc>
      </w:tr>
      <w:tr w14:paraId="647C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14:paraId="2DF68FA4">
            <w:pPr>
              <w:ind w:firstLine="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3714" w:type="dxa"/>
            <w:vAlign w:val="center"/>
          </w:tcPr>
          <w:p w14:paraId="66F15B8B">
            <w:pPr>
              <w:ind w:firstLine="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3196" w:type="dxa"/>
            <w:vAlign w:val="center"/>
          </w:tcPr>
          <w:p w14:paraId="5451E2F3">
            <w:pPr>
              <w:ind w:firstLine="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bl>
    <w:p w14:paraId="1208588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1、价格分采用低价优先法计算，即满足采购文件要求且参与评审价格最低为评标基准价，其价格分为满分。其他投标人的价格分按照下列公式计算：</w:t>
      </w:r>
    </w:p>
    <w:p w14:paraId="6538641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参与评审价格=投标价格×（1-小微企业价格扣除优惠值）</w:t>
      </w:r>
    </w:p>
    <w:p w14:paraId="3F63CF2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价格分=（评标基准价/参与评审的价格）×价格权值×100</w:t>
      </w:r>
    </w:p>
    <w:p w14:paraId="730E98A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2、合格投标人评标综合得分=价格分+技术资信分。</w:t>
      </w:r>
    </w:p>
    <w:p w14:paraId="1203332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3、报价要求：本次招标设有最高限价，投标人报价超出最高限价的投标文件作无效处理。</w:t>
      </w:r>
    </w:p>
    <w:p w14:paraId="1FCF56F0">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采用综合评分法的，评标结果按评审后得分由高到低顺序排列。得分相同的，按投标报价由低到高顺序排列。得分且投标报价相同的并列。投标文件满足采购文件全部实质性要求，且按照评审因素的量化指标评审每个标项号综合得分排序前二位的中标候选人，得分最高的为第一中标候选人。</w:t>
      </w:r>
    </w:p>
    <w:p w14:paraId="7046E5E3">
      <w:pPr>
        <w:spacing w:line="360" w:lineRule="auto"/>
        <w:ind w:firstLine="315" w:firstLine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bookmarkStart w:id="185" w:name="_Toc481567079"/>
      <w:r>
        <w:rPr>
          <w:rFonts w:hint="eastAsia" w:ascii="宋体" w:hAnsi="宋体" w:cs="宋体"/>
          <w:color w:val="000000" w:themeColor="text1"/>
          <w:szCs w:val="21"/>
          <w14:textFill>
            <w14:solidFill>
              <w14:schemeClr w14:val="tx1"/>
            </w14:solidFill>
          </w14:textFill>
        </w:rPr>
        <w:t>投标文件的澄清</w:t>
      </w:r>
      <w:bookmarkEnd w:id="185"/>
    </w:p>
    <w:p w14:paraId="6AEE3836">
      <w:pPr>
        <w:widowControl/>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14:paraId="4FEF6E78">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2F6DDF5D">
      <w:pPr>
        <w:pStyle w:val="33"/>
        <w:spacing w:before="0" w:after="0" w:line="360" w:lineRule="auto"/>
        <w:ind w:firstLine="413" w:firstLineChars="196"/>
        <w:jc w:val="both"/>
        <w:rPr>
          <w:rFonts w:hint="eastAsia" w:ascii="宋体" w:hAnsi="宋体" w:eastAsia="宋体" w:cs="宋体"/>
          <w:color w:val="000000" w:themeColor="text1"/>
          <w:sz w:val="21"/>
          <w:szCs w:val="21"/>
          <w14:textFill>
            <w14:solidFill>
              <w14:schemeClr w14:val="tx1"/>
            </w14:solidFill>
          </w14:textFill>
        </w:rPr>
      </w:pPr>
      <w:bookmarkStart w:id="186" w:name="_Toc481567077"/>
      <w:bookmarkStart w:id="187" w:name="_Toc495957616"/>
      <w:bookmarkStart w:id="188" w:name="_Toc13599"/>
      <w:bookmarkStart w:id="189" w:name="_Toc493058318"/>
      <w:r>
        <w:rPr>
          <w:rFonts w:hint="eastAsia" w:ascii="宋体" w:hAnsi="宋体" w:eastAsia="宋体" w:cs="宋体"/>
          <w:color w:val="000000" w:themeColor="text1"/>
          <w:sz w:val="21"/>
          <w:szCs w:val="21"/>
          <w14:textFill>
            <w14:solidFill>
              <w14:schemeClr w14:val="tx1"/>
            </w14:solidFill>
          </w14:textFill>
        </w:rPr>
        <w:t>四、评标</w:t>
      </w:r>
      <w:bookmarkEnd w:id="168"/>
      <w:bookmarkEnd w:id="169"/>
      <w:bookmarkEnd w:id="186"/>
      <w:r>
        <w:rPr>
          <w:rFonts w:hint="eastAsia" w:ascii="宋体" w:hAnsi="宋体" w:eastAsia="宋体" w:cs="宋体"/>
          <w:color w:val="000000" w:themeColor="text1"/>
          <w:sz w:val="21"/>
          <w:szCs w:val="21"/>
          <w14:textFill>
            <w14:solidFill>
              <w14:schemeClr w14:val="tx1"/>
            </w14:solidFill>
          </w14:textFill>
        </w:rPr>
        <w:t>程序</w:t>
      </w:r>
      <w:bookmarkEnd w:id="187"/>
      <w:bookmarkEnd w:id="188"/>
      <w:bookmarkEnd w:id="189"/>
    </w:p>
    <w:p w14:paraId="251ED09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（一）资格条件审查</w:t>
      </w:r>
    </w:p>
    <w:p w14:paraId="2A3540F2">
      <w:pPr>
        <w:spacing w:line="360" w:lineRule="auto"/>
        <w:ind w:firstLine="522" w:firstLineChars="249"/>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由招标代理机构对投标人的资格进行审查。</w:t>
      </w:r>
    </w:p>
    <w:tbl>
      <w:tblPr>
        <w:tblStyle w:val="4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161A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21" w:type="dxa"/>
          </w:tcPr>
          <w:p w14:paraId="580942B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审查类别</w:t>
            </w:r>
          </w:p>
        </w:tc>
        <w:tc>
          <w:tcPr>
            <w:tcW w:w="7584" w:type="dxa"/>
            <w:vAlign w:val="center"/>
          </w:tcPr>
          <w:p w14:paraId="7650D578">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审查内容</w:t>
            </w:r>
          </w:p>
        </w:tc>
      </w:tr>
      <w:tr w14:paraId="60D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1" w:type="dxa"/>
            <w:vMerge w:val="restart"/>
            <w:vAlign w:val="center"/>
          </w:tcPr>
          <w:p w14:paraId="0B10BF2D">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资格条件审查</w:t>
            </w:r>
          </w:p>
        </w:tc>
        <w:tc>
          <w:tcPr>
            <w:tcW w:w="7584" w:type="dxa"/>
            <w:vAlign w:val="center"/>
          </w:tcPr>
          <w:p w14:paraId="1C82CC0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1、符合《中华人民共和国政府采购法》第二十二条规定的投标人资格条件。</w:t>
            </w:r>
          </w:p>
        </w:tc>
      </w:tr>
      <w:tr w14:paraId="4F22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51EC0855">
            <w:pPr>
              <w:spacing w:line="400" w:lineRule="exact"/>
              <w:rPr>
                <w:rFonts w:hint="eastAsia" w:ascii="宋体" w:hAnsi="宋体" w:cs="宋体"/>
                <w:color w:val="000000" w:themeColor="text1"/>
                <w:szCs w:val="21"/>
                <w14:textFill>
                  <w14:solidFill>
                    <w14:schemeClr w14:val="tx1"/>
                  </w14:solidFill>
                </w14:textFill>
              </w:rPr>
            </w:pPr>
          </w:p>
        </w:tc>
        <w:tc>
          <w:tcPr>
            <w:tcW w:w="7584" w:type="dxa"/>
          </w:tcPr>
          <w:p w14:paraId="670893F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2、单位负责人为同一人或者存在直接控股、管理关系的不同投标人，不得参加同一合同项下的政府采购活动。为采购项目提供项目管理、监理、检测等服务的投标人，不得参加本项目的投标。</w:t>
            </w:r>
          </w:p>
        </w:tc>
      </w:tr>
      <w:tr w14:paraId="233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A735C4A">
            <w:pPr>
              <w:spacing w:line="400" w:lineRule="exact"/>
              <w:rPr>
                <w:rFonts w:hint="eastAsia" w:ascii="宋体" w:hAnsi="宋体" w:cs="宋体"/>
                <w:color w:val="000000" w:themeColor="text1"/>
                <w:szCs w:val="21"/>
                <w14:textFill>
                  <w14:solidFill>
                    <w14:schemeClr w14:val="tx1"/>
                  </w14:solidFill>
                </w14:textFill>
              </w:rPr>
            </w:pPr>
          </w:p>
        </w:tc>
        <w:tc>
          <w:tcPr>
            <w:tcW w:w="7584" w:type="dxa"/>
          </w:tcPr>
          <w:p w14:paraId="36A86EC8">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3、与采购人存在利害关系可能影响招标公正性的法人或其他组织不得参加投标。 存在利害关系的投标人是指：</w:t>
            </w:r>
          </w:p>
          <w:p w14:paraId="76AEB7B5">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（1）北京航空航天大学、北京航空航天大学宁波创新研究院在该投标人中有股份的。</w:t>
            </w:r>
          </w:p>
          <w:p w14:paraId="27CA9EC8">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（2）项目负责人、项目主要成员及经办人在该投标人中有股份或担任高管的。</w:t>
            </w:r>
          </w:p>
        </w:tc>
      </w:tr>
      <w:tr w14:paraId="4AD8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626F068">
            <w:pPr>
              <w:spacing w:line="400" w:lineRule="exact"/>
              <w:rPr>
                <w:rFonts w:hint="eastAsia" w:ascii="宋体" w:hAnsi="宋体" w:cs="宋体"/>
                <w:color w:val="000000" w:themeColor="text1"/>
                <w:szCs w:val="21"/>
                <w14:textFill>
                  <w14:solidFill>
                    <w14:schemeClr w14:val="tx1"/>
                  </w14:solidFill>
                </w14:textFill>
              </w:rPr>
            </w:pPr>
          </w:p>
        </w:tc>
        <w:tc>
          <w:tcPr>
            <w:tcW w:w="7584" w:type="dxa"/>
          </w:tcPr>
          <w:p w14:paraId="1EE17883">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14:paraId="4529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1" w:type="dxa"/>
            <w:vMerge w:val="continue"/>
          </w:tcPr>
          <w:p w14:paraId="7EE058C9">
            <w:pPr>
              <w:spacing w:line="400" w:lineRule="exact"/>
              <w:rPr>
                <w:rFonts w:hint="eastAsia" w:ascii="宋体" w:hAnsi="宋体" w:cs="宋体"/>
                <w:color w:val="000000" w:themeColor="text1"/>
                <w:szCs w:val="21"/>
                <w14:textFill>
                  <w14:solidFill>
                    <w14:schemeClr w14:val="tx1"/>
                  </w14:solidFill>
                </w14:textFill>
              </w:rPr>
            </w:pPr>
          </w:p>
        </w:tc>
        <w:tc>
          <w:tcPr>
            <w:tcW w:w="7584" w:type="dxa"/>
            <w:vAlign w:val="center"/>
          </w:tcPr>
          <w:p w14:paraId="7FBB07D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5、本项目接受联合体投标。</w:t>
            </w:r>
          </w:p>
        </w:tc>
      </w:tr>
    </w:tbl>
    <w:p w14:paraId="6208D1DB">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（二）符合性审查</w:t>
      </w:r>
    </w:p>
    <w:p w14:paraId="0767B1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评标委员会应当对符合资格的投标人的投标文件进行符合性审查，以确定其是否满足采购文件的实质性要求。</w:t>
      </w:r>
    </w:p>
    <w:tbl>
      <w:tblPr>
        <w:tblStyle w:val="4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2C63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14:paraId="301CC6E3">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审查类别</w:t>
            </w:r>
          </w:p>
        </w:tc>
        <w:tc>
          <w:tcPr>
            <w:tcW w:w="7573" w:type="dxa"/>
          </w:tcPr>
          <w:p w14:paraId="5B06BBE5">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审查内容</w:t>
            </w:r>
          </w:p>
        </w:tc>
      </w:tr>
      <w:tr w14:paraId="023C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vAlign w:val="center"/>
          </w:tcPr>
          <w:p w14:paraId="70F5F60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tc>
        <w:tc>
          <w:tcPr>
            <w:tcW w:w="7573" w:type="dxa"/>
            <w:vAlign w:val="center"/>
          </w:tcPr>
          <w:p w14:paraId="26ED8CB8">
            <w:pPr>
              <w:tabs>
                <w:tab w:val="left" w:pos="612"/>
              </w:tabs>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投标函已提交并符合采购文件要求的；</w:t>
            </w:r>
          </w:p>
        </w:tc>
      </w:tr>
      <w:tr w14:paraId="5C6E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5C3C0493">
            <w:pPr>
              <w:spacing w:line="400" w:lineRule="exact"/>
              <w:rPr>
                <w:rFonts w:hint="eastAsia" w:ascii="宋体" w:hAnsi="宋体" w:cs="宋体"/>
                <w:color w:val="000000" w:themeColor="text1"/>
                <w:szCs w:val="21"/>
                <w14:textFill>
                  <w14:solidFill>
                    <w14:schemeClr w14:val="tx1"/>
                  </w14:solidFill>
                </w14:textFill>
              </w:rPr>
            </w:pPr>
          </w:p>
        </w:tc>
        <w:tc>
          <w:tcPr>
            <w:tcW w:w="7573" w:type="dxa"/>
            <w:vAlign w:val="center"/>
          </w:tcPr>
          <w:p w14:paraId="058863EF">
            <w:pPr>
              <w:tabs>
                <w:tab w:val="left" w:pos="612"/>
              </w:tabs>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按照采购文件规定要求签署、盖章且投标文件有法定代表人</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s="宋体"/>
                <w:color w:val="000000" w:themeColor="text1"/>
                <w:szCs w:val="21"/>
                <w14:textFill>
                  <w14:solidFill>
                    <w14:schemeClr w14:val="tx1"/>
                  </w14:solidFill>
                </w14:textFill>
              </w:rPr>
              <w:t>，或</w:t>
            </w:r>
            <w:r>
              <w:rPr>
                <w:rFonts w:hint="eastAsia" w:ascii="宋体" w:hAnsi="宋体" w:cs="宋体"/>
                <w:color w:val="000000" w:themeColor="text1"/>
                <w:szCs w:val="21"/>
                <w:lang w:eastAsia="zh-TW"/>
                <w14:textFill>
                  <w14:solidFill>
                    <w14:schemeClr w14:val="tx1"/>
                  </w14:solidFill>
                </w14:textFill>
              </w:rPr>
              <w:t>签署</w:t>
            </w:r>
            <w:r>
              <w:rPr>
                <w:rFonts w:hint="eastAsia" w:ascii="宋体" w:hAnsi="宋体" w:cs="宋体"/>
                <w:color w:val="000000" w:themeColor="text1"/>
                <w:szCs w:val="21"/>
                <w14:textFill>
                  <w14:solidFill>
                    <w14:schemeClr w14:val="tx1"/>
                  </w14:solidFill>
                </w14:textFill>
              </w:rPr>
              <w:t>人有法定代表人有效授权书的；</w:t>
            </w:r>
          </w:p>
        </w:tc>
      </w:tr>
      <w:tr w14:paraId="1D56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2" w:type="dxa"/>
            <w:vMerge w:val="continue"/>
          </w:tcPr>
          <w:p w14:paraId="156BCB6C">
            <w:pPr>
              <w:spacing w:line="400" w:lineRule="exact"/>
              <w:rPr>
                <w:rFonts w:hint="eastAsia" w:ascii="宋体" w:hAnsi="宋体" w:cs="宋体"/>
                <w:color w:val="000000" w:themeColor="text1"/>
                <w:szCs w:val="21"/>
                <w14:textFill>
                  <w14:solidFill>
                    <w14:schemeClr w14:val="tx1"/>
                  </w14:solidFill>
                </w14:textFill>
              </w:rPr>
            </w:pPr>
          </w:p>
        </w:tc>
        <w:tc>
          <w:tcPr>
            <w:tcW w:w="7573" w:type="dxa"/>
            <w:vAlign w:val="center"/>
          </w:tcPr>
          <w:p w14:paraId="6367B9FC">
            <w:pPr>
              <w:tabs>
                <w:tab w:val="left" w:pos="612"/>
              </w:tabs>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投标文件完全满足采购文件的实质性条款（即标注*号条款）无负偏离的；</w:t>
            </w:r>
          </w:p>
        </w:tc>
      </w:tr>
      <w:tr w14:paraId="7F50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2" w:type="dxa"/>
            <w:vMerge w:val="continue"/>
          </w:tcPr>
          <w:p w14:paraId="2A7DE759">
            <w:pPr>
              <w:spacing w:line="400" w:lineRule="exact"/>
              <w:rPr>
                <w:rFonts w:hint="eastAsia" w:ascii="宋体" w:hAnsi="宋体" w:cs="宋体"/>
                <w:color w:val="000000" w:themeColor="text1"/>
                <w:szCs w:val="21"/>
                <w14:textFill>
                  <w14:solidFill>
                    <w14:schemeClr w14:val="tx1"/>
                  </w14:solidFill>
                </w14:textFill>
              </w:rPr>
            </w:pPr>
          </w:p>
        </w:tc>
        <w:tc>
          <w:tcPr>
            <w:tcW w:w="7573" w:type="dxa"/>
            <w:vAlign w:val="center"/>
          </w:tcPr>
          <w:p w14:paraId="3B2115DA">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投标文件没有采购文件中规定的其他无效投标条款的；</w:t>
            </w:r>
          </w:p>
        </w:tc>
      </w:tr>
      <w:tr w14:paraId="7D34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2" w:type="dxa"/>
            <w:vMerge w:val="continue"/>
          </w:tcPr>
          <w:p w14:paraId="402F002F">
            <w:pPr>
              <w:spacing w:line="400" w:lineRule="exact"/>
              <w:rPr>
                <w:rFonts w:hint="eastAsia" w:ascii="宋体" w:hAnsi="宋体" w:cs="宋体"/>
                <w:color w:val="000000" w:themeColor="text1"/>
                <w:szCs w:val="21"/>
                <w14:textFill>
                  <w14:solidFill>
                    <w14:schemeClr w14:val="tx1"/>
                  </w14:solidFill>
                </w14:textFill>
              </w:rPr>
            </w:pPr>
          </w:p>
        </w:tc>
        <w:tc>
          <w:tcPr>
            <w:tcW w:w="7573" w:type="dxa"/>
            <w:vAlign w:val="center"/>
          </w:tcPr>
          <w:p w14:paraId="6626E536">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按有关法律法规、规章不属于投标无效的。</w:t>
            </w:r>
          </w:p>
        </w:tc>
      </w:tr>
    </w:tbl>
    <w:p w14:paraId="570EB229">
      <w:pPr>
        <w:spacing w:line="360" w:lineRule="auto"/>
        <w:ind w:firstLine="422" w:firstLineChars="200"/>
        <w:rPr>
          <w:rFonts w:hint="eastAsia" w:ascii="宋体" w:hAnsi="宋体" w:cs="宋体"/>
          <w:b/>
          <w:color w:val="000000" w:themeColor="text1"/>
          <w:szCs w:val="21"/>
          <w14:textFill>
            <w14:solidFill>
              <w14:schemeClr w14:val="tx1"/>
            </w14:solidFill>
          </w14:textFill>
        </w:rPr>
      </w:pPr>
      <w:bookmarkStart w:id="190" w:name="_Toc249866767"/>
      <w:bookmarkStart w:id="191" w:name="_Toc259108323"/>
      <w:r>
        <w:rPr>
          <w:rFonts w:hint="eastAsia" w:ascii="宋体" w:hAnsi="宋体" w:cs="宋体"/>
          <w:b/>
          <w:color w:val="000000" w:themeColor="text1"/>
          <w:szCs w:val="21"/>
          <w14:textFill>
            <w14:solidFill>
              <w14:schemeClr w14:val="tx1"/>
            </w14:solidFill>
          </w14:textFill>
        </w:rPr>
        <w:t>（三）投标无效的情形</w:t>
      </w:r>
      <w:bookmarkEnd w:id="190"/>
      <w:bookmarkEnd w:id="191"/>
    </w:p>
    <w:p w14:paraId="69D5C50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没有响应采购文件实质性要求的投标将被视为无效投标。投标人不得通过修正或撤销不合要求的偏离或保留从而使其投标成为实质上响应的投标。</w:t>
      </w:r>
    </w:p>
    <w:p w14:paraId="48F5951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A.在资格审查、符合性审查和商务评审时，如发现下列情形之一的，将被视为无效投标文件：</w:t>
      </w:r>
    </w:p>
    <w:p w14:paraId="10652F2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1、资格证明文件不全的或者不符合采购文件规定的资格要求的；</w:t>
      </w:r>
    </w:p>
    <w:p w14:paraId="14CED3E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2、投标文件未按照采购文件要求签署、盖章的；</w:t>
      </w:r>
    </w:p>
    <w:p w14:paraId="5DA4B5A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3、投标文件项目不齐全或者内容虚假的；</w:t>
      </w:r>
    </w:p>
    <w:p w14:paraId="12DA05B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4、投标文件的实质性内容未使用中文表述、意思表述不明确、前后矛盾或者使用计量单位不符合采购文件要求的（经评标委员会认定并允许其当场更正的笔误除外）；</w:t>
      </w:r>
    </w:p>
    <w:p w14:paraId="5118FCF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5、带“*”的条款不能满足采购文件要求、未实质性响应采购文件要求或者投标文件有招标人不能接受的附加条件的；</w:t>
      </w:r>
    </w:p>
    <w:p w14:paraId="46AE5DC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.在技术评审时，如发现下列情形之一的，将被视为无效投标文件：</w:t>
      </w:r>
    </w:p>
    <w:p w14:paraId="2A4FD23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1、明显不符合或无法满足采购文件要求，或者与采购文件中标“*”的条款发生实质性偏离的；</w:t>
      </w:r>
    </w:p>
    <w:p w14:paraId="5341442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2、投标技术方案不明确，存在一个或一个以上备选（替代）投标方案的；</w:t>
      </w:r>
    </w:p>
    <w:p w14:paraId="09E1604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.在报价评审时，如发现下列情形之一的，投标文件将被视为无效：</w:t>
      </w:r>
    </w:p>
    <w:p w14:paraId="2636FC7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1、未采用人民币报价或者未按照采购文件标明的币种报价的；</w:t>
      </w:r>
    </w:p>
    <w:p w14:paraId="267FA94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2、报价超出最高限价，招标人不能支付的；</w:t>
      </w:r>
    </w:p>
    <w:p w14:paraId="0A8D2EE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3、投标报价具有选择性的；</w:t>
      </w:r>
    </w:p>
    <w:p w14:paraId="654C48C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4、评委会一致认为报价明显不合理的（不平衡报价）；</w:t>
      </w:r>
    </w:p>
    <w:p w14:paraId="3A90C85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5、投标报价中出现重大缺项、漏项；</w:t>
      </w:r>
    </w:p>
    <w:p w14:paraId="5F63A25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6、评标委员会认为投标人的报价明显低于其他通过符合性审查投标人的报价，有可能影响服务质量或者不能诚信履约的，且不能在评标现场合理时间内提供相关证明材料说明其报价的合理性的。</w:t>
      </w:r>
    </w:p>
    <w:p w14:paraId="0C5744B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D.不同投标人的投标文件出自同一终端设备或在相同Internet主机分配地址（相同IP地址）网上报名投标的。</w:t>
      </w:r>
    </w:p>
    <w:p w14:paraId="0AF4C06F">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E.法律法规和招标文件规定的其他无效情形。</w:t>
      </w:r>
    </w:p>
    <w:p w14:paraId="6B97DA01">
      <w:pPr>
        <w:spacing w:line="360" w:lineRule="auto"/>
        <w:ind w:firstLine="420" w:firstLineChars="200"/>
        <w:rPr>
          <w:color w:val="000000" w:themeColor="text1"/>
          <w14:textFill>
            <w14:solidFill>
              <w14:schemeClr w14:val="tx1"/>
            </w14:solidFill>
          </w14:textFill>
        </w:rPr>
        <w:sectPr>
          <w:pgSz w:w="11907" w:h="16840"/>
          <w:pgMar w:top="1361" w:right="1474" w:bottom="1242" w:left="1474" w:header="720" w:footer="720" w:gutter="0"/>
          <w:pgNumType w:fmt="numberInDash"/>
          <w:cols w:space="720" w:num="1"/>
          <w:docGrid w:linePitch="285" w:charSpace="0"/>
        </w:sectPr>
      </w:pPr>
    </w:p>
    <w:p w14:paraId="5B9E482B">
      <w:pPr>
        <w:pStyle w:val="33"/>
        <w:numPr>
          <w:ilvl w:val="0"/>
          <w:numId w:val="12"/>
        </w:numPr>
        <w:spacing w:before="0" w:after="0" w:line="360" w:lineRule="auto"/>
        <w:ind w:firstLine="413" w:firstLineChars="196"/>
        <w:jc w:val="both"/>
        <w:rPr>
          <w:rFonts w:hint="eastAsia" w:ascii="宋体" w:hAnsi="宋体" w:eastAsia="宋体" w:cs="宋体"/>
          <w:color w:val="000000" w:themeColor="text1"/>
          <w:sz w:val="21"/>
          <w:szCs w:val="21"/>
          <w14:textFill>
            <w14:solidFill>
              <w14:schemeClr w14:val="tx1"/>
            </w14:solidFill>
          </w14:textFill>
        </w:rPr>
      </w:pPr>
      <w:bookmarkStart w:id="192" w:name="_Toc32171"/>
      <w:r>
        <w:rPr>
          <w:rFonts w:hint="eastAsia" w:ascii="宋体" w:hAnsi="宋体" w:eastAsia="宋体" w:cs="宋体"/>
          <w:color w:val="000000" w:themeColor="text1"/>
          <w:sz w:val="21"/>
          <w:szCs w:val="21"/>
          <w14:textFill>
            <w14:solidFill>
              <w14:schemeClr w14:val="tx1"/>
            </w14:solidFill>
          </w14:textFill>
        </w:rPr>
        <w:t>评分标准表</w:t>
      </w:r>
      <w:bookmarkEnd w:id="192"/>
    </w:p>
    <w:tbl>
      <w:tblPr>
        <w:tblStyle w:val="42"/>
        <w:tblW w:w="908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8"/>
        <w:gridCol w:w="1090"/>
        <w:gridCol w:w="851"/>
        <w:gridCol w:w="1134"/>
        <w:gridCol w:w="5268"/>
      </w:tblGrid>
      <w:tr w14:paraId="1318FC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jc w:val="center"/>
        </w:trPr>
        <w:tc>
          <w:tcPr>
            <w:tcW w:w="1828" w:type="dxa"/>
            <w:gridSpan w:val="2"/>
            <w:vAlign w:val="center"/>
          </w:tcPr>
          <w:p w14:paraId="62438750">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评标项目</w:t>
            </w:r>
          </w:p>
        </w:tc>
        <w:tc>
          <w:tcPr>
            <w:tcW w:w="851" w:type="dxa"/>
            <w:vAlign w:val="center"/>
          </w:tcPr>
          <w:p w14:paraId="53AB0544">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分值</w:t>
            </w:r>
          </w:p>
        </w:tc>
        <w:tc>
          <w:tcPr>
            <w:tcW w:w="1134" w:type="dxa"/>
            <w:vAlign w:val="center"/>
          </w:tcPr>
          <w:p w14:paraId="62F5EF8C">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类别</w:t>
            </w:r>
          </w:p>
        </w:tc>
        <w:tc>
          <w:tcPr>
            <w:tcW w:w="5268" w:type="dxa"/>
            <w:vAlign w:val="center"/>
          </w:tcPr>
          <w:p w14:paraId="0FF3B2A4">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评标要点及说明</w:t>
            </w:r>
          </w:p>
        </w:tc>
      </w:tr>
      <w:tr w14:paraId="7395F3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8" w:hRule="atLeast"/>
          <w:jc w:val="center"/>
        </w:trPr>
        <w:tc>
          <w:tcPr>
            <w:tcW w:w="738" w:type="dxa"/>
            <w:vMerge w:val="restart"/>
            <w:vAlign w:val="center"/>
          </w:tcPr>
          <w:p w14:paraId="40A7C37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w:t>
            </w:r>
          </w:p>
          <w:p w14:paraId="7F0217B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资信部分</w:t>
            </w:r>
          </w:p>
          <w:p w14:paraId="0E5410B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70分</w:t>
            </w:r>
          </w:p>
        </w:tc>
        <w:tc>
          <w:tcPr>
            <w:tcW w:w="1090" w:type="dxa"/>
            <w:vAlign w:val="center"/>
          </w:tcPr>
          <w:p w14:paraId="4A11D222">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技术指标响应</w:t>
            </w:r>
          </w:p>
        </w:tc>
        <w:tc>
          <w:tcPr>
            <w:tcW w:w="851" w:type="dxa"/>
            <w:vAlign w:val="center"/>
          </w:tcPr>
          <w:p w14:paraId="28B74F26">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w:t>
            </w:r>
          </w:p>
        </w:tc>
        <w:tc>
          <w:tcPr>
            <w:tcW w:w="1134" w:type="dxa"/>
            <w:vAlign w:val="center"/>
          </w:tcPr>
          <w:p w14:paraId="1B6434C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6E48A2AF">
            <w:pPr>
              <w:widowControl/>
              <w:spacing w:line="30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由评委根据投标人对采购文件中的“第二章 采购需求（二）表B采购内容技术规格要求”的响应进行评议，任何一条未带“▲”采购需求的未响应或负偏离的，每条扣0.25分，</w:t>
            </w:r>
            <w:r>
              <w:rPr>
                <w:rFonts w:hint="eastAsia" w:ascii="宋体" w:hAnsi="宋体" w:cs="宋体"/>
                <w:color w:val="000000"/>
                <w:kern w:val="0"/>
                <w:szCs w:val="21"/>
              </w:rPr>
              <w:t>至0分（或以下）时，作无效标处理。</w:t>
            </w:r>
            <w:r>
              <w:rPr>
                <w:rFonts w:hint="eastAsia" w:ascii="宋体" w:hAnsi="宋体" w:cs="宋体"/>
                <w:color w:val="000000" w:themeColor="text1"/>
                <w:kern w:val="0"/>
                <w:szCs w:val="21"/>
                <w14:textFill>
                  <w14:solidFill>
                    <w14:schemeClr w14:val="tx1"/>
                  </w14:solidFill>
                </w14:textFill>
              </w:rPr>
              <w:t>满分17分。</w:t>
            </w:r>
          </w:p>
        </w:tc>
      </w:tr>
      <w:tr w14:paraId="433F778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4" w:hRule="atLeast"/>
          <w:jc w:val="center"/>
        </w:trPr>
        <w:tc>
          <w:tcPr>
            <w:tcW w:w="738" w:type="dxa"/>
            <w:vMerge w:val="continue"/>
            <w:vAlign w:val="center"/>
          </w:tcPr>
          <w:p w14:paraId="5AB90222">
            <w:pPr>
              <w:jc w:val="center"/>
              <w:rPr>
                <w:rFonts w:hint="eastAsia" w:ascii="宋体" w:hAnsi="宋体" w:cs="宋体"/>
                <w:color w:val="000000" w:themeColor="text1"/>
                <w14:textFill>
                  <w14:solidFill>
                    <w14:schemeClr w14:val="tx1"/>
                  </w14:solidFill>
                </w14:textFill>
              </w:rPr>
            </w:pPr>
          </w:p>
        </w:tc>
        <w:tc>
          <w:tcPr>
            <w:tcW w:w="1090" w:type="dxa"/>
            <w:vMerge w:val="restart"/>
            <w:vAlign w:val="center"/>
          </w:tcPr>
          <w:p w14:paraId="0693A9A6">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投标人综合实力</w:t>
            </w:r>
          </w:p>
        </w:tc>
        <w:tc>
          <w:tcPr>
            <w:tcW w:w="851" w:type="dxa"/>
            <w:vAlign w:val="center"/>
          </w:tcPr>
          <w:p w14:paraId="69DFE9DE">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4E1BDC1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1DD639AA">
            <w:pPr>
              <w:widowControl/>
              <w:spacing w:line="30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1）投标人拥有27001信息安全管理体系认证证书的得2分，不提供的不得分。</w:t>
            </w:r>
          </w:p>
          <w:p w14:paraId="3E6EFF28">
            <w:pPr>
              <w:widowControl/>
              <w:spacing w:line="30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投标文件中需提供以上证明文件</w:t>
            </w:r>
            <w:r>
              <w:rPr>
                <w:rFonts w:hint="eastAsia"/>
                <w:lang w:val="en-US" w:eastAsia="zh-CN"/>
              </w:rPr>
              <w:t>的原件扫描件</w:t>
            </w:r>
            <w:r>
              <w:rPr>
                <w:rFonts w:hint="eastAsia" w:ascii="宋体" w:hAnsi="宋体" w:cs="宋体"/>
                <w:color w:val="000000" w:themeColor="text1"/>
                <w:kern w:val="1"/>
                <w:szCs w:val="21"/>
                <w14:textFill>
                  <w14:solidFill>
                    <w14:schemeClr w14:val="tx1"/>
                  </w14:solidFill>
                </w14:textFill>
              </w:rPr>
              <w:t>。</w:t>
            </w:r>
          </w:p>
        </w:tc>
      </w:tr>
      <w:tr w14:paraId="782629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5" w:hRule="atLeast"/>
          <w:jc w:val="center"/>
        </w:trPr>
        <w:tc>
          <w:tcPr>
            <w:tcW w:w="738" w:type="dxa"/>
            <w:vMerge w:val="continue"/>
            <w:vAlign w:val="center"/>
          </w:tcPr>
          <w:p w14:paraId="74DA23C7">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6F9B750A">
            <w:pPr>
              <w:widowControl/>
              <w:jc w:val="center"/>
              <w:rPr>
                <w:rFonts w:hint="eastAsia" w:ascii="宋体" w:hAnsi="宋体" w:cs="宋体"/>
                <w:color w:val="000000" w:themeColor="text1"/>
                <w14:textFill>
                  <w14:solidFill>
                    <w14:schemeClr w14:val="tx1"/>
                  </w14:solidFill>
                </w14:textFill>
              </w:rPr>
            </w:pPr>
          </w:p>
        </w:tc>
        <w:tc>
          <w:tcPr>
            <w:tcW w:w="851" w:type="dxa"/>
            <w:vAlign w:val="center"/>
          </w:tcPr>
          <w:p w14:paraId="39E5E244">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4326184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277D4F61">
            <w:pPr>
              <w:widowControl/>
              <w:spacing w:line="30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2）投标人获得“CMMI”5级的得2分，“CMMI”3级及以上5级以下的得1分，其他等级或不提供的不得分。 </w:t>
            </w:r>
          </w:p>
          <w:p w14:paraId="0D5B06F2">
            <w:pPr>
              <w:widowControl/>
              <w:spacing w:line="30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投标文件中需提供以上证明文件</w:t>
            </w:r>
            <w:r>
              <w:rPr>
                <w:rFonts w:hint="eastAsia"/>
                <w:lang w:val="en-US" w:eastAsia="zh-CN"/>
              </w:rPr>
              <w:t>的原件扫描件</w:t>
            </w:r>
            <w:r>
              <w:rPr>
                <w:rFonts w:hint="eastAsia" w:ascii="宋体" w:hAnsi="宋体" w:cs="宋体"/>
                <w:color w:val="000000" w:themeColor="text1"/>
                <w:kern w:val="1"/>
                <w:szCs w:val="21"/>
                <w14:textFill>
                  <w14:solidFill>
                    <w14:schemeClr w14:val="tx1"/>
                  </w14:solidFill>
                </w14:textFill>
              </w:rPr>
              <w:t>。</w:t>
            </w:r>
          </w:p>
        </w:tc>
      </w:tr>
      <w:tr w14:paraId="5DA265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8" w:hRule="atLeast"/>
          <w:jc w:val="center"/>
        </w:trPr>
        <w:tc>
          <w:tcPr>
            <w:tcW w:w="738" w:type="dxa"/>
            <w:vMerge w:val="continue"/>
            <w:vAlign w:val="center"/>
          </w:tcPr>
          <w:p w14:paraId="6B0218A9">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4A79011B">
            <w:pPr>
              <w:widowControl/>
              <w:jc w:val="center"/>
              <w:rPr>
                <w:rFonts w:hint="eastAsia" w:ascii="宋体" w:hAnsi="宋体" w:cs="宋体"/>
                <w:color w:val="000000" w:themeColor="text1"/>
                <w14:textFill>
                  <w14:solidFill>
                    <w14:schemeClr w14:val="tx1"/>
                  </w14:solidFill>
                </w14:textFill>
              </w:rPr>
            </w:pPr>
          </w:p>
        </w:tc>
        <w:tc>
          <w:tcPr>
            <w:tcW w:w="851" w:type="dxa"/>
            <w:vAlign w:val="center"/>
          </w:tcPr>
          <w:p w14:paraId="1F2C5070">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0216942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373F8B18">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3）投标人提供国家版权局颁发的费用预算管理</w:t>
            </w:r>
            <w:r>
              <w:rPr>
                <w:rFonts w:hint="eastAsia" w:ascii="宋体" w:hAnsi="宋体" w:cs="宋体"/>
                <w:color w:val="000000" w:themeColor="text1"/>
                <w:kern w:val="1"/>
                <w:szCs w:val="21"/>
                <w:lang w:val="en-US" w:eastAsia="zh-CN"/>
                <w14:textFill>
                  <w14:solidFill>
                    <w14:schemeClr w14:val="tx1"/>
                  </w14:solidFill>
                </w14:textFill>
              </w:rPr>
              <w:t>相关</w:t>
            </w:r>
            <w:r>
              <w:rPr>
                <w:rFonts w:hint="eastAsia" w:ascii="宋体" w:hAnsi="宋体" w:cs="宋体"/>
                <w:color w:val="000000" w:themeColor="text1"/>
                <w:kern w:val="1"/>
                <w:szCs w:val="21"/>
                <w14:textFill>
                  <w14:solidFill>
                    <w14:schemeClr w14:val="tx1"/>
                  </w14:solidFill>
                </w14:textFill>
              </w:rPr>
              <w:t>软件著作权的得2分；</w:t>
            </w:r>
          </w:p>
          <w:p w14:paraId="1BC7DE28">
            <w:pPr>
              <w:widowControl/>
              <w:spacing w:line="30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投标文件中需提供以上证书</w:t>
            </w:r>
            <w:r>
              <w:rPr>
                <w:rFonts w:hint="eastAsia"/>
                <w:lang w:val="en-US" w:eastAsia="zh-CN"/>
              </w:rPr>
              <w:t>的原件扫描件</w:t>
            </w:r>
            <w:r>
              <w:rPr>
                <w:rFonts w:hint="eastAsia" w:ascii="宋体" w:hAnsi="宋体" w:cs="宋体"/>
                <w:color w:val="000000" w:themeColor="text1"/>
                <w:kern w:val="1"/>
                <w:szCs w:val="21"/>
                <w14:textFill>
                  <w14:solidFill>
                    <w14:schemeClr w14:val="tx1"/>
                  </w14:solidFill>
                </w14:textFill>
              </w:rPr>
              <w:t>。</w:t>
            </w:r>
          </w:p>
        </w:tc>
      </w:tr>
      <w:tr w14:paraId="442139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8" w:hRule="atLeast"/>
          <w:jc w:val="center"/>
        </w:trPr>
        <w:tc>
          <w:tcPr>
            <w:tcW w:w="738" w:type="dxa"/>
            <w:vMerge w:val="continue"/>
            <w:vAlign w:val="center"/>
          </w:tcPr>
          <w:p w14:paraId="3A0E1FC4">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4AE5834F">
            <w:pPr>
              <w:widowControl/>
              <w:jc w:val="center"/>
              <w:rPr>
                <w:rFonts w:hint="eastAsia" w:ascii="宋体" w:hAnsi="宋体" w:cs="宋体"/>
                <w:color w:val="000000" w:themeColor="text1"/>
                <w14:textFill>
                  <w14:solidFill>
                    <w14:schemeClr w14:val="tx1"/>
                  </w14:solidFill>
                </w14:textFill>
              </w:rPr>
            </w:pPr>
          </w:p>
        </w:tc>
        <w:tc>
          <w:tcPr>
            <w:tcW w:w="851" w:type="dxa"/>
            <w:vAlign w:val="center"/>
          </w:tcPr>
          <w:p w14:paraId="61EB571F">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1C7A2FE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168CA37C">
            <w:pPr>
              <w:spacing w:line="30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1"/>
                <w:szCs w:val="21"/>
                <w14:textFill>
                  <w14:solidFill>
                    <w14:schemeClr w14:val="tx1"/>
                  </w14:solidFill>
                </w14:textFill>
              </w:rPr>
              <w:t>投标人提供国家版权局颁发的采购管理</w:t>
            </w:r>
            <w:r>
              <w:rPr>
                <w:rFonts w:hint="eastAsia" w:ascii="宋体" w:hAnsi="宋体" w:cs="宋体"/>
                <w:color w:val="000000" w:themeColor="text1"/>
                <w:kern w:val="1"/>
                <w:szCs w:val="21"/>
                <w:lang w:val="en-US" w:eastAsia="zh-CN"/>
                <w14:textFill>
                  <w14:solidFill>
                    <w14:schemeClr w14:val="tx1"/>
                  </w14:solidFill>
                </w14:textFill>
              </w:rPr>
              <w:t>相关</w:t>
            </w:r>
            <w:r>
              <w:rPr>
                <w:rFonts w:hint="eastAsia" w:ascii="宋体" w:hAnsi="宋体" w:cs="宋体"/>
                <w:color w:val="000000" w:themeColor="text1"/>
                <w:kern w:val="1"/>
                <w:szCs w:val="21"/>
                <w14:textFill>
                  <w14:solidFill>
                    <w14:schemeClr w14:val="tx1"/>
                  </w14:solidFill>
                </w14:textFill>
              </w:rPr>
              <w:t>软件著作权的得2分；</w:t>
            </w:r>
          </w:p>
          <w:p w14:paraId="2C689B79">
            <w:pPr>
              <w:spacing w:line="30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投标文件中需提供以上证书</w:t>
            </w:r>
            <w:r>
              <w:rPr>
                <w:rFonts w:hint="eastAsia"/>
                <w:lang w:val="en-US" w:eastAsia="zh-CN"/>
              </w:rPr>
              <w:t>的原件扫描件</w:t>
            </w:r>
            <w:r>
              <w:rPr>
                <w:rFonts w:hint="eastAsia" w:ascii="宋体" w:hAnsi="宋体" w:cs="宋体"/>
                <w:color w:val="000000" w:themeColor="text1"/>
                <w:kern w:val="1"/>
                <w:szCs w:val="21"/>
                <w14:textFill>
                  <w14:solidFill>
                    <w14:schemeClr w14:val="tx1"/>
                  </w14:solidFill>
                </w14:textFill>
              </w:rPr>
              <w:t>。</w:t>
            </w:r>
          </w:p>
        </w:tc>
      </w:tr>
      <w:tr w14:paraId="164CDA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 w:hRule="atLeast"/>
          <w:jc w:val="center"/>
        </w:trPr>
        <w:tc>
          <w:tcPr>
            <w:tcW w:w="738" w:type="dxa"/>
            <w:vMerge w:val="continue"/>
            <w:vAlign w:val="center"/>
          </w:tcPr>
          <w:p w14:paraId="4998E44D">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097B44DA">
            <w:pPr>
              <w:widowControl/>
              <w:jc w:val="center"/>
              <w:rPr>
                <w:rFonts w:hint="eastAsia" w:ascii="宋体" w:hAnsi="宋体" w:cs="宋体"/>
                <w:color w:val="000000" w:themeColor="text1"/>
                <w14:textFill>
                  <w14:solidFill>
                    <w14:schemeClr w14:val="tx1"/>
                  </w14:solidFill>
                </w14:textFill>
              </w:rPr>
            </w:pPr>
          </w:p>
        </w:tc>
        <w:tc>
          <w:tcPr>
            <w:tcW w:w="851" w:type="dxa"/>
            <w:vAlign w:val="center"/>
          </w:tcPr>
          <w:p w14:paraId="590D21BB">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67D3E82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477E55F2">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5）投标人提供国家版权局颁发的督查督办系统</w:t>
            </w:r>
            <w:r>
              <w:rPr>
                <w:rFonts w:hint="eastAsia" w:ascii="宋体" w:hAnsi="宋体" w:cs="宋体"/>
                <w:color w:val="000000" w:themeColor="text1"/>
                <w:kern w:val="1"/>
                <w:szCs w:val="21"/>
                <w:lang w:val="en-US" w:eastAsia="zh-CN"/>
                <w14:textFill>
                  <w14:solidFill>
                    <w14:schemeClr w14:val="tx1"/>
                  </w14:solidFill>
                </w14:textFill>
              </w:rPr>
              <w:t>相关</w:t>
            </w:r>
            <w:r>
              <w:rPr>
                <w:rFonts w:hint="eastAsia" w:ascii="宋体" w:hAnsi="宋体" w:cs="宋体"/>
                <w:color w:val="000000" w:themeColor="text1"/>
                <w:kern w:val="1"/>
                <w:szCs w:val="21"/>
                <w14:textFill>
                  <w14:solidFill>
                    <w14:schemeClr w14:val="tx1"/>
                  </w14:solidFill>
                </w14:textFill>
              </w:rPr>
              <w:t>软件著作权的得2分；</w:t>
            </w:r>
          </w:p>
          <w:p w14:paraId="54B3F1B7">
            <w:pPr>
              <w:spacing w:line="300" w:lineRule="auto"/>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投标文件中需提供以上证书</w:t>
            </w:r>
            <w:r>
              <w:rPr>
                <w:rFonts w:hint="eastAsia"/>
                <w:lang w:val="en-US" w:eastAsia="zh-CN"/>
              </w:rPr>
              <w:t>的原件扫描件</w:t>
            </w:r>
            <w:r>
              <w:rPr>
                <w:rFonts w:hint="eastAsia" w:ascii="宋体" w:hAnsi="宋体" w:cs="宋体"/>
                <w:color w:val="000000" w:themeColor="text1"/>
                <w:kern w:val="1"/>
                <w:szCs w:val="21"/>
                <w14:textFill>
                  <w14:solidFill>
                    <w14:schemeClr w14:val="tx1"/>
                  </w14:solidFill>
                </w14:textFill>
              </w:rPr>
              <w:t>。</w:t>
            </w:r>
          </w:p>
        </w:tc>
      </w:tr>
      <w:tr w14:paraId="76981B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7" w:hRule="atLeast"/>
          <w:jc w:val="center"/>
        </w:trPr>
        <w:tc>
          <w:tcPr>
            <w:tcW w:w="738" w:type="dxa"/>
            <w:vMerge w:val="continue"/>
            <w:vAlign w:val="center"/>
          </w:tcPr>
          <w:p w14:paraId="1D5F1670">
            <w:pPr>
              <w:jc w:val="center"/>
              <w:rPr>
                <w:rFonts w:hint="eastAsia" w:ascii="宋体" w:hAnsi="宋体" w:cs="宋体"/>
                <w:color w:val="000000" w:themeColor="text1"/>
                <w14:textFill>
                  <w14:solidFill>
                    <w14:schemeClr w14:val="tx1"/>
                  </w14:solidFill>
                </w14:textFill>
              </w:rPr>
            </w:pPr>
          </w:p>
        </w:tc>
        <w:tc>
          <w:tcPr>
            <w:tcW w:w="1090" w:type="dxa"/>
            <w:vMerge w:val="restart"/>
            <w:vAlign w:val="center"/>
          </w:tcPr>
          <w:p w14:paraId="63EC7A16">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实施团队成员</w:t>
            </w:r>
          </w:p>
        </w:tc>
        <w:tc>
          <w:tcPr>
            <w:tcW w:w="851" w:type="dxa"/>
            <w:vAlign w:val="center"/>
          </w:tcPr>
          <w:p w14:paraId="02148F10">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69C10FF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2E8E1E39">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 xml:space="preserve">1）本项目的项目负责人具备信息系统项目管理师高级证书得2分； </w:t>
            </w:r>
          </w:p>
          <w:p w14:paraId="1D2A30A0">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该人员必须均为投标人在职员工，根据投标文件中提供以上人员近三个月任意一个月的社保缴纳证明、有关证书</w:t>
            </w:r>
            <w:r>
              <w:rPr>
                <w:rFonts w:hint="eastAsia"/>
                <w:lang w:val="en-US" w:eastAsia="zh-CN"/>
              </w:rPr>
              <w:t>的原件扫描件</w:t>
            </w:r>
            <w:r>
              <w:rPr>
                <w:rFonts w:hint="eastAsia" w:ascii="宋体" w:hAnsi="宋体" w:cs="宋体"/>
                <w:color w:val="000000" w:themeColor="text1"/>
                <w:kern w:val="1"/>
                <w:szCs w:val="21"/>
                <w14:textFill>
                  <w14:solidFill>
                    <w14:schemeClr w14:val="tx1"/>
                  </w14:solidFill>
                </w14:textFill>
              </w:rPr>
              <w:t>进行评分，未提供或不符合以上条件不得分。社保缴纳证明以社保机构出具的社保证明为准。</w:t>
            </w:r>
          </w:p>
        </w:tc>
      </w:tr>
      <w:tr w14:paraId="6D6772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 w:hRule="atLeast"/>
          <w:jc w:val="center"/>
        </w:trPr>
        <w:tc>
          <w:tcPr>
            <w:tcW w:w="738" w:type="dxa"/>
            <w:vMerge w:val="continue"/>
            <w:vAlign w:val="center"/>
          </w:tcPr>
          <w:p w14:paraId="445B52A0">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7E7DAA40">
            <w:pPr>
              <w:widowControl/>
              <w:jc w:val="center"/>
              <w:rPr>
                <w:rFonts w:hint="eastAsia" w:ascii="宋体" w:hAnsi="宋体" w:cs="宋体"/>
                <w:color w:val="000000" w:themeColor="text1"/>
                <w14:textFill>
                  <w14:solidFill>
                    <w14:schemeClr w14:val="tx1"/>
                  </w14:solidFill>
                </w14:textFill>
              </w:rPr>
            </w:pPr>
          </w:p>
        </w:tc>
        <w:tc>
          <w:tcPr>
            <w:tcW w:w="851" w:type="dxa"/>
            <w:vAlign w:val="center"/>
          </w:tcPr>
          <w:p w14:paraId="35F94932">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3779C507">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55886A6B">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2）本项目技术负责人具备网络安全管理证书得2分；该人员必须均为投标人在职员工，根据投标文件中提供以上人员近三个月任意一个月的社保缴纳证明、有关证书</w:t>
            </w:r>
            <w:r>
              <w:rPr>
                <w:rFonts w:hint="eastAsia"/>
                <w:lang w:val="en-US" w:eastAsia="zh-CN"/>
              </w:rPr>
              <w:t>的原件扫描件</w:t>
            </w:r>
            <w:r>
              <w:rPr>
                <w:rFonts w:hint="eastAsia" w:ascii="宋体" w:hAnsi="宋体" w:cs="宋体"/>
                <w:color w:val="000000" w:themeColor="text1"/>
                <w:kern w:val="1"/>
                <w:szCs w:val="21"/>
                <w14:textFill>
                  <w14:solidFill>
                    <w14:schemeClr w14:val="tx1"/>
                  </w14:solidFill>
                </w14:textFill>
              </w:rPr>
              <w:t>进行评分，未提供或不符合以上条件不得分。社保缴纳证明以社保机构出具的社保证明为准。</w:t>
            </w:r>
          </w:p>
        </w:tc>
      </w:tr>
      <w:tr w14:paraId="45E33E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 w:hRule="atLeast"/>
          <w:jc w:val="center"/>
        </w:trPr>
        <w:tc>
          <w:tcPr>
            <w:tcW w:w="738" w:type="dxa"/>
            <w:vMerge w:val="continue"/>
            <w:vAlign w:val="center"/>
          </w:tcPr>
          <w:p w14:paraId="34A613BC">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624FED6F">
            <w:pPr>
              <w:widowControl/>
              <w:jc w:val="center"/>
              <w:rPr>
                <w:rFonts w:hint="eastAsia" w:ascii="宋体" w:hAnsi="宋体" w:cs="宋体"/>
                <w:color w:val="000000" w:themeColor="text1"/>
                <w14:textFill>
                  <w14:solidFill>
                    <w14:schemeClr w14:val="tx1"/>
                  </w14:solidFill>
                </w14:textFill>
              </w:rPr>
            </w:pPr>
          </w:p>
        </w:tc>
        <w:tc>
          <w:tcPr>
            <w:tcW w:w="851" w:type="dxa"/>
            <w:vAlign w:val="center"/>
          </w:tcPr>
          <w:p w14:paraId="2F54A8DF">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134" w:type="dxa"/>
            <w:vAlign w:val="center"/>
          </w:tcPr>
          <w:p w14:paraId="5DDF3BE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580A7618">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3）项目组成员中（项目负责人、技术负责人除外）具有</w:t>
            </w:r>
            <w:r>
              <w:fldChar w:fldCharType="begin"/>
            </w:r>
            <w:r>
              <w:instrText xml:space="preserve"> HYPERLINK "javascript:void(0)" \o "软件测试工程师 --- 余海群" </w:instrText>
            </w:r>
            <w:r>
              <w:fldChar w:fldCharType="separate"/>
            </w:r>
            <w:r>
              <w:rPr>
                <w:rFonts w:hint="eastAsia" w:ascii="宋体" w:hAnsi="宋体" w:cs="宋体"/>
                <w:color w:val="000000" w:themeColor="text1"/>
                <w:kern w:val="1"/>
                <w:szCs w:val="21"/>
                <w14:textFill>
                  <w14:solidFill>
                    <w14:schemeClr w14:val="tx1"/>
                  </w14:solidFill>
                </w14:textFill>
              </w:rPr>
              <w:t>软件测试工程师</w:t>
            </w:r>
            <w:r>
              <w:rPr>
                <w:rFonts w:hint="eastAsia" w:ascii="宋体" w:hAnsi="宋体" w:cs="宋体"/>
                <w:color w:val="000000" w:themeColor="text1"/>
                <w:kern w:val="1"/>
                <w:szCs w:val="21"/>
                <w14:textFill>
                  <w14:solidFill>
                    <w14:schemeClr w14:val="tx1"/>
                  </w14:solidFill>
                </w14:textFill>
              </w:rPr>
              <w:fldChar w:fldCharType="end"/>
            </w:r>
            <w:r>
              <w:rPr>
                <w:rFonts w:hint="eastAsia" w:ascii="宋体" w:hAnsi="宋体" w:cs="宋体"/>
                <w:color w:val="000000" w:themeColor="text1"/>
                <w:kern w:val="1"/>
                <w:szCs w:val="21"/>
                <w14:textFill>
                  <w14:solidFill>
                    <w14:schemeClr w14:val="tx1"/>
                  </w14:solidFill>
                </w14:textFill>
              </w:rPr>
              <w:t>得2分；</w:t>
            </w:r>
          </w:p>
          <w:p w14:paraId="24615AC0">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以上人员必须均为投标人在职员工，根据投标文件中提供以上人员近三个月任意一个月的社保缴纳证明、有关证书</w:t>
            </w:r>
            <w:r>
              <w:rPr>
                <w:rFonts w:hint="eastAsia" w:ascii="宋体" w:hAnsi="宋体" w:cs="宋体"/>
                <w:color w:val="000000" w:themeColor="text1"/>
                <w:kern w:val="1"/>
                <w:szCs w:val="21"/>
                <w:lang w:val="en-US" w:eastAsia="zh-CN"/>
                <w14:textFill>
                  <w14:solidFill>
                    <w14:schemeClr w14:val="tx1"/>
                  </w14:solidFill>
                </w14:textFill>
              </w:rPr>
              <w:t>的原件扫描件</w:t>
            </w:r>
            <w:r>
              <w:rPr>
                <w:rFonts w:hint="eastAsia" w:ascii="宋体" w:hAnsi="宋体" w:cs="宋体"/>
                <w:color w:val="000000" w:themeColor="text1"/>
                <w:kern w:val="1"/>
                <w:szCs w:val="21"/>
                <w14:textFill>
                  <w14:solidFill>
                    <w14:schemeClr w14:val="tx1"/>
                  </w14:solidFill>
                </w14:textFill>
              </w:rPr>
              <w:t>进行评分，未提供或不符合以上条件不得分。社保缴纳证明以社保机构出具的社保证明为准。</w:t>
            </w:r>
          </w:p>
        </w:tc>
      </w:tr>
      <w:tr w14:paraId="32947B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 w:hRule="atLeast"/>
          <w:jc w:val="center"/>
        </w:trPr>
        <w:tc>
          <w:tcPr>
            <w:tcW w:w="738" w:type="dxa"/>
            <w:vMerge w:val="continue"/>
            <w:vAlign w:val="center"/>
          </w:tcPr>
          <w:p w14:paraId="39CFA148">
            <w:pPr>
              <w:jc w:val="center"/>
              <w:rPr>
                <w:rFonts w:hint="eastAsia" w:ascii="宋体" w:hAnsi="宋体" w:cs="宋体"/>
                <w:color w:val="000000" w:themeColor="text1"/>
                <w14:textFill>
                  <w14:solidFill>
                    <w14:schemeClr w14:val="tx1"/>
                  </w14:solidFill>
                </w14:textFill>
              </w:rPr>
            </w:pPr>
          </w:p>
        </w:tc>
        <w:tc>
          <w:tcPr>
            <w:tcW w:w="1090" w:type="dxa"/>
            <w:vAlign w:val="center"/>
          </w:tcPr>
          <w:p w14:paraId="6D6B21F8">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szCs w:val="21"/>
              </w:rPr>
              <w:t>维护费承诺</w:t>
            </w:r>
          </w:p>
        </w:tc>
        <w:tc>
          <w:tcPr>
            <w:tcW w:w="851" w:type="dxa"/>
            <w:vAlign w:val="center"/>
          </w:tcPr>
          <w:p w14:paraId="420306A1">
            <w:pPr>
              <w:widowControl/>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134" w:type="dxa"/>
            <w:vAlign w:val="center"/>
          </w:tcPr>
          <w:p w14:paraId="092218BF">
            <w:pPr>
              <w:spacing w:line="34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7C1C0B15">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根据投标人承诺的质保期后年维护费率（年维护费=合同金额×年维护费率）进行评分。</w:t>
            </w:r>
          </w:p>
          <w:p w14:paraId="5AE23191">
            <w:pPr>
              <w:spacing w:line="300" w:lineRule="auto"/>
              <w:jc w:val="left"/>
              <w:rPr>
                <w:rFonts w:hint="eastAsia"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其中承诺年维护费率≤8%得1分，承诺8%＜年维护费率≤10%得0.5分。</w:t>
            </w:r>
          </w:p>
        </w:tc>
      </w:tr>
      <w:tr w14:paraId="72D882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0544EA66">
            <w:pPr>
              <w:jc w:val="center"/>
              <w:rPr>
                <w:rFonts w:hint="eastAsia" w:ascii="宋体" w:hAnsi="宋体" w:cs="宋体"/>
                <w:color w:val="000000" w:themeColor="text1"/>
                <w14:textFill>
                  <w14:solidFill>
                    <w14:schemeClr w14:val="tx1"/>
                  </w14:solidFill>
                </w14:textFill>
              </w:rPr>
            </w:pPr>
          </w:p>
        </w:tc>
        <w:tc>
          <w:tcPr>
            <w:tcW w:w="1090" w:type="dxa"/>
            <w:tcBorders>
              <w:top w:val="single" w:color="auto" w:sz="12" w:space="0"/>
              <w:bottom w:val="single" w:color="auto" w:sz="12" w:space="0"/>
            </w:tcBorders>
            <w:vAlign w:val="center"/>
          </w:tcPr>
          <w:p w14:paraId="3FE1081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w:t>
            </w:r>
          </w:p>
        </w:tc>
        <w:tc>
          <w:tcPr>
            <w:tcW w:w="851" w:type="dxa"/>
            <w:tcBorders>
              <w:top w:val="single" w:color="auto" w:sz="12" w:space="0"/>
              <w:bottom w:val="single" w:color="auto" w:sz="12" w:space="0"/>
            </w:tcBorders>
            <w:vAlign w:val="center"/>
          </w:tcPr>
          <w:p w14:paraId="37016886">
            <w:pPr>
              <w:widowControl/>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34" w:type="dxa"/>
            <w:tcBorders>
              <w:top w:val="single" w:color="auto" w:sz="12" w:space="0"/>
              <w:bottom w:val="single" w:color="auto" w:sz="12" w:space="0"/>
            </w:tcBorders>
            <w:vAlign w:val="center"/>
          </w:tcPr>
          <w:p w14:paraId="4C13BFA9">
            <w:pPr>
              <w:tabs>
                <w:tab w:val="left" w:pos="984"/>
              </w:tabs>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2CAC8E36">
            <w:pPr>
              <w:tabs>
                <w:tab w:val="left" w:pos="984"/>
              </w:tabs>
              <w:snapToGrid w:val="0"/>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投标人自2021年1月1日（以合同签订时间为准）至今具有同类项目业绩的，每个业绩得1分，满分3分，投标文件中提供完整合同复印件加盖公章。</w:t>
            </w:r>
          </w:p>
        </w:tc>
      </w:tr>
      <w:tr w14:paraId="662CAC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7724ECEF">
            <w:pPr>
              <w:jc w:val="center"/>
              <w:rPr>
                <w:rFonts w:hint="eastAsia" w:ascii="宋体" w:hAnsi="宋体" w:cs="宋体"/>
                <w:color w:val="000000" w:themeColor="text1"/>
                <w14:textFill>
                  <w14:solidFill>
                    <w14:schemeClr w14:val="tx1"/>
                  </w14:solidFill>
                </w14:textFill>
              </w:rPr>
            </w:pPr>
          </w:p>
        </w:tc>
        <w:tc>
          <w:tcPr>
            <w:tcW w:w="1090" w:type="dxa"/>
            <w:tcBorders>
              <w:top w:val="single" w:color="auto" w:sz="12" w:space="0"/>
              <w:bottom w:val="single" w:color="auto" w:sz="12" w:space="0"/>
            </w:tcBorders>
            <w:vAlign w:val="center"/>
          </w:tcPr>
          <w:p w14:paraId="5EA27772">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项目建设方案</w:t>
            </w:r>
          </w:p>
        </w:tc>
        <w:tc>
          <w:tcPr>
            <w:tcW w:w="851" w:type="dxa"/>
            <w:tcBorders>
              <w:top w:val="single" w:color="auto" w:sz="12" w:space="0"/>
              <w:bottom w:val="single" w:color="auto" w:sz="12" w:space="0"/>
            </w:tcBorders>
            <w:vAlign w:val="center"/>
          </w:tcPr>
          <w:p w14:paraId="19CD3C8A">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34" w:type="dxa"/>
            <w:tcBorders>
              <w:top w:val="single" w:color="auto" w:sz="12" w:space="0"/>
              <w:bottom w:val="single" w:color="auto" w:sz="12" w:space="0"/>
            </w:tcBorders>
            <w:vAlign w:val="center"/>
          </w:tcPr>
          <w:p w14:paraId="719831BA">
            <w:pPr>
              <w:tabs>
                <w:tab w:val="left" w:pos="984"/>
              </w:tabs>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76B8A43A">
            <w:pPr>
              <w:tabs>
                <w:tab w:val="left" w:pos="984"/>
              </w:tabs>
              <w:snapToGrid w:val="0"/>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ascii="宋体" w:hAnsi="宋体" w:cs="宋体"/>
                <w:szCs w:val="21"/>
              </w:rPr>
              <w:t>投标人</w:t>
            </w:r>
            <w:r>
              <w:rPr>
                <w:rFonts w:hint="eastAsia" w:ascii="宋体" w:hAnsi="宋体" w:cs="宋体"/>
                <w:color w:val="000000" w:themeColor="text1"/>
                <w:szCs w:val="21"/>
                <w14:textFill>
                  <w14:solidFill>
                    <w14:schemeClr w14:val="tx1"/>
                  </w14:solidFill>
                </w14:textFill>
              </w:rPr>
              <w:t>对本项目提供的整体建设方案及技术服务方案（包括对用户需求的理解程度、方案设计的合理性、系统架构的稳定性、数据传输的安全性等内容、对接融合方案等内容进行评议：</w:t>
            </w:r>
          </w:p>
          <w:p w14:paraId="2481486C">
            <w:pPr>
              <w:tabs>
                <w:tab w:val="left" w:pos="984"/>
              </w:tabs>
              <w:snapToGrid w:val="0"/>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①</w:t>
            </w:r>
            <w:r>
              <w:rPr>
                <w:rFonts w:hint="eastAsia" w:ascii="宋体" w:hAnsi="宋体" w:cs="宋体"/>
                <w:color w:val="000000" w:themeColor="text1"/>
                <w:szCs w:val="21"/>
                <w14:textFill>
                  <w14:solidFill>
                    <w14:schemeClr w14:val="tx1"/>
                  </w14:solidFill>
                </w14:textFill>
              </w:rPr>
              <w:t>建设方案内容完整详尽、分析具体详尽、充分了解需求，与采购人的建设要求思路相吻合具备可实施性的得3分；</w:t>
            </w:r>
          </w:p>
          <w:p w14:paraId="0EC41AC0">
            <w:pPr>
              <w:tabs>
                <w:tab w:val="left" w:pos="984"/>
              </w:tabs>
              <w:snapToGrid w:val="0"/>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②</w:t>
            </w:r>
            <w:r>
              <w:rPr>
                <w:rFonts w:hint="eastAsia" w:ascii="宋体" w:hAnsi="宋体" w:cs="宋体"/>
                <w:color w:val="000000" w:themeColor="text1"/>
                <w:szCs w:val="21"/>
                <w14:textFill>
                  <w14:solidFill>
                    <w14:schemeClr w14:val="tx1"/>
                  </w14:solidFill>
                </w14:textFill>
              </w:rPr>
              <w:t>建设方案基本科学合理，技术服务方案能基本满足要求，但前瞻性不够，存在较小瑕疵的得2分；</w:t>
            </w:r>
          </w:p>
          <w:p w14:paraId="1442DE1E">
            <w:pPr>
              <w:tabs>
                <w:tab w:val="left" w:pos="984"/>
              </w:tabs>
              <w:snapToGrid w:val="0"/>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③</w:t>
            </w:r>
            <w:r>
              <w:rPr>
                <w:rFonts w:hint="eastAsia" w:ascii="宋体" w:hAnsi="宋体" w:cs="宋体"/>
                <w:color w:val="000000" w:themeColor="text1"/>
                <w:szCs w:val="21"/>
                <w14:textFill>
                  <w14:solidFill>
                    <w14:schemeClr w14:val="tx1"/>
                  </w14:solidFill>
                </w14:textFill>
              </w:rPr>
              <w:t>整体建设方案较为简单、相关功能配置满足最低建设要求，针对性欠缺的得1分；</w:t>
            </w:r>
          </w:p>
          <w:p w14:paraId="644FD85F">
            <w:pPr>
              <w:tabs>
                <w:tab w:val="left" w:pos="984"/>
              </w:tabs>
              <w:snapToGrid w:val="0"/>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④</w:t>
            </w:r>
            <w:r>
              <w:rPr>
                <w:rFonts w:hint="eastAsia" w:ascii="宋体" w:hAnsi="宋体" w:cs="宋体"/>
                <w:color w:val="000000" w:themeColor="text1"/>
                <w:szCs w:val="21"/>
                <w14:textFill>
                  <w14:solidFill>
                    <w14:schemeClr w14:val="tx1"/>
                  </w14:solidFill>
                </w14:textFill>
              </w:rPr>
              <w:t>无相应内容的不得分。</w:t>
            </w:r>
          </w:p>
        </w:tc>
      </w:tr>
      <w:tr w14:paraId="64C62A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5AE4503F">
            <w:pPr>
              <w:jc w:val="center"/>
              <w:rPr>
                <w:rFonts w:hint="eastAsia" w:ascii="宋体" w:hAnsi="宋体" w:cs="宋体"/>
                <w:color w:val="000000" w:themeColor="text1"/>
                <w14:textFill>
                  <w14:solidFill>
                    <w14:schemeClr w14:val="tx1"/>
                  </w14:solidFill>
                </w14:textFill>
              </w:rPr>
            </w:pPr>
          </w:p>
        </w:tc>
        <w:tc>
          <w:tcPr>
            <w:tcW w:w="1090" w:type="dxa"/>
            <w:vMerge w:val="restart"/>
            <w:tcBorders>
              <w:top w:val="single" w:color="auto" w:sz="12" w:space="0"/>
            </w:tcBorders>
            <w:vAlign w:val="center"/>
          </w:tcPr>
          <w:p w14:paraId="03E7757B">
            <w:pPr>
              <w:tabs>
                <w:tab w:val="left" w:pos="984"/>
              </w:tabs>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实施方案</w:t>
            </w:r>
          </w:p>
        </w:tc>
        <w:tc>
          <w:tcPr>
            <w:tcW w:w="851" w:type="dxa"/>
            <w:tcBorders>
              <w:top w:val="single" w:color="auto" w:sz="12" w:space="0"/>
              <w:bottom w:val="single" w:color="auto" w:sz="12" w:space="0"/>
            </w:tcBorders>
            <w:vAlign w:val="center"/>
          </w:tcPr>
          <w:p w14:paraId="61929512">
            <w:pPr>
              <w:widowControl/>
              <w:spacing w:line="400" w:lineRule="exact"/>
              <w:jc w:val="center"/>
              <w:rPr>
                <w:rFonts w:hint="eastAsia" w:ascii="宋体" w:hAnsi="宋体" w:cs="宋体"/>
                <w:strike/>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34" w:type="dxa"/>
            <w:tcBorders>
              <w:top w:val="single" w:color="auto" w:sz="12" w:space="0"/>
              <w:bottom w:val="single" w:color="auto" w:sz="12" w:space="0"/>
            </w:tcBorders>
            <w:vAlign w:val="center"/>
          </w:tcPr>
          <w:p w14:paraId="4F6DC5E1">
            <w:pPr>
              <w:tabs>
                <w:tab w:val="left" w:pos="984"/>
              </w:tabs>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414D299F">
            <w:pPr>
              <w:numPr>
                <w:ilvl w:val="0"/>
                <w:numId w:val="13"/>
              </w:numPr>
              <w:spacing w:line="288" w:lineRule="auto"/>
              <w:rPr>
                <w:rFonts w:hint="eastAsia" w:ascii="宋体" w:hAnsi="宋体" w:cs="宋体"/>
                <w:szCs w:val="21"/>
              </w:rPr>
            </w:pPr>
            <w:r>
              <w:rPr>
                <w:rFonts w:hint="eastAsia" w:ascii="宋体" w:hAnsi="宋体" w:cs="宋体"/>
                <w:szCs w:val="21"/>
              </w:rPr>
              <w:t>根据投标人提供的方案能结合项目要求和实际工作要求，提出完善的各项技术和实施组织方案，根据项目组成员职责分工的合理性、工期安排的科学性、质量管理体系的完备性、验收的可操作性等内容进行评议；</w:t>
            </w:r>
          </w:p>
          <w:p w14:paraId="48428D48">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①</w:t>
            </w:r>
            <w:r>
              <w:rPr>
                <w:rFonts w:hint="eastAsia" w:ascii="宋体" w:hAnsi="宋体" w:cs="宋体"/>
                <w:color w:val="000000" w:themeColor="text1"/>
                <w:szCs w:val="21"/>
                <w14:textFill>
                  <w14:solidFill>
                    <w14:schemeClr w14:val="tx1"/>
                  </w14:solidFill>
                </w14:textFill>
              </w:rPr>
              <w:t>实施方案内容完整详尽、</w:t>
            </w:r>
            <w:r>
              <w:rPr>
                <w:rFonts w:hint="eastAsia" w:ascii="宋体" w:hAnsi="宋体" w:cs="宋体"/>
                <w:szCs w:val="21"/>
              </w:rPr>
              <w:t>项目组成员职责分工合理</w:t>
            </w: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工期安排科学</w:t>
            </w: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质量管理体系完备，验收可操作性符合业主要求的</w:t>
            </w:r>
            <w:r>
              <w:rPr>
                <w:rFonts w:hint="eastAsia" w:ascii="宋体" w:hAnsi="宋体" w:cs="宋体"/>
                <w:color w:val="000000" w:themeColor="text1"/>
                <w:szCs w:val="21"/>
                <w14:textFill>
                  <w14:solidFill>
                    <w14:schemeClr w14:val="tx1"/>
                  </w14:solidFill>
                </w14:textFill>
              </w:rPr>
              <w:t>得3分；实施方案内容基本详尽、</w:t>
            </w:r>
            <w:r>
              <w:rPr>
                <w:rFonts w:hint="eastAsia" w:ascii="宋体" w:hAnsi="宋体" w:cs="宋体"/>
                <w:szCs w:val="21"/>
              </w:rPr>
              <w:t>项目组成②员职责分工较合理</w:t>
            </w: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工期安排较科学</w:t>
            </w: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质量管理体系基本满足要求，验收可操作性基本符合业主要求但</w:t>
            </w:r>
            <w:r>
              <w:rPr>
                <w:rFonts w:hint="eastAsia" w:ascii="宋体" w:hAnsi="宋体" w:cs="宋体"/>
                <w:color w:val="000000" w:themeColor="text1"/>
                <w:szCs w:val="21"/>
                <w14:textFill>
                  <w14:solidFill>
                    <w14:schemeClr w14:val="tx1"/>
                  </w14:solidFill>
                </w14:textFill>
              </w:rPr>
              <w:t>存在较小瑕疵的得2分，</w:t>
            </w:r>
          </w:p>
          <w:p w14:paraId="3C32D8CD">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③</w:t>
            </w:r>
            <w:r>
              <w:rPr>
                <w:rFonts w:hint="eastAsia" w:ascii="宋体" w:hAnsi="宋体" w:cs="宋体"/>
                <w:color w:val="000000" w:themeColor="text1"/>
                <w:szCs w:val="21"/>
                <w14:textFill>
                  <w14:solidFill>
                    <w14:schemeClr w14:val="tx1"/>
                  </w14:solidFill>
                </w14:textFill>
              </w:rPr>
              <w:t>整体实施方案较为简单、相关</w:t>
            </w:r>
            <w:r>
              <w:rPr>
                <w:rFonts w:hint="eastAsia" w:ascii="宋体" w:hAnsi="宋体" w:cs="宋体"/>
                <w:szCs w:val="21"/>
              </w:rPr>
              <w:t>成员职责分工配置</w:t>
            </w:r>
            <w:r>
              <w:rPr>
                <w:rFonts w:hint="eastAsia" w:ascii="宋体" w:hAnsi="宋体" w:cs="宋体"/>
                <w:color w:val="000000" w:themeColor="text1"/>
                <w:szCs w:val="21"/>
                <w14:textFill>
                  <w14:solidFill>
                    <w14:schemeClr w14:val="tx1"/>
                  </w14:solidFill>
                </w14:textFill>
              </w:rPr>
              <w:t>满足最低项目要求，针对性欠缺的得1分；</w:t>
            </w:r>
          </w:p>
          <w:p w14:paraId="05B3FB8E">
            <w:pPr>
              <w:spacing w:line="288" w:lineRule="auto"/>
              <w:rPr>
                <w:rFonts w:hint="eastAsia" w:ascii="宋体" w:hAnsi="宋体" w:cs="宋体"/>
                <w:color w:val="000000" w:themeColor="text1"/>
                <w14:textFill>
                  <w14:solidFill>
                    <w14:schemeClr w14:val="tx1"/>
                  </w14:solidFill>
                </w14:textFill>
              </w:rPr>
            </w:pPr>
            <w:r>
              <w:rPr>
                <w:rFonts w:hint="eastAsia" w:ascii="宋体" w:hAnsi="宋体" w:cs="宋体"/>
                <w:szCs w:val="21"/>
              </w:rPr>
              <w:t>④</w:t>
            </w:r>
            <w:r>
              <w:rPr>
                <w:rFonts w:hint="eastAsia" w:ascii="宋体" w:hAnsi="宋体" w:cs="宋体"/>
                <w:color w:val="000000" w:themeColor="text1"/>
                <w:szCs w:val="21"/>
                <w14:textFill>
                  <w14:solidFill>
                    <w14:schemeClr w14:val="tx1"/>
                  </w14:solidFill>
                </w14:textFill>
              </w:rPr>
              <w:t>无相应内容的不得分。</w:t>
            </w:r>
          </w:p>
        </w:tc>
      </w:tr>
      <w:tr w14:paraId="03C14D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214E393A">
            <w:pPr>
              <w:jc w:val="center"/>
              <w:rPr>
                <w:rFonts w:hint="eastAsia" w:ascii="宋体" w:hAnsi="宋体" w:cs="宋体"/>
                <w:color w:val="000000" w:themeColor="text1"/>
                <w14:textFill>
                  <w14:solidFill>
                    <w14:schemeClr w14:val="tx1"/>
                  </w14:solidFill>
                </w14:textFill>
              </w:rPr>
            </w:pPr>
          </w:p>
        </w:tc>
        <w:tc>
          <w:tcPr>
            <w:tcW w:w="1090" w:type="dxa"/>
            <w:vMerge w:val="continue"/>
            <w:tcBorders>
              <w:bottom w:val="single" w:color="auto" w:sz="12" w:space="0"/>
            </w:tcBorders>
            <w:vAlign w:val="center"/>
          </w:tcPr>
          <w:p w14:paraId="50F63738">
            <w:pPr>
              <w:tabs>
                <w:tab w:val="left" w:pos="984"/>
              </w:tabs>
              <w:spacing w:line="400" w:lineRule="exact"/>
              <w:jc w:val="center"/>
              <w:rPr>
                <w:rFonts w:hint="eastAsia" w:ascii="宋体" w:hAnsi="宋体" w:cs="宋体"/>
                <w:color w:val="000000" w:themeColor="text1"/>
                <w:szCs w:val="21"/>
                <w:lang w:val="zh-CN"/>
                <w14:textFill>
                  <w14:solidFill>
                    <w14:schemeClr w14:val="tx1"/>
                  </w14:solidFill>
                </w14:textFill>
              </w:rPr>
            </w:pPr>
          </w:p>
        </w:tc>
        <w:tc>
          <w:tcPr>
            <w:tcW w:w="851" w:type="dxa"/>
            <w:tcBorders>
              <w:top w:val="single" w:color="auto" w:sz="12" w:space="0"/>
              <w:bottom w:val="single" w:color="auto" w:sz="12" w:space="0"/>
            </w:tcBorders>
            <w:vAlign w:val="center"/>
          </w:tcPr>
          <w:p w14:paraId="10B12E52">
            <w:pPr>
              <w:widowControl/>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134" w:type="dxa"/>
            <w:tcBorders>
              <w:top w:val="single" w:color="auto" w:sz="12" w:space="0"/>
              <w:bottom w:val="single" w:color="auto" w:sz="12" w:space="0"/>
            </w:tcBorders>
            <w:vAlign w:val="center"/>
          </w:tcPr>
          <w:p w14:paraId="784AC47F">
            <w:pPr>
              <w:tabs>
                <w:tab w:val="left" w:pos="984"/>
              </w:tabs>
              <w:snapToGrid w:val="0"/>
              <w:spacing w:line="400" w:lineRule="exact"/>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67612BA1">
            <w:pPr>
              <w:spacing w:line="288" w:lineRule="auto"/>
              <w:rPr>
                <w:rFonts w:hint="eastAsia" w:ascii="宋体" w:hAnsi="宋体" w:cs="宋体"/>
                <w:szCs w:val="21"/>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szCs w:val="21"/>
              </w:rPr>
              <w:t>根据安装与验收要求，投标人提供的针对本项目安装方案、安装人员配置、调试要求、测试方式、产品验收方案等进行综合评价：</w:t>
            </w:r>
          </w:p>
          <w:p w14:paraId="15D3A41F">
            <w:pPr>
              <w:spacing w:line="288" w:lineRule="auto"/>
              <w:rPr>
                <w:rFonts w:hint="eastAsia" w:ascii="宋体" w:hAnsi="宋体" w:cs="宋体"/>
                <w:szCs w:val="21"/>
              </w:rPr>
            </w:pPr>
            <w:r>
              <w:rPr>
                <w:rFonts w:hint="eastAsia" w:ascii="宋体" w:hAnsi="宋体" w:cs="宋体"/>
                <w:szCs w:val="21"/>
              </w:rPr>
              <w:t>①安装方案、安装人员配置、调试要求、测试方式、产品验收方案切合实际，符合项目实际需求的得</w:t>
            </w:r>
            <w:r>
              <w:rPr>
                <w:rFonts w:hint="eastAsia" w:ascii="宋体" w:hAnsi="宋体" w:cs="宋体"/>
                <w:szCs w:val="21"/>
                <w:lang w:val="en-US" w:eastAsia="zh-CN"/>
              </w:rPr>
              <w:t>3</w:t>
            </w:r>
            <w:r>
              <w:rPr>
                <w:rFonts w:hint="eastAsia" w:ascii="宋体" w:hAnsi="宋体" w:cs="宋体"/>
                <w:szCs w:val="21"/>
              </w:rPr>
              <w:t>分；</w:t>
            </w:r>
          </w:p>
          <w:p w14:paraId="734BEA90">
            <w:pPr>
              <w:spacing w:line="288" w:lineRule="auto"/>
              <w:rPr>
                <w:rFonts w:hint="eastAsia" w:ascii="宋体" w:hAnsi="宋体" w:cs="宋体"/>
                <w:szCs w:val="21"/>
              </w:rPr>
            </w:pPr>
            <w:r>
              <w:rPr>
                <w:rFonts w:hint="eastAsia" w:ascii="宋体" w:hAnsi="宋体" w:cs="宋体"/>
                <w:szCs w:val="21"/>
              </w:rPr>
              <w:t>②安装方案、安装人员配置、调试要求、测试方式、产品验收方案基本切合实际，基本符合项目实际需求的得2分；</w:t>
            </w:r>
          </w:p>
          <w:p w14:paraId="42728415">
            <w:pPr>
              <w:spacing w:line="288" w:lineRule="auto"/>
              <w:rPr>
                <w:rFonts w:hint="eastAsia" w:ascii="宋体" w:hAnsi="宋体" w:cs="宋体"/>
                <w:szCs w:val="21"/>
              </w:rPr>
            </w:pPr>
            <w:r>
              <w:rPr>
                <w:rFonts w:hint="eastAsia" w:ascii="宋体" w:hAnsi="宋体" w:cs="宋体"/>
                <w:szCs w:val="21"/>
              </w:rPr>
              <w:t>③安装方案、安装人员配置、调试要求、测试方式、产品验收方案不切合实际，不符合项目实际需求的得1分。</w:t>
            </w:r>
          </w:p>
          <w:p w14:paraId="3E41F784">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④</w:t>
            </w:r>
            <w:r>
              <w:rPr>
                <w:rFonts w:hint="eastAsia" w:ascii="宋体" w:hAnsi="宋体" w:cs="宋体"/>
                <w:color w:val="000000" w:themeColor="text1"/>
                <w:szCs w:val="21"/>
                <w14:textFill>
                  <w14:solidFill>
                    <w14:schemeClr w14:val="tx1"/>
                  </w14:solidFill>
                </w14:textFill>
              </w:rPr>
              <w:t>无相应内容的不得分。</w:t>
            </w:r>
          </w:p>
        </w:tc>
      </w:tr>
      <w:tr w14:paraId="750A12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29BEA431">
            <w:pPr>
              <w:jc w:val="center"/>
              <w:rPr>
                <w:rFonts w:hint="eastAsia" w:ascii="宋体" w:hAnsi="宋体" w:cs="宋体"/>
                <w:color w:val="000000" w:themeColor="text1"/>
                <w14:textFill>
                  <w14:solidFill>
                    <w14:schemeClr w14:val="tx1"/>
                  </w14:solidFill>
                </w14:textFill>
              </w:rPr>
            </w:pPr>
          </w:p>
        </w:tc>
        <w:tc>
          <w:tcPr>
            <w:tcW w:w="1090" w:type="dxa"/>
            <w:tcBorders>
              <w:bottom w:val="single" w:color="auto" w:sz="12" w:space="0"/>
            </w:tcBorders>
            <w:vAlign w:val="center"/>
          </w:tcPr>
          <w:p w14:paraId="11ADA7E5">
            <w:pPr>
              <w:spacing w:line="34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系统安全方案</w:t>
            </w:r>
          </w:p>
        </w:tc>
        <w:tc>
          <w:tcPr>
            <w:tcW w:w="851" w:type="dxa"/>
            <w:tcBorders>
              <w:top w:val="single" w:color="auto" w:sz="12" w:space="0"/>
              <w:bottom w:val="single" w:color="auto" w:sz="12" w:space="0"/>
            </w:tcBorders>
            <w:vAlign w:val="center"/>
          </w:tcPr>
          <w:p w14:paraId="4E0EC998">
            <w:pPr>
              <w:widowControl/>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134" w:type="dxa"/>
            <w:tcBorders>
              <w:top w:val="single" w:color="auto" w:sz="12" w:space="0"/>
              <w:bottom w:val="single" w:color="auto" w:sz="12" w:space="0"/>
            </w:tcBorders>
            <w:vAlign w:val="center"/>
          </w:tcPr>
          <w:p w14:paraId="2858980C">
            <w:pPr>
              <w:tabs>
                <w:tab w:val="left" w:pos="984"/>
              </w:tabs>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69CDD74E">
            <w:pPr>
              <w:spacing w:line="288" w:lineRule="auto"/>
              <w:rPr>
                <w:rFonts w:hint="eastAsia" w:ascii="宋体" w:hAnsi="宋体" w:cs="宋体"/>
                <w:szCs w:val="21"/>
              </w:rPr>
            </w:pPr>
            <w:r>
              <w:rPr>
                <w:rFonts w:hint="eastAsia" w:ascii="宋体" w:hAnsi="宋体" w:cs="宋体"/>
                <w:szCs w:val="21"/>
              </w:rPr>
              <w:t>根据项目要求，投标人提供的针对本项目系统整体安全方案进行评价，包括系统层面安全、准入层面安全、传输层面安全、数据层面安全、硬件层面安全、实施运维层面安全、灾难恢复层面安全等进行综合评价：</w:t>
            </w:r>
          </w:p>
          <w:p w14:paraId="18C9A81A">
            <w:pPr>
              <w:spacing w:line="288" w:lineRule="auto"/>
              <w:rPr>
                <w:rFonts w:hint="eastAsia" w:ascii="宋体" w:hAnsi="宋体" w:cs="宋体"/>
                <w:szCs w:val="21"/>
              </w:rPr>
            </w:pPr>
            <w:r>
              <w:rPr>
                <w:rFonts w:hint="eastAsia" w:ascii="宋体" w:hAnsi="宋体" w:cs="宋体"/>
                <w:szCs w:val="21"/>
              </w:rPr>
              <w:t>①</w:t>
            </w:r>
            <w:r>
              <w:rPr>
                <w:rFonts w:hint="eastAsia" w:ascii="宋体" w:hAnsi="宋体"/>
                <w:color w:val="000000" w:themeColor="text1"/>
                <w:szCs w:val="21"/>
                <w14:textFill>
                  <w14:solidFill>
                    <w14:schemeClr w14:val="tx1"/>
                  </w14:solidFill>
                </w14:textFill>
              </w:rPr>
              <w:t>系统安全方案</w:t>
            </w:r>
            <w:r>
              <w:rPr>
                <w:rFonts w:hint="eastAsia" w:ascii="宋体" w:hAnsi="宋体" w:cs="宋体"/>
                <w:szCs w:val="21"/>
              </w:rPr>
              <w:t>满足招标文件要求，系统层面安全、准入层面安全、传输层面安全、数据层面安全、硬件层面安全、实施运维层面安全、灾难恢复层面安全合理、针对性和可操作性强的得5分；</w:t>
            </w:r>
          </w:p>
          <w:p w14:paraId="0B429BFB">
            <w:pPr>
              <w:spacing w:line="288" w:lineRule="auto"/>
              <w:rPr>
                <w:rFonts w:hint="eastAsia" w:ascii="宋体" w:hAnsi="宋体" w:cs="宋体"/>
                <w:szCs w:val="21"/>
              </w:rPr>
            </w:pPr>
            <w:r>
              <w:rPr>
                <w:rFonts w:hint="eastAsia" w:ascii="宋体" w:hAnsi="宋体" w:cs="宋体"/>
                <w:szCs w:val="21"/>
              </w:rPr>
              <w:t>②</w:t>
            </w:r>
            <w:r>
              <w:rPr>
                <w:rFonts w:hint="eastAsia" w:ascii="宋体" w:hAnsi="宋体"/>
                <w:color w:val="000000" w:themeColor="text1"/>
                <w:szCs w:val="21"/>
                <w14:textFill>
                  <w14:solidFill>
                    <w14:schemeClr w14:val="tx1"/>
                  </w14:solidFill>
                </w14:textFill>
              </w:rPr>
              <w:t>系统安全方案</w:t>
            </w:r>
            <w:r>
              <w:rPr>
                <w:rFonts w:hint="eastAsia" w:ascii="宋体" w:hAnsi="宋体" w:cs="宋体"/>
                <w:szCs w:val="21"/>
              </w:rPr>
              <w:t>基本满足招标文件要求，系统层面安全、准入层面安全、传输层面安全、数据层面安全、硬件层面安全、实施运维层面安全、灾难恢复层面安全合理、针对性和可操作性较强的得3分；</w:t>
            </w:r>
          </w:p>
          <w:p w14:paraId="156697F2">
            <w:pPr>
              <w:spacing w:line="288" w:lineRule="auto"/>
              <w:rPr>
                <w:rFonts w:hint="eastAsia" w:ascii="宋体" w:hAnsi="宋体" w:cs="宋体"/>
                <w:szCs w:val="21"/>
              </w:rPr>
            </w:pPr>
            <w:r>
              <w:rPr>
                <w:rFonts w:hint="eastAsia" w:ascii="宋体" w:hAnsi="宋体" w:cs="宋体"/>
                <w:szCs w:val="21"/>
              </w:rPr>
              <w:t>③</w:t>
            </w:r>
            <w:r>
              <w:rPr>
                <w:rFonts w:hint="eastAsia" w:ascii="宋体" w:hAnsi="宋体"/>
                <w:color w:val="000000" w:themeColor="text1"/>
                <w:szCs w:val="21"/>
                <w14:textFill>
                  <w14:solidFill>
                    <w14:schemeClr w14:val="tx1"/>
                  </w14:solidFill>
                </w14:textFill>
              </w:rPr>
              <w:t>系统安全方案</w:t>
            </w:r>
            <w:r>
              <w:rPr>
                <w:rFonts w:hint="eastAsia" w:ascii="宋体" w:hAnsi="宋体" w:cs="宋体"/>
                <w:szCs w:val="21"/>
              </w:rPr>
              <w:t>很简单，内容缺项太多，无法满足招标文件要求的得1分；</w:t>
            </w:r>
          </w:p>
          <w:p w14:paraId="1BDFD564">
            <w:pPr>
              <w:tabs>
                <w:tab w:val="left" w:pos="984"/>
              </w:tabs>
              <w:snapToGrid w:val="0"/>
              <w:spacing w:line="300" w:lineRule="auto"/>
              <w:rPr>
                <w:rFonts w:hint="eastAsia" w:ascii="宋体" w:hAnsi="宋体" w:cs="宋体"/>
                <w:szCs w:val="21"/>
              </w:rPr>
            </w:pPr>
            <w:r>
              <w:rPr>
                <w:rFonts w:hint="eastAsia" w:ascii="宋体" w:hAnsi="宋体" w:cs="宋体"/>
                <w:szCs w:val="21"/>
              </w:rPr>
              <w:t>④</w:t>
            </w:r>
            <w:r>
              <w:rPr>
                <w:rFonts w:hint="eastAsia" w:ascii="宋体" w:hAnsi="宋体" w:cs="宋体"/>
                <w:color w:val="000000" w:themeColor="text1"/>
                <w:szCs w:val="21"/>
                <w14:textFill>
                  <w14:solidFill>
                    <w14:schemeClr w14:val="tx1"/>
                  </w14:solidFill>
                </w14:textFill>
              </w:rPr>
              <w:t>无相应内容的不得分。</w:t>
            </w:r>
          </w:p>
        </w:tc>
      </w:tr>
      <w:tr w14:paraId="661B52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8" w:hRule="atLeast"/>
          <w:jc w:val="center"/>
        </w:trPr>
        <w:tc>
          <w:tcPr>
            <w:tcW w:w="738" w:type="dxa"/>
            <w:vMerge w:val="continue"/>
            <w:vAlign w:val="center"/>
          </w:tcPr>
          <w:p w14:paraId="1E811D05">
            <w:pPr>
              <w:jc w:val="center"/>
              <w:rPr>
                <w:rFonts w:hint="eastAsia" w:ascii="宋体" w:hAnsi="宋体" w:cs="宋体"/>
                <w:color w:val="000000" w:themeColor="text1"/>
                <w14:textFill>
                  <w14:solidFill>
                    <w14:schemeClr w14:val="tx1"/>
                  </w14:solidFill>
                </w14:textFill>
              </w:rPr>
            </w:pPr>
          </w:p>
        </w:tc>
        <w:tc>
          <w:tcPr>
            <w:tcW w:w="1090" w:type="dxa"/>
            <w:vMerge w:val="restart"/>
            <w:tcBorders>
              <w:top w:val="single" w:color="auto" w:sz="12" w:space="0"/>
            </w:tcBorders>
            <w:vAlign w:val="center"/>
          </w:tcPr>
          <w:p w14:paraId="5A42FFBD">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售后服务方案</w:t>
            </w:r>
          </w:p>
        </w:tc>
        <w:tc>
          <w:tcPr>
            <w:tcW w:w="851" w:type="dxa"/>
            <w:tcBorders>
              <w:top w:val="single" w:color="auto" w:sz="12" w:space="0"/>
              <w:bottom w:val="single" w:color="auto" w:sz="12" w:space="0"/>
            </w:tcBorders>
            <w:vAlign w:val="center"/>
          </w:tcPr>
          <w:p w14:paraId="5759D4F8">
            <w:pPr>
              <w:widowControl/>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134" w:type="dxa"/>
            <w:tcBorders>
              <w:top w:val="single" w:color="auto" w:sz="12" w:space="0"/>
              <w:bottom w:val="single" w:color="auto" w:sz="12" w:space="0"/>
            </w:tcBorders>
            <w:vAlign w:val="center"/>
          </w:tcPr>
          <w:p w14:paraId="2C4C09BC">
            <w:pPr>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7C1E2A64">
            <w:pPr>
              <w:spacing w:line="288" w:lineRule="auto"/>
              <w:rPr>
                <w:rFonts w:hint="eastAsia" w:ascii="宋体" w:hAnsi="宋体" w:cs="宋体"/>
                <w:szCs w:val="21"/>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szCs w:val="21"/>
              </w:rPr>
              <w:t>评审小组根据投标人提供的售后服务机构、售后服务便捷性、售后服务响应时间（提供承诺书）、响应能力、培训服务保障体系（包括培训方案、培训目的、培训内容、培训时间安排、培训方式等），以及技术指导和培训计划等进行评审。</w:t>
            </w:r>
          </w:p>
          <w:p w14:paraId="2C4D27E7">
            <w:pPr>
              <w:spacing w:line="288" w:lineRule="auto"/>
              <w:rPr>
                <w:rFonts w:hint="eastAsia" w:ascii="宋体" w:hAnsi="宋体" w:cs="宋体"/>
                <w:szCs w:val="21"/>
              </w:rPr>
            </w:pPr>
            <w:r>
              <w:rPr>
                <w:rFonts w:hint="eastAsia" w:ascii="宋体" w:hAnsi="宋体" w:cs="宋体"/>
                <w:szCs w:val="21"/>
              </w:rPr>
              <w:t>①售后服务方案满足招标文件要求，技术支持模式内容全面、保障措施有力、维保措施合理、针对性和可操作性强的得3分；</w:t>
            </w:r>
          </w:p>
          <w:p w14:paraId="2700A036">
            <w:pPr>
              <w:spacing w:line="288" w:lineRule="auto"/>
              <w:rPr>
                <w:rFonts w:hint="eastAsia" w:ascii="宋体" w:hAnsi="宋体" w:cs="宋体"/>
                <w:szCs w:val="21"/>
              </w:rPr>
            </w:pPr>
            <w:r>
              <w:rPr>
                <w:rFonts w:hint="eastAsia" w:ascii="宋体" w:hAnsi="宋体" w:cs="宋体"/>
                <w:szCs w:val="21"/>
              </w:rPr>
              <w:t>②售后服务方案 基本满足招标文件要求，技术支持模式内容较全面、保障措施可行、维保措施合理、针对性和可操作性较强的得2分；</w:t>
            </w:r>
          </w:p>
          <w:p w14:paraId="5E0F028B">
            <w:pPr>
              <w:spacing w:line="288" w:lineRule="auto"/>
              <w:rPr>
                <w:rFonts w:hint="eastAsia" w:ascii="宋体" w:hAnsi="宋体" w:cs="宋体"/>
                <w:szCs w:val="21"/>
              </w:rPr>
            </w:pPr>
            <w:r>
              <w:rPr>
                <w:rFonts w:hint="eastAsia" w:ascii="宋体" w:hAnsi="宋体" w:cs="宋体"/>
                <w:szCs w:val="21"/>
              </w:rPr>
              <w:t>③售后服务方案很简单，内容缺项太多，无法满足竞争性磋商文件要求的得1分；</w:t>
            </w:r>
          </w:p>
          <w:p w14:paraId="00E180EA">
            <w:pPr>
              <w:spacing w:line="288" w:lineRule="auto"/>
              <w:rPr>
                <w:rFonts w:hint="eastAsia" w:ascii="宋体" w:hAnsi="宋体" w:cs="宋体"/>
                <w:color w:val="000000" w:themeColor="text1"/>
                <w:szCs w:val="21"/>
                <w:lang w:val="zh-CN"/>
                <w14:textFill>
                  <w14:solidFill>
                    <w14:schemeClr w14:val="tx1"/>
                  </w14:solidFill>
                </w14:textFill>
              </w:rPr>
            </w:pPr>
            <w:r>
              <w:rPr>
                <w:rFonts w:hint="eastAsia" w:ascii="宋体" w:hAnsi="宋体" w:cs="宋体"/>
                <w:szCs w:val="21"/>
              </w:rPr>
              <w:t>④</w:t>
            </w:r>
            <w:r>
              <w:rPr>
                <w:rFonts w:hint="eastAsia" w:ascii="宋体" w:hAnsi="宋体" w:cs="宋体"/>
                <w:color w:val="000000" w:themeColor="text1"/>
                <w:szCs w:val="21"/>
                <w14:textFill>
                  <w14:solidFill>
                    <w14:schemeClr w14:val="tx1"/>
                  </w14:solidFill>
                </w14:textFill>
              </w:rPr>
              <w:t>无相应内容的不得分。</w:t>
            </w:r>
          </w:p>
        </w:tc>
      </w:tr>
      <w:tr w14:paraId="1F7B70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4138A289">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34C04341">
            <w:pPr>
              <w:widowControl/>
              <w:spacing w:line="400" w:lineRule="exact"/>
              <w:jc w:val="center"/>
              <w:rPr>
                <w:rFonts w:hint="eastAsia" w:ascii="宋体" w:hAnsi="宋体" w:cs="宋体"/>
                <w:color w:val="000000" w:themeColor="text1"/>
                <w14:textFill>
                  <w14:solidFill>
                    <w14:schemeClr w14:val="tx1"/>
                  </w14:solidFill>
                </w14:textFill>
              </w:rPr>
            </w:pPr>
          </w:p>
        </w:tc>
        <w:tc>
          <w:tcPr>
            <w:tcW w:w="851" w:type="dxa"/>
            <w:tcBorders>
              <w:top w:val="single" w:color="auto" w:sz="12" w:space="0"/>
            </w:tcBorders>
            <w:vAlign w:val="center"/>
          </w:tcPr>
          <w:p w14:paraId="4EE0D427">
            <w:pPr>
              <w:widowControl/>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134" w:type="dxa"/>
            <w:tcBorders>
              <w:top w:val="single" w:color="auto" w:sz="12" w:space="0"/>
            </w:tcBorders>
            <w:vAlign w:val="center"/>
          </w:tcPr>
          <w:p w14:paraId="2237B735">
            <w:pPr>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4E7C3A54">
            <w:pPr>
              <w:spacing w:line="288" w:lineRule="auto"/>
              <w:rPr>
                <w:rFonts w:hint="eastAsia" w:ascii="宋体" w:hAnsi="宋体" w:cs="宋体"/>
                <w:szCs w:val="21"/>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szCs w:val="21"/>
              </w:rPr>
              <w:t>根据投标人提供的针对采购人使用过程中突发性事件的应急响应管理方案和制度，进行综合评价：</w:t>
            </w:r>
          </w:p>
          <w:p w14:paraId="0ED68CB3">
            <w:pPr>
              <w:spacing w:line="288" w:lineRule="auto"/>
              <w:rPr>
                <w:rFonts w:hint="eastAsia" w:ascii="宋体" w:hAnsi="宋体" w:cs="宋体"/>
                <w:szCs w:val="21"/>
              </w:rPr>
            </w:pPr>
            <w:r>
              <w:rPr>
                <w:rFonts w:hint="eastAsia" w:ascii="宋体" w:hAnsi="宋体" w:cs="宋体"/>
                <w:szCs w:val="21"/>
              </w:rPr>
              <w:t>①提供的突发事件发生可能性高、应对预案完整，应急服务时间及人员、应急备品备件符合规范要求、具有针对性及可操作性的得3分；</w:t>
            </w:r>
          </w:p>
          <w:p w14:paraId="57E05CE2">
            <w:pPr>
              <w:spacing w:line="288" w:lineRule="auto"/>
              <w:rPr>
                <w:rFonts w:hint="eastAsia" w:ascii="宋体" w:hAnsi="宋体" w:cs="宋体"/>
                <w:szCs w:val="21"/>
              </w:rPr>
            </w:pPr>
            <w:r>
              <w:rPr>
                <w:rFonts w:hint="eastAsia" w:ascii="宋体" w:hAnsi="宋体" w:cs="宋体"/>
                <w:szCs w:val="21"/>
              </w:rPr>
              <w:t>②提供的突发事件预案欠缺，应急服务时间及人员、应急备品备件较符合规范要求、针对性及可操作性基本合理的得2分；</w:t>
            </w:r>
          </w:p>
          <w:p w14:paraId="55582A3C">
            <w:pPr>
              <w:spacing w:line="288" w:lineRule="auto"/>
              <w:rPr>
                <w:rFonts w:hint="eastAsia" w:ascii="宋体" w:hAnsi="宋体" w:cs="宋体"/>
                <w:szCs w:val="21"/>
              </w:rPr>
            </w:pPr>
            <w:r>
              <w:rPr>
                <w:rFonts w:hint="eastAsia" w:ascii="宋体" w:hAnsi="宋体" w:cs="宋体"/>
                <w:szCs w:val="21"/>
              </w:rPr>
              <w:t>③突发事件预案预估性差，提供的应急服务时间及人员、应急备品备件欠缺的得1分。</w:t>
            </w:r>
          </w:p>
          <w:p w14:paraId="32591B5C">
            <w:pPr>
              <w:spacing w:line="288" w:lineRule="auto"/>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szCs w:val="21"/>
              </w:rPr>
              <w:t>④</w:t>
            </w:r>
            <w:r>
              <w:rPr>
                <w:rFonts w:hint="eastAsia" w:ascii="宋体" w:hAnsi="宋体" w:cs="宋体"/>
                <w:color w:val="000000" w:themeColor="text1"/>
                <w:szCs w:val="21"/>
                <w14:textFill>
                  <w14:solidFill>
                    <w14:schemeClr w14:val="tx1"/>
                  </w14:solidFill>
                </w14:textFill>
              </w:rPr>
              <w:t>无相应内容的不得分。</w:t>
            </w:r>
          </w:p>
        </w:tc>
      </w:tr>
      <w:tr w14:paraId="2F2F7E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5DA78857">
            <w:pPr>
              <w:jc w:val="center"/>
              <w:rPr>
                <w:rFonts w:hint="eastAsia" w:ascii="宋体" w:hAnsi="宋体" w:cs="宋体"/>
                <w:color w:val="000000" w:themeColor="text1"/>
                <w14:textFill>
                  <w14:solidFill>
                    <w14:schemeClr w14:val="tx1"/>
                  </w14:solidFill>
                </w14:textFill>
              </w:rPr>
            </w:pPr>
          </w:p>
        </w:tc>
        <w:tc>
          <w:tcPr>
            <w:tcW w:w="1090" w:type="dxa"/>
            <w:tcBorders>
              <w:top w:val="single" w:color="auto" w:sz="12" w:space="0"/>
            </w:tcBorders>
            <w:vAlign w:val="center"/>
          </w:tcPr>
          <w:p w14:paraId="7F264872">
            <w:pPr>
              <w:spacing w:line="34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szCs w:val="21"/>
                <w:lang w:bidi="ar"/>
              </w:rPr>
              <w:t>项目培训方案</w:t>
            </w:r>
          </w:p>
        </w:tc>
        <w:tc>
          <w:tcPr>
            <w:tcW w:w="851" w:type="dxa"/>
            <w:tcBorders>
              <w:top w:val="single" w:color="auto" w:sz="12" w:space="0"/>
            </w:tcBorders>
            <w:vAlign w:val="center"/>
          </w:tcPr>
          <w:p w14:paraId="7AB62B41">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34" w:type="dxa"/>
            <w:tcBorders>
              <w:top w:val="single" w:color="auto" w:sz="12" w:space="0"/>
            </w:tcBorders>
            <w:vAlign w:val="center"/>
          </w:tcPr>
          <w:p w14:paraId="39A667E8">
            <w:pPr>
              <w:tabs>
                <w:tab w:val="left" w:pos="984"/>
              </w:tabs>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3FECFC88">
            <w:pPr>
              <w:spacing w:line="360" w:lineRule="exact"/>
              <w:rPr>
                <w:rFonts w:hint="eastAsia" w:ascii="宋体" w:hAnsi="宋体" w:cs="宋体"/>
                <w:szCs w:val="21"/>
                <w:lang w:bidi="ar"/>
              </w:rPr>
            </w:pPr>
            <w:r>
              <w:rPr>
                <w:rFonts w:hint="eastAsia" w:ascii="宋体" w:hAnsi="宋体" w:cs="宋体"/>
                <w:szCs w:val="21"/>
                <w:lang w:bidi="ar"/>
              </w:rPr>
              <w:t>评标委员会对投标人提供的培训方案，包括系统安装、系统应用、系统操作、系统运维指导、培训人员技术力量、培训时间安排进行评议：</w:t>
            </w:r>
          </w:p>
          <w:p w14:paraId="01A0D1AA">
            <w:pPr>
              <w:spacing w:line="288" w:lineRule="auto"/>
              <w:rPr>
                <w:rFonts w:hint="eastAsia" w:ascii="宋体" w:hAnsi="宋体" w:cs="宋体"/>
                <w:szCs w:val="21"/>
                <w:lang w:bidi="ar"/>
              </w:rPr>
            </w:pPr>
            <w:r>
              <w:rPr>
                <w:rFonts w:hint="eastAsia" w:ascii="宋体" w:hAnsi="宋体" w:cs="宋体"/>
                <w:szCs w:val="21"/>
              </w:rPr>
              <w:t>①</w:t>
            </w:r>
            <w:r>
              <w:rPr>
                <w:rFonts w:hint="eastAsia" w:ascii="宋体" w:hAnsi="宋体" w:cs="宋体"/>
                <w:szCs w:val="21"/>
                <w:lang w:bidi="ar"/>
              </w:rPr>
              <w:t>培训内容合理完整、培训时间安排合理、培训内容涵盖本次货物所需技术需求、培训方式多样的得3分。</w:t>
            </w:r>
          </w:p>
          <w:p w14:paraId="11981B96">
            <w:pPr>
              <w:spacing w:line="288" w:lineRule="auto"/>
              <w:rPr>
                <w:rFonts w:hint="eastAsia" w:ascii="宋体" w:hAnsi="宋体" w:cs="宋体"/>
                <w:szCs w:val="21"/>
                <w:lang w:bidi="ar"/>
              </w:rPr>
            </w:pPr>
            <w:r>
              <w:rPr>
                <w:rFonts w:hint="eastAsia" w:ascii="宋体" w:hAnsi="宋体" w:cs="宋体"/>
                <w:szCs w:val="21"/>
              </w:rPr>
              <w:t>②</w:t>
            </w:r>
            <w:r>
              <w:rPr>
                <w:rFonts w:hint="eastAsia" w:ascii="宋体" w:hAnsi="宋体" w:cs="宋体"/>
                <w:szCs w:val="21"/>
                <w:lang w:bidi="ar"/>
              </w:rPr>
              <w:t>培训时间安排基本可行但细节部分欠完整、培训内容基本可覆盖项目建设所需技术要求的得2分。</w:t>
            </w:r>
          </w:p>
          <w:p w14:paraId="1366FF25">
            <w:pPr>
              <w:spacing w:line="288" w:lineRule="auto"/>
              <w:rPr>
                <w:rFonts w:hint="eastAsia" w:ascii="宋体" w:hAnsi="宋体" w:cs="宋体"/>
                <w:szCs w:val="21"/>
                <w:lang w:bidi="ar"/>
              </w:rPr>
            </w:pPr>
            <w:r>
              <w:rPr>
                <w:rFonts w:hint="eastAsia" w:ascii="宋体" w:hAnsi="宋体" w:cs="宋体"/>
                <w:szCs w:val="21"/>
              </w:rPr>
              <w:t>③</w:t>
            </w:r>
            <w:r>
              <w:rPr>
                <w:rFonts w:hint="eastAsia" w:ascii="宋体" w:hAnsi="宋体" w:cs="宋体"/>
                <w:szCs w:val="21"/>
                <w:lang w:bidi="ar"/>
              </w:rPr>
              <w:t>培训方案内容简单、笼统，未进行细化的得1分。</w:t>
            </w:r>
          </w:p>
          <w:p w14:paraId="7156EF84">
            <w:pPr>
              <w:tabs>
                <w:tab w:val="left" w:pos="984"/>
              </w:tabs>
              <w:snapToGrid w:val="0"/>
              <w:spacing w:line="30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④</w:t>
            </w:r>
            <w:r>
              <w:rPr>
                <w:rFonts w:hint="eastAsia" w:ascii="宋体" w:hAnsi="宋体" w:cs="宋体"/>
                <w:color w:val="000000" w:themeColor="text1"/>
                <w:szCs w:val="21"/>
                <w14:textFill>
                  <w14:solidFill>
                    <w14:schemeClr w14:val="tx1"/>
                  </w14:solidFill>
                </w14:textFill>
              </w:rPr>
              <w:t>无相应内容的不得分。</w:t>
            </w:r>
          </w:p>
        </w:tc>
      </w:tr>
      <w:tr w14:paraId="0619A8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4C178094">
            <w:pPr>
              <w:jc w:val="center"/>
              <w:rPr>
                <w:rFonts w:hint="eastAsia" w:ascii="宋体" w:hAnsi="宋体" w:cs="宋体"/>
                <w:color w:val="000000" w:themeColor="text1"/>
                <w14:textFill>
                  <w14:solidFill>
                    <w14:schemeClr w14:val="tx1"/>
                  </w14:solidFill>
                </w14:textFill>
              </w:rPr>
            </w:pPr>
          </w:p>
        </w:tc>
        <w:tc>
          <w:tcPr>
            <w:tcW w:w="1090" w:type="dxa"/>
            <w:vMerge w:val="restart"/>
            <w:tcBorders>
              <w:top w:val="single" w:color="auto" w:sz="12" w:space="0"/>
            </w:tcBorders>
            <w:vAlign w:val="center"/>
          </w:tcPr>
          <w:p w14:paraId="3CAC89EE">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演示</w:t>
            </w:r>
          </w:p>
        </w:tc>
        <w:tc>
          <w:tcPr>
            <w:tcW w:w="851" w:type="dxa"/>
            <w:tcBorders>
              <w:top w:val="single" w:color="auto" w:sz="12" w:space="0"/>
            </w:tcBorders>
            <w:vAlign w:val="center"/>
          </w:tcPr>
          <w:p w14:paraId="423432F9">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4" w:type="dxa"/>
            <w:tcBorders>
              <w:top w:val="single" w:color="auto" w:sz="12" w:space="0"/>
            </w:tcBorders>
            <w:vAlign w:val="center"/>
          </w:tcPr>
          <w:p w14:paraId="6794472E">
            <w:pPr>
              <w:tabs>
                <w:tab w:val="left" w:pos="984"/>
              </w:tabs>
              <w:snapToGrid w:val="0"/>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3E7BAFEA">
            <w:pPr>
              <w:spacing w:line="360" w:lineRule="auto"/>
              <w:rPr>
                <w:rFonts w:hint="eastAsia"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1）通过系统demo或PPT形式演示支持以下类似功能</w:t>
            </w:r>
            <w:r>
              <w:rPr>
                <w:rFonts w:hint="eastAsia" w:ascii="宋体" w:hAnsi="宋体" w:cs="宋体"/>
                <w:color w:val="000000"/>
                <w:szCs w:val="21"/>
              </w:rPr>
              <w:t>：发票台账管理功能支持发票文件识别，上传发票文件后可自动识别生成发票类型、销售方、开票日期、价税合计等内容，并支持发票在线查验。根据功能设计合理性、前瞻性等综合打分；</w:t>
            </w:r>
          </w:p>
          <w:p w14:paraId="2A1875AE">
            <w:pPr>
              <w:spacing w:line="360" w:lineRule="auto"/>
            </w:pPr>
            <w:r>
              <w:t>①演示内容全面，设计合理，过程顺畅的，得</w:t>
            </w:r>
            <w:r>
              <w:rPr>
                <w:rFonts w:hint="eastAsia"/>
              </w:rPr>
              <w:t>2</w:t>
            </w:r>
            <w:r>
              <w:t>分；</w:t>
            </w:r>
          </w:p>
          <w:p w14:paraId="07676D9B">
            <w:pPr>
              <w:spacing w:line="360" w:lineRule="auto"/>
            </w:pPr>
            <w:r>
              <w:t>②演示内容较全，设计基本合理，过程基本顺畅的，得</w:t>
            </w:r>
            <w:r>
              <w:rPr>
                <w:rFonts w:hint="eastAsia"/>
              </w:rPr>
              <w:t>1</w:t>
            </w:r>
            <w:r>
              <w:t>分；</w:t>
            </w:r>
          </w:p>
          <w:p w14:paraId="25E47B2C">
            <w:pPr>
              <w:spacing w:line="360" w:lineRule="auto"/>
            </w:pPr>
            <w:r>
              <w:t>③演示内容不全，设计较差，过程不顺畅的，得0.5分。</w:t>
            </w:r>
          </w:p>
          <w:p w14:paraId="495612BD">
            <w:pPr>
              <w:spacing w:line="360" w:lineRule="auto"/>
            </w:pPr>
            <w:r>
              <w:t>④无演示内容不得分</w:t>
            </w:r>
          </w:p>
        </w:tc>
      </w:tr>
      <w:tr w14:paraId="4D4F53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21675619">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145ED19B">
            <w:pPr>
              <w:widowControl/>
              <w:spacing w:line="400" w:lineRule="exact"/>
              <w:jc w:val="center"/>
              <w:rPr>
                <w:rFonts w:hint="eastAsia" w:ascii="宋体" w:hAnsi="宋体" w:cs="宋体"/>
                <w:color w:val="000000" w:themeColor="text1"/>
                <w:szCs w:val="21"/>
                <w14:textFill>
                  <w14:solidFill>
                    <w14:schemeClr w14:val="tx1"/>
                  </w14:solidFill>
                </w14:textFill>
              </w:rPr>
            </w:pPr>
          </w:p>
        </w:tc>
        <w:tc>
          <w:tcPr>
            <w:tcW w:w="851" w:type="dxa"/>
            <w:tcBorders>
              <w:top w:val="single" w:color="auto" w:sz="12" w:space="0"/>
            </w:tcBorders>
            <w:vAlign w:val="center"/>
          </w:tcPr>
          <w:p w14:paraId="149BD697">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4" w:type="dxa"/>
            <w:tcBorders>
              <w:top w:val="single" w:color="auto" w:sz="12" w:space="0"/>
            </w:tcBorders>
            <w:vAlign w:val="center"/>
          </w:tcPr>
          <w:p w14:paraId="398429EF">
            <w:pPr>
              <w:tabs>
                <w:tab w:val="left" w:pos="984"/>
              </w:tabs>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1E498FD1">
            <w:pPr>
              <w:spacing w:line="360" w:lineRule="auto"/>
              <w:rPr>
                <w:rFonts w:hint="eastAsia"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2）通过系统demo或PPT形式演示支持以下类似功能</w:t>
            </w:r>
            <w:r>
              <w:rPr>
                <w:rFonts w:hint="eastAsia" w:ascii="宋体" w:hAnsi="宋体" w:cs="宋体"/>
                <w:color w:val="000000"/>
                <w:szCs w:val="21"/>
              </w:rPr>
              <w:t>：对公付款管理支持联动数字化协同运营平台的合同管理系统，发起付款可直接选择相关合同，自动带出合同总金额、已付款金额、未付款金额；并支持直接穿透合同台账信息（包含合同基本信息、付款记录等）。根据功能设计合理性、前瞻性等综合打分；</w:t>
            </w:r>
          </w:p>
          <w:p w14:paraId="071EFE2D">
            <w:pPr>
              <w:spacing w:line="360" w:lineRule="auto"/>
            </w:pPr>
            <w:r>
              <w:t>①演示内容全面，设计合理，过程顺畅的，得</w:t>
            </w:r>
            <w:r>
              <w:rPr>
                <w:rFonts w:hint="eastAsia"/>
              </w:rPr>
              <w:t>2</w:t>
            </w:r>
            <w:r>
              <w:t>分；</w:t>
            </w:r>
          </w:p>
          <w:p w14:paraId="4B09AF22">
            <w:pPr>
              <w:spacing w:line="360" w:lineRule="auto"/>
            </w:pPr>
            <w:r>
              <w:t>②演示内容较全，设计基本合理，过程基本顺畅的，得</w:t>
            </w:r>
            <w:r>
              <w:rPr>
                <w:rFonts w:hint="eastAsia"/>
              </w:rPr>
              <w:t>1</w:t>
            </w:r>
            <w:r>
              <w:t>分；</w:t>
            </w:r>
          </w:p>
          <w:p w14:paraId="4D907A53">
            <w:pPr>
              <w:spacing w:line="360" w:lineRule="auto"/>
            </w:pPr>
            <w:r>
              <w:t>③演示内容不全，设计较差，过程不顺畅的，得0.5分。</w:t>
            </w:r>
          </w:p>
          <w:p w14:paraId="3AB1AD3A">
            <w:pPr>
              <w:snapToGrid w:val="0"/>
              <w:spacing w:line="360" w:lineRule="auto"/>
              <w:rPr>
                <w:rFonts w:hint="eastAsia" w:ascii="宋体" w:hAnsi="宋体" w:cs="宋体"/>
                <w:color w:val="000000" w:themeColor="text1"/>
                <w:kern w:val="0"/>
                <w:szCs w:val="21"/>
                <w14:textFill>
                  <w14:solidFill>
                    <w14:schemeClr w14:val="tx1"/>
                  </w14:solidFill>
                </w14:textFill>
              </w:rPr>
            </w:pPr>
            <w:r>
              <w:t>④无演示内容不得分</w:t>
            </w:r>
          </w:p>
        </w:tc>
      </w:tr>
      <w:tr w14:paraId="3FC641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7737B027">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2E6DC633">
            <w:pPr>
              <w:widowControl/>
              <w:spacing w:line="400" w:lineRule="exact"/>
              <w:jc w:val="center"/>
              <w:rPr>
                <w:rFonts w:hint="eastAsia" w:ascii="宋体" w:hAnsi="宋体" w:cs="宋体"/>
                <w:color w:val="000000" w:themeColor="text1"/>
                <w:szCs w:val="21"/>
                <w14:textFill>
                  <w14:solidFill>
                    <w14:schemeClr w14:val="tx1"/>
                  </w14:solidFill>
                </w14:textFill>
              </w:rPr>
            </w:pPr>
          </w:p>
        </w:tc>
        <w:tc>
          <w:tcPr>
            <w:tcW w:w="851" w:type="dxa"/>
            <w:tcBorders>
              <w:top w:val="single" w:color="auto" w:sz="12" w:space="0"/>
            </w:tcBorders>
            <w:vAlign w:val="center"/>
          </w:tcPr>
          <w:p w14:paraId="44595A15">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4" w:type="dxa"/>
            <w:tcBorders>
              <w:top w:val="single" w:color="auto" w:sz="12" w:space="0"/>
            </w:tcBorders>
            <w:vAlign w:val="center"/>
          </w:tcPr>
          <w:p w14:paraId="32E1C360">
            <w:pPr>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1A111B5C">
            <w:pPr>
              <w:numPr>
                <w:ilvl w:val="0"/>
                <w:numId w:val="14"/>
              </w:numPr>
              <w:spacing w:line="360" w:lineRule="auto"/>
              <w:rPr>
                <w:rFonts w:hint="eastAsia"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通过系统demo或PPT形式演示支持以下类似功能</w:t>
            </w:r>
            <w:r>
              <w:rPr>
                <w:rFonts w:hint="eastAsia" w:ascii="宋体" w:hAnsi="宋体" w:cs="宋体"/>
                <w:color w:val="000000"/>
                <w:szCs w:val="21"/>
              </w:rPr>
              <w:t>：科研项目经费管理支持经费申报、到账、调整、外拨、报销、预算编制等功能，科研经费报销流程支持关联科研项目及承担主体，支持借款冲销等功能。根据功能设计合理性、前瞻性等综合打分。</w:t>
            </w:r>
          </w:p>
          <w:p w14:paraId="1D5357F7">
            <w:pPr>
              <w:spacing w:line="360" w:lineRule="auto"/>
            </w:pPr>
            <w:r>
              <w:t>①演示内容全面，设计合理，过程顺畅的，得</w:t>
            </w:r>
            <w:r>
              <w:rPr>
                <w:rFonts w:hint="eastAsia"/>
              </w:rPr>
              <w:t>2</w:t>
            </w:r>
            <w:r>
              <w:t>分；</w:t>
            </w:r>
          </w:p>
          <w:p w14:paraId="21625368">
            <w:pPr>
              <w:spacing w:line="360" w:lineRule="auto"/>
            </w:pPr>
            <w:r>
              <w:t>②演示内容较全，设计基本合理，过程基本顺畅的，得</w:t>
            </w:r>
            <w:r>
              <w:rPr>
                <w:rFonts w:hint="eastAsia"/>
              </w:rPr>
              <w:t>1</w:t>
            </w:r>
            <w:r>
              <w:t>分；</w:t>
            </w:r>
          </w:p>
          <w:p w14:paraId="54268ADB">
            <w:pPr>
              <w:spacing w:line="360" w:lineRule="auto"/>
            </w:pPr>
            <w:r>
              <w:t>③演示内容不全，设计较差，过程不顺畅的，得0.5分。</w:t>
            </w:r>
          </w:p>
          <w:p w14:paraId="65A9D7BC">
            <w:pPr>
              <w:snapToGrid w:val="0"/>
              <w:spacing w:line="360" w:lineRule="auto"/>
              <w:rPr>
                <w:rFonts w:hint="eastAsia" w:ascii="宋体" w:hAnsi="宋体" w:cs="宋体"/>
                <w:color w:val="000000" w:themeColor="text1"/>
                <w:kern w:val="0"/>
                <w:szCs w:val="21"/>
                <w14:textFill>
                  <w14:solidFill>
                    <w14:schemeClr w14:val="tx1"/>
                  </w14:solidFill>
                </w14:textFill>
              </w:rPr>
            </w:pPr>
            <w:r>
              <w:t>④无演示内容不得分</w:t>
            </w:r>
          </w:p>
        </w:tc>
      </w:tr>
      <w:tr w14:paraId="32CA0A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33DA34DF">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552B2A93">
            <w:pPr>
              <w:widowControl/>
              <w:spacing w:line="400" w:lineRule="exact"/>
              <w:jc w:val="center"/>
              <w:rPr>
                <w:rFonts w:hint="eastAsia" w:ascii="宋体" w:hAnsi="宋体" w:cs="宋体"/>
                <w:color w:val="000000" w:themeColor="text1"/>
                <w:szCs w:val="21"/>
                <w14:textFill>
                  <w14:solidFill>
                    <w14:schemeClr w14:val="tx1"/>
                  </w14:solidFill>
                </w14:textFill>
              </w:rPr>
            </w:pPr>
          </w:p>
        </w:tc>
        <w:tc>
          <w:tcPr>
            <w:tcW w:w="851" w:type="dxa"/>
            <w:tcBorders>
              <w:top w:val="single" w:color="auto" w:sz="12" w:space="0"/>
            </w:tcBorders>
            <w:vAlign w:val="center"/>
          </w:tcPr>
          <w:p w14:paraId="740D21E4">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4" w:type="dxa"/>
            <w:tcBorders>
              <w:top w:val="single" w:color="auto" w:sz="12" w:space="0"/>
            </w:tcBorders>
            <w:vAlign w:val="center"/>
          </w:tcPr>
          <w:p w14:paraId="36DA1586">
            <w:pPr>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67788C85">
            <w:pPr>
              <w:numPr>
                <w:ilvl w:val="0"/>
                <w:numId w:val="14"/>
              </w:numPr>
              <w:spacing w:line="360" w:lineRule="auto"/>
              <w:rPr>
                <w:rFonts w:hint="eastAsia"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通过系统demo或PPT形式演示支持以下类似功能</w:t>
            </w:r>
            <w:r>
              <w:rPr>
                <w:rFonts w:hint="eastAsia" w:ascii="宋体" w:hAnsi="宋体" w:cs="宋体"/>
                <w:color w:val="000000"/>
                <w:szCs w:val="21"/>
              </w:rPr>
              <w:t>：督查督办管理支持督办事项批量导入，可按照督办类型自动生成模板并在线下载及导入；任务智能分解功能，按照任务名称、督办类型、反馈频率、识别规则等进行自动分解；根据功能设计合理性、前瞻性等综合打分。</w:t>
            </w:r>
          </w:p>
          <w:p w14:paraId="16B3B82A">
            <w:pPr>
              <w:spacing w:line="360" w:lineRule="auto"/>
            </w:pPr>
            <w:r>
              <w:t>①演示内容全面，设计合理，过程顺畅的，得</w:t>
            </w:r>
            <w:r>
              <w:rPr>
                <w:rFonts w:hint="eastAsia"/>
              </w:rPr>
              <w:t>2</w:t>
            </w:r>
            <w:r>
              <w:t>分；</w:t>
            </w:r>
          </w:p>
          <w:p w14:paraId="07ACE1AD">
            <w:pPr>
              <w:spacing w:line="360" w:lineRule="auto"/>
            </w:pPr>
            <w:r>
              <w:t>②演示内容较全，设计基本合理，过程基本顺畅的，得</w:t>
            </w:r>
            <w:r>
              <w:rPr>
                <w:rFonts w:hint="eastAsia"/>
              </w:rPr>
              <w:t>1</w:t>
            </w:r>
            <w:r>
              <w:t>分；</w:t>
            </w:r>
          </w:p>
          <w:p w14:paraId="0E5A6917">
            <w:pPr>
              <w:spacing w:line="360" w:lineRule="auto"/>
            </w:pPr>
            <w:r>
              <w:t>③演示内容不全，设计较差，过程不顺畅的，得0.5分。</w:t>
            </w:r>
          </w:p>
          <w:p w14:paraId="3D7E5685">
            <w:pPr>
              <w:snapToGrid w:val="0"/>
              <w:spacing w:line="360" w:lineRule="auto"/>
              <w:rPr>
                <w:rFonts w:hint="eastAsia" w:ascii="宋体" w:hAnsi="宋体" w:cs="宋体"/>
                <w:color w:val="000000" w:themeColor="text1"/>
                <w:kern w:val="0"/>
                <w:szCs w:val="21"/>
                <w14:textFill>
                  <w14:solidFill>
                    <w14:schemeClr w14:val="tx1"/>
                  </w14:solidFill>
                </w14:textFill>
              </w:rPr>
            </w:pPr>
            <w:r>
              <w:t>④无演示内容不得分</w:t>
            </w:r>
          </w:p>
        </w:tc>
      </w:tr>
      <w:tr w14:paraId="6B8736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14:paraId="0C10160F">
            <w:pPr>
              <w:jc w:val="center"/>
              <w:rPr>
                <w:rFonts w:hint="eastAsia" w:ascii="宋体" w:hAnsi="宋体" w:cs="宋体"/>
                <w:color w:val="000000" w:themeColor="text1"/>
                <w14:textFill>
                  <w14:solidFill>
                    <w14:schemeClr w14:val="tx1"/>
                  </w14:solidFill>
                </w14:textFill>
              </w:rPr>
            </w:pPr>
          </w:p>
        </w:tc>
        <w:tc>
          <w:tcPr>
            <w:tcW w:w="1090" w:type="dxa"/>
            <w:vMerge w:val="continue"/>
            <w:vAlign w:val="center"/>
          </w:tcPr>
          <w:p w14:paraId="602AF964">
            <w:pPr>
              <w:widowControl/>
              <w:spacing w:line="400" w:lineRule="exact"/>
              <w:jc w:val="center"/>
              <w:rPr>
                <w:rFonts w:hint="eastAsia" w:ascii="宋体" w:hAnsi="宋体" w:cs="宋体"/>
                <w:color w:val="000000" w:themeColor="text1"/>
                <w:szCs w:val="21"/>
                <w14:textFill>
                  <w14:solidFill>
                    <w14:schemeClr w14:val="tx1"/>
                  </w14:solidFill>
                </w14:textFill>
              </w:rPr>
            </w:pPr>
          </w:p>
        </w:tc>
        <w:tc>
          <w:tcPr>
            <w:tcW w:w="851" w:type="dxa"/>
            <w:tcBorders>
              <w:top w:val="single" w:color="auto" w:sz="12" w:space="0"/>
            </w:tcBorders>
            <w:vAlign w:val="center"/>
          </w:tcPr>
          <w:p w14:paraId="6BAE5727">
            <w:pPr>
              <w:widowControl/>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4" w:type="dxa"/>
            <w:tcBorders>
              <w:top w:val="single" w:color="auto" w:sz="12" w:space="0"/>
            </w:tcBorders>
            <w:vAlign w:val="center"/>
          </w:tcPr>
          <w:p w14:paraId="1A526D9A">
            <w:pPr>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主观评价</w:t>
            </w:r>
          </w:p>
        </w:tc>
        <w:tc>
          <w:tcPr>
            <w:tcW w:w="5268" w:type="dxa"/>
            <w:tcBorders>
              <w:top w:val="single" w:color="auto" w:sz="12" w:space="0"/>
              <w:bottom w:val="single" w:color="auto" w:sz="12" w:space="0"/>
            </w:tcBorders>
            <w:vAlign w:val="center"/>
          </w:tcPr>
          <w:p w14:paraId="67437F4A">
            <w:pPr>
              <w:spacing w:line="360" w:lineRule="auto"/>
              <w:rPr>
                <w:rFonts w:hint="eastAsia" w:ascii="宋体" w:hAnsi="宋体" w:cs="宋体"/>
                <w:color w:val="000000"/>
                <w:szCs w:val="21"/>
              </w:rPr>
            </w:pPr>
            <w:r>
              <w:rPr>
                <w:rFonts w:hint="eastAsia" w:ascii="宋体" w:hAnsi="宋体" w:cs="宋体"/>
                <w:color w:val="000000"/>
                <w:szCs w:val="21"/>
              </w:rPr>
              <w:t>5）通过系统demo或PPT形式演示支持以下类似功能：供应商信息库管理、采购需求管理、询报价管理、采购结果发布等功能。根据功能设计合理性、前瞻性等综合打分。</w:t>
            </w:r>
          </w:p>
          <w:p w14:paraId="23772BA0">
            <w:pPr>
              <w:spacing w:line="360" w:lineRule="auto"/>
            </w:pPr>
            <w:r>
              <w:t>①演示内容全面，设计合理，过程顺畅的，得</w:t>
            </w:r>
            <w:r>
              <w:rPr>
                <w:rFonts w:hint="eastAsia"/>
              </w:rPr>
              <w:t>2</w:t>
            </w:r>
            <w:r>
              <w:t>分；</w:t>
            </w:r>
          </w:p>
          <w:p w14:paraId="2DD168A0">
            <w:pPr>
              <w:spacing w:line="360" w:lineRule="auto"/>
            </w:pPr>
            <w:r>
              <w:t>②演示内容较全，设计基本合理，过程基本顺畅的，得</w:t>
            </w:r>
            <w:r>
              <w:rPr>
                <w:rFonts w:hint="eastAsia"/>
              </w:rPr>
              <w:t>1</w:t>
            </w:r>
            <w:r>
              <w:t>分；</w:t>
            </w:r>
          </w:p>
          <w:p w14:paraId="55A79140">
            <w:pPr>
              <w:spacing w:line="360" w:lineRule="auto"/>
            </w:pPr>
            <w:r>
              <w:t>③演示内容不全，设计较差，过程不顺畅的，得0.5分。</w:t>
            </w:r>
          </w:p>
          <w:p w14:paraId="187C16E6">
            <w:pPr>
              <w:spacing w:line="360" w:lineRule="auto"/>
              <w:rPr>
                <w:rFonts w:hint="eastAsia" w:ascii="宋体" w:hAnsi="宋体" w:cs="宋体"/>
                <w:szCs w:val="21"/>
              </w:rPr>
            </w:pPr>
            <w:r>
              <w:t>④无演示内容不得分</w:t>
            </w:r>
          </w:p>
        </w:tc>
      </w:tr>
      <w:tr w14:paraId="590CB8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3" w:hRule="atLeast"/>
          <w:jc w:val="center"/>
        </w:trPr>
        <w:tc>
          <w:tcPr>
            <w:tcW w:w="738" w:type="dxa"/>
            <w:vAlign w:val="center"/>
          </w:tcPr>
          <w:p w14:paraId="3D40726E">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价格部分</w:t>
            </w:r>
          </w:p>
          <w:p w14:paraId="6C72B6A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30分</w:t>
            </w:r>
          </w:p>
        </w:tc>
        <w:tc>
          <w:tcPr>
            <w:tcW w:w="1090" w:type="dxa"/>
            <w:tcBorders>
              <w:top w:val="single" w:color="auto" w:sz="12" w:space="0"/>
            </w:tcBorders>
            <w:vAlign w:val="center"/>
          </w:tcPr>
          <w:p w14:paraId="07D63CED">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价格分</w:t>
            </w:r>
          </w:p>
        </w:tc>
        <w:tc>
          <w:tcPr>
            <w:tcW w:w="851" w:type="dxa"/>
            <w:tcBorders>
              <w:top w:val="single" w:color="auto" w:sz="12" w:space="0"/>
            </w:tcBorders>
            <w:vAlign w:val="center"/>
          </w:tcPr>
          <w:p w14:paraId="40EC072C">
            <w:pPr>
              <w:jc w:val="center"/>
              <w:rPr>
                <w:rFonts w:hint="eastAsia" w:ascii="宋体" w:hAnsi="宋体" w:cs="宋体"/>
                <w:strike/>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w:t>
            </w:r>
          </w:p>
        </w:tc>
        <w:tc>
          <w:tcPr>
            <w:tcW w:w="1134" w:type="dxa"/>
            <w:tcBorders>
              <w:top w:val="single" w:color="auto" w:sz="12" w:space="0"/>
            </w:tcBorders>
            <w:vAlign w:val="center"/>
          </w:tcPr>
          <w:p w14:paraId="39DBE9DE">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客观评价</w:t>
            </w:r>
          </w:p>
        </w:tc>
        <w:tc>
          <w:tcPr>
            <w:tcW w:w="5268" w:type="dxa"/>
            <w:tcBorders>
              <w:top w:val="single" w:color="auto" w:sz="12" w:space="0"/>
              <w:bottom w:val="single" w:color="auto" w:sz="12" w:space="0"/>
            </w:tcBorders>
            <w:vAlign w:val="center"/>
          </w:tcPr>
          <w:p w14:paraId="44A7BD0B">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参与评审的价格=投标报价×（1－小微企业价格扣除优惠值（如有））</w:t>
            </w:r>
          </w:p>
          <w:p w14:paraId="720C2F34">
            <w:p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满足采购文件要求且最低的参与评审的价格为评标基准价，其价格分为满分30分。其他投标供应商的价格分统一按照下列公式计算：</w:t>
            </w:r>
          </w:p>
          <w:p w14:paraId="587BC06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投标报价得分=(评标基准价／</w:t>
            </w:r>
            <w:r>
              <w:rPr>
                <w:rFonts w:hint="eastAsia" w:ascii="宋体" w:hAnsi="宋体" w:cs="宋体"/>
                <w:color w:val="000000" w:themeColor="text1"/>
                <w:szCs w:val="21"/>
                <w14:textFill>
                  <w14:solidFill>
                    <w14:schemeClr w14:val="tx1"/>
                  </w14:solidFill>
                </w14:textFill>
              </w:rPr>
              <w:t>参与评审的价格</w:t>
            </w:r>
            <w:r>
              <w:rPr>
                <w:rFonts w:hint="eastAsia" w:ascii="宋体" w:hAnsi="宋体" w:cs="宋体"/>
                <w:color w:val="000000" w:themeColor="text1"/>
                <w14:textFill>
                  <w14:solidFill>
                    <w14:schemeClr w14:val="tx1"/>
                  </w14:solidFill>
                </w14:textFill>
              </w:rPr>
              <w:t>)×30%×100</w:t>
            </w:r>
          </w:p>
          <w:p w14:paraId="1E91C3AE">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(投标价得分以四舍五入方法整合到小数点后两位)</w:t>
            </w:r>
          </w:p>
        </w:tc>
      </w:tr>
      <w:tr w14:paraId="054F72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5" w:hRule="atLeast"/>
          <w:jc w:val="center"/>
        </w:trPr>
        <w:tc>
          <w:tcPr>
            <w:tcW w:w="9081" w:type="dxa"/>
            <w:gridSpan w:val="5"/>
            <w:vAlign w:val="center"/>
          </w:tcPr>
          <w:p w14:paraId="581DABAA">
            <w:pPr>
              <w:tabs>
                <w:tab w:val="left" w:pos="984"/>
              </w:tabs>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r>
    </w:tbl>
    <w:p w14:paraId="53E389A4">
      <w:pPr>
        <w:rPr>
          <w:color w:val="000000" w:themeColor="text1"/>
          <w14:textFill>
            <w14:solidFill>
              <w14:schemeClr w14:val="tx1"/>
            </w14:solidFill>
          </w14:textFill>
        </w:rPr>
      </w:pPr>
    </w:p>
    <w:p w14:paraId="5B243E54">
      <w:pPr>
        <w:rPr>
          <w:color w:val="000000" w:themeColor="text1"/>
          <w14:textFill>
            <w14:solidFill>
              <w14:schemeClr w14:val="tx1"/>
            </w14:solidFill>
          </w14:textFill>
        </w:rPr>
      </w:pPr>
    </w:p>
    <w:p w14:paraId="18780FFC">
      <w:pPr>
        <w:widowControl/>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49D0C716">
      <w:pPr>
        <w:pStyle w:val="2"/>
        <w:spacing w:before="0" w:after="0" w:line="360" w:lineRule="auto"/>
        <w:jc w:val="center"/>
        <w:rPr>
          <w:rFonts w:hint="eastAsia" w:ascii="宋体" w:hAnsi="宋体"/>
          <w:color w:val="000000" w:themeColor="text1"/>
          <w:sz w:val="30"/>
          <w14:textFill>
            <w14:solidFill>
              <w14:schemeClr w14:val="tx1"/>
            </w14:solidFill>
          </w14:textFill>
        </w:rPr>
        <w:sectPr>
          <w:pgSz w:w="11907" w:h="16840"/>
          <w:pgMar w:top="1361" w:right="1474" w:bottom="1242" w:left="1474" w:header="720" w:footer="720" w:gutter="0"/>
          <w:pgNumType w:fmt="numberInDash"/>
          <w:cols w:space="720" w:num="1"/>
          <w:docGrid w:linePitch="285" w:charSpace="0"/>
        </w:sectPr>
      </w:pPr>
      <w:bookmarkStart w:id="193" w:name="_Toc460857944"/>
    </w:p>
    <w:p w14:paraId="03DC9FEF">
      <w:pPr>
        <w:pStyle w:val="2"/>
        <w:spacing w:before="0" w:after="0" w:line="360" w:lineRule="auto"/>
        <w:jc w:val="center"/>
        <w:rPr>
          <w:rFonts w:hint="eastAsia" w:ascii="宋体" w:hAnsi="宋体"/>
          <w:color w:val="000000" w:themeColor="text1"/>
          <w:sz w:val="30"/>
          <w14:textFill>
            <w14:solidFill>
              <w14:schemeClr w14:val="tx1"/>
            </w14:solidFill>
          </w14:textFill>
        </w:rPr>
      </w:pPr>
      <w:bookmarkStart w:id="194" w:name="_Toc19473"/>
      <w:bookmarkStart w:id="195" w:name="_Toc14241"/>
      <w:r>
        <w:rPr>
          <w:rFonts w:hint="eastAsia" w:ascii="宋体" w:hAnsi="宋体"/>
          <w:color w:val="000000" w:themeColor="text1"/>
          <w:sz w:val="30"/>
          <w14:textFill>
            <w14:solidFill>
              <w14:schemeClr w14:val="tx1"/>
            </w14:solidFill>
          </w14:textFill>
        </w:rPr>
        <w:t>第五章  政府采购合同主要条款</w:t>
      </w:r>
      <w:bookmarkEnd w:id="194"/>
      <w:bookmarkEnd w:id="195"/>
    </w:p>
    <w:p w14:paraId="41F048B9">
      <w:pPr>
        <w:rPr>
          <w:color w:val="000000" w:themeColor="text1"/>
          <w14:textFill>
            <w14:solidFill>
              <w14:schemeClr w14:val="tx1"/>
            </w14:solidFill>
          </w14:textFill>
        </w:rPr>
      </w:pPr>
    </w:p>
    <w:p w14:paraId="3A22C430">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北京航空航天大学宁波创新研究院服务采购合同（供参考）</w:t>
      </w:r>
    </w:p>
    <w:p w14:paraId="62CD3D40">
      <w:pPr>
        <w:spacing w:line="440" w:lineRule="exact"/>
        <w:jc w:val="right"/>
        <w:rPr>
          <w:color w:val="000000" w:themeColor="text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 xml:space="preserve"> </w:t>
      </w:r>
      <w:r>
        <w:rPr>
          <w:rFonts w:ascii="宋体" w:hAnsi="宋体" w:cs="仿宋"/>
          <w:b/>
          <w:color w:val="000000" w:themeColor="text1"/>
          <w:szCs w:val="21"/>
          <w14:textFill>
            <w14:solidFill>
              <w14:schemeClr w14:val="tx1"/>
            </w14:solidFill>
          </w14:textFill>
        </w:rPr>
        <w:t xml:space="preserve"> </w:t>
      </w:r>
      <w:bookmarkEnd w:id="193"/>
      <w:bookmarkStart w:id="196" w:name="_Toc460857945"/>
      <w:bookmarkStart w:id="197" w:name="_Toc460857947"/>
      <w:r>
        <w:rPr>
          <w:rFonts w:ascii="宋体" w:hAnsi="宋体" w:cs="仿宋"/>
          <w:b/>
          <w:color w:val="000000" w:themeColor="text1"/>
          <w:szCs w:val="21"/>
          <w14:textFill>
            <w14:solidFill>
              <w14:schemeClr w14:val="tx1"/>
            </w14:solidFill>
          </w14:textFill>
        </w:rPr>
        <w:t xml:space="preserve"> </w:t>
      </w:r>
      <w:r>
        <w:rPr>
          <w:rFonts w:hint="eastAsia" w:ascii="宋体" w:hAnsi="宋体" w:cs="仿宋"/>
          <w:b/>
          <w:color w:val="000000" w:themeColor="text1"/>
          <w:szCs w:val="21"/>
          <w14:textFill>
            <w14:solidFill>
              <w14:schemeClr w14:val="tx1"/>
            </w14:solidFill>
          </w14:textFill>
        </w:rPr>
        <w:t>使用中心</w:t>
      </w:r>
      <w:r>
        <w:rPr>
          <w:rFonts w:hint="eastAsia" w:ascii="宋体" w:hAnsi="宋体" w:cs="仿宋"/>
          <w:b/>
          <w:color w:val="000000" w:themeColor="text1"/>
          <w:szCs w:val="21"/>
          <w:u w:val="single"/>
          <w14:textFill>
            <w14:solidFill>
              <w14:schemeClr w14:val="tx1"/>
            </w14:solidFill>
          </w14:textFill>
        </w:rPr>
        <w:t xml:space="preserve">：      </w:t>
      </w:r>
      <w:r>
        <w:rPr>
          <w:rFonts w:hint="eastAsia" w:ascii="宋体" w:hAnsi="宋体" w:cs="仿宋"/>
          <w:b/>
          <w:color w:val="000000" w:themeColor="text1"/>
          <w:szCs w:val="21"/>
          <w14:textFill>
            <w14:solidFill>
              <w14:schemeClr w14:val="tx1"/>
            </w14:solidFill>
          </w14:textFill>
        </w:rPr>
        <w:t xml:space="preserve"> 项目负责人</w:t>
      </w:r>
      <w:r>
        <w:rPr>
          <w:rFonts w:hint="eastAsia" w:ascii="宋体" w:hAnsi="宋体" w:cs="仿宋"/>
          <w:b/>
          <w:color w:val="000000" w:themeColor="text1"/>
          <w:szCs w:val="21"/>
          <w:u w:val="single"/>
          <w14:textFill>
            <w14:solidFill>
              <w14:schemeClr w14:val="tx1"/>
            </w14:solidFill>
          </w14:textFill>
        </w:rPr>
        <w:t xml:space="preserve">：      </w:t>
      </w:r>
    </w:p>
    <w:p w14:paraId="76B3BBF4">
      <w:pPr>
        <w:pStyle w:val="19"/>
        <w:widowControl/>
        <w:spacing w:line="360" w:lineRule="auto"/>
        <w:ind w:firstLine="0"/>
        <w:jc w:val="left"/>
        <w:rPr>
          <w:rFonts w:hint="eastAsia" w:hAnsi="宋体" w:cs="仿宋"/>
          <w:color w:val="000000" w:themeColor="text1"/>
          <w14:textFill>
            <w14:solidFill>
              <w14:schemeClr w14:val="tx1"/>
            </w14:solidFill>
          </w14:textFill>
        </w:rPr>
      </w:pPr>
    </w:p>
    <w:p w14:paraId="683E7B92">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 xml:space="preserve">甲方：北京航空航天大学宁波创新研究院    </w:t>
      </w:r>
    </w:p>
    <w:p w14:paraId="40177AAA">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 xml:space="preserve">乙方：                                  </w:t>
      </w:r>
    </w:p>
    <w:p w14:paraId="5FC99171">
      <w:pPr>
        <w:pStyle w:val="17"/>
        <w:kinsoku w:val="0"/>
        <w:overflowPunct w:val="0"/>
        <w:adjustRightInd w:val="0"/>
        <w:snapToGrid w:val="0"/>
        <w:spacing w:line="360" w:lineRule="auto"/>
        <w:ind w:left="420" w:leftChars="200" w:firstLine="42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根据国家有关法律、法规和部门规章，甲乙双方经过友好协商，乙方将帮助甲方建立符合招标要求的数字化协同运营平台三期。</w:t>
      </w:r>
    </w:p>
    <w:p w14:paraId="52DD730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一、项目情况及合同内容</w:t>
      </w:r>
    </w:p>
    <w:p w14:paraId="1493426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1.1项目名称：</w:t>
      </w:r>
      <w:r>
        <w:rPr>
          <w:rFonts w:ascii="宋体" w:hAnsi="宋体" w:cs="宋体"/>
          <w:iCs/>
          <w:color w:val="000000" w:themeColor="text1"/>
          <w:sz w:val="21"/>
          <w:szCs w:val="21"/>
          <w14:textFill>
            <w14:solidFill>
              <w14:schemeClr w14:val="tx1"/>
            </w14:solidFill>
          </w14:textFill>
        </w:rPr>
        <w:t>数字化协同运营平台三期</w:t>
      </w:r>
      <w:r>
        <w:rPr>
          <w:rFonts w:hint="eastAsia" w:ascii="宋体" w:hAnsi="宋体" w:cs="宋体"/>
          <w:iCs/>
          <w:color w:val="000000" w:themeColor="text1"/>
          <w:sz w:val="21"/>
          <w:szCs w:val="21"/>
          <w14:textFill>
            <w14:solidFill>
              <w14:schemeClr w14:val="tx1"/>
            </w14:solidFill>
          </w14:textFill>
        </w:rPr>
        <w:t>项目</w:t>
      </w:r>
    </w:p>
    <w:p w14:paraId="7067B90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1.2合同内容：</w:t>
      </w:r>
    </w:p>
    <w:tbl>
      <w:tblPr>
        <w:tblStyle w:val="43"/>
        <w:tblpPr w:leftFromText="180" w:rightFromText="180" w:vertAnchor="text" w:horzAnchor="page" w:tblpX="1524" w:tblpY="341"/>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57"/>
        <w:gridCol w:w="748"/>
        <w:gridCol w:w="2045"/>
        <w:gridCol w:w="4855"/>
      </w:tblGrid>
      <w:tr w14:paraId="4B15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65" w:type="dxa"/>
            <w:vAlign w:val="center"/>
          </w:tcPr>
          <w:p w14:paraId="5632C15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657" w:type="dxa"/>
            <w:vAlign w:val="center"/>
          </w:tcPr>
          <w:p w14:paraId="743051F7">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系统名称</w:t>
            </w:r>
          </w:p>
        </w:tc>
        <w:tc>
          <w:tcPr>
            <w:tcW w:w="748" w:type="dxa"/>
            <w:vAlign w:val="center"/>
          </w:tcPr>
          <w:p w14:paraId="7CC55A6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功能大类</w:t>
            </w:r>
          </w:p>
        </w:tc>
        <w:tc>
          <w:tcPr>
            <w:tcW w:w="2045" w:type="dxa"/>
            <w:vAlign w:val="center"/>
          </w:tcPr>
          <w:p w14:paraId="3A29199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功能小类</w:t>
            </w:r>
          </w:p>
        </w:tc>
        <w:tc>
          <w:tcPr>
            <w:tcW w:w="4855" w:type="dxa"/>
            <w:vAlign w:val="center"/>
          </w:tcPr>
          <w:p w14:paraId="55C6EA4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功能简要说明</w:t>
            </w:r>
          </w:p>
        </w:tc>
      </w:tr>
      <w:tr w14:paraId="6C73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Align w:val="center"/>
          </w:tcPr>
          <w:p w14:paraId="15177B0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w:t>
            </w:r>
          </w:p>
        </w:tc>
        <w:tc>
          <w:tcPr>
            <w:tcW w:w="657" w:type="dxa"/>
            <w:vMerge w:val="restart"/>
            <w:vAlign w:val="center"/>
          </w:tcPr>
          <w:p w14:paraId="40D85A5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1、预算费控管理</w:t>
            </w:r>
          </w:p>
        </w:tc>
        <w:tc>
          <w:tcPr>
            <w:tcW w:w="748" w:type="dxa"/>
            <w:vMerge w:val="restart"/>
            <w:vAlign w:val="center"/>
          </w:tcPr>
          <w:p w14:paraId="470FAE4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1.1费控门户</w:t>
            </w:r>
          </w:p>
        </w:tc>
        <w:tc>
          <w:tcPr>
            <w:tcW w:w="2045" w:type="dxa"/>
            <w:vAlign w:val="center"/>
          </w:tcPr>
          <w:p w14:paraId="3F9DA35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待办审批</w:t>
            </w:r>
          </w:p>
        </w:tc>
        <w:tc>
          <w:tcPr>
            <w:tcW w:w="4855" w:type="dxa"/>
            <w:vAlign w:val="center"/>
          </w:tcPr>
          <w:p w14:paraId="1D915B97">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所有与财务预算费控相关的流程等待办事项的汇总展现。</w:t>
            </w:r>
          </w:p>
        </w:tc>
      </w:tr>
      <w:tr w14:paraId="7100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Align w:val="center"/>
          </w:tcPr>
          <w:p w14:paraId="236E51C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w:t>
            </w:r>
          </w:p>
        </w:tc>
        <w:tc>
          <w:tcPr>
            <w:tcW w:w="657" w:type="dxa"/>
            <w:vMerge w:val="continue"/>
            <w:vAlign w:val="center"/>
          </w:tcPr>
          <w:p w14:paraId="5A4394F5">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DB66327">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0906BB7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快捷报账</w:t>
            </w:r>
          </w:p>
        </w:tc>
        <w:tc>
          <w:tcPr>
            <w:tcW w:w="4855" w:type="dxa"/>
            <w:vAlign w:val="center"/>
          </w:tcPr>
          <w:p w14:paraId="6251A3A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快速发起报销申请、差旅报销申请、合同付款申请、费用分摊等。</w:t>
            </w:r>
          </w:p>
        </w:tc>
      </w:tr>
      <w:tr w14:paraId="747C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dxa"/>
            <w:vAlign w:val="center"/>
          </w:tcPr>
          <w:p w14:paraId="3599946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w:t>
            </w:r>
          </w:p>
        </w:tc>
        <w:tc>
          <w:tcPr>
            <w:tcW w:w="657" w:type="dxa"/>
            <w:vMerge w:val="continue"/>
            <w:vAlign w:val="center"/>
          </w:tcPr>
          <w:p w14:paraId="5FDF5C61">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6E7E615">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9727C3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数据报表</w:t>
            </w:r>
          </w:p>
        </w:tc>
        <w:tc>
          <w:tcPr>
            <w:tcW w:w="4855" w:type="dxa"/>
            <w:vAlign w:val="center"/>
          </w:tcPr>
          <w:p w14:paraId="1814E40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统计每个月已报销金额、进行中金额统计分析形成数字报表。</w:t>
            </w:r>
          </w:p>
        </w:tc>
      </w:tr>
      <w:tr w14:paraId="1383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5747B04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w:t>
            </w:r>
          </w:p>
        </w:tc>
        <w:tc>
          <w:tcPr>
            <w:tcW w:w="657" w:type="dxa"/>
            <w:vMerge w:val="continue"/>
            <w:vAlign w:val="center"/>
          </w:tcPr>
          <w:p w14:paraId="744396F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002B05B">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234895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预算执行情况</w:t>
            </w:r>
          </w:p>
        </w:tc>
        <w:tc>
          <w:tcPr>
            <w:tcW w:w="4855" w:type="dxa"/>
            <w:vAlign w:val="center"/>
          </w:tcPr>
          <w:p w14:paraId="1486D41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各部门预算执行情况报表分析。</w:t>
            </w:r>
          </w:p>
        </w:tc>
      </w:tr>
      <w:tr w14:paraId="4CC0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5201925">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1.1.5</w:t>
            </w:r>
          </w:p>
        </w:tc>
        <w:tc>
          <w:tcPr>
            <w:tcW w:w="657" w:type="dxa"/>
            <w:vMerge w:val="continue"/>
            <w:vAlign w:val="center"/>
          </w:tcPr>
          <w:p w14:paraId="5B7170B0">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9FCFE62">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9B7C56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门户分权管理</w:t>
            </w:r>
          </w:p>
        </w:tc>
        <w:tc>
          <w:tcPr>
            <w:tcW w:w="4855" w:type="dxa"/>
            <w:vAlign w:val="center"/>
          </w:tcPr>
          <w:p w14:paraId="4A1CC50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实现不同类型人员查看不同的门户界面，分为普通员工门户、财务门户、领导门户等。</w:t>
            </w:r>
          </w:p>
        </w:tc>
      </w:tr>
      <w:tr w14:paraId="0E54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D0595A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w:t>
            </w:r>
          </w:p>
        </w:tc>
        <w:tc>
          <w:tcPr>
            <w:tcW w:w="657" w:type="dxa"/>
            <w:vMerge w:val="continue"/>
            <w:vAlign w:val="center"/>
          </w:tcPr>
          <w:p w14:paraId="2A4A6582">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0324F72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1.2预算基础设置</w:t>
            </w:r>
          </w:p>
        </w:tc>
        <w:tc>
          <w:tcPr>
            <w:tcW w:w="2045" w:type="dxa"/>
            <w:vAlign w:val="center"/>
          </w:tcPr>
          <w:p w14:paraId="3C2A859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预算承担主体设置</w:t>
            </w:r>
          </w:p>
        </w:tc>
        <w:tc>
          <w:tcPr>
            <w:tcW w:w="4855" w:type="dxa"/>
            <w:vAlign w:val="center"/>
          </w:tcPr>
          <w:p w14:paraId="46538CF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对预算设置预算承担主体（项目、成本中心等），满足不同维度的预算管控要求。</w:t>
            </w:r>
          </w:p>
        </w:tc>
      </w:tr>
      <w:tr w14:paraId="054D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60A277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w:t>
            </w:r>
          </w:p>
        </w:tc>
        <w:tc>
          <w:tcPr>
            <w:tcW w:w="657" w:type="dxa"/>
            <w:vMerge w:val="continue"/>
            <w:vAlign w:val="center"/>
          </w:tcPr>
          <w:p w14:paraId="5E9808C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9963F6C">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40BC66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预算科目设置</w:t>
            </w:r>
          </w:p>
        </w:tc>
        <w:tc>
          <w:tcPr>
            <w:tcW w:w="4855" w:type="dxa"/>
            <w:vAlign w:val="center"/>
          </w:tcPr>
          <w:p w14:paraId="32C687A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将整个院内涉及到的预算科目进行导入，可设置科目的应用范围，支持按总部、部门、成本中心设置应用范围，支持科目分级维护管理。</w:t>
            </w:r>
          </w:p>
        </w:tc>
      </w:tr>
      <w:tr w14:paraId="69CD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78F19F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w:t>
            </w:r>
          </w:p>
        </w:tc>
        <w:tc>
          <w:tcPr>
            <w:tcW w:w="657" w:type="dxa"/>
            <w:vMerge w:val="continue"/>
            <w:vAlign w:val="center"/>
          </w:tcPr>
          <w:p w14:paraId="67E4849A">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4C000A8">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4E5F86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预算期间设置</w:t>
            </w:r>
          </w:p>
        </w:tc>
        <w:tc>
          <w:tcPr>
            <w:tcW w:w="4855" w:type="dxa"/>
            <w:vAlign w:val="center"/>
          </w:tcPr>
          <w:p w14:paraId="5577A3A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允许生效多个预算年度，可设置每个月期间的开启或关闭，根据研究院的实际情况定义期间的范围。</w:t>
            </w:r>
          </w:p>
        </w:tc>
      </w:tr>
      <w:tr w14:paraId="1D45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54E1ED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w:t>
            </w:r>
          </w:p>
        </w:tc>
        <w:tc>
          <w:tcPr>
            <w:tcW w:w="657" w:type="dxa"/>
            <w:vMerge w:val="continue"/>
            <w:vAlign w:val="center"/>
          </w:tcPr>
          <w:p w14:paraId="7101458A">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58D5A48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1.3预算编辑设置</w:t>
            </w:r>
          </w:p>
        </w:tc>
        <w:tc>
          <w:tcPr>
            <w:tcW w:w="2045" w:type="dxa"/>
            <w:vAlign w:val="center"/>
          </w:tcPr>
          <w:p w14:paraId="1715064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预算编制</w:t>
            </w:r>
          </w:p>
        </w:tc>
        <w:tc>
          <w:tcPr>
            <w:tcW w:w="4855" w:type="dxa"/>
            <w:vAlign w:val="center"/>
          </w:tcPr>
          <w:p w14:paraId="1C9F106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系统提供在线编制预算的功能，支持按照成本中心、预算科目、预算期间批量导入预算，支持预算编制权限管理，支持审批中费用结转、跨年结转、手工结转等。</w:t>
            </w:r>
          </w:p>
        </w:tc>
      </w:tr>
      <w:tr w14:paraId="4A46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AF0400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w:t>
            </w:r>
          </w:p>
        </w:tc>
        <w:tc>
          <w:tcPr>
            <w:tcW w:w="657" w:type="dxa"/>
            <w:vMerge w:val="continue"/>
            <w:vAlign w:val="center"/>
          </w:tcPr>
          <w:p w14:paraId="3DD4867C">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D382342">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0DAD572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预算审批</w:t>
            </w:r>
          </w:p>
        </w:tc>
        <w:tc>
          <w:tcPr>
            <w:tcW w:w="4855" w:type="dxa"/>
            <w:vAlign w:val="center"/>
          </w:tcPr>
          <w:p w14:paraId="4DF4FAC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支持对具体成本中心的预算审批的设置，审批通过后生成新的预算数据和版本。</w:t>
            </w:r>
          </w:p>
        </w:tc>
      </w:tr>
      <w:tr w14:paraId="7B33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80ABB6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w:t>
            </w:r>
          </w:p>
        </w:tc>
        <w:tc>
          <w:tcPr>
            <w:tcW w:w="657" w:type="dxa"/>
            <w:vMerge w:val="continue"/>
            <w:vAlign w:val="center"/>
          </w:tcPr>
          <w:p w14:paraId="6EC39E34">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199178A">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92903A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预算执行</w:t>
            </w:r>
          </w:p>
        </w:tc>
        <w:tc>
          <w:tcPr>
            <w:tcW w:w="4855" w:type="dxa"/>
            <w:vAlign w:val="center"/>
          </w:tcPr>
          <w:p w14:paraId="457D83B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实现对事前预算冻结、事后报销预算的扣除、因某些特殊原因将冻结中的预算进行释放等操作。</w:t>
            </w:r>
          </w:p>
        </w:tc>
      </w:tr>
      <w:tr w14:paraId="7E0E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27FCAD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w:t>
            </w:r>
          </w:p>
        </w:tc>
        <w:tc>
          <w:tcPr>
            <w:tcW w:w="657" w:type="dxa"/>
            <w:vMerge w:val="continue"/>
            <w:vAlign w:val="center"/>
          </w:tcPr>
          <w:p w14:paraId="4B9697DD">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6B4CE4B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1.4报销管理</w:t>
            </w:r>
          </w:p>
        </w:tc>
        <w:tc>
          <w:tcPr>
            <w:tcW w:w="2045" w:type="dxa"/>
            <w:vAlign w:val="center"/>
          </w:tcPr>
          <w:p w14:paraId="7FEFC5E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事前申请</w:t>
            </w:r>
          </w:p>
        </w:tc>
        <w:tc>
          <w:tcPr>
            <w:tcW w:w="4855" w:type="dxa"/>
            <w:vAlign w:val="center"/>
          </w:tcPr>
          <w:p w14:paraId="2C88256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将正式立项、采购申请、合同申请、出差申请流程作为事前申请流程冻结预算金额。</w:t>
            </w:r>
          </w:p>
        </w:tc>
      </w:tr>
      <w:tr w14:paraId="6B45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AED894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w:t>
            </w:r>
          </w:p>
        </w:tc>
        <w:tc>
          <w:tcPr>
            <w:tcW w:w="657" w:type="dxa"/>
            <w:vMerge w:val="continue"/>
            <w:vAlign w:val="center"/>
          </w:tcPr>
          <w:p w14:paraId="25B90EBD">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777323D">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2CF363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报销流程管理</w:t>
            </w:r>
          </w:p>
        </w:tc>
        <w:tc>
          <w:tcPr>
            <w:tcW w:w="4855" w:type="dxa"/>
            <w:vAlign w:val="center"/>
          </w:tcPr>
          <w:p w14:paraId="2260811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将所有跟预算相关的报销流程进行配置管理，实现对事前申请流程的冻结预算金额进行释放扣除等，并实现对报销流程的预算校验功能。</w:t>
            </w:r>
          </w:p>
        </w:tc>
      </w:tr>
      <w:tr w14:paraId="22D3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61C8A2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w:t>
            </w:r>
          </w:p>
        </w:tc>
        <w:tc>
          <w:tcPr>
            <w:tcW w:w="657" w:type="dxa"/>
            <w:vMerge w:val="continue"/>
            <w:vAlign w:val="center"/>
          </w:tcPr>
          <w:p w14:paraId="6FEBCEF4">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46F64F8">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0081618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多维度管控校验</w:t>
            </w:r>
          </w:p>
        </w:tc>
        <w:tc>
          <w:tcPr>
            <w:tcW w:w="4855" w:type="dxa"/>
            <w:vAlign w:val="center"/>
          </w:tcPr>
          <w:p w14:paraId="7E872CF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可实现预算数据自动导出；超预算管控；费用标准管控；超发票金额报销管控校验等，在提交报销流程时会根据规则进行预算校验，可分为强控、弱控、不控等。</w:t>
            </w:r>
          </w:p>
        </w:tc>
      </w:tr>
      <w:tr w14:paraId="6909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98BD0D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w:t>
            </w:r>
          </w:p>
        </w:tc>
        <w:tc>
          <w:tcPr>
            <w:tcW w:w="657" w:type="dxa"/>
            <w:vMerge w:val="continue"/>
            <w:vAlign w:val="center"/>
          </w:tcPr>
          <w:p w14:paraId="43D77D01">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CE37258">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CA671C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预算变更</w:t>
            </w:r>
          </w:p>
        </w:tc>
        <w:tc>
          <w:tcPr>
            <w:tcW w:w="4855" w:type="dxa"/>
            <w:vAlign w:val="center"/>
          </w:tcPr>
          <w:p w14:paraId="1868015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支持跨成本中心、跨期间、跨科目的预算调整，通过预算变更流程调整的是未使用的预算，将未使用的预算信息进行变更处理，在总预算信息不变的情况下，把一个预算科目的预算变更至另一个科目中。</w:t>
            </w:r>
          </w:p>
        </w:tc>
      </w:tr>
      <w:tr w14:paraId="01AF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5" w:type="dxa"/>
            <w:vAlign w:val="center"/>
          </w:tcPr>
          <w:p w14:paraId="1E7AA10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w:t>
            </w:r>
          </w:p>
        </w:tc>
        <w:tc>
          <w:tcPr>
            <w:tcW w:w="657" w:type="dxa"/>
            <w:vMerge w:val="continue"/>
            <w:vAlign w:val="center"/>
          </w:tcPr>
          <w:p w14:paraId="6180D69F">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6B6715F">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0281AA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费用分摊</w:t>
            </w:r>
          </w:p>
        </w:tc>
        <w:tc>
          <w:tcPr>
            <w:tcW w:w="4855" w:type="dxa"/>
            <w:vAlign w:val="center"/>
          </w:tcPr>
          <w:p w14:paraId="5D93945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通过费用分摊流程将已发生的费用分摊到不同的成本中心的预算科目中。</w:t>
            </w:r>
          </w:p>
        </w:tc>
      </w:tr>
      <w:tr w14:paraId="3FD2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F2DE4D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1.4.6</w:t>
            </w:r>
          </w:p>
        </w:tc>
        <w:tc>
          <w:tcPr>
            <w:tcW w:w="657" w:type="dxa"/>
            <w:vMerge w:val="continue"/>
            <w:vAlign w:val="center"/>
          </w:tcPr>
          <w:p w14:paraId="2EB0CA60">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F508D2E">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045026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付款台账</w:t>
            </w:r>
          </w:p>
        </w:tc>
        <w:tc>
          <w:tcPr>
            <w:tcW w:w="4855" w:type="dxa"/>
            <w:vAlign w:val="center"/>
          </w:tcPr>
          <w:p w14:paraId="527A7B2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系统将所有报销/付款完成的流程数据形成台账数据，方便用户追踪款项、预算科目、金额等内容。</w:t>
            </w:r>
          </w:p>
        </w:tc>
      </w:tr>
      <w:tr w14:paraId="19E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C5CA6C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w:t>
            </w:r>
          </w:p>
        </w:tc>
        <w:tc>
          <w:tcPr>
            <w:tcW w:w="657" w:type="dxa"/>
            <w:vMerge w:val="continue"/>
            <w:vAlign w:val="center"/>
          </w:tcPr>
          <w:p w14:paraId="29762051">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33C293F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1.5发票管理</w:t>
            </w:r>
          </w:p>
        </w:tc>
        <w:tc>
          <w:tcPr>
            <w:tcW w:w="2045" w:type="dxa"/>
            <w:vAlign w:val="center"/>
          </w:tcPr>
          <w:p w14:paraId="4AB39B6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发票采集/识别</w:t>
            </w:r>
          </w:p>
        </w:tc>
        <w:tc>
          <w:tcPr>
            <w:tcW w:w="4855" w:type="dxa"/>
            <w:vAlign w:val="center"/>
          </w:tcPr>
          <w:p w14:paraId="675DF0D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通过OCR识别、电票上传、手工输入识别、邮箱、微信、支付宝电子发票同步等，支持按照不同的发票类型提取不同的数据。</w:t>
            </w:r>
          </w:p>
        </w:tc>
      </w:tr>
      <w:tr w14:paraId="7BFA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2414BD7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w:t>
            </w:r>
          </w:p>
        </w:tc>
        <w:tc>
          <w:tcPr>
            <w:tcW w:w="657" w:type="dxa"/>
            <w:vMerge w:val="continue"/>
            <w:vAlign w:val="center"/>
          </w:tcPr>
          <w:p w14:paraId="4AB5148F">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FE290BC">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1D74D8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发票票夹</w:t>
            </w:r>
          </w:p>
        </w:tc>
        <w:tc>
          <w:tcPr>
            <w:tcW w:w="4855" w:type="dxa"/>
            <w:vAlign w:val="center"/>
          </w:tcPr>
          <w:p w14:paraId="4BC5BD4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将所有上传的发票数据列表展现、发票导入生成记账本信息台账。</w:t>
            </w:r>
          </w:p>
        </w:tc>
      </w:tr>
      <w:tr w14:paraId="5B36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23E3AF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w:t>
            </w:r>
          </w:p>
        </w:tc>
        <w:tc>
          <w:tcPr>
            <w:tcW w:w="657" w:type="dxa"/>
            <w:vMerge w:val="continue"/>
            <w:vAlign w:val="center"/>
          </w:tcPr>
          <w:p w14:paraId="3868F6EA">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DD5390A">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7F9F9C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发票验真/验重</w:t>
            </w:r>
          </w:p>
        </w:tc>
        <w:tc>
          <w:tcPr>
            <w:tcW w:w="4855" w:type="dxa"/>
            <w:vAlign w:val="center"/>
          </w:tcPr>
          <w:p w14:paraId="7BF0AD5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实现发票验重关联，防止重复提交发票；并对发票进行查验真伪，包含2万次的发票识别及验真数量。</w:t>
            </w:r>
          </w:p>
        </w:tc>
      </w:tr>
      <w:tr w14:paraId="01D3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4D2941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1.5.4</w:t>
            </w:r>
          </w:p>
        </w:tc>
        <w:tc>
          <w:tcPr>
            <w:tcW w:w="657" w:type="dxa"/>
            <w:vMerge w:val="continue"/>
            <w:vAlign w:val="center"/>
          </w:tcPr>
          <w:p w14:paraId="5D877C8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1C07EBD">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40CAE7A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票据流程设置</w:t>
            </w:r>
          </w:p>
        </w:tc>
        <w:tc>
          <w:tcPr>
            <w:tcW w:w="4855" w:type="dxa"/>
            <w:vAlign w:val="center"/>
          </w:tcPr>
          <w:p w14:paraId="43251CE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将发票管理与流程进行配置，可实现对发票锁定、发票核销、发票解锁等管控。</w:t>
            </w:r>
          </w:p>
        </w:tc>
      </w:tr>
      <w:tr w14:paraId="60A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8DE8AB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657" w:type="dxa"/>
            <w:vMerge w:val="continue"/>
            <w:vAlign w:val="center"/>
          </w:tcPr>
          <w:p w14:paraId="7C7BCCB1">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3468A71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1.6报表模块</w:t>
            </w:r>
          </w:p>
        </w:tc>
        <w:tc>
          <w:tcPr>
            <w:tcW w:w="2045" w:type="dxa"/>
            <w:vAlign w:val="center"/>
          </w:tcPr>
          <w:p w14:paraId="2DDE58A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财务报表</w:t>
            </w:r>
          </w:p>
        </w:tc>
        <w:tc>
          <w:tcPr>
            <w:tcW w:w="4855" w:type="dxa"/>
            <w:vAlign w:val="center"/>
          </w:tcPr>
          <w:p w14:paraId="45FB9C7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将财务报表分为预算总额表、预算执行情况表、费用汇总表、费用查询统计表，相关有权限的人员可根据成本中心、预算科目、预算期间等条件进行自定义搜索查询并导出。</w:t>
            </w:r>
          </w:p>
        </w:tc>
      </w:tr>
      <w:tr w14:paraId="065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016328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1.7.1</w:t>
            </w:r>
          </w:p>
        </w:tc>
        <w:tc>
          <w:tcPr>
            <w:tcW w:w="657" w:type="dxa"/>
            <w:vMerge w:val="continue"/>
            <w:vAlign w:val="center"/>
          </w:tcPr>
          <w:p w14:paraId="2E9D13BA">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5B0A804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1.7集成管理</w:t>
            </w:r>
          </w:p>
        </w:tc>
        <w:tc>
          <w:tcPr>
            <w:tcW w:w="2045" w:type="dxa"/>
            <w:vAlign w:val="center"/>
          </w:tcPr>
          <w:p w14:paraId="3CE7854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财务系统集成</w:t>
            </w:r>
          </w:p>
        </w:tc>
        <w:tc>
          <w:tcPr>
            <w:tcW w:w="4855" w:type="dxa"/>
            <w:vAlign w:val="center"/>
          </w:tcPr>
          <w:p w14:paraId="18F1913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与研究院的财务管理系统集成开发，将报销管理/付款管理与财务系统集成，流程审批结束后将报账的金额传给财务系统。</w:t>
            </w:r>
          </w:p>
        </w:tc>
      </w:tr>
      <w:tr w14:paraId="6E7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8A29A1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w:t>
            </w:r>
          </w:p>
        </w:tc>
        <w:tc>
          <w:tcPr>
            <w:tcW w:w="657" w:type="dxa"/>
            <w:vMerge w:val="continue"/>
            <w:vAlign w:val="center"/>
          </w:tcPr>
          <w:p w14:paraId="50FF7359">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2F9003C">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58AF50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数字化协同运营平台集成</w:t>
            </w:r>
          </w:p>
        </w:tc>
        <w:tc>
          <w:tcPr>
            <w:tcW w:w="4855" w:type="dxa"/>
            <w:vAlign w:val="center"/>
          </w:tcPr>
          <w:p w14:paraId="4EE6274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预算费控系统与数字化协同运营平台付款业务审批链条打通，实现财务系统付款完成后，预算费控系统流程自动归档，同时扣除预算信息。</w:t>
            </w:r>
          </w:p>
        </w:tc>
      </w:tr>
      <w:tr w14:paraId="34E9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4D5032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w:t>
            </w:r>
          </w:p>
        </w:tc>
        <w:tc>
          <w:tcPr>
            <w:tcW w:w="657" w:type="dxa"/>
            <w:vMerge w:val="continue"/>
            <w:vAlign w:val="center"/>
          </w:tcPr>
          <w:p w14:paraId="0AE708B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5C457578">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FB8708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资产系统集成</w:t>
            </w:r>
          </w:p>
        </w:tc>
        <w:tc>
          <w:tcPr>
            <w:tcW w:w="4855" w:type="dxa"/>
            <w:vAlign w:val="center"/>
          </w:tcPr>
          <w:p w14:paraId="11C104F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系统进行资产报销，实现资产系统数据从资产系统中获取并与预算费控系统报销进行打通。</w:t>
            </w:r>
          </w:p>
        </w:tc>
      </w:tr>
      <w:tr w14:paraId="4F3B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58D6A1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w:t>
            </w:r>
          </w:p>
        </w:tc>
        <w:tc>
          <w:tcPr>
            <w:tcW w:w="657" w:type="dxa"/>
            <w:vMerge w:val="restart"/>
            <w:vAlign w:val="center"/>
          </w:tcPr>
          <w:p w14:paraId="4D2B208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2、科研项目管理</w:t>
            </w:r>
          </w:p>
        </w:tc>
        <w:tc>
          <w:tcPr>
            <w:tcW w:w="748" w:type="dxa"/>
            <w:vMerge w:val="restart"/>
            <w:vAlign w:val="center"/>
          </w:tcPr>
          <w:p w14:paraId="0A8B11B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2.1科研</w:t>
            </w:r>
            <w:r>
              <w:rPr>
                <w:rFonts w:hint="eastAsia" w:ascii="宋体" w:hAnsi="宋体" w:cs="宋体"/>
                <w:color w:val="000000" w:themeColor="text1"/>
                <w:lang w:eastAsia="zh-Hans"/>
                <w14:textFill>
                  <w14:solidFill>
                    <w14:schemeClr w14:val="tx1"/>
                  </w14:solidFill>
                </w14:textFill>
              </w:rPr>
              <w:t>项目门户</w:t>
            </w:r>
          </w:p>
        </w:tc>
        <w:tc>
          <w:tcPr>
            <w:tcW w:w="2045" w:type="dxa"/>
            <w:vAlign w:val="center"/>
          </w:tcPr>
          <w:p w14:paraId="14326D7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待办审批</w:t>
            </w:r>
          </w:p>
        </w:tc>
        <w:tc>
          <w:tcPr>
            <w:tcW w:w="4855" w:type="dxa"/>
            <w:vAlign w:val="center"/>
          </w:tcPr>
          <w:p w14:paraId="6D9D867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所有科研合同审批流程、项目审批流程、科研经费到账流程、科研成果上报流程等待办事项的汇总展现。</w:t>
            </w:r>
          </w:p>
        </w:tc>
      </w:tr>
      <w:tr w14:paraId="05BC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4B0197A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w:t>
            </w:r>
          </w:p>
        </w:tc>
        <w:tc>
          <w:tcPr>
            <w:tcW w:w="657" w:type="dxa"/>
            <w:vMerge w:val="continue"/>
            <w:vAlign w:val="center"/>
          </w:tcPr>
          <w:p w14:paraId="1724E7BF">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DDB55B0">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2732FD4">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通知元素</w:t>
            </w:r>
          </w:p>
        </w:tc>
        <w:tc>
          <w:tcPr>
            <w:tcW w:w="4855" w:type="dxa"/>
            <w:vAlign w:val="center"/>
          </w:tcPr>
          <w:p w14:paraId="77FED19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到款通知 合同到款登记之后的通知提醒。</w:t>
            </w:r>
          </w:p>
        </w:tc>
      </w:tr>
      <w:tr w14:paraId="1C40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3421429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w:t>
            </w:r>
          </w:p>
        </w:tc>
        <w:tc>
          <w:tcPr>
            <w:tcW w:w="657" w:type="dxa"/>
            <w:vMerge w:val="continue"/>
            <w:vAlign w:val="center"/>
          </w:tcPr>
          <w:p w14:paraId="7B056297">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8A427BB">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6C94E18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快捷入口</w:t>
            </w:r>
          </w:p>
        </w:tc>
        <w:tc>
          <w:tcPr>
            <w:tcW w:w="4855" w:type="dxa"/>
            <w:vAlign w:val="center"/>
          </w:tcPr>
          <w:p w14:paraId="269E26B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项目立项申请、经费到账、成果上报、论文上报。</w:t>
            </w:r>
          </w:p>
        </w:tc>
      </w:tr>
      <w:tr w14:paraId="5D6A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8BED1F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2.1.4</w:t>
            </w:r>
          </w:p>
        </w:tc>
        <w:tc>
          <w:tcPr>
            <w:tcW w:w="657" w:type="dxa"/>
            <w:vMerge w:val="continue"/>
            <w:vAlign w:val="center"/>
          </w:tcPr>
          <w:p w14:paraId="4B890F66">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42097D7">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16E008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提醒元素</w:t>
            </w:r>
          </w:p>
        </w:tc>
        <w:tc>
          <w:tcPr>
            <w:tcW w:w="4855" w:type="dxa"/>
            <w:vAlign w:val="center"/>
          </w:tcPr>
          <w:p w14:paraId="04160FD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项目到期预警提醒、项目中期提醒。</w:t>
            </w:r>
          </w:p>
        </w:tc>
      </w:tr>
      <w:tr w14:paraId="68F1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4EB3B14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2.1.5</w:t>
            </w:r>
          </w:p>
        </w:tc>
        <w:tc>
          <w:tcPr>
            <w:tcW w:w="657" w:type="dxa"/>
            <w:vMerge w:val="continue"/>
            <w:vAlign w:val="center"/>
          </w:tcPr>
          <w:p w14:paraId="5EA3B19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8E03FA0">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5DF5B43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数据报表</w:t>
            </w:r>
          </w:p>
        </w:tc>
        <w:tc>
          <w:tcPr>
            <w:tcW w:w="4855" w:type="dxa"/>
            <w:vAlign w:val="center"/>
          </w:tcPr>
          <w:p w14:paraId="360E983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按照项目类型的数量及金额统计报表。</w:t>
            </w:r>
          </w:p>
        </w:tc>
      </w:tr>
      <w:tr w14:paraId="5765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A782EE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w:t>
            </w:r>
          </w:p>
        </w:tc>
        <w:tc>
          <w:tcPr>
            <w:tcW w:w="657" w:type="dxa"/>
            <w:vMerge w:val="continue"/>
            <w:vAlign w:val="center"/>
          </w:tcPr>
          <w:p w14:paraId="3FACEEB3">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684E102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2.2科研项目库管理</w:t>
            </w:r>
          </w:p>
        </w:tc>
        <w:tc>
          <w:tcPr>
            <w:tcW w:w="2045" w:type="dxa"/>
            <w:vAlign w:val="center"/>
          </w:tcPr>
          <w:p w14:paraId="15CDD0A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w:t>
            </w:r>
            <w:r>
              <w:rPr>
                <w:rFonts w:hint="eastAsia" w:ascii="宋体" w:hAnsi="宋体" w:cs="宋体"/>
                <w:color w:val="000000" w:themeColor="text1"/>
                <w:lang w:eastAsia="zh-Hans"/>
                <w14:textFill>
                  <w14:solidFill>
                    <w14:schemeClr w14:val="tx1"/>
                  </w14:solidFill>
                </w14:textFill>
              </w:rPr>
              <w:t>项目</w:t>
            </w:r>
            <w:r>
              <w:rPr>
                <w:rFonts w:hint="eastAsia" w:ascii="宋体" w:hAnsi="宋体" w:cs="宋体"/>
                <w:color w:val="000000" w:themeColor="text1"/>
                <w14:textFill>
                  <w14:solidFill>
                    <w14:schemeClr w14:val="tx1"/>
                  </w14:solidFill>
                </w14:textFill>
              </w:rPr>
              <w:t>立项</w:t>
            </w:r>
          </w:p>
        </w:tc>
        <w:tc>
          <w:tcPr>
            <w:tcW w:w="4855" w:type="dxa"/>
            <w:vAlign w:val="center"/>
          </w:tcPr>
          <w:p w14:paraId="13CA6A8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通过科研合同审批登记表(研究院作为受托方/卖方/让与方)流程进行科研项目的立项。</w:t>
            </w:r>
          </w:p>
        </w:tc>
      </w:tr>
      <w:tr w14:paraId="105D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9D3C5B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w:t>
            </w:r>
          </w:p>
        </w:tc>
        <w:tc>
          <w:tcPr>
            <w:tcW w:w="657" w:type="dxa"/>
            <w:vMerge w:val="continue"/>
            <w:vAlign w:val="center"/>
          </w:tcPr>
          <w:p w14:paraId="2C53EDE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ADB2950">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4CCACD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横向项目台账</w:t>
            </w:r>
          </w:p>
        </w:tc>
        <w:tc>
          <w:tcPr>
            <w:tcW w:w="4855" w:type="dxa"/>
            <w:vAlign w:val="center"/>
          </w:tcPr>
          <w:p w14:paraId="2B0F989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根据立项时不同的项目类型转入横向项目台账卡片中，实现对横向项目信息的汇总。</w:t>
            </w:r>
          </w:p>
        </w:tc>
      </w:tr>
      <w:tr w14:paraId="0195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D73665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w:t>
            </w:r>
          </w:p>
        </w:tc>
        <w:tc>
          <w:tcPr>
            <w:tcW w:w="657" w:type="dxa"/>
            <w:vMerge w:val="continue"/>
            <w:vAlign w:val="center"/>
          </w:tcPr>
          <w:p w14:paraId="7F2A8E1E">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E9B05D1">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C3AF29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纵向项目台账</w:t>
            </w:r>
          </w:p>
        </w:tc>
        <w:tc>
          <w:tcPr>
            <w:tcW w:w="4855" w:type="dxa"/>
            <w:vAlign w:val="center"/>
          </w:tcPr>
          <w:p w14:paraId="3C78CE7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根据立项时不同的项目类型转入纵向项目台账卡片中，实现对纵向项目信息的汇总，其中纵向项目又分为宁波专项、市级项目，纵向项目课题会涉及外拨。</w:t>
            </w:r>
          </w:p>
        </w:tc>
      </w:tr>
      <w:tr w14:paraId="37CE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DCEAFD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w:t>
            </w:r>
          </w:p>
        </w:tc>
        <w:tc>
          <w:tcPr>
            <w:tcW w:w="657" w:type="dxa"/>
            <w:vMerge w:val="continue"/>
            <w:vAlign w:val="center"/>
          </w:tcPr>
          <w:p w14:paraId="5D3D1C8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C7C66A6">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B7AAE9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w:t>
            </w:r>
            <w:r>
              <w:rPr>
                <w:rFonts w:hint="eastAsia" w:ascii="宋体" w:hAnsi="宋体" w:cs="宋体"/>
                <w:color w:val="000000" w:themeColor="text1"/>
                <w:lang w:eastAsia="zh-Hans"/>
                <w14:textFill>
                  <w14:solidFill>
                    <w14:schemeClr w14:val="tx1"/>
                  </w14:solidFill>
                </w14:textFill>
              </w:rPr>
              <w:t>项目台账卡片</w:t>
            </w:r>
          </w:p>
        </w:tc>
        <w:tc>
          <w:tcPr>
            <w:tcW w:w="4855" w:type="dxa"/>
            <w:vAlign w:val="center"/>
          </w:tcPr>
          <w:p w14:paraId="4C88D13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项目信息卡片中，实现对项目关键信息如：基本信息、合同信息、进度信息、经费信息。一个项目对应一个项目编号、一个项目可对应多个经费负责人及经费号。</w:t>
            </w:r>
          </w:p>
        </w:tc>
      </w:tr>
      <w:tr w14:paraId="6B40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9C8372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2.2.5</w:t>
            </w:r>
          </w:p>
        </w:tc>
        <w:tc>
          <w:tcPr>
            <w:tcW w:w="657" w:type="dxa"/>
            <w:vMerge w:val="continue"/>
            <w:vAlign w:val="center"/>
          </w:tcPr>
          <w:p w14:paraId="30F9B714">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6F14C29">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2203AF3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科研采购项目台账</w:t>
            </w:r>
          </w:p>
        </w:tc>
        <w:tc>
          <w:tcPr>
            <w:tcW w:w="4855" w:type="dxa"/>
            <w:vAlign w:val="center"/>
          </w:tcPr>
          <w:p w14:paraId="0264ACAB">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登记采购项目信息，分为四种固定化采购审批流程（A、B、C类设备/D类设备、E类设备、耗材采购），从形式审查、可行性论证、招标采购、科研采购合同、验收、报销/付款全过程数据汇总至台账内进行管理。</w:t>
            </w:r>
          </w:p>
        </w:tc>
      </w:tr>
      <w:tr w14:paraId="5A2D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E77A8A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2.2.6</w:t>
            </w:r>
          </w:p>
        </w:tc>
        <w:tc>
          <w:tcPr>
            <w:tcW w:w="657" w:type="dxa"/>
            <w:vMerge w:val="continue"/>
            <w:vAlign w:val="center"/>
          </w:tcPr>
          <w:p w14:paraId="3F8D08EC">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09C16CF">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1F23CB3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科研外协项目台账</w:t>
            </w:r>
          </w:p>
        </w:tc>
        <w:tc>
          <w:tcPr>
            <w:tcW w:w="4855" w:type="dxa"/>
            <w:vAlign w:val="center"/>
          </w:tcPr>
          <w:p w14:paraId="3B37791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依托科研项目台账新建外协项目信息，从科研项目外协任务基本信息、科研项目招标采购、科研外协采购合同、验收、报销/付款全过程数据汇总至台账进行管理。</w:t>
            </w:r>
          </w:p>
        </w:tc>
      </w:tr>
      <w:tr w14:paraId="2E38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CDBCC8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2.2.7</w:t>
            </w:r>
          </w:p>
        </w:tc>
        <w:tc>
          <w:tcPr>
            <w:tcW w:w="657" w:type="dxa"/>
            <w:vMerge w:val="continue"/>
            <w:vAlign w:val="center"/>
          </w:tcPr>
          <w:p w14:paraId="6742900A">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F9CBB87">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AD3197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项目过程管理</w:t>
            </w:r>
          </w:p>
        </w:tc>
        <w:tc>
          <w:tcPr>
            <w:tcW w:w="4855" w:type="dxa"/>
            <w:vAlign w:val="center"/>
          </w:tcPr>
          <w:p w14:paraId="4F84A19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快速了解项目当前状态，执行中、终止、延期、结题等，通过项目变更、结题结算等流程变更项目信息等内容。</w:t>
            </w:r>
          </w:p>
        </w:tc>
      </w:tr>
      <w:tr w14:paraId="632B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6BB834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p>
        </w:tc>
        <w:tc>
          <w:tcPr>
            <w:tcW w:w="657" w:type="dxa"/>
            <w:vMerge w:val="continue"/>
            <w:vAlign w:val="center"/>
          </w:tcPr>
          <w:p w14:paraId="22A902AE">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48D8A1A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2.3对外服务</w:t>
            </w:r>
          </w:p>
        </w:tc>
        <w:tc>
          <w:tcPr>
            <w:tcW w:w="2045" w:type="dxa"/>
            <w:vAlign w:val="center"/>
          </w:tcPr>
          <w:p w14:paraId="39BE78B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检验检测</w:t>
            </w:r>
          </w:p>
        </w:tc>
        <w:tc>
          <w:tcPr>
            <w:tcW w:w="4855" w:type="dxa"/>
            <w:vAlign w:val="center"/>
          </w:tcPr>
          <w:p w14:paraId="5B2986F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通过预约申请、结算流程，生成设备检验检测台账，支持结算清单导出用于费用结算，支持与后续的仪器设备管理集成对接。</w:t>
            </w:r>
          </w:p>
        </w:tc>
      </w:tr>
      <w:tr w14:paraId="2995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74E58B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w:t>
            </w:r>
          </w:p>
        </w:tc>
        <w:tc>
          <w:tcPr>
            <w:tcW w:w="657" w:type="dxa"/>
            <w:vMerge w:val="continue"/>
            <w:vAlign w:val="center"/>
          </w:tcPr>
          <w:p w14:paraId="63AF56C6">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58A0DD65">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2.4科研经费管理</w:t>
            </w:r>
          </w:p>
        </w:tc>
        <w:tc>
          <w:tcPr>
            <w:tcW w:w="2045" w:type="dxa"/>
            <w:vAlign w:val="center"/>
          </w:tcPr>
          <w:p w14:paraId="2E5A4203">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科研经费来款</w:t>
            </w:r>
          </w:p>
        </w:tc>
        <w:tc>
          <w:tcPr>
            <w:tcW w:w="4855" w:type="dxa"/>
            <w:vAlign w:val="center"/>
          </w:tcPr>
          <w:p w14:paraId="57A32A2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通过横向/纵向科研课题经费通知单流程生成项目卡片中科研经费信息，由财务赋予经费号信息。</w:t>
            </w:r>
          </w:p>
        </w:tc>
      </w:tr>
      <w:tr w14:paraId="6AB5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8581DB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2.4.2</w:t>
            </w:r>
          </w:p>
        </w:tc>
        <w:tc>
          <w:tcPr>
            <w:tcW w:w="657" w:type="dxa"/>
            <w:vMerge w:val="continue"/>
            <w:vAlign w:val="center"/>
          </w:tcPr>
          <w:p w14:paraId="4779406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11A7EB50">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1FB0B4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横向项目经费信息</w:t>
            </w:r>
          </w:p>
        </w:tc>
        <w:tc>
          <w:tcPr>
            <w:tcW w:w="4855" w:type="dxa"/>
            <w:vAlign w:val="center"/>
          </w:tcPr>
          <w:p w14:paraId="46EC1A2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横向项目经费分为新版/旧版，其中包含间接费，以及费用科目包含院基金、中心/团队基金、风险保证金、课题组、直接经费等。</w:t>
            </w:r>
          </w:p>
        </w:tc>
      </w:tr>
      <w:tr w14:paraId="1D6B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3EFB5D9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2.4.3</w:t>
            </w:r>
          </w:p>
        </w:tc>
        <w:tc>
          <w:tcPr>
            <w:tcW w:w="657" w:type="dxa"/>
            <w:vMerge w:val="continue"/>
            <w:vAlign w:val="center"/>
          </w:tcPr>
          <w:p w14:paraId="4C42FA3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0861A4C">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3ABBB4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纵向项目经费信息</w:t>
            </w:r>
          </w:p>
        </w:tc>
        <w:tc>
          <w:tcPr>
            <w:tcW w:w="4855" w:type="dxa"/>
            <w:vAlign w:val="center"/>
          </w:tcPr>
          <w:p w14:paraId="1E3CCC0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纵向项目经费分为直接经费、间接经费、转拨费等。</w:t>
            </w:r>
          </w:p>
        </w:tc>
      </w:tr>
      <w:tr w14:paraId="7E5D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27C00E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2.4.4</w:t>
            </w:r>
          </w:p>
        </w:tc>
        <w:tc>
          <w:tcPr>
            <w:tcW w:w="657" w:type="dxa"/>
            <w:vMerge w:val="continue"/>
            <w:vAlign w:val="center"/>
          </w:tcPr>
          <w:p w14:paraId="2A3ABCE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A6D21B0">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37B232E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科研经费报销</w:t>
            </w:r>
          </w:p>
        </w:tc>
        <w:tc>
          <w:tcPr>
            <w:tcW w:w="4855" w:type="dxa"/>
            <w:vAlign w:val="center"/>
          </w:tcPr>
          <w:p w14:paraId="4A56C8B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实现基于科研</w:t>
            </w:r>
            <w:r>
              <w:rPr>
                <w:rFonts w:hint="eastAsia" w:ascii="宋体" w:hAnsi="宋体" w:cs="宋体"/>
                <w:color w:val="000000" w:themeColor="text1"/>
                <w:lang w:eastAsia="zh-Hans"/>
                <w14:textFill>
                  <w14:solidFill>
                    <w14:schemeClr w14:val="tx1"/>
                  </w14:solidFill>
                </w14:textFill>
              </w:rPr>
              <w:t>项目</w:t>
            </w:r>
            <w:r>
              <w:rPr>
                <w:rFonts w:hint="eastAsia" w:ascii="宋体" w:hAnsi="宋体" w:cs="宋体"/>
                <w:color w:val="000000" w:themeColor="text1"/>
                <w14:textFill>
                  <w14:solidFill>
                    <w14:schemeClr w14:val="tx1"/>
                  </w14:solidFill>
                </w14:textFill>
              </w:rPr>
              <w:t>预算的费用管理，通过网上报销的手段，实现经费支出的累计；管理每个项目中经费号的经费使用情况。经费使用情况分为知识产权、科研采购项目、人员支出等。</w:t>
            </w:r>
          </w:p>
        </w:tc>
      </w:tr>
      <w:tr w14:paraId="07F3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5F87AF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2.4.5</w:t>
            </w:r>
          </w:p>
        </w:tc>
        <w:tc>
          <w:tcPr>
            <w:tcW w:w="657" w:type="dxa"/>
            <w:vMerge w:val="continue"/>
            <w:vAlign w:val="center"/>
          </w:tcPr>
          <w:p w14:paraId="589158F9">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5B0F382C">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1EAE98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经费分析</w:t>
            </w:r>
          </w:p>
        </w:tc>
        <w:tc>
          <w:tcPr>
            <w:tcW w:w="4855" w:type="dxa"/>
            <w:vAlign w:val="center"/>
          </w:tcPr>
          <w:p w14:paraId="5C0D5E9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结合合同管理、支付</w:t>
            </w:r>
            <w:r>
              <w:rPr>
                <w:rFonts w:hint="eastAsia" w:ascii="宋体" w:hAnsi="宋体" w:cs="宋体"/>
                <w:color w:val="000000" w:themeColor="text1"/>
                <w14:textFill>
                  <w14:solidFill>
                    <w14:schemeClr w14:val="tx1"/>
                  </w14:solidFill>
                </w14:textFill>
              </w:rPr>
              <w:t>、报销</w:t>
            </w:r>
            <w:r>
              <w:rPr>
                <w:rFonts w:hint="eastAsia" w:ascii="宋体" w:hAnsi="宋体" w:cs="宋体"/>
                <w:color w:val="000000" w:themeColor="text1"/>
                <w:lang w:eastAsia="zh-Hans"/>
                <w14:textFill>
                  <w14:solidFill>
                    <w14:schemeClr w14:val="tx1"/>
                  </w14:solidFill>
                </w14:textFill>
              </w:rPr>
              <w:t>管理等信息，统计项目总体花销</w:t>
            </w:r>
            <w:r>
              <w:rPr>
                <w:rFonts w:hint="eastAsia" w:ascii="宋体" w:hAnsi="宋体" w:cs="宋体"/>
                <w:color w:val="000000" w:themeColor="text1"/>
                <w14:textFill>
                  <w14:solidFill>
                    <w14:schemeClr w14:val="tx1"/>
                  </w14:solidFill>
                </w14:textFill>
              </w:rPr>
              <w:t>、项目中经费号的花销</w:t>
            </w:r>
            <w:r>
              <w:rPr>
                <w:rFonts w:hint="eastAsia" w:ascii="宋体" w:hAnsi="宋体" w:cs="宋体"/>
                <w:color w:val="000000" w:themeColor="text1"/>
                <w:lang w:eastAsia="zh-Hans"/>
                <w14:textFill>
                  <w14:solidFill>
                    <w14:schemeClr w14:val="tx1"/>
                  </w14:solidFill>
                </w14:textFill>
              </w:rPr>
              <w:t>，为绩效考核提供数据支撑。</w:t>
            </w:r>
          </w:p>
        </w:tc>
      </w:tr>
      <w:tr w14:paraId="20ED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D746A5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657" w:type="dxa"/>
            <w:vMerge w:val="continue"/>
            <w:vAlign w:val="center"/>
          </w:tcPr>
          <w:p w14:paraId="66213FEF">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249E9EF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2.5科研中期检查</w:t>
            </w:r>
          </w:p>
        </w:tc>
        <w:tc>
          <w:tcPr>
            <w:tcW w:w="2045" w:type="dxa"/>
            <w:vAlign w:val="center"/>
          </w:tcPr>
          <w:p w14:paraId="7445868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项目中期</w:t>
            </w:r>
          </w:p>
        </w:tc>
        <w:tc>
          <w:tcPr>
            <w:tcW w:w="4855" w:type="dxa"/>
            <w:vAlign w:val="center"/>
          </w:tcPr>
          <w:p w14:paraId="2A47D61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项目卡片中含预计中期时间点，用于提醒项目负责人进行中期检查，项目负责人可对科研项目进行中期汇报登记。</w:t>
            </w:r>
          </w:p>
        </w:tc>
      </w:tr>
      <w:tr w14:paraId="3EC9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627B2B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w:t>
            </w:r>
          </w:p>
        </w:tc>
        <w:tc>
          <w:tcPr>
            <w:tcW w:w="657" w:type="dxa"/>
            <w:vMerge w:val="continue"/>
            <w:vAlign w:val="center"/>
          </w:tcPr>
          <w:p w14:paraId="7C0052C6">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3374618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2.6项目结题结算</w:t>
            </w:r>
          </w:p>
        </w:tc>
        <w:tc>
          <w:tcPr>
            <w:tcW w:w="2045" w:type="dxa"/>
            <w:vAlign w:val="center"/>
          </w:tcPr>
          <w:p w14:paraId="12CE4B97">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项目结题结算</w:t>
            </w:r>
          </w:p>
        </w:tc>
        <w:tc>
          <w:tcPr>
            <w:tcW w:w="4855" w:type="dxa"/>
            <w:vAlign w:val="center"/>
          </w:tcPr>
          <w:p w14:paraId="0F36A7A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通过科研项目结题结算流程，对科研项目结题进行验收完结，且可以对项目的结余经费进行处理。</w:t>
            </w:r>
          </w:p>
        </w:tc>
      </w:tr>
      <w:tr w14:paraId="2DF9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5" w:type="dxa"/>
            <w:vAlign w:val="center"/>
          </w:tcPr>
          <w:p w14:paraId="646913F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2.7.1</w:t>
            </w:r>
          </w:p>
        </w:tc>
        <w:tc>
          <w:tcPr>
            <w:tcW w:w="657" w:type="dxa"/>
            <w:vMerge w:val="continue"/>
            <w:vAlign w:val="center"/>
          </w:tcPr>
          <w:p w14:paraId="2E306B36">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128DC71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2.7科研成果管理</w:t>
            </w:r>
          </w:p>
        </w:tc>
        <w:tc>
          <w:tcPr>
            <w:tcW w:w="2045" w:type="dxa"/>
            <w:vAlign w:val="center"/>
          </w:tcPr>
          <w:p w14:paraId="641B9A57">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科研专利管理</w:t>
            </w:r>
          </w:p>
        </w:tc>
        <w:tc>
          <w:tcPr>
            <w:tcW w:w="4855" w:type="dxa"/>
            <w:vAlign w:val="center"/>
          </w:tcPr>
          <w:p w14:paraId="11FCE56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结合现有的专利信息管理关联对应的科研项目。</w:t>
            </w:r>
          </w:p>
        </w:tc>
      </w:tr>
      <w:tr w14:paraId="4896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65" w:type="dxa"/>
            <w:vAlign w:val="center"/>
          </w:tcPr>
          <w:p w14:paraId="5991681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w:t>
            </w:r>
          </w:p>
        </w:tc>
        <w:tc>
          <w:tcPr>
            <w:tcW w:w="657" w:type="dxa"/>
            <w:vMerge w:val="continue"/>
            <w:vAlign w:val="center"/>
          </w:tcPr>
          <w:p w14:paraId="3A533204">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4B2A05E">
            <w:pPr>
              <w:spacing w:line="400" w:lineRule="exact"/>
              <w:rPr>
                <w:rFonts w:hint="eastAsia" w:ascii="宋体" w:hAnsi="宋体" w:cs="宋体"/>
                <w:color w:val="000000" w:themeColor="text1"/>
                <w14:textFill>
                  <w14:solidFill>
                    <w14:schemeClr w14:val="tx1"/>
                  </w14:solidFill>
                </w14:textFill>
              </w:rPr>
            </w:pPr>
          </w:p>
        </w:tc>
        <w:tc>
          <w:tcPr>
            <w:tcW w:w="2045" w:type="dxa"/>
            <w:vAlign w:val="center"/>
          </w:tcPr>
          <w:p w14:paraId="73BEF29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科研论文管理</w:t>
            </w:r>
          </w:p>
        </w:tc>
        <w:tc>
          <w:tcPr>
            <w:tcW w:w="4855" w:type="dxa"/>
            <w:vAlign w:val="center"/>
          </w:tcPr>
          <w:p w14:paraId="7F6E614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结合现有的论文信息管理关联对应的科研项目。</w:t>
            </w:r>
          </w:p>
        </w:tc>
      </w:tr>
      <w:tr w14:paraId="7F3C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5A1823D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w:t>
            </w:r>
          </w:p>
        </w:tc>
        <w:tc>
          <w:tcPr>
            <w:tcW w:w="657" w:type="dxa"/>
            <w:vMerge w:val="restart"/>
            <w:vAlign w:val="center"/>
          </w:tcPr>
          <w:p w14:paraId="6B25124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3、研究生管理</w:t>
            </w:r>
          </w:p>
        </w:tc>
        <w:tc>
          <w:tcPr>
            <w:tcW w:w="748" w:type="dxa"/>
            <w:vMerge w:val="restart"/>
            <w:vAlign w:val="center"/>
          </w:tcPr>
          <w:p w14:paraId="083A253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3.1研究生门户</w:t>
            </w:r>
          </w:p>
        </w:tc>
        <w:tc>
          <w:tcPr>
            <w:tcW w:w="2045" w:type="dxa"/>
            <w:vAlign w:val="center"/>
          </w:tcPr>
          <w:p w14:paraId="39B1EA6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快捷通道</w:t>
            </w:r>
          </w:p>
        </w:tc>
        <w:tc>
          <w:tcPr>
            <w:tcW w:w="4855" w:type="dxa"/>
            <w:vAlign w:val="center"/>
          </w:tcPr>
          <w:p w14:paraId="797B035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研究生补贴发放、北航学生派驻申请、离返甬申请。</w:t>
            </w:r>
          </w:p>
        </w:tc>
      </w:tr>
      <w:tr w14:paraId="79AB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5275AB2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w:t>
            </w:r>
          </w:p>
        </w:tc>
        <w:tc>
          <w:tcPr>
            <w:tcW w:w="657" w:type="dxa"/>
            <w:vMerge w:val="continue"/>
            <w:vAlign w:val="center"/>
          </w:tcPr>
          <w:p w14:paraId="0732E609">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46AFA0F7">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ABEF85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待办审批</w:t>
            </w:r>
          </w:p>
        </w:tc>
        <w:tc>
          <w:tcPr>
            <w:tcW w:w="4855" w:type="dxa"/>
            <w:vAlign w:val="center"/>
          </w:tcPr>
          <w:p w14:paraId="6B4964C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所有研究生相关流程等待办事项的汇总展现。</w:t>
            </w:r>
          </w:p>
        </w:tc>
      </w:tr>
      <w:tr w14:paraId="217D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427A5155">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w:t>
            </w:r>
          </w:p>
        </w:tc>
        <w:tc>
          <w:tcPr>
            <w:tcW w:w="657" w:type="dxa"/>
            <w:vMerge w:val="continue"/>
            <w:vAlign w:val="center"/>
          </w:tcPr>
          <w:p w14:paraId="698F0D0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FF2EB7B">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15409AC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研究生数据报表</w:t>
            </w:r>
          </w:p>
        </w:tc>
        <w:tc>
          <w:tcPr>
            <w:tcW w:w="4855" w:type="dxa"/>
            <w:vAlign w:val="center"/>
          </w:tcPr>
          <w:p w14:paraId="6A7EE75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研究生人员信息图形分析、学生党员分析</w:t>
            </w:r>
          </w:p>
        </w:tc>
      </w:tr>
      <w:tr w14:paraId="263E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E15EEB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w:t>
            </w:r>
          </w:p>
        </w:tc>
        <w:tc>
          <w:tcPr>
            <w:tcW w:w="657" w:type="dxa"/>
            <w:vMerge w:val="continue"/>
            <w:vAlign w:val="center"/>
          </w:tcPr>
          <w:p w14:paraId="5A74F85E">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5469060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3.2研究生考勤管理</w:t>
            </w:r>
          </w:p>
        </w:tc>
        <w:tc>
          <w:tcPr>
            <w:tcW w:w="2045" w:type="dxa"/>
            <w:vAlign w:val="center"/>
          </w:tcPr>
          <w:p w14:paraId="5C1989F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研究生考勤台账</w:t>
            </w:r>
          </w:p>
        </w:tc>
        <w:tc>
          <w:tcPr>
            <w:tcW w:w="4855" w:type="dxa"/>
            <w:vAlign w:val="center"/>
          </w:tcPr>
          <w:p w14:paraId="5ACDDA5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将钉钉考勤数据导入研究生考勤台账，系统根据规则来判断学生考勤是否有效，每月生成研究生考勤汇总台账数据。</w:t>
            </w:r>
          </w:p>
        </w:tc>
      </w:tr>
      <w:tr w14:paraId="36B8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614BFA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w:t>
            </w:r>
          </w:p>
        </w:tc>
        <w:tc>
          <w:tcPr>
            <w:tcW w:w="657" w:type="dxa"/>
            <w:vMerge w:val="continue"/>
            <w:vAlign w:val="center"/>
          </w:tcPr>
          <w:p w14:paraId="75095AA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2E7DBF1">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13ED583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研究生考勤补贴台账</w:t>
            </w:r>
          </w:p>
        </w:tc>
        <w:tc>
          <w:tcPr>
            <w:tcW w:w="4855" w:type="dxa"/>
            <w:vAlign w:val="center"/>
          </w:tcPr>
          <w:p w14:paraId="135ECBA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通过研究生类别发放补贴标准，每月生成研究生的补贴发放记录数据并关联研究生档案。</w:t>
            </w:r>
          </w:p>
        </w:tc>
      </w:tr>
      <w:tr w14:paraId="2EEE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30C76F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w:t>
            </w:r>
          </w:p>
        </w:tc>
        <w:tc>
          <w:tcPr>
            <w:tcW w:w="657" w:type="dxa"/>
            <w:vMerge w:val="continue"/>
            <w:vAlign w:val="center"/>
          </w:tcPr>
          <w:p w14:paraId="203C0379">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395DFF7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3.3研究生档案管理</w:t>
            </w:r>
          </w:p>
        </w:tc>
        <w:tc>
          <w:tcPr>
            <w:tcW w:w="2045" w:type="dxa"/>
            <w:vAlign w:val="center"/>
          </w:tcPr>
          <w:p w14:paraId="661E4F2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研究生档案库</w:t>
            </w:r>
          </w:p>
        </w:tc>
        <w:tc>
          <w:tcPr>
            <w:tcW w:w="4855" w:type="dxa"/>
            <w:vAlign w:val="center"/>
          </w:tcPr>
          <w:p w14:paraId="33CF334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研究生个人档案信息汇总台账，校外学生来院实习实践、北航学生派驻申请通过后，形成研究生信息台账。授权人员可编辑台账信息。</w:t>
            </w:r>
          </w:p>
        </w:tc>
      </w:tr>
      <w:tr w14:paraId="5BB0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118AE0C">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w:t>
            </w:r>
          </w:p>
        </w:tc>
        <w:tc>
          <w:tcPr>
            <w:tcW w:w="657" w:type="dxa"/>
            <w:vMerge w:val="continue"/>
            <w:vAlign w:val="center"/>
          </w:tcPr>
          <w:p w14:paraId="2AD9BE01">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E5AF651">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02A8717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研究生报表成果</w:t>
            </w:r>
          </w:p>
        </w:tc>
        <w:tc>
          <w:tcPr>
            <w:tcW w:w="4855" w:type="dxa"/>
            <w:vAlign w:val="center"/>
          </w:tcPr>
          <w:p w14:paraId="13165B1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根据研究生档案信息来生成学生培养成果报表；累计在院学生报表。</w:t>
            </w:r>
          </w:p>
        </w:tc>
      </w:tr>
      <w:tr w14:paraId="0D53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CD6540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w:t>
            </w:r>
          </w:p>
        </w:tc>
        <w:tc>
          <w:tcPr>
            <w:tcW w:w="657" w:type="dxa"/>
            <w:vMerge w:val="continue"/>
            <w:vAlign w:val="center"/>
          </w:tcPr>
          <w:p w14:paraId="65613E84">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5EA848D5">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3.4宿舍管理</w:t>
            </w:r>
          </w:p>
        </w:tc>
        <w:tc>
          <w:tcPr>
            <w:tcW w:w="2045" w:type="dxa"/>
            <w:vAlign w:val="center"/>
          </w:tcPr>
          <w:p w14:paraId="78FF0F6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宿舍台账</w:t>
            </w:r>
          </w:p>
        </w:tc>
        <w:tc>
          <w:tcPr>
            <w:tcW w:w="4855" w:type="dxa"/>
            <w:vAlign w:val="center"/>
          </w:tcPr>
          <w:p w14:paraId="6BFE140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研究院宿舍台账信息汇总，通过宿舍申请后，学生的宿舍信息关联学生档案。宿舍的使用情况用可视化图表展示。</w:t>
            </w:r>
          </w:p>
        </w:tc>
      </w:tr>
      <w:tr w14:paraId="0306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19839F8">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3.5.1</w:t>
            </w:r>
          </w:p>
        </w:tc>
        <w:tc>
          <w:tcPr>
            <w:tcW w:w="657" w:type="dxa"/>
            <w:vMerge w:val="continue"/>
            <w:vAlign w:val="center"/>
          </w:tcPr>
          <w:p w14:paraId="27F4D555">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76A8E97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3.5联合培养研究生</w:t>
            </w:r>
          </w:p>
        </w:tc>
        <w:tc>
          <w:tcPr>
            <w:tcW w:w="2045" w:type="dxa"/>
            <w:vAlign w:val="center"/>
          </w:tcPr>
          <w:p w14:paraId="4911F81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学生联合培养</w:t>
            </w:r>
          </w:p>
        </w:tc>
        <w:tc>
          <w:tcPr>
            <w:tcW w:w="4855" w:type="dxa"/>
            <w:vAlign w:val="center"/>
          </w:tcPr>
          <w:p w14:paraId="51674D1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联合培养非全日制硕士研究生从需求审批到进行立项，再对培养研究生整个过程进行采购、报销全过程管理。需要与现有的项目管理进行关联改造。</w:t>
            </w:r>
          </w:p>
        </w:tc>
      </w:tr>
      <w:tr w14:paraId="2FFE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391BBC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3.5.2</w:t>
            </w:r>
          </w:p>
        </w:tc>
        <w:tc>
          <w:tcPr>
            <w:tcW w:w="657" w:type="dxa"/>
            <w:vMerge w:val="continue"/>
            <w:vAlign w:val="center"/>
          </w:tcPr>
          <w:p w14:paraId="28DEC221">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4CA32E0">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C0E686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集成管理</w:t>
            </w:r>
          </w:p>
        </w:tc>
        <w:tc>
          <w:tcPr>
            <w:tcW w:w="4855" w:type="dxa"/>
            <w:vAlign w:val="center"/>
          </w:tcPr>
          <w:p w14:paraId="2FC83DF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研究生培养项中“属地指导老师”关联高层次人才模块（数据穿透），并关联研究生个人档案。</w:t>
            </w:r>
          </w:p>
        </w:tc>
      </w:tr>
      <w:tr w14:paraId="413B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31AC46B">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w:t>
            </w:r>
          </w:p>
        </w:tc>
        <w:tc>
          <w:tcPr>
            <w:tcW w:w="657" w:type="dxa"/>
            <w:vMerge w:val="continue"/>
            <w:vAlign w:val="center"/>
          </w:tcPr>
          <w:p w14:paraId="14EE2AF2">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0FF232E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3.5学生日常活动开展</w:t>
            </w:r>
          </w:p>
        </w:tc>
        <w:tc>
          <w:tcPr>
            <w:tcW w:w="2045" w:type="dxa"/>
            <w:vAlign w:val="center"/>
          </w:tcPr>
          <w:p w14:paraId="59966E4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学生日常活动开展</w:t>
            </w:r>
          </w:p>
        </w:tc>
        <w:tc>
          <w:tcPr>
            <w:tcW w:w="4855" w:type="dxa"/>
            <w:vAlign w:val="center"/>
          </w:tcPr>
          <w:p w14:paraId="7B1073E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学生经费号105001会将部分学生日常活动的经费分给各个中心/团队，提前在预算费控中增加各个中心/团队“学生日常活动”科目的经费，与项目管理做关联集成。</w:t>
            </w:r>
          </w:p>
        </w:tc>
      </w:tr>
      <w:tr w14:paraId="2877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803345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3.7</w:t>
            </w:r>
          </w:p>
        </w:tc>
        <w:tc>
          <w:tcPr>
            <w:tcW w:w="657" w:type="dxa"/>
            <w:vMerge w:val="continue"/>
            <w:vAlign w:val="center"/>
          </w:tcPr>
          <w:p w14:paraId="4DFAA998">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2448FF7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3.6系统集成</w:t>
            </w:r>
          </w:p>
        </w:tc>
        <w:tc>
          <w:tcPr>
            <w:tcW w:w="2045" w:type="dxa"/>
            <w:vAlign w:val="center"/>
          </w:tcPr>
          <w:p w14:paraId="1F7D4A8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系统集成</w:t>
            </w:r>
          </w:p>
        </w:tc>
        <w:tc>
          <w:tcPr>
            <w:tcW w:w="4855" w:type="dxa"/>
            <w:vAlign w:val="center"/>
          </w:tcPr>
          <w:p w14:paraId="249FFB4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集成研究院目前项目管理系统、本次建设的预算管理系统。</w:t>
            </w:r>
          </w:p>
        </w:tc>
      </w:tr>
      <w:tr w14:paraId="12B5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0B78417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w:t>
            </w:r>
          </w:p>
        </w:tc>
        <w:tc>
          <w:tcPr>
            <w:tcW w:w="657" w:type="dxa"/>
            <w:vMerge w:val="restart"/>
            <w:vAlign w:val="center"/>
          </w:tcPr>
          <w:p w14:paraId="1F74952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4、督查督办</w:t>
            </w:r>
          </w:p>
        </w:tc>
        <w:tc>
          <w:tcPr>
            <w:tcW w:w="748" w:type="dxa"/>
            <w:vMerge w:val="restart"/>
            <w:vAlign w:val="center"/>
          </w:tcPr>
          <w:p w14:paraId="5689C21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4.1督办立项</w:t>
            </w:r>
          </w:p>
        </w:tc>
        <w:tc>
          <w:tcPr>
            <w:tcW w:w="2045" w:type="dxa"/>
            <w:vAlign w:val="center"/>
          </w:tcPr>
          <w:p w14:paraId="7DE8DC6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年度重点工作</w:t>
            </w:r>
          </w:p>
        </w:tc>
        <w:tc>
          <w:tcPr>
            <w:tcW w:w="4855" w:type="dxa"/>
            <w:vAlign w:val="center"/>
          </w:tcPr>
          <w:p w14:paraId="695C3DA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年度重点工作的督办立项管理。</w:t>
            </w:r>
          </w:p>
        </w:tc>
      </w:tr>
      <w:tr w14:paraId="77E0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679B4B5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w:t>
            </w:r>
          </w:p>
        </w:tc>
        <w:tc>
          <w:tcPr>
            <w:tcW w:w="657" w:type="dxa"/>
            <w:vMerge w:val="continue"/>
            <w:vAlign w:val="center"/>
          </w:tcPr>
          <w:p w14:paraId="4BA5567D">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20F3E11D">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470FD7F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会议督办</w:t>
            </w:r>
          </w:p>
        </w:tc>
        <w:tc>
          <w:tcPr>
            <w:tcW w:w="4855" w:type="dxa"/>
            <w:vAlign w:val="center"/>
          </w:tcPr>
          <w:p w14:paraId="45DE2FE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院务会等会议决议、事项任务安排。</w:t>
            </w:r>
          </w:p>
        </w:tc>
      </w:tr>
      <w:tr w14:paraId="3B7D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39E293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4.1.3</w:t>
            </w:r>
          </w:p>
        </w:tc>
        <w:tc>
          <w:tcPr>
            <w:tcW w:w="657" w:type="dxa"/>
            <w:vMerge w:val="continue"/>
            <w:vAlign w:val="center"/>
          </w:tcPr>
          <w:p w14:paraId="159FE0F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1858625">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6A78184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4855" w:type="dxa"/>
            <w:vAlign w:val="center"/>
          </w:tcPr>
          <w:p w14:paraId="1C491A2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其他类别产生的督办事项。</w:t>
            </w:r>
          </w:p>
        </w:tc>
      </w:tr>
      <w:tr w14:paraId="002B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5AE6D99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4.1.4</w:t>
            </w:r>
          </w:p>
        </w:tc>
        <w:tc>
          <w:tcPr>
            <w:tcW w:w="657" w:type="dxa"/>
            <w:vMerge w:val="continue"/>
            <w:vAlign w:val="center"/>
          </w:tcPr>
          <w:p w14:paraId="6536623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72623164">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3C0DB4A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督办台账管理</w:t>
            </w:r>
          </w:p>
        </w:tc>
        <w:tc>
          <w:tcPr>
            <w:tcW w:w="4855" w:type="dxa"/>
            <w:vAlign w:val="center"/>
          </w:tcPr>
          <w:p w14:paraId="74D73C2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负责事项、参与事项、发起事项、督办查询。</w:t>
            </w:r>
          </w:p>
        </w:tc>
      </w:tr>
      <w:tr w14:paraId="59D3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65" w:type="dxa"/>
            <w:vAlign w:val="center"/>
          </w:tcPr>
          <w:p w14:paraId="2AD102D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w:t>
            </w:r>
          </w:p>
        </w:tc>
        <w:tc>
          <w:tcPr>
            <w:tcW w:w="657" w:type="dxa"/>
            <w:vMerge w:val="continue"/>
            <w:vAlign w:val="center"/>
          </w:tcPr>
          <w:p w14:paraId="2F669686">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0DA95F2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4.2督办台账</w:t>
            </w:r>
          </w:p>
        </w:tc>
        <w:tc>
          <w:tcPr>
            <w:tcW w:w="2045" w:type="dxa"/>
            <w:vAlign w:val="center"/>
          </w:tcPr>
          <w:p w14:paraId="35B5530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督办任务管理</w:t>
            </w:r>
          </w:p>
        </w:tc>
        <w:tc>
          <w:tcPr>
            <w:tcW w:w="4855" w:type="dxa"/>
            <w:vAlign w:val="center"/>
          </w:tcPr>
          <w:p w14:paraId="083E51C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任务分解、任务名称、状态、进度、责任人、计划开始时间、结束时间、任务到期提醒。</w:t>
            </w:r>
          </w:p>
        </w:tc>
      </w:tr>
      <w:tr w14:paraId="2DEF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199AA9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w:t>
            </w:r>
          </w:p>
        </w:tc>
        <w:tc>
          <w:tcPr>
            <w:tcW w:w="657" w:type="dxa"/>
            <w:vMerge w:val="continue"/>
            <w:vAlign w:val="center"/>
          </w:tcPr>
          <w:p w14:paraId="1F3292CA">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723615B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4.3督办反馈</w:t>
            </w:r>
          </w:p>
        </w:tc>
        <w:tc>
          <w:tcPr>
            <w:tcW w:w="2045" w:type="dxa"/>
            <w:vAlign w:val="center"/>
          </w:tcPr>
          <w:p w14:paraId="1FECE30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督办反馈</w:t>
            </w:r>
          </w:p>
        </w:tc>
        <w:tc>
          <w:tcPr>
            <w:tcW w:w="4855" w:type="dxa"/>
            <w:vAlign w:val="center"/>
          </w:tcPr>
          <w:p w14:paraId="5DCD743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任务进度的反馈、相关材料附件管理。</w:t>
            </w:r>
          </w:p>
        </w:tc>
      </w:tr>
      <w:tr w14:paraId="2720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5F3FD13">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4.4</w:t>
            </w:r>
          </w:p>
        </w:tc>
        <w:tc>
          <w:tcPr>
            <w:tcW w:w="657" w:type="dxa"/>
            <w:vMerge w:val="continue"/>
            <w:vAlign w:val="center"/>
          </w:tcPr>
          <w:p w14:paraId="5C40A781">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3766E56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4.4督办查询</w:t>
            </w:r>
          </w:p>
        </w:tc>
        <w:tc>
          <w:tcPr>
            <w:tcW w:w="2045" w:type="dxa"/>
            <w:vAlign w:val="center"/>
          </w:tcPr>
          <w:p w14:paraId="017B0BE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督办统计查询</w:t>
            </w:r>
          </w:p>
        </w:tc>
        <w:tc>
          <w:tcPr>
            <w:tcW w:w="4855" w:type="dxa"/>
            <w:vAlign w:val="center"/>
          </w:tcPr>
          <w:p w14:paraId="6883E62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按督办事项、督办项目等各类别进行统计。</w:t>
            </w:r>
          </w:p>
        </w:tc>
      </w:tr>
      <w:tr w14:paraId="7DF0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766BFAE">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4.5</w:t>
            </w:r>
          </w:p>
        </w:tc>
        <w:tc>
          <w:tcPr>
            <w:tcW w:w="657" w:type="dxa"/>
            <w:vMerge w:val="continue"/>
            <w:vAlign w:val="center"/>
          </w:tcPr>
          <w:p w14:paraId="7BD44243">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18FEEC31">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4.5集成管理</w:t>
            </w:r>
          </w:p>
        </w:tc>
        <w:tc>
          <w:tcPr>
            <w:tcW w:w="2045" w:type="dxa"/>
            <w:vAlign w:val="center"/>
          </w:tcPr>
          <w:p w14:paraId="06B7E45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集成对接</w:t>
            </w:r>
          </w:p>
        </w:tc>
        <w:tc>
          <w:tcPr>
            <w:tcW w:w="4855" w:type="dxa"/>
            <w:vAlign w:val="center"/>
          </w:tcPr>
          <w:p w14:paraId="57C00E4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集成当前数字化协同运营管理平台，集成钉钉流程处理。</w:t>
            </w:r>
          </w:p>
        </w:tc>
      </w:tr>
      <w:tr w14:paraId="053E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EA226AA">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w:t>
            </w:r>
          </w:p>
        </w:tc>
        <w:tc>
          <w:tcPr>
            <w:tcW w:w="657" w:type="dxa"/>
            <w:vMerge w:val="restart"/>
            <w:vAlign w:val="center"/>
          </w:tcPr>
          <w:p w14:paraId="4DB1FBD5">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5、供应商采购管理</w:t>
            </w:r>
          </w:p>
        </w:tc>
        <w:tc>
          <w:tcPr>
            <w:tcW w:w="748" w:type="dxa"/>
            <w:vAlign w:val="center"/>
          </w:tcPr>
          <w:p w14:paraId="4016FD6F">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5.1供应商门户</w:t>
            </w:r>
          </w:p>
        </w:tc>
        <w:tc>
          <w:tcPr>
            <w:tcW w:w="2045" w:type="dxa"/>
            <w:vAlign w:val="center"/>
          </w:tcPr>
          <w:p w14:paraId="4D056A1C">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供应商登录后门户</w:t>
            </w:r>
          </w:p>
        </w:tc>
        <w:tc>
          <w:tcPr>
            <w:tcW w:w="4855" w:type="dxa"/>
            <w:vAlign w:val="center"/>
          </w:tcPr>
          <w:p w14:paraId="63C48564">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支持供应商在门户中能处理所有待办事项</w:t>
            </w:r>
          </w:p>
        </w:tc>
      </w:tr>
      <w:tr w14:paraId="7558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19BB2CE">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w:t>
            </w:r>
          </w:p>
        </w:tc>
        <w:tc>
          <w:tcPr>
            <w:tcW w:w="657" w:type="dxa"/>
            <w:vMerge w:val="continue"/>
            <w:vAlign w:val="center"/>
          </w:tcPr>
          <w:p w14:paraId="0D275258">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388EB4B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5.2征信查询</w:t>
            </w:r>
          </w:p>
        </w:tc>
        <w:tc>
          <w:tcPr>
            <w:tcW w:w="2045" w:type="dxa"/>
            <w:vAlign w:val="center"/>
          </w:tcPr>
          <w:p w14:paraId="55B7938A">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企业基本信息查询</w:t>
            </w:r>
          </w:p>
        </w:tc>
        <w:tc>
          <w:tcPr>
            <w:tcW w:w="4855" w:type="dxa"/>
            <w:vAlign w:val="center"/>
          </w:tcPr>
          <w:p w14:paraId="7EA404C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对接启信宝，采购方录入供应商基本信息时，点击启信宝查询征信信息</w:t>
            </w:r>
          </w:p>
        </w:tc>
      </w:tr>
      <w:tr w14:paraId="537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4ECA61A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5.3.1</w:t>
            </w:r>
          </w:p>
        </w:tc>
        <w:tc>
          <w:tcPr>
            <w:tcW w:w="657" w:type="dxa"/>
            <w:vMerge w:val="continue"/>
            <w:vAlign w:val="center"/>
          </w:tcPr>
          <w:p w14:paraId="4510796A">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240EB120">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5.3供应商信息库</w:t>
            </w:r>
          </w:p>
        </w:tc>
        <w:tc>
          <w:tcPr>
            <w:tcW w:w="2045" w:type="dxa"/>
            <w:vAlign w:val="center"/>
          </w:tcPr>
          <w:p w14:paraId="62ADD564">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供应商注册</w:t>
            </w:r>
          </w:p>
        </w:tc>
        <w:tc>
          <w:tcPr>
            <w:tcW w:w="4855" w:type="dxa"/>
            <w:vAlign w:val="center"/>
          </w:tcPr>
          <w:p w14:paraId="41E0431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供应商信息注册</w:t>
            </w:r>
          </w:p>
        </w:tc>
      </w:tr>
      <w:tr w14:paraId="0997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56B6141">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5.3.2</w:t>
            </w:r>
          </w:p>
        </w:tc>
        <w:tc>
          <w:tcPr>
            <w:tcW w:w="657" w:type="dxa"/>
            <w:vMerge w:val="continue"/>
            <w:vAlign w:val="center"/>
          </w:tcPr>
          <w:p w14:paraId="537EB7AE">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3F596979">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643029EF">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基础信息批量导入及新增</w:t>
            </w:r>
          </w:p>
        </w:tc>
        <w:tc>
          <w:tcPr>
            <w:tcW w:w="4855" w:type="dxa"/>
            <w:vAlign w:val="center"/>
          </w:tcPr>
          <w:p w14:paraId="26C5B40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支持直接批量导入供应商进入供应商库或新增加入</w:t>
            </w:r>
          </w:p>
        </w:tc>
      </w:tr>
      <w:tr w14:paraId="432D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0F3F785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5.3.3</w:t>
            </w:r>
          </w:p>
        </w:tc>
        <w:tc>
          <w:tcPr>
            <w:tcW w:w="657" w:type="dxa"/>
            <w:vMerge w:val="continue"/>
            <w:vAlign w:val="center"/>
          </w:tcPr>
          <w:p w14:paraId="10F7CC44">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0D640474">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10B8F0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供应商分类定义</w:t>
            </w:r>
          </w:p>
        </w:tc>
        <w:tc>
          <w:tcPr>
            <w:tcW w:w="4855" w:type="dxa"/>
            <w:vAlign w:val="center"/>
          </w:tcPr>
          <w:p w14:paraId="437A3AC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支持用户自定义供应商分类信息</w:t>
            </w:r>
          </w:p>
        </w:tc>
      </w:tr>
      <w:tr w14:paraId="7678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319AEA4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5.3.4</w:t>
            </w:r>
          </w:p>
        </w:tc>
        <w:tc>
          <w:tcPr>
            <w:tcW w:w="657" w:type="dxa"/>
            <w:vMerge w:val="continue"/>
            <w:vAlign w:val="center"/>
          </w:tcPr>
          <w:p w14:paraId="1F1ACD4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vAlign w:val="center"/>
          </w:tcPr>
          <w:p w14:paraId="6241358A">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7AAFE3CB">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供应商评价</w:t>
            </w:r>
          </w:p>
        </w:tc>
        <w:tc>
          <w:tcPr>
            <w:tcW w:w="4855" w:type="dxa"/>
            <w:vAlign w:val="center"/>
          </w:tcPr>
          <w:p w14:paraId="48C2DBD4">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供应商评价</w:t>
            </w:r>
          </w:p>
        </w:tc>
      </w:tr>
      <w:tr w14:paraId="1032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E91D90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w:t>
            </w:r>
          </w:p>
        </w:tc>
        <w:tc>
          <w:tcPr>
            <w:tcW w:w="657" w:type="dxa"/>
            <w:vMerge w:val="continue"/>
          </w:tcPr>
          <w:p w14:paraId="3C40BF3C">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1AF52FD9">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5.4采购需求申请</w:t>
            </w:r>
          </w:p>
        </w:tc>
        <w:tc>
          <w:tcPr>
            <w:tcW w:w="2045" w:type="dxa"/>
            <w:vAlign w:val="center"/>
          </w:tcPr>
          <w:p w14:paraId="4B396382">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采购需求申请</w:t>
            </w:r>
          </w:p>
        </w:tc>
        <w:tc>
          <w:tcPr>
            <w:tcW w:w="4855" w:type="dxa"/>
            <w:vAlign w:val="center"/>
          </w:tcPr>
          <w:p w14:paraId="73AB5D99">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在线发起采购申请，展示归档后的采购申请列表</w:t>
            </w:r>
          </w:p>
        </w:tc>
      </w:tr>
      <w:tr w14:paraId="55EC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0879DA4">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5.5.1</w:t>
            </w:r>
          </w:p>
        </w:tc>
        <w:tc>
          <w:tcPr>
            <w:tcW w:w="657" w:type="dxa"/>
            <w:vMerge w:val="continue"/>
          </w:tcPr>
          <w:p w14:paraId="6DB74F61">
            <w:pPr>
              <w:spacing w:line="400" w:lineRule="exact"/>
              <w:rPr>
                <w:rFonts w:hint="eastAsia" w:ascii="宋体" w:hAnsi="宋体" w:cs="宋体"/>
                <w:color w:val="000000" w:themeColor="text1"/>
                <w14:textFill>
                  <w14:solidFill>
                    <w14:schemeClr w14:val="tx1"/>
                  </w14:solidFill>
                </w14:textFill>
              </w:rPr>
            </w:pPr>
          </w:p>
        </w:tc>
        <w:tc>
          <w:tcPr>
            <w:tcW w:w="748" w:type="dxa"/>
            <w:vMerge w:val="restart"/>
            <w:vAlign w:val="center"/>
          </w:tcPr>
          <w:p w14:paraId="2C6D1BED">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5.5询报价管理</w:t>
            </w:r>
          </w:p>
        </w:tc>
        <w:tc>
          <w:tcPr>
            <w:tcW w:w="2045" w:type="dxa"/>
            <w:vAlign w:val="center"/>
          </w:tcPr>
          <w:p w14:paraId="70D51076">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需求转询价</w:t>
            </w:r>
          </w:p>
        </w:tc>
        <w:tc>
          <w:tcPr>
            <w:tcW w:w="4855" w:type="dxa"/>
            <w:vAlign w:val="center"/>
          </w:tcPr>
          <w:p w14:paraId="38E5760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采购需求任务，转为询价单据，将需求中的物料相关信息直接带入询价单中</w:t>
            </w:r>
          </w:p>
        </w:tc>
      </w:tr>
      <w:tr w14:paraId="4107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A014EF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5.5.2</w:t>
            </w:r>
          </w:p>
        </w:tc>
        <w:tc>
          <w:tcPr>
            <w:tcW w:w="657" w:type="dxa"/>
            <w:vMerge w:val="continue"/>
          </w:tcPr>
          <w:p w14:paraId="1F3FB233">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69A41F39">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84EBF99">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询价发布</w:t>
            </w:r>
          </w:p>
        </w:tc>
        <w:tc>
          <w:tcPr>
            <w:tcW w:w="4855" w:type="dxa"/>
            <w:vAlign w:val="center"/>
          </w:tcPr>
          <w:p w14:paraId="60192E04">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询价发布支持发布至对应范围</w:t>
            </w:r>
          </w:p>
        </w:tc>
      </w:tr>
      <w:tr w14:paraId="1508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4DB0726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5.5.3</w:t>
            </w:r>
          </w:p>
        </w:tc>
        <w:tc>
          <w:tcPr>
            <w:tcW w:w="657" w:type="dxa"/>
            <w:vMerge w:val="continue"/>
          </w:tcPr>
          <w:p w14:paraId="05227972">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1699C696">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2464168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询价截止时间管理</w:t>
            </w:r>
          </w:p>
        </w:tc>
        <w:tc>
          <w:tcPr>
            <w:tcW w:w="4855" w:type="dxa"/>
            <w:vAlign w:val="center"/>
          </w:tcPr>
          <w:p w14:paraId="2EBFF43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设置询价截止时间，到点不允许报价</w:t>
            </w:r>
          </w:p>
        </w:tc>
      </w:tr>
      <w:tr w14:paraId="0C33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7EA0A8A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5.5.4</w:t>
            </w:r>
          </w:p>
        </w:tc>
        <w:tc>
          <w:tcPr>
            <w:tcW w:w="657" w:type="dxa"/>
            <w:vMerge w:val="continue"/>
          </w:tcPr>
          <w:p w14:paraId="7472823A">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67FAE593">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1F463802">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短信对接</w:t>
            </w:r>
          </w:p>
        </w:tc>
        <w:tc>
          <w:tcPr>
            <w:tcW w:w="4855" w:type="dxa"/>
            <w:vAlign w:val="center"/>
          </w:tcPr>
          <w:p w14:paraId="63DF650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highlight w:val="none"/>
                <w:shd w:val="clear"/>
                <w14:textFill>
                  <w14:solidFill>
                    <w14:schemeClr w14:val="tx1"/>
                  </w14:solidFill>
                </w14:textFill>
              </w:rPr>
              <w:t>支持对接短信平台，实现询价短信通知，包含7万条短信数量。</w:t>
            </w:r>
          </w:p>
        </w:tc>
      </w:tr>
      <w:tr w14:paraId="08F5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2023ED0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5.5.5</w:t>
            </w:r>
          </w:p>
        </w:tc>
        <w:tc>
          <w:tcPr>
            <w:tcW w:w="657" w:type="dxa"/>
            <w:vMerge w:val="continue"/>
          </w:tcPr>
          <w:p w14:paraId="1D48274B">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7418193F">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B8D7E25">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供应商报价IP跟踪</w:t>
            </w:r>
          </w:p>
        </w:tc>
        <w:tc>
          <w:tcPr>
            <w:tcW w:w="4855" w:type="dxa"/>
            <w:vAlign w:val="center"/>
          </w:tcPr>
          <w:p w14:paraId="5E2D3FC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供应商报价IP跟踪</w:t>
            </w:r>
          </w:p>
        </w:tc>
      </w:tr>
      <w:tr w14:paraId="06C7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14:paraId="5A55067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5.5.6</w:t>
            </w:r>
          </w:p>
        </w:tc>
        <w:tc>
          <w:tcPr>
            <w:tcW w:w="657" w:type="dxa"/>
            <w:vMerge w:val="continue"/>
          </w:tcPr>
          <w:p w14:paraId="0AE52B91">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14C51F96">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6959830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w:t>
            </w:r>
          </w:p>
        </w:tc>
        <w:tc>
          <w:tcPr>
            <w:tcW w:w="4855" w:type="dxa"/>
            <w:vAlign w:val="center"/>
          </w:tcPr>
          <w:p w14:paraId="2A046C9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支持供应商在线报价及线下报价导入</w:t>
            </w:r>
          </w:p>
        </w:tc>
      </w:tr>
      <w:tr w14:paraId="644E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C6DB15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5.5.7</w:t>
            </w:r>
          </w:p>
        </w:tc>
        <w:tc>
          <w:tcPr>
            <w:tcW w:w="657" w:type="dxa"/>
            <w:vMerge w:val="continue"/>
          </w:tcPr>
          <w:p w14:paraId="37381118">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7CF4A70C">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50B975B0">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资质查看</w:t>
            </w:r>
          </w:p>
        </w:tc>
        <w:tc>
          <w:tcPr>
            <w:tcW w:w="4855" w:type="dxa"/>
            <w:vAlign w:val="center"/>
          </w:tcPr>
          <w:p w14:paraId="75E4C45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点击预审查看按钮，进入资格预审页面，可查看提交资格预审的供应商列表，可下载供应商附件，并对供应商进行预审审批，包含退回、通过和不通过。退回后，预审截止时间前，供应商可修改预审文件再次提交审批流程</w:t>
            </w:r>
          </w:p>
        </w:tc>
      </w:tr>
      <w:tr w14:paraId="7679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24FE1047">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5.5.8</w:t>
            </w:r>
          </w:p>
        </w:tc>
        <w:tc>
          <w:tcPr>
            <w:tcW w:w="657" w:type="dxa"/>
            <w:vMerge w:val="continue"/>
          </w:tcPr>
          <w:p w14:paraId="41C3332F">
            <w:pPr>
              <w:spacing w:line="400" w:lineRule="exact"/>
              <w:rPr>
                <w:rFonts w:hint="eastAsia" w:ascii="宋体" w:hAnsi="宋体" w:cs="宋体"/>
                <w:color w:val="000000" w:themeColor="text1"/>
                <w14:textFill>
                  <w14:solidFill>
                    <w14:schemeClr w14:val="tx1"/>
                  </w14:solidFill>
                </w14:textFill>
              </w:rPr>
            </w:pPr>
          </w:p>
        </w:tc>
        <w:tc>
          <w:tcPr>
            <w:tcW w:w="748" w:type="dxa"/>
            <w:vMerge w:val="continue"/>
          </w:tcPr>
          <w:p w14:paraId="788F5F2C">
            <w:pPr>
              <w:spacing w:line="400" w:lineRule="exact"/>
              <w:jc w:val="center"/>
              <w:rPr>
                <w:rFonts w:hint="eastAsia" w:ascii="宋体" w:hAnsi="宋体" w:cs="宋体"/>
                <w:color w:val="000000" w:themeColor="text1"/>
                <w14:textFill>
                  <w14:solidFill>
                    <w14:schemeClr w14:val="tx1"/>
                  </w14:solidFill>
                </w14:textFill>
              </w:rPr>
            </w:pPr>
          </w:p>
        </w:tc>
        <w:tc>
          <w:tcPr>
            <w:tcW w:w="2045" w:type="dxa"/>
            <w:vAlign w:val="center"/>
          </w:tcPr>
          <w:p w14:paraId="2F4317AB">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询价结果确认</w:t>
            </w:r>
          </w:p>
        </w:tc>
        <w:tc>
          <w:tcPr>
            <w:tcW w:w="4855" w:type="dxa"/>
            <w:vAlign w:val="center"/>
          </w:tcPr>
          <w:p w14:paraId="3BEFB83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确认询价结果，支持同步OA系统相关审批流程</w:t>
            </w:r>
          </w:p>
        </w:tc>
      </w:tr>
      <w:tr w14:paraId="1772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D478A02">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5.6</w:t>
            </w:r>
          </w:p>
        </w:tc>
        <w:tc>
          <w:tcPr>
            <w:tcW w:w="657" w:type="dxa"/>
            <w:vMerge w:val="continue"/>
          </w:tcPr>
          <w:p w14:paraId="7C86469D">
            <w:pPr>
              <w:spacing w:line="400" w:lineRule="exact"/>
              <w:rPr>
                <w:rFonts w:hint="eastAsia" w:ascii="宋体" w:hAnsi="宋体" w:cs="宋体"/>
                <w:color w:val="000000" w:themeColor="text1"/>
                <w14:textFill>
                  <w14:solidFill>
                    <w14:schemeClr w14:val="tx1"/>
                  </w14:solidFill>
                </w14:textFill>
              </w:rPr>
            </w:pPr>
          </w:p>
        </w:tc>
        <w:tc>
          <w:tcPr>
            <w:tcW w:w="748" w:type="dxa"/>
            <w:vAlign w:val="center"/>
          </w:tcPr>
          <w:p w14:paraId="464FF7B6">
            <w:pPr>
              <w:spacing w:line="4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5.6采购结果通知</w:t>
            </w:r>
          </w:p>
        </w:tc>
        <w:tc>
          <w:tcPr>
            <w:tcW w:w="2045" w:type="dxa"/>
            <w:vAlign w:val="center"/>
          </w:tcPr>
          <w:p w14:paraId="04DED291">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采购结果通知</w:t>
            </w:r>
          </w:p>
        </w:tc>
        <w:tc>
          <w:tcPr>
            <w:tcW w:w="4855" w:type="dxa"/>
            <w:vAlign w:val="center"/>
          </w:tcPr>
          <w:p w14:paraId="7340C928">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点击采购通知/公告按钮，选择公告模板，系统根据招标表单信息，自动生成结果通知书</w:t>
            </w:r>
          </w:p>
        </w:tc>
      </w:tr>
    </w:tbl>
    <w:p w14:paraId="0C22D3C1">
      <w:pPr>
        <w:pStyle w:val="17"/>
        <w:kinsoku w:val="0"/>
        <w:overflowPunct w:val="0"/>
        <w:adjustRightInd w:val="0"/>
        <w:snapToGrid w:val="0"/>
        <w:spacing w:line="360" w:lineRule="auto"/>
        <w:ind w:firstLine="42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1.3服务期限：项目建设周期120天。中标人在签订合同后7个工作日内，组织项目组入驻用户现场进行需求分析并驻场开发，在合同签订后120天内完成需求分析、平台开发、系统测试、整体部署等所有工作，保证系统稳定上线运行并完成验收。</w:t>
      </w:r>
    </w:p>
    <w:p w14:paraId="2F224A43">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1.4质保期：项目验收合格之日起1年的质保期（质保期从最终验收通过之日算起）。</w:t>
      </w:r>
    </w:p>
    <w:p w14:paraId="5187BA31">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二、合同金额</w:t>
      </w:r>
    </w:p>
    <w:p w14:paraId="5EFEB913">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2.1本项目合同金额：   元</w:t>
      </w:r>
    </w:p>
    <w:p w14:paraId="6D0EEE7C">
      <w:pPr>
        <w:pStyle w:val="17"/>
        <w:kinsoku w:val="0"/>
        <w:overflowPunct w:val="0"/>
        <w:adjustRightInd w:val="0"/>
        <w:snapToGrid w:val="0"/>
        <w:spacing w:line="360" w:lineRule="auto"/>
        <w:ind w:firstLine="42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2.2合同金额为完成本项目服务所需要的所有费用，包括但不限于项目准备、需求调研、系统实施部署开发、现场实施、安装调试、测试运行、验收、质保期内系统维护、培训、税费、售后服务及质保期（质保期以供应商承诺为准）内维护费等费用。包含与现有数字化运营平台（项目管理、合同管理、人事管理、移动办公、流程管理、权限管理、数据等）所有集成，满足数字化运营管理平台整体主从帐号管理功能，具体集成功能以甲方实施过程中实际需求为准，所产生的一切费用（例如数字化协同运营平台开发商技术接口支持所产生的费用）由乙方承担</w:t>
      </w:r>
    </w:p>
    <w:p w14:paraId="70DFEA0E">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三、质保期</w:t>
      </w:r>
    </w:p>
    <w:p w14:paraId="59230136">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质保期后维护费用：质保期后，每年维护费用不超过系统金额的10%。</w:t>
      </w:r>
    </w:p>
    <w:p w14:paraId="2EF264A3">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四、资料及成果</w:t>
      </w:r>
    </w:p>
    <w:p w14:paraId="240B89E6">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4.1乙方提供的工作成果供甲方根据需要自行使用，法律法规另有规定的除外。</w:t>
      </w:r>
    </w:p>
    <w:p w14:paraId="69B5F75F">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4.2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04DFE7E8">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4.3甲方有权自行将本约定书工作成果的摘抄、引用或者披露于公开媒体，法律、法规规定以及相关当事方另有约定的除外。</w:t>
      </w:r>
    </w:p>
    <w:p w14:paraId="1CD07471">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五、产权、版权及保密约定</w:t>
      </w:r>
    </w:p>
    <w:p w14:paraId="040FDFA2">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5.1项目验收交付时，二次开发源代码归甲方所有，但仅限于本项目维护和升级使用，不能用于外部商业用途。软件著作权和所产生的专利成果归甲方所有。</w:t>
      </w:r>
    </w:p>
    <w:p w14:paraId="7002EF63">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5.2乙方应保证提供服务过程中不会侵犯任何第三方的知识产权，如发生侵权，则一切与此有关的损害、赔偿、诉讼费用和其他开支，均由乙方负责，与甲方无涉。本合同所涉的所有资料及成果文件知识产权属于甲方，乙方未经甲方书面许可，不得转让或运用于其它用途。</w:t>
      </w:r>
    </w:p>
    <w:p w14:paraId="3BA6A93E">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六、组成合同的文件</w:t>
      </w:r>
    </w:p>
    <w:p w14:paraId="03B7882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6.1本合同协议书；</w:t>
      </w:r>
    </w:p>
    <w:p w14:paraId="32EF8887">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6.2中标通知书；</w:t>
      </w:r>
    </w:p>
    <w:p w14:paraId="2A5571A5">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6.3投标文件及其附件；</w:t>
      </w:r>
    </w:p>
    <w:p w14:paraId="2AF58F2D">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6.4采购文件；</w:t>
      </w:r>
    </w:p>
    <w:p w14:paraId="298268B9">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6.5标准、规范及有关技术文件。</w:t>
      </w:r>
    </w:p>
    <w:p w14:paraId="0AF83D9A">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有关甲乙双方洽商、变更等书面协议或文件均视为本合同组成部分。</w:t>
      </w:r>
    </w:p>
    <w:p w14:paraId="705FFFD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七、履约保证金</w:t>
      </w:r>
    </w:p>
    <w:p w14:paraId="2DE75644">
      <w:pPr>
        <w:pStyle w:val="17"/>
        <w:kinsoku w:val="0"/>
        <w:overflowPunct w:val="0"/>
        <w:adjustRightInd w:val="0"/>
        <w:snapToGrid w:val="0"/>
        <w:spacing w:line="360" w:lineRule="auto"/>
        <w:ind w:left="420" w:leftChars="200" w:firstLine="42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在签订合同之前，乙方向甲方提供合同总价的</w:t>
      </w:r>
      <w:r>
        <w:rPr>
          <w:rFonts w:ascii="宋体" w:hAnsi="宋体" w:cs="宋体"/>
          <w:iCs/>
          <w:color w:val="000000" w:themeColor="text1"/>
          <w:sz w:val="21"/>
          <w:szCs w:val="21"/>
          <w14:textFill>
            <w14:solidFill>
              <w14:schemeClr w14:val="tx1"/>
            </w14:solidFill>
          </w14:textFill>
        </w:rPr>
        <w:t>1</w:t>
      </w:r>
      <w:r>
        <w:rPr>
          <w:rFonts w:hint="eastAsia" w:ascii="宋体" w:hAnsi="宋体" w:cs="宋体"/>
          <w:iCs/>
          <w:color w:val="000000" w:themeColor="text1"/>
          <w:sz w:val="21"/>
          <w:szCs w:val="21"/>
          <w14:textFill>
            <w14:solidFill>
              <w14:schemeClr w14:val="tx1"/>
            </w14:solidFill>
          </w14:textFill>
        </w:rPr>
        <w:t>%作为履约保证金。履约保证金在中标通知书发出后 30 天内缴纳；在配合甲方对系统进行最终验收合格后不计息退还给乙方。</w:t>
      </w:r>
    </w:p>
    <w:p w14:paraId="1EE54326">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八、转包或分包</w:t>
      </w:r>
    </w:p>
    <w:p w14:paraId="5C4DD77A">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8.1本合同范围的服务，应由乙方直接提供，不得转让他人；</w:t>
      </w:r>
    </w:p>
    <w:p w14:paraId="315058E2">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8.2除非得到甲方书面的同意，否则乙方不得分包给他人；</w:t>
      </w:r>
    </w:p>
    <w:p w14:paraId="726EAFB7">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8.3如有转让和未经甲方书面同意的分包行为，甲方有权终止合同。</w:t>
      </w:r>
    </w:p>
    <w:p w14:paraId="1B57E29D">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九、合同履行地点</w:t>
      </w:r>
    </w:p>
    <w:p w14:paraId="159D6081">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9.1履行地点：宁波市北仑区梅山街道康达路399号。</w:t>
      </w:r>
    </w:p>
    <w:p w14:paraId="518BE292">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十、双方权利和义务</w:t>
      </w:r>
    </w:p>
    <w:p w14:paraId="7E7FCD3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w:t>
      </w:r>
      <w:bookmarkStart w:id="198" w:name="bookmark105"/>
      <w:r>
        <w:rPr>
          <w:rFonts w:hint="eastAsia" w:ascii="宋体" w:hAnsi="宋体" w:cs="宋体"/>
          <w:iCs/>
          <w:color w:val="000000" w:themeColor="text1"/>
          <w:sz w:val="21"/>
          <w:szCs w:val="21"/>
          <w14:textFill>
            <w14:solidFill>
              <w14:schemeClr w14:val="tx1"/>
            </w14:solidFill>
          </w14:textFill>
        </w:rPr>
        <w:t>甲方的权利和义务</w:t>
      </w:r>
      <w:bookmarkEnd w:id="198"/>
    </w:p>
    <w:p w14:paraId="07F15A9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10.1.1督促协调各部门在现场访谈、资料收集等方面与乙方积极配合，并对所提供的文件及资料真实性、合法性、准确性和完整性承担责任。</w:t>
      </w:r>
    </w:p>
    <w:p w14:paraId="512D9DB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10.1.2在本合同实施过程中，甲方应按照本合同工作要求，为乙方工作顺利展开提供方便和支持。</w:t>
      </w:r>
    </w:p>
    <w:p w14:paraId="5E07375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10.1.3甲方按合同向乙方支付合同费用。</w:t>
      </w:r>
    </w:p>
    <w:p w14:paraId="55E1D1C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10.1.4对于乙方工作出现违反合同义务并未能及时改正的，甲方有权提出书面整改通知，乙方未在书面整改通知限期内整改的，甲方有权解除通知解除本合同。</w:t>
      </w:r>
    </w:p>
    <w:p w14:paraId="53389CD9">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10.1.5甲方有权要求乙方提供服务过程中专项书面报告及查看必要的过程底稿。</w:t>
      </w:r>
    </w:p>
    <w:p w14:paraId="3DE61277">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10.1.6甲方有权要求乙方更换不称职的、不能胜任工作的、严重失职的项目人员。</w:t>
      </w:r>
    </w:p>
    <w:p w14:paraId="3E5F2CB5">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10.1.7在项目过程中，若因乙方原因提出重大更改或延长服务期限，服务期限不做调整，若乙方因此逾期视为违约，按照合同约定承担违约责任。</w:t>
      </w:r>
    </w:p>
    <w:p w14:paraId="6442EE8C">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bookmarkStart w:id="199" w:name="bookmark106"/>
      <w:r>
        <w:rPr>
          <w:rFonts w:hint="eastAsia" w:ascii="宋体" w:hAnsi="宋体" w:cs="宋体"/>
          <w:iCs/>
          <w:color w:val="000000" w:themeColor="text1"/>
          <w:sz w:val="21"/>
          <w:szCs w:val="21"/>
          <w14:textFill>
            <w14:solidFill>
              <w14:schemeClr w14:val="tx1"/>
            </w14:solidFill>
          </w14:textFill>
        </w:rPr>
        <w:t>10.2乙方的权利和义务</w:t>
      </w:r>
      <w:bookmarkEnd w:id="199"/>
    </w:p>
    <w:p w14:paraId="76C6660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10.2.1在服务过程中，依照独立、客观、公正的原则进行并认真执行有关法律和法规，对所出具的工作成果负相应的法律责任。</w:t>
      </w:r>
    </w:p>
    <w:p w14:paraId="3445B77F">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10.2.2乙方在实施过程中，如提供的资料不明确时可向甲方提出书面报告。</w:t>
      </w:r>
    </w:p>
    <w:p w14:paraId="719D5495">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10.2.4乙方应当遵守职业道德，除非获得甲方在约定书中的授权或其它书面授权，或按照中国法律法规、政府、司法或监管机关的要求，乙方不会向第三方提供或与其讨论乙方在履行专业职责中所获取的甲方机密信息,对在工作过程中知悉的商业秘密应予保密，并且对甲方提供的内部资料和工作成果严守秘密。</w:t>
      </w:r>
    </w:p>
    <w:p w14:paraId="3BC2C2FA">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10.2.5乙方在甲方履行其责任与义务的前提下，将按双方约定时间出具书面工作成果。若甲方不能按照规定时间提供相关材料，乙方有权相应顺延交付工作成果的时间。</w:t>
      </w:r>
    </w:p>
    <w:p w14:paraId="39BECB8F">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10.2.6乙方依据甲方提供的相关资料及相关政策规定开展服务工作，并采纳甲方的合理意见。</w:t>
      </w:r>
    </w:p>
    <w:p w14:paraId="67940583">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10.2.7根据甲方不同的要求，乙方应按甲方要求的份数提供电子文件、纸质成果文件，乙方应及时做好服务工作，及时出具甲方要求的成果。</w:t>
      </w:r>
    </w:p>
    <w:p w14:paraId="34A46741">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10.2.8乙方不得受任何第三方的影响，确保工作的独立性。</w:t>
      </w:r>
    </w:p>
    <w:p w14:paraId="2219FB56">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10.2.9未经甲方书面同意，乙方不得将甲方提供的任何资料及编制成果的内容向第三方透露或转让。</w:t>
      </w:r>
    </w:p>
    <w:p w14:paraId="59CBDA19">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10.2.10乙方应根据甲方提出的专业技术人员和时间要求完成服务。</w:t>
      </w:r>
    </w:p>
    <w:p w14:paraId="7C7AD256">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10.2.11乙方应响应甲方的要求，参加相关协调会议，协调解决相关事宜。</w:t>
      </w:r>
    </w:p>
    <w:p w14:paraId="0EE4249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十一、付款方式</w:t>
      </w:r>
    </w:p>
    <w:p w14:paraId="615D0F6B">
      <w:pPr>
        <w:pStyle w:val="17"/>
        <w:kinsoku w:val="0"/>
        <w:overflowPunct w:val="0"/>
        <w:adjustRightInd w:val="0"/>
        <w:spacing w:line="360" w:lineRule="auto"/>
        <w:ind w:left="420" w:leftChars="200"/>
        <w:rPr>
          <w:rFonts w:hint="eastAsia" w:ascii="宋体" w:hAnsi="宋体" w:cs="宋体"/>
          <w:bCs/>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w:t>
      </w:r>
      <w:r>
        <w:rPr>
          <w:rFonts w:hint="eastAsia" w:ascii="宋体" w:hAnsi="宋体" w:cs="宋体"/>
          <w:bCs/>
          <w:iCs/>
          <w:color w:val="000000" w:themeColor="text1"/>
          <w:sz w:val="21"/>
          <w:szCs w:val="21"/>
          <w14:textFill>
            <w14:solidFill>
              <w14:schemeClr w14:val="tx1"/>
            </w14:solidFill>
          </w14:textFill>
        </w:rPr>
        <w:t>1</w:t>
      </w:r>
      <w:r>
        <w:rPr>
          <w:rFonts w:ascii="宋体" w:hAnsi="宋体" w:cs="宋体"/>
          <w:bCs/>
          <w:iCs/>
          <w:color w:val="000000" w:themeColor="text1"/>
          <w:sz w:val="21"/>
          <w:szCs w:val="21"/>
          <w14:textFill>
            <w14:solidFill>
              <w14:schemeClr w14:val="tx1"/>
            </w14:solidFill>
          </w14:textFill>
        </w:rPr>
        <w:t>.1</w:t>
      </w:r>
      <w:r>
        <w:rPr>
          <w:rFonts w:hint="eastAsia" w:ascii="宋体" w:hAnsi="宋体" w:cs="宋体"/>
          <w:bCs/>
          <w:iCs/>
          <w:color w:val="000000" w:themeColor="text1"/>
          <w:sz w:val="21"/>
          <w:szCs w:val="21"/>
          <w14:textFill>
            <w14:solidFill>
              <w14:schemeClr w14:val="tx1"/>
            </w14:solidFill>
          </w14:textFill>
        </w:rPr>
        <w:t>合同签订后，甲方在收到乙方提供的预付款保函（保函金额不得低于</w:t>
      </w:r>
      <w:r>
        <w:rPr>
          <w:rFonts w:ascii="宋体" w:hAnsi="宋体" w:cs="宋体"/>
          <w:bCs/>
          <w:iCs/>
          <w:color w:val="000000" w:themeColor="text1"/>
          <w:sz w:val="21"/>
          <w:szCs w:val="21"/>
          <w14:textFill>
            <w14:solidFill>
              <w14:schemeClr w14:val="tx1"/>
            </w14:solidFill>
          </w14:textFill>
        </w:rPr>
        <w:t>甲方</w:t>
      </w:r>
      <w:r>
        <w:rPr>
          <w:rFonts w:hint="eastAsia" w:ascii="宋体" w:hAnsi="宋体" w:cs="宋体"/>
          <w:bCs/>
          <w:iCs/>
          <w:color w:val="000000" w:themeColor="text1"/>
          <w:sz w:val="21"/>
          <w:szCs w:val="21"/>
          <w14:textFill>
            <w14:solidFill>
              <w14:schemeClr w14:val="tx1"/>
            </w14:solidFill>
          </w14:textFill>
        </w:rPr>
        <w:t>预付款金额，有效期须与交货期相一致）具备实施条件后7个工作日内支付</w:t>
      </w:r>
      <w:r>
        <w:rPr>
          <w:rFonts w:ascii="宋体" w:hAnsi="宋体" w:cs="宋体"/>
          <w:bCs/>
          <w:iCs/>
          <w:color w:val="000000" w:themeColor="text1"/>
          <w:sz w:val="21"/>
          <w:szCs w:val="21"/>
          <w14:textFill>
            <w14:solidFill>
              <w14:schemeClr w14:val="tx1"/>
            </w14:solidFill>
          </w14:textFill>
        </w:rPr>
        <w:t>乙方</w:t>
      </w:r>
      <w:r>
        <w:rPr>
          <w:rFonts w:hint="eastAsia" w:ascii="宋体" w:hAnsi="宋体" w:cs="宋体"/>
          <w:bCs/>
          <w:iCs/>
          <w:color w:val="000000" w:themeColor="text1"/>
          <w:sz w:val="21"/>
          <w:szCs w:val="21"/>
          <w14:textFill>
            <w14:solidFill>
              <w14:schemeClr w14:val="tx1"/>
            </w14:solidFill>
          </w14:textFill>
        </w:rPr>
        <w:t>合同总价的40%作为预付款；</w:t>
      </w:r>
    </w:p>
    <w:p w14:paraId="4A257627">
      <w:pPr>
        <w:pStyle w:val="17"/>
        <w:kinsoku w:val="0"/>
        <w:overflowPunct w:val="0"/>
        <w:adjustRightInd w:val="0"/>
        <w:spacing w:line="360" w:lineRule="auto"/>
        <w:ind w:left="420" w:leftChars="200"/>
        <w:rPr>
          <w:rFonts w:hint="eastAsia" w:ascii="宋体" w:hAnsi="宋体" w:cs="宋体"/>
          <w:bCs/>
          <w:iCs/>
          <w:color w:val="000000" w:themeColor="text1"/>
          <w:sz w:val="21"/>
          <w:szCs w:val="21"/>
          <w14:textFill>
            <w14:solidFill>
              <w14:schemeClr w14:val="tx1"/>
            </w14:solidFill>
          </w14:textFill>
        </w:rPr>
      </w:pPr>
      <w:r>
        <w:rPr>
          <w:rFonts w:ascii="宋体" w:hAnsi="宋体" w:cs="宋体"/>
          <w:bCs/>
          <w:iCs/>
          <w:color w:val="000000" w:themeColor="text1"/>
          <w:sz w:val="21"/>
          <w:szCs w:val="21"/>
          <w14:textFill>
            <w14:solidFill>
              <w14:schemeClr w14:val="tx1"/>
            </w14:solidFill>
          </w14:textFill>
        </w:rPr>
        <w:t>11.2</w:t>
      </w:r>
      <w:r>
        <w:rPr>
          <w:rFonts w:hint="eastAsia" w:ascii="宋体" w:hAnsi="宋体" w:cs="宋体"/>
          <w:bCs/>
          <w:iCs/>
          <w:color w:val="000000" w:themeColor="text1"/>
          <w:sz w:val="21"/>
          <w:szCs w:val="21"/>
          <w14:textFill>
            <w14:solidFill>
              <w14:schemeClr w14:val="tx1"/>
            </w14:solidFill>
          </w14:textFill>
        </w:rPr>
        <w:t>系统调试安装完毕经</w:t>
      </w:r>
      <w:r>
        <w:rPr>
          <w:rFonts w:ascii="宋体" w:hAnsi="宋体" w:cs="宋体"/>
          <w:bCs/>
          <w:iCs/>
          <w:color w:val="000000" w:themeColor="text1"/>
          <w:sz w:val="21"/>
          <w:szCs w:val="21"/>
          <w14:textFill>
            <w14:solidFill>
              <w14:schemeClr w14:val="tx1"/>
            </w14:solidFill>
          </w14:textFill>
        </w:rPr>
        <w:t>甲方</w:t>
      </w:r>
      <w:r>
        <w:rPr>
          <w:rFonts w:hint="eastAsia" w:ascii="宋体" w:hAnsi="宋体" w:cs="宋体"/>
          <w:bCs/>
          <w:iCs/>
          <w:color w:val="000000" w:themeColor="text1"/>
          <w:sz w:val="21"/>
          <w:szCs w:val="21"/>
          <w14:textFill>
            <w14:solidFill>
              <w14:schemeClr w14:val="tx1"/>
            </w14:solidFill>
          </w14:textFill>
        </w:rPr>
        <w:t>初步验收合格后，</w:t>
      </w:r>
      <w:r>
        <w:rPr>
          <w:rFonts w:ascii="宋体" w:hAnsi="宋体" w:cs="宋体"/>
          <w:bCs/>
          <w:iCs/>
          <w:color w:val="000000" w:themeColor="text1"/>
          <w:sz w:val="21"/>
          <w:szCs w:val="21"/>
          <w14:textFill>
            <w14:solidFill>
              <w14:schemeClr w14:val="tx1"/>
            </w14:solidFill>
          </w14:textFill>
        </w:rPr>
        <w:t>甲方</w:t>
      </w:r>
      <w:r>
        <w:rPr>
          <w:rFonts w:hint="eastAsia" w:ascii="宋体" w:hAnsi="宋体" w:cs="宋体"/>
          <w:bCs/>
          <w:iCs/>
          <w:color w:val="000000" w:themeColor="text1"/>
          <w:sz w:val="21"/>
          <w:szCs w:val="21"/>
          <w14:textFill>
            <w14:solidFill>
              <w14:schemeClr w14:val="tx1"/>
            </w14:solidFill>
          </w14:textFill>
        </w:rPr>
        <w:t>支付</w:t>
      </w:r>
      <w:r>
        <w:rPr>
          <w:rFonts w:ascii="宋体" w:hAnsi="宋体" w:cs="宋体"/>
          <w:bCs/>
          <w:iCs/>
          <w:color w:val="000000" w:themeColor="text1"/>
          <w:sz w:val="21"/>
          <w:szCs w:val="21"/>
          <w14:textFill>
            <w14:solidFill>
              <w14:schemeClr w14:val="tx1"/>
            </w14:solidFill>
          </w14:textFill>
        </w:rPr>
        <w:t>乙方</w:t>
      </w:r>
      <w:r>
        <w:rPr>
          <w:rFonts w:hint="eastAsia" w:ascii="宋体" w:hAnsi="宋体" w:cs="宋体"/>
          <w:bCs/>
          <w:iCs/>
          <w:color w:val="000000" w:themeColor="text1"/>
          <w:sz w:val="21"/>
          <w:szCs w:val="21"/>
          <w14:textFill>
            <w14:solidFill>
              <w14:schemeClr w14:val="tx1"/>
            </w14:solidFill>
          </w14:textFill>
        </w:rPr>
        <w:t>合同总价的50%。</w:t>
      </w:r>
    </w:p>
    <w:p w14:paraId="1A32A0CB">
      <w:pPr>
        <w:pStyle w:val="17"/>
        <w:kinsoku w:val="0"/>
        <w:overflowPunct w:val="0"/>
        <w:adjustRightInd w:val="0"/>
        <w:snapToGrid w:val="0"/>
        <w:spacing w:line="360" w:lineRule="auto"/>
        <w:ind w:left="420" w:leftChars="200"/>
        <w:rPr>
          <w:rFonts w:hint="eastAsia" w:ascii="宋体" w:hAnsi="宋体" w:cs="宋体"/>
          <w:bCs/>
          <w:iCs/>
          <w:color w:val="000000" w:themeColor="text1"/>
          <w:sz w:val="21"/>
          <w:szCs w:val="21"/>
          <w14:textFill>
            <w14:solidFill>
              <w14:schemeClr w14:val="tx1"/>
            </w14:solidFill>
          </w14:textFill>
        </w:rPr>
      </w:pPr>
      <w:r>
        <w:rPr>
          <w:rFonts w:hint="eastAsia" w:ascii="宋体" w:hAnsi="宋体" w:cs="宋体"/>
          <w:bCs/>
          <w:iCs/>
          <w:color w:val="000000" w:themeColor="text1"/>
          <w:sz w:val="21"/>
          <w:szCs w:val="21"/>
          <w14:textFill>
            <w14:solidFill>
              <w14:schemeClr w14:val="tx1"/>
            </w14:solidFill>
          </w14:textFill>
        </w:rPr>
        <w:t>11.3系统试运行满6个月并经</w:t>
      </w:r>
      <w:r>
        <w:rPr>
          <w:rFonts w:ascii="宋体" w:hAnsi="宋体" w:cs="宋体"/>
          <w:bCs/>
          <w:iCs/>
          <w:color w:val="000000" w:themeColor="text1"/>
          <w:sz w:val="21"/>
          <w:szCs w:val="21"/>
          <w14:textFill>
            <w14:solidFill>
              <w14:schemeClr w14:val="tx1"/>
            </w14:solidFill>
          </w14:textFill>
        </w:rPr>
        <w:t>甲方</w:t>
      </w:r>
      <w:r>
        <w:rPr>
          <w:rFonts w:hint="eastAsia" w:ascii="宋体" w:hAnsi="宋体" w:cs="宋体"/>
          <w:bCs/>
          <w:iCs/>
          <w:color w:val="000000" w:themeColor="text1"/>
          <w:sz w:val="21"/>
          <w:szCs w:val="21"/>
          <w14:textFill>
            <w14:solidFill>
              <w14:schemeClr w14:val="tx1"/>
            </w14:solidFill>
          </w14:textFill>
        </w:rPr>
        <w:t>最终验收后，</w:t>
      </w:r>
      <w:r>
        <w:rPr>
          <w:rFonts w:ascii="宋体" w:hAnsi="宋体" w:cs="宋体"/>
          <w:bCs/>
          <w:iCs/>
          <w:color w:val="000000" w:themeColor="text1"/>
          <w:sz w:val="21"/>
          <w:szCs w:val="21"/>
          <w14:textFill>
            <w14:solidFill>
              <w14:schemeClr w14:val="tx1"/>
            </w14:solidFill>
          </w14:textFill>
        </w:rPr>
        <w:t>甲方</w:t>
      </w:r>
      <w:r>
        <w:rPr>
          <w:rFonts w:hint="eastAsia" w:ascii="宋体" w:hAnsi="宋体" w:cs="宋体"/>
          <w:bCs/>
          <w:iCs/>
          <w:color w:val="000000" w:themeColor="text1"/>
          <w:sz w:val="21"/>
          <w:szCs w:val="21"/>
          <w14:textFill>
            <w14:solidFill>
              <w14:schemeClr w14:val="tx1"/>
            </w14:solidFill>
          </w14:textFill>
        </w:rPr>
        <w:t>收到</w:t>
      </w:r>
      <w:r>
        <w:rPr>
          <w:rFonts w:ascii="宋体" w:hAnsi="宋体" w:cs="宋体"/>
          <w:bCs/>
          <w:iCs/>
          <w:color w:val="000000" w:themeColor="text1"/>
          <w:sz w:val="21"/>
          <w:szCs w:val="21"/>
          <w14:textFill>
            <w14:solidFill>
              <w14:schemeClr w14:val="tx1"/>
            </w14:solidFill>
          </w14:textFill>
        </w:rPr>
        <w:t>乙方</w:t>
      </w:r>
      <w:r>
        <w:rPr>
          <w:rFonts w:hint="eastAsia" w:ascii="宋体" w:hAnsi="宋体" w:cs="宋体"/>
          <w:bCs/>
          <w:iCs/>
          <w:color w:val="000000" w:themeColor="text1"/>
          <w:sz w:val="21"/>
          <w:szCs w:val="21"/>
          <w14:textFill>
            <w14:solidFill>
              <w14:schemeClr w14:val="tx1"/>
            </w14:solidFill>
          </w14:textFill>
        </w:rPr>
        <w:t>提供的全额增值税专用发票及抵扣联后7个工作日内支付</w:t>
      </w:r>
      <w:r>
        <w:rPr>
          <w:rFonts w:ascii="宋体" w:hAnsi="宋体" w:cs="宋体"/>
          <w:bCs/>
          <w:iCs/>
          <w:color w:val="000000" w:themeColor="text1"/>
          <w:sz w:val="21"/>
          <w:szCs w:val="21"/>
          <w14:textFill>
            <w14:solidFill>
              <w14:schemeClr w14:val="tx1"/>
            </w14:solidFill>
          </w14:textFill>
        </w:rPr>
        <w:t>乙方</w:t>
      </w:r>
      <w:r>
        <w:rPr>
          <w:rFonts w:hint="eastAsia" w:ascii="宋体" w:hAnsi="宋体" w:cs="宋体"/>
          <w:bCs/>
          <w:iCs/>
          <w:color w:val="000000" w:themeColor="text1"/>
          <w:sz w:val="21"/>
          <w:szCs w:val="21"/>
          <w14:textFill>
            <w14:solidFill>
              <w14:schemeClr w14:val="tx1"/>
            </w14:solidFill>
          </w14:textFill>
        </w:rPr>
        <w:t>剩余合同总价的10%，同时无息返还履约保证金。</w:t>
      </w:r>
    </w:p>
    <w:p w14:paraId="234F516E">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十二、税费</w:t>
      </w:r>
    </w:p>
    <w:p w14:paraId="34F3BFF4">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12.1本合同执行中相关的一切税费均由乙方负担。</w:t>
      </w:r>
    </w:p>
    <w:p w14:paraId="0617C91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十三、服务质量保证</w:t>
      </w:r>
    </w:p>
    <w:p w14:paraId="598920FC">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13.1乙方应按采购文件规定的技术要求、服务质量标准向甲方提供服务。</w:t>
      </w:r>
    </w:p>
    <w:p w14:paraId="7CC349E5">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13.2服务期内因乙方服务本身的质量问题而导致甲方无法正常使用服务成果的，须由乙方承担相关费用，并负责处理赔偿和补救措施。</w:t>
      </w:r>
    </w:p>
    <w:p w14:paraId="6AF6DB09">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十四、违约责任</w:t>
      </w:r>
    </w:p>
    <w:p w14:paraId="1B3DEA6C">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14.1甲方无正当理由拒收接受服务的，甲方向乙方偿付合同款项百分之五作为违约金。</w:t>
      </w:r>
    </w:p>
    <w:p w14:paraId="3156F858">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14.2合同生效后，若乙方不按合同约定履行职责，甲方有权终止合同，并要求乙方赔偿因此对甲方造成的损失，包括甲方重新招标费用、延误服务期限、提起仲裁、律师费等直接或间接费用；甲方可扣除乙方应收取的费用作为赔偿或通过执行履约保函要求担保单位支付违约金。</w:t>
      </w:r>
    </w:p>
    <w:p w14:paraId="708209E7">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14.3合同签订生效后，乙方如要求终止或解除合同，向甲方支付违约金为合同总价的20%。造成甲方实际损失的，应承担赔偿责任。</w:t>
      </w:r>
    </w:p>
    <w:p w14:paraId="47C2DD2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14.4因乙方原因，未能在服务期限内完成的，处违约金5万元。</w:t>
      </w:r>
    </w:p>
    <w:p w14:paraId="19A9F85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14.5乙方未经甲方同意擅自将项目拆解分包或转包，每发现一次违约金标准为人民币5万元，同时甲方有权即时解除合同。</w:t>
      </w:r>
    </w:p>
    <w:p w14:paraId="28A98BD5">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14.6若甲方要求乙方更换不称职的项目人员，而乙方不予更换时，视为乙方违约，违约金标准为人民币2万元/人•次。同时，甲方保留解除合同的权利，由此导致的所有费用和所有责任由乙方承担。</w:t>
      </w:r>
    </w:p>
    <w:p w14:paraId="0B663CE1">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14.7乙方擅自更换项目经理（除死亡、重大疾病（按2007年《重大疾病保险的疾病定义使用规范》）），处违约金20万元/人/次，且甲方有权拒绝接受其擅自更换的项目经理，同时甲方保留解除合同的权利，由此导致的所有费用和所有责任由乙方承担。</w:t>
      </w:r>
    </w:p>
    <w:p w14:paraId="6C3A36B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十五、不可抗力事件处理</w:t>
      </w:r>
    </w:p>
    <w:p w14:paraId="1050EB9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15.1在合同有效期内，任何一方因不可抗力事件导致不能履行合同，则合同履行期可延长，其延长期与不可抗力影响期相同。</w:t>
      </w:r>
    </w:p>
    <w:p w14:paraId="0B699CE7">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15.2不可抗力事件发生后，应立即通知对方，并寄送有关权威机构出具的证明。</w:t>
      </w:r>
    </w:p>
    <w:p w14:paraId="6DB4F620">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15.3不可抗力事件延续120天以上，双方应通过友好协商，确定是否继续履行合同。</w:t>
      </w:r>
    </w:p>
    <w:p w14:paraId="525309E8">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十六、诉讼</w:t>
      </w:r>
    </w:p>
    <w:p w14:paraId="56AFF2DB">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16.1双方在执行合同中所发生的一切争议，应通过协商解决。如协商不成，可向甲方所在地法院起诉。</w:t>
      </w:r>
    </w:p>
    <w:p w14:paraId="370492C7">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十七、合同生效及其它</w:t>
      </w:r>
    </w:p>
    <w:p w14:paraId="457FA041">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17.1合同经双方法定代表人或授权委托代理人签字并加盖单位公章且乙方支付完毕履约保证金后生效。</w:t>
      </w:r>
    </w:p>
    <w:p w14:paraId="4C33ADC9">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17.2本合同未尽事宜，遵照《中华人民共和国民法典》有关条文执行。</w:t>
      </w:r>
    </w:p>
    <w:p w14:paraId="759EDF7E">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17.3本合同一式陆份，甲方执肆份，乙方执二份。自双方签订之日起生效，合同内容完成时自行终止。</w:t>
      </w:r>
    </w:p>
    <w:p w14:paraId="6AF0DF0E">
      <w:pPr>
        <w:pStyle w:val="17"/>
        <w:kinsoku w:val="0"/>
        <w:overflowPunct w:val="0"/>
        <w:adjustRightInd w:val="0"/>
        <w:snapToGrid w:val="0"/>
        <w:spacing w:line="360" w:lineRule="auto"/>
        <w:ind w:left="420" w:leftChars="200"/>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17.4 本合同双方的地址及联系方式等信息适用于双方各类通知、协议等文件以及就合同发生纠纷时相关文件和法律文书的送达。</w:t>
      </w:r>
    </w:p>
    <w:p w14:paraId="35AA06B6">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p>
    <w:tbl>
      <w:tblPr>
        <w:tblStyle w:val="42"/>
        <w:tblW w:w="0" w:type="auto"/>
        <w:jc w:val="center"/>
        <w:tblLayout w:type="fixed"/>
        <w:tblCellMar>
          <w:top w:w="0" w:type="dxa"/>
          <w:left w:w="108" w:type="dxa"/>
          <w:bottom w:w="0" w:type="dxa"/>
          <w:right w:w="108" w:type="dxa"/>
        </w:tblCellMar>
      </w:tblPr>
      <w:tblGrid>
        <w:gridCol w:w="4235"/>
        <w:gridCol w:w="4236"/>
      </w:tblGrid>
      <w:tr w14:paraId="4A03C88A">
        <w:tblPrEx>
          <w:tblCellMar>
            <w:top w:w="0" w:type="dxa"/>
            <w:left w:w="108" w:type="dxa"/>
            <w:bottom w:w="0" w:type="dxa"/>
            <w:right w:w="108" w:type="dxa"/>
          </w:tblCellMar>
        </w:tblPrEx>
        <w:trPr>
          <w:trHeight w:val="567" w:hRule="atLeast"/>
          <w:jc w:val="center"/>
        </w:trPr>
        <w:tc>
          <w:tcPr>
            <w:tcW w:w="4235" w:type="dxa"/>
            <w:vAlign w:val="center"/>
          </w:tcPr>
          <w:p w14:paraId="56D039E0">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甲 方（盖章）：</w:t>
            </w:r>
          </w:p>
        </w:tc>
        <w:tc>
          <w:tcPr>
            <w:tcW w:w="4236" w:type="dxa"/>
            <w:vAlign w:val="center"/>
          </w:tcPr>
          <w:p w14:paraId="0D492457">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乙 方（盖章）：</w:t>
            </w:r>
          </w:p>
        </w:tc>
      </w:tr>
      <w:tr w14:paraId="1BEC01E6">
        <w:tblPrEx>
          <w:tblCellMar>
            <w:top w:w="0" w:type="dxa"/>
            <w:left w:w="108" w:type="dxa"/>
            <w:bottom w:w="0" w:type="dxa"/>
            <w:right w:w="108" w:type="dxa"/>
          </w:tblCellMar>
        </w:tblPrEx>
        <w:trPr>
          <w:trHeight w:val="567" w:hRule="atLeast"/>
          <w:jc w:val="center"/>
        </w:trPr>
        <w:tc>
          <w:tcPr>
            <w:tcW w:w="4235" w:type="dxa"/>
            <w:vAlign w:val="center"/>
          </w:tcPr>
          <w:p w14:paraId="0E31330C">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地 址：</w:t>
            </w:r>
          </w:p>
        </w:tc>
        <w:tc>
          <w:tcPr>
            <w:tcW w:w="4236" w:type="dxa"/>
            <w:vAlign w:val="center"/>
          </w:tcPr>
          <w:p w14:paraId="10800FD4">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地 址：</w:t>
            </w:r>
          </w:p>
        </w:tc>
      </w:tr>
      <w:tr w14:paraId="0CBEF1B1">
        <w:tblPrEx>
          <w:tblCellMar>
            <w:top w:w="0" w:type="dxa"/>
            <w:left w:w="108" w:type="dxa"/>
            <w:bottom w:w="0" w:type="dxa"/>
            <w:right w:w="108" w:type="dxa"/>
          </w:tblCellMar>
        </w:tblPrEx>
        <w:trPr>
          <w:trHeight w:val="567" w:hRule="atLeast"/>
          <w:jc w:val="center"/>
        </w:trPr>
        <w:tc>
          <w:tcPr>
            <w:tcW w:w="4235" w:type="dxa"/>
            <w:vAlign w:val="center"/>
          </w:tcPr>
          <w:p w14:paraId="48118BC7">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法人代表或代表人（签字）：</w:t>
            </w:r>
          </w:p>
        </w:tc>
        <w:tc>
          <w:tcPr>
            <w:tcW w:w="4236" w:type="dxa"/>
            <w:vAlign w:val="center"/>
          </w:tcPr>
          <w:p w14:paraId="642C261C">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法人代表或代表人（签字）：</w:t>
            </w:r>
          </w:p>
        </w:tc>
      </w:tr>
      <w:tr w14:paraId="16E5D5BC">
        <w:tblPrEx>
          <w:tblCellMar>
            <w:top w:w="0" w:type="dxa"/>
            <w:left w:w="108" w:type="dxa"/>
            <w:bottom w:w="0" w:type="dxa"/>
            <w:right w:w="108" w:type="dxa"/>
          </w:tblCellMar>
        </w:tblPrEx>
        <w:trPr>
          <w:trHeight w:val="567" w:hRule="atLeast"/>
          <w:jc w:val="center"/>
        </w:trPr>
        <w:tc>
          <w:tcPr>
            <w:tcW w:w="4235" w:type="dxa"/>
            <w:vAlign w:val="center"/>
          </w:tcPr>
          <w:p w14:paraId="144ACDE6">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电 话：</w:t>
            </w:r>
          </w:p>
        </w:tc>
        <w:tc>
          <w:tcPr>
            <w:tcW w:w="4236" w:type="dxa"/>
            <w:vAlign w:val="center"/>
          </w:tcPr>
          <w:p w14:paraId="14C9A5AF">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电 话：</w:t>
            </w:r>
          </w:p>
        </w:tc>
      </w:tr>
      <w:tr w14:paraId="10C4F35A">
        <w:tblPrEx>
          <w:tblCellMar>
            <w:top w:w="0" w:type="dxa"/>
            <w:left w:w="108" w:type="dxa"/>
            <w:bottom w:w="0" w:type="dxa"/>
            <w:right w:w="108" w:type="dxa"/>
          </w:tblCellMar>
        </w:tblPrEx>
        <w:trPr>
          <w:trHeight w:val="567" w:hRule="atLeast"/>
          <w:jc w:val="center"/>
        </w:trPr>
        <w:tc>
          <w:tcPr>
            <w:tcW w:w="4235" w:type="dxa"/>
            <w:vAlign w:val="center"/>
          </w:tcPr>
          <w:p w14:paraId="0A4558C1">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开户银行：</w:t>
            </w:r>
          </w:p>
        </w:tc>
        <w:tc>
          <w:tcPr>
            <w:tcW w:w="4236" w:type="dxa"/>
            <w:vAlign w:val="center"/>
          </w:tcPr>
          <w:p w14:paraId="216A9438">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开户银行：</w:t>
            </w:r>
          </w:p>
        </w:tc>
      </w:tr>
      <w:tr w14:paraId="0771F673">
        <w:tblPrEx>
          <w:tblCellMar>
            <w:top w:w="0" w:type="dxa"/>
            <w:left w:w="108" w:type="dxa"/>
            <w:bottom w:w="0" w:type="dxa"/>
            <w:right w:w="108" w:type="dxa"/>
          </w:tblCellMar>
        </w:tblPrEx>
        <w:trPr>
          <w:trHeight w:val="567" w:hRule="atLeast"/>
          <w:jc w:val="center"/>
        </w:trPr>
        <w:tc>
          <w:tcPr>
            <w:tcW w:w="4235" w:type="dxa"/>
            <w:vAlign w:val="center"/>
          </w:tcPr>
          <w:p w14:paraId="6EB8705A">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账 号：</w:t>
            </w:r>
          </w:p>
        </w:tc>
        <w:tc>
          <w:tcPr>
            <w:tcW w:w="4236" w:type="dxa"/>
            <w:vAlign w:val="center"/>
          </w:tcPr>
          <w:p w14:paraId="34BB106D">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账 号：</w:t>
            </w:r>
          </w:p>
        </w:tc>
      </w:tr>
      <w:tr w14:paraId="48812075">
        <w:tblPrEx>
          <w:tblCellMar>
            <w:top w:w="0" w:type="dxa"/>
            <w:left w:w="108" w:type="dxa"/>
            <w:bottom w:w="0" w:type="dxa"/>
            <w:right w:w="108" w:type="dxa"/>
          </w:tblCellMar>
        </w:tblPrEx>
        <w:trPr>
          <w:trHeight w:val="567" w:hRule="atLeast"/>
          <w:jc w:val="center"/>
        </w:trPr>
        <w:tc>
          <w:tcPr>
            <w:tcW w:w="4235" w:type="dxa"/>
            <w:vAlign w:val="center"/>
          </w:tcPr>
          <w:p w14:paraId="3A084CE1">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邮政编码：</w:t>
            </w:r>
          </w:p>
        </w:tc>
        <w:tc>
          <w:tcPr>
            <w:tcW w:w="4236" w:type="dxa"/>
            <w:vAlign w:val="center"/>
          </w:tcPr>
          <w:p w14:paraId="6B7A28EE">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邮政编码：</w:t>
            </w:r>
          </w:p>
        </w:tc>
      </w:tr>
      <w:tr w14:paraId="48F5E7A6">
        <w:tblPrEx>
          <w:tblCellMar>
            <w:top w:w="0" w:type="dxa"/>
            <w:left w:w="108" w:type="dxa"/>
            <w:bottom w:w="0" w:type="dxa"/>
            <w:right w:w="108" w:type="dxa"/>
          </w:tblCellMar>
        </w:tblPrEx>
        <w:trPr>
          <w:trHeight w:val="567" w:hRule="atLeast"/>
          <w:jc w:val="center"/>
        </w:trPr>
        <w:tc>
          <w:tcPr>
            <w:tcW w:w="4235" w:type="dxa"/>
            <w:vAlign w:val="center"/>
          </w:tcPr>
          <w:p w14:paraId="1CC6F4DC">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日 期：     年   月   日</w:t>
            </w:r>
          </w:p>
        </w:tc>
        <w:tc>
          <w:tcPr>
            <w:tcW w:w="4236" w:type="dxa"/>
            <w:vAlign w:val="center"/>
          </w:tcPr>
          <w:p w14:paraId="17AC52EC">
            <w:pPr>
              <w:pStyle w:val="17"/>
              <w:kinsoku w:val="0"/>
              <w:overflowPunct w:val="0"/>
              <w:adjustRightInd w:val="0"/>
              <w:snapToGrid w:val="0"/>
              <w:spacing w:line="360" w:lineRule="auto"/>
              <w:rPr>
                <w:rFonts w:hint="eastAsia" w:ascii="宋体" w:hAnsi="宋体" w:cs="宋体"/>
                <w:iCs/>
                <w:color w:val="000000" w:themeColor="text1"/>
                <w:sz w:val="21"/>
                <w:szCs w:val="21"/>
                <w14:textFill>
                  <w14:solidFill>
                    <w14:schemeClr w14:val="tx1"/>
                  </w14:solidFill>
                </w14:textFill>
              </w:rPr>
            </w:pPr>
            <w:r>
              <w:rPr>
                <w:rFonts w:hint="eastAsia" w:ascii="宋体" w:hAnsi="宋体" w:cs="宋体"/>
                <w:iCs/>
                <w:color w:val="000000" w:themeColor="text1"/>
                <w:sz w:val="21"/>
                <w:szCs w:val="21"/>
                <w14:textFill>
                  <w14:solidFill>
                    <w14:schemeClr w14:val="tx1"/>
                  </w14:solidFill>
                </w14:textFill>
              </w:rPr>
              <w:t>日 期：     年   月   日</w:t>
            </w:r>
          </w:p>
        </w:tc>
      </w:tr>
    </w:tbl>
    <w:p w14:paraId="1CC4A2D3">
      <w:pPr>
        <w:pStyle w:val="19"/>
        <w:widowControl/>
        <w:spacing w:line="360" w:lineRule="auto"/>
        <w:ind w:firstLine="0"/>
        <w:jc w:val="left"/>
        <w:rPr>
          <w:color w:val="000000" w:themeColor="text1"/>
          <w14:textFill>
            <w14:solidFill>
              <w14:schemeClr w14:val="tx1"/>
            </w14:solidFill>
          </w14:textFill>
        </w:rPr>
      </w:pPr>
    </w:p>
    <w:p w14:paraId="1BC711F4">
      <w:pPr>
        <w:pStyle w:val="36"/>
        <w:numPr>
          <w:ilvl w:val="0"/>
          <w:numId w:val="0"/>
        </w:numPr>
        <w:ind w:left="420"/>
        <w:jc w:val="center"/>
        <w:rPr>
          <w:rFonts w:hint="eastAsia" w:ascii="宋体" w:hAnsi="宋体" w:cs="仿宋"/>
          <w:color w:val="000000" w:themeColor="text1"/>
          <w:sz w:val="21"/>
          <w:szCs w:val="21"/>
          <w14:textFill>
            <w14:solidFill>
              <w14:schemeClr w14:val="tx1"/>
            </w14:solidFill>
          </w14:textFill>
        </w:rPr>
        <w:sectPr>
          <w:pgSz w:w="11907" w:h="16840"/>
          <w:pgMar w:top="1361" w:right="1474" w:bottom="1242" w:left="1474" w:header="720" w:footer="720" w:gutter="0"/>
          <w:pgNumType w:fmt="numberInDash"/>
          <w:cols w:space="720" w:num="1"/>
          <w:docGrid w:linePitch="285" w:charSpace="0"/>
        </w:sectPr>
      </w:pPr>
    </w:p>
    <w:p w14:paraId="2F3AB551">
      <w:pPr>
        <w:pStyle w:val="36"/>
        <w:numPr>
          <w:ilvl w:val="0"/>
          <w:numId w:val="0"/>
        </w:numPr>
        <w:ind w:left="42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Hans"/>
          <w14:textFill>
            <w14:solidFill>
              <w14:schemeClr w14:val="tx1"/>
            </w14:solidFill>
          </w14:textFill>
        </w:rPr>
        <w:t>廉洁合作</w:t>
      </w:r>
      <w:r>
        <w:rPr>
          <w:rFonts w:hint="eastAsia" w:ascii="宋体" w:hAnsi="宋体" w:eastAsia="宋体" w:cs="宋体"/>
          <w:b/>
          <w:bCs/>
          <w:color w:val="000000" w:themeColor="text1"/>
          <w14:textFill>
            <w14:solidFill>
              <w14:schemeClr w14:val="tx1"/>
            </w14:solidFill>
          </w14:textFill>
        </w:rPr>
        <w:t>协议</w:t>
      </w:r>
    </w:p>
    <w:p w14:paraId="7A4AA709">
      <w:pPr>
        <w:spacing w:line="5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合同编号：</w:t>
      </w:r>
    </w:p>
    <w:p w14:paraId="1CF6F078">
      <w:pPr>
        <w:pStyle w:val="39"/>
        <w:snapToGrid w:val="0"/>
        <w:spacing w:before="0" w:beforeAutospacing="0" w:after="0" w:afterAutospacing="0" w:line="360" w:lineRule="auto"/>
        <w:rPr>
          <w:color w:val="000000" w:themeColor="text1"/>
          <w:sz w:val="21"/>
          <w:szCs w:val="21"/>
          <w14:textFill>
            <w14:solidFill>
              <w14:schemeClr w14:val="tx1"/>
            </w14:solidFill>
          </w14:textFill>
        </w:rPr>
      </w:pPr>
      <w:r>
        <w:rPr>
          <w:rStyle w:val="45"/>
          <w:color w:val="000000" w:themeColor="text1"/>
          <w:sz w:val="21"/>
          <w:szCs w:val="21"/>
          <w14:textFill>
            <w14:solidFill>
              <w14:schemeClr w14:val="tx1"/>
            </w14:solidFill>
          </w14:textFill>
        </w:rPr>
        <w:t>甲方：</w:t>
      </w:r>
    </w:p>
    <w:p w14:paraId="4873EA29">
      <w:pPr>
        <w:pStyle w:val="39"/>
        <w:snapToGrid w:val="0"/>
        <w:spacing w:before="0" w:beforeAutospacing="0" w:after="0" w:afterAutospacing="0" w:line="360"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统一社会信用代码：</w:t>
      </w:r>
    </w:p>
    <w:p w14:paraId="21EAF413">
      <w:pPr>
        <w:pStyle w:val="39"/>
        <w:snapToGrid w:val="0"/>
        <w:spacing w:before="0" w:beforeAutospacing="0" w:after="0" w:afterAutospacing="0" w:line="360" w:lineRule="auto"/>
        <w:rPr>
          <w:color w:val="000000" w:themeColor="text1"/>
          <w:sz w:val="21"/>
          <w:szCs w:val="21"/>
          <w14:textFill>
            <w14:solidFill>
              <w14:schemeClr w14:val="tx1"/>
            </w14:solidFill>
          </w14:textFill>
        </w:rPr>
      </w:pPr>
      <w:r>
        <w:rPr>
          <w:rStyle w:val="45"/>
          <w:color w:val="000000" w:themeColor="text1"/>
          <w:sz w:val="21"/>
          <w:szCs w:val="21"/>
          <w14:textFill>
            <w14:solidFill>
              <w14:schemeClr w14:val="tx1"/>
            </w14:solidFill>
          </w14:textFill>
        </w:rPr>
        <w:t>乙方：</w:t>
      </w:r>
    </w:p>
    <w:p w14:paraId="4DA233D3">
      <w:pPr>
        <w:pStyle w:val="39"/>
        <w:snapToGrid w:val="0"/>
        <w:spacing w:before="0" w:beforeAutospacing="0" w:after="0" w:afterAutospacing="0" w:line="360"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统一社会信用代码：</w:t>
      </w:r>
    </w:p>
    <w:p w14:paraId="62AB04F6">
      <w:pPr>
        <w:pStyle w:val="39"/>
        <w:snapToGrid w:val="0"/>
        <w:spacing w:before="0" w:beforeAutospacing="0" w:after="0" w:afterAutospacing="0" w:line="360"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鉴于甲乙双方有商业合作，乙方为甲方提供服务/货物/工程或有其他经济业务往来，</w:t>
      </w:r>
      <w:r>
        <w:rPr>
          <w:rFonts w:hint="eastAsia"/>
          <w:color w:val="000000" w:themeColor="text1"/>
          <w:sz w:val="21"/>
          <w:szCs w:val="21"/>
          <w14:textFill>
            <w14:solidFill>
              <w14:schemeClr w14:val="tx1"/>
            </w14:solidFill>
          </w14:textFill>
        </w:rPr>
        <w:t>为双方在合作中保持廉洁自律的工作作风，创造公平、共赢的合作氛围，</w:t>
      </w:r>
      <w:r>
        <w:rPr>
          <w:color w:val="000000" w:themeColor="text1"/>
          <w:sz w:val="21"/>
          <w:szCs w:val="21"/>
          <w14:textFill>
            <w14:solidFill>
              <w14:schemeClr w14:val="tx1"/>
            </w14:solidFill>
          </w14:textFill>
        </w:rPr>
        <w:t>依据相关法律法规，经甲乙双方友好协商，达成本协议。</w:t>
      </w:r>
    </w:p>
    <w:p w14:paraId="55EA2D01">
      <w:pPr>
        <w:pStyle w:val="4"/>
        <w:keepNext w:val="0"/>
        <w:keepLines w:val="0"/>
        <w:widowControl/>
        <w:numPr>
          <w:ilvl w:val="2"/>
          <w:numId w:val="0"/>
        </w:numPr>
        <w:snapToGrid w:val="0"/>
        <w:spacing w:before="0" w:after="0" w:line="360" w:lineRule="auto"/>
        <w:rPr>
          <w:rStyle w:val="45"/>
          <w:b/>
          <w:bCs/>
          <w:color w:val="000000" w:themeColor="text1"/>
          <w:sz w:val="21"/>
          <w:szCs w:val="21"/>
          <w14:textFill>
            <w14:solidFill>
              <w14:schemeClr w14:val="tx1"/>
            </w14:solidFill>
          </w14:textFill>
        </w:rPr>
      </w:pPr>
    </w:p>
    <w:p w14:paraId="13CD5ED3">
      <w:pPr>
        <w:pStyle w:val="4"/>
        <w:keepNext w:val="0"/>
        <w:keepLines w:val="0"/>
        <w:widowControl/>
        <w:numPr>
          <w:ilvl w:val="2"/>
          <w:numId w:val="0"/>
        </w:numPr>
        <w:snapToGrid w:val="0"/>
        <w:spacing w:before="0" w:after="0" w:line="360" w:lineRule="auto"/>
        <w:ind w:firstLine="420"/>
        <w:rPr>
          <w:color w:val="000000" w:themeColor="text1"/>
          <w:sz w:val="21"/>
          <w:szCs w:val="21"/>
          <w14:textFill>
            <w14:solidFill>
              <w14:schemeClr w14:val="tx1"/>
            </w14:solidFill>
          </w14:textFill>
        </w:rPr>
      </w:pPr>
      <w:bookmarkStart w:id="200" w:name="_Toc9495"/>
      <w:r>
        <w:rPr>
          <w:rStyle w:val="45"/>
          <w:rFonts w:hint="eastAsia"/>
          <w:b/>
          <w:bCs/>
          <w:color w:val="000000" w:themeColor="text1"/>
          <w:sz w:val="21"/>
          <w:szCs w:val="21"/>
          <w14:textFill>
            <w14:solidFill>
              <w14:schemeClr w14:val="tx1"/>
            </w14:solidFill>
          </w14:textFill>
        </w:rPr>
        <w:t>1.</w:t>
      </w:r>
      <w:r>
        <w:rPr>
          <w:rStyle w:val="45"/>
          <w:b/>
          <w:bCs/>
          <w:color w:val="000000" w:themeColor="text1"/>
          <w:sz w:val="21"/>
          <w:szCs w:val="21"/>
          <w14:textFill>
            <w14:solidFill>
              <w14:schemeClr w14:val="tx1"/>
            </w14:solidFill>
          </w14:textFill>
        </w:rPr>
        <w:t>诚信责任</w:t>
      </w:r>
      <w:bookmarkEnd w:id="200"/>
    </w:p>
    <w:p w14:paraId="48BB87DD">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01" w:name="_Toc16632"/>
      <w:r>
        <w:rPr>
          <w:color w:val="000000" w:themeColor="text1"/>
          <w:sz w:val="21"/>
          <w:szCs w:val="21"/>
          <w:lang w:eastAsia="zh-Hans"/>
          <w14:textFill>
            <w14:solidFill>
              <w14:schemeClr w14:val="tx1"/>
            </w14:solidFill>
          </w14:textFill>
        </w:rPr>
        <w:t>1.1</w:t>
      </w:r>
      <w:r>
        <w:rPr>
          <w:rFonts w:hint="eastAsia"/>
          <w:color w:val="000000" w:themeColor="text1"/>
          <w:sz w:val="21"/>
          <w:szCs w:val="21"/>
          <w:lang w:eastAsia="zh-Hans"/>
          <w14:textFill>
            <w14:solidFill>
              <w14:schemeClr w14:val="tx1"/>
            </w14:solidFill>
          </w14:textFill>
        </w:rPr>
        <w:t>甲方</w:t>
      </w:r>
      <w:r>
        <w:rPr>
          <w:rFonts w:hint="eastAsia"/>
          <w:color w:val="000000" w:themeColor="text1"/>
          <w:sz w:val="21"/>
          <w:szCs w:val="21"/>
          <w14:textFill>
            <w14:solidFill>
              <w14:schemeClr w14:val="tx1"/>
            </w14:solidFill>
          </w14:textFill>
        </w:rPr>
        <w:t>及其工作人员应遵守以下条款</w:t>
      </w:r>
      <w:bookmarkEnd w:id="201"/>
    </w:p>
    <w:p w14:paraId="5D580080">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02" w:name="_Toc13128"/>
      <w:r>
        <w:rPr>
          <w:rStyle w:val="45"/>
          <w:b w:val="0"/>
          <w:bCs w:val="0"/>
          <w:color w:val="000000" w:themeColor="text1"/>
          <w:sz w:val="21"/>
          <w:szCs w:val="21"/>
          <w:lang w:eastAsia="zh-Hans"/>
          <w14:textFill>
            <w14:solidFill>
              <w14:schemeClr w14:val="tx1"/>
            </w14:solidFill>
          </w14:textFill>
        </w:rPr>
        <w:t>1.1.1</w:t>
      </w:r>
      <w:r>
        <w:rPr>
          <w:rStyle w:val="45"/>
          <w:rFonts w:hint="eastAsia"/>
          <w:b w:val="0"/>
          <w:bCs w:val="0"/>
          <w:color w:val="000000" w:themeColor="text1"/>
          <w:sz w:val="21"/>
          <w:szCs w:val="21"/>
          <w:lang w:eastAsia="zh-Hans"/>
          <w14:textFill>
            <w14:solidFill>
              <w14:schemeClr w14:val="tx1"/>
            </w14:solidFill>
          </w14:textFill>
        </w:rPr>
        <w:t>甲方及其</w:t>
      </w:r>
      <w:r>
        <w:rPr>
          <w:rStyle w:val="45"/>
          <w:rFonts w:hint="eastAsia"/>
          <w:b w:val="0"/>
          <w:bCs w:val="0"/>
          <w:color w:val="000000" w:themeColor="text1"/>
          <w:sz w:val="21"/>
          <w:szCs w:val="21"/>
          <w14:textFill>
            <w14:solidFill>
              <w14:schemeClr w14:val="tx1"/>
            </w14:solidFill>
          </w14:textFill>
        </w:rPr>
        <w:t>工作人员</w:t>
      </w:r>
      <w:r>
        <w:rPr>
          <w:rStyle w:val="45"/>
          <w:rFonts w:hint="eastAsia"/>
          <w:b w:val="0"/>
          <w:bCs w:val="0"/>
          <w:color w:val="000000" w:themeColor="text1"/>
          <w:sz w:val="21"/>
          <w:szCs w:val="21"/>
          <w:lang w:eastAsia="zh-Hans"/>
          <w14:textFill>
            <w14:solidFill>
              <w14:schemeClr w14:val="tx1"/>
            </w14:solidFill>
          </w14:textFill>
        </w:rPr>
        <w:t>不得以任何形式向乙方及其工作人员索要或收受回扣等好处；</w:t>
      </w:r>
      <w:bookmarkEnd w:id="202"/>
    </w:p>
    <w:p w14:paraId="141818D4">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03" w:name="_Toc21808"/>
      <w:r>
        <w:rPr>
          <w:rStyle w:val="45"/>
          <w:b w:val="0"/>
          <w:bCs w:val="0"/>
          <w:color w:val="000000" w:themeColor="text1"/>
          <w:sz w:val="21"/>
          <w:szCs w:val="21"/>
          <w:lang w:eastAsia="zh-Hans"/>
          <w14:textFill>
            <w14:solidFill>
              <w14:schemeClr w14:val="tx1"/>
            </w14:solidFill>
          </w14:textFill>
        </w:rPr>
        <w:t>1.1.2</w:t>
      </w:r>
      <w:r>
        <w:rPr>
          <w:rStyle w:val="45"/>
          <w:rFonts w:hint="eastAsia"/>
          <w:b w:val="0"/>
          <w:bCs w:val="0"/>
          <w:color w:val="000000" w:themeColor="text1"/>
          <w:sz w:val="21"/>
          <w:szCs w:val="21"/>
          <w:lang w:eastAsia="zh-Hans"/>
          <w14:textFill>
            <w14:solidFill>
              <w14:schemeClr w14:val="tx1"/>
            </w14:solidFill>
          </w14:textFill>
        </w:rPr>
        <w:t>甲方工作人员应与乙方工作人员保持正常、合法的业务交往。不得参加可能对公正执行公务有影响的宴请、娱乐活动等；</w:t>
      </w:r>
      <w:bookmarkEnd w:id="203"/>
    </w:p>
    <w:p w14:paraId="7B7D26D3">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04" w:name="_Toc25824"/>
      <w:r>
        <w:rPr>
          <w:rStyle w:val="45"/>
          <w:b w:val="0"/>
          <w:bCs w:val="0"/>
          <w:color w:val="000000" w:themeColor="text1"/>
          <w:sz w:val="21"/>
          <w:szCs w:val="21"/>
          <w:lang w:eastAsia="zh-Hans"/>
          <w14:textFill>
            <w14:solidFill>
              <w14:schemeClr w14:val="tx1"/>
            </w14:solidFill>
          </w14:textFill>
        </w:rPr>
        <w:t>1.1.3</w:t>
      </w:r>
      <w:r>
        <w:rPr>
          <w:rStyle w:val="45"/>
          <w:rFonts w:hint="eastAsia"/>
          <w:b w:val="0"/>
          <w:bCs w:val="0"/>
          <w:color w:val="000000" w:themeColor="text1"/>
          <w:sz w:val="21"/>
          <w:szCs w:val="21"/>
          <w:lang w:eastAsia="zh-Hans"/>
          <w14:textFill>
            <w14:solidFill>
              <w14:schemeClr w14:val="tx1"/>
            </w14:solidFill>
          </w14:textFill>
        </w:rPr>
        <w:t>甲方工作人员不得要求或接受乙方及其工作人员提供的住房装修、安排婚丧嫁娶活动，为配偶、子女或其他亲属的工作安排以及出国出境旅游提供便利；</w:t>
      </w:r>
      <w:bookmarkEnd w:id="204"/>
    </w:p>
    <w:p w14:paraId="0B475422">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05" w:name="_Toc30146"/>
      <w:r>
        <w:rPr>
          <w:rStyle w:val="45"/>
          <w:b w:val="0"/>
          <w:bCs w:val="0"/>
          <w:color w:val="000000" w:themeColor="text1"/>
          <w:sz w:val="21"/>
          <w:szCs w:val="21"/>
          <w:lang w:eastAsia="zh-Hans"/>
          <w14:textFill>
            <w14:solidFill>
              <w14:schemeClr w14:val="tx1"/>
            </w14:solidFill>
          </w14:textFill>
        </w:rPr>
        <w:t>1.1.4</w:t>
      </w:r>
      <w:r>
        <w:rPr>
          <w:rStyle w:val="45"/>
          <w:rFonts w:hint="eastAsia"/>
          <w:b w:val="0"/>
          <w:bCs w:val="0"/>
          <w:color w:val="000000" w:themeColor="text1"/>
          <w:sz w:val="21"/>
          <w:szCs w:val="21"/>
          <w:lang w:eastAsia="zh-Hans"/>
          <w14:textFill>
            <w14:solidFill>
              <w14:schemeClr w14:val="tx1"/>
            </w14:solidFill>
          </w14:textFill>
        </w:rPr>
        <w:t>甲方工作人员不得将自己的亲友、子女安排至乙方或乙方相关单位工作。</w:t>
      </w:r>
      <w:bookmarkEnd w:id="205"/>
    </w:p>
    <w:p w14:paraId="4A7349FC">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06" w:name="_Toc25273"/>
      <w:r>
        <w:rPr>
          <w:rStyle w:val="45"/>
          <w:b w:val="0"/>
          <w:bCs w:val="0"/>
          <w:color w:val="000000" w:themeColor="text1"/>
          <w:sz w:val="21"/>
          <w:szCs w:val="21"/>
          <w:lang w:eastAsia="zh-Hans"/>
          <w14:textFill>
            <w14:solidFill>
              <w14:schemeClr w14:val="tx1"/>
            </w14:solidFill>
          </w14:textFill>
        </w:rPr>
        <w:t>1.1.</w:t>
      </w:r>
      <w:r>
        <w:rPr>
          <w:rStyle w:val="45"/>
          <w:rFonts w:hint="eastAsia"/>
          <w:b w:val="0"/>
          <w:bCs w:val="0"/>
          <w:color w:val="000000" w:themeColor="text1"/>
          <w:sz w:val="21"/>
          <w:szCs w:val="21"/>
          <w14:textFill>
            <w14:solidFill>
              <w14:schemeClr w14:val="tx1"/>
            </w14:solidFill>
          </w14:textFill>
        </w:rPr>
        <w:t>5甲方及其工作人员不得以任何理由向乙方推荐物资供应单位、工程承包或劳务服务等单位，不得要求乙方购买</w:t>
      </w:r>
      <w:r>
        <w:rPr>
          <w:rStyle w:val="45"/>
          <w:rFonts w:hint="eastAsia"/>
          <w:b w:val="0"/>
          <w:bCs w:val="0"/>
          <w:color w:val="000000" w:themeColor="text1"/>
          <w:sz w:val="21"/>
          <w:szCs w:val="21"/>
          <w:lang w:eastAsia="zh-Hans"/>
          <w14:textFill>
            <w14:solidFill>
              <w14:schemeClr w14:val="tx1"/>
            </w14:solidFill>
          </w14:textFill>
        </w:rPr>
        <w:t>合同</w:t>
      </w:r>
      <w:r>
        <w:rPr>
          <w:rStyle w:val="45"/>
          <w:rFonts w:hint="eastAsia"/>
          <w:b w:val="0"/>
          <w:bCs w:val="0"/>
          <w:color w:val="000000" w:themeColor="text1"/>
          <w:sz w:val="21"/>
          <w:szCs w:val="21"/>
          <w14:textFill>
            <w14:solidFill>
              <w14:schemeClr w14:val="tx1"/>
            </w14:solidFill>
          </w14:textFill>
        </w:rPr>
        <w:t>规定以外的材料、设备及其他服务。</w:t>
      </w:r>
      <w:bookmarkEnd w:id="206"/>
    </w:p>
    <w:p w14:paraId="43EA13C6">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07" w:name="_Toc24239"/>
      <w:r>
        <w:rPr>
          <w:rStyle w:val="45"/>
          <w:b w:val="0"/>
          <w:bCs w:val="0"/>
          <w:color w:val="000000" w:themeColor="text1"/>
          <w:sz w:val="21"/>
          <w:szCs w:val="21"/>
          <w:lang w:eastAsia="zh-Hans"/>
          <w14:textFill>
            <w14:solidFill>
              <w14:schemeClr w14:val="tx1"/>
            </w14:solidFill>
          </w14:textFill>
        </w:rPr>
        <w:t>1.2</w:t>
      </w:r>
      <w:r>
        <w:rPr>
          <w:rStyle w:val="45"/>
          <w:rFonts w:hint="eastAsia"/>
          <w:b w:val="0"/>
          <w:bCs w:val="0"/>
          <w:color w:val="000000" w:themeColor="text1"/>
          <w:sz w:val="21"/>
          <w:szCs w:val="21"/>
          <w:lang w:eastAsia="zh-Hans"/>
          <w14:textFill>
            <w14:solidFill>
              <w14:schemeClr w14:val="tx1"/>
            </w14:solidFill>
          </w14:textFill>
        </w:rPr>
        <w:t>乙方</w:t>
      </w:r>
      <w:r>
        <w:rPr>
          <w:rStyle w:val="45"/>
          <w:rFonts w:hint="eastAsia"/>
          <w:b w:val="0"/>
          <w:bCs w:val="0"/>
          <w:color w:val="000000" w:themeColor="text1"/>
          <w:sz w:val="21"/>
          <w:szCs w:val="21"/>
          <w14:textFill>
            <w14:solidFill>
              <w14:schemeClr w14:val="tx1"/>
            </w14:solidFill>
          </w14:textFill>
        </w:rPr>
        <w:t>及其工作人员应遵守以下条款</w:t>
      </w:r>
      <w:bookmarkEnd w:id="207"/>
    </w:p>
    <w:p w14:paraId="06057ADC">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08" w:name="_Toc32046"/>
      <w:r>
        <w:rPr>
          <w:rStyle w:val="45"/>
          <w:b w:val="0"/>
          <w:bCs w:val="0"/>
          <w:color w:val="000000" w:themeColor="text1"/>
          <w:sz w:val="21"/>
          <w:szCs w:val="21"/>
          <w:lang w:eastAsia="zh-Hans"/>
          <w14:textFill>
            <w14:solidFill>
              <w14:schemeClr w14:val="tx1"/>
            </w14:solidFill>
          </w14:textFill>
        </w:rPr>
        <w:t>1.2.1</w:t>
      </w:r>
      <w:r>
        <w:rPr>
          <w:rStyle w:val="45"/>
          <w:rFonts w:hint="eastAsia"/>
          <w:b w:val="0"/>
          <w:bCs w:val="0"/>
          <w:color w:val="000000" w:themeColor="text1"/>
          <w:sz w:val="21"/>
          <w:szCs w:val="21"/>
          <w14:textFill>
            <w14:solidFill>
              <w14:schemeClr w14:val="tx1"/>
            </w14:solidFill>
          </w14:textFill>
        </w:rPr>
        <w:t>乙方工作人员应与甲方工作人员保持正常、合法的业务交往，按照有关法律法规和程序开展业务工作，严格履行双方</w:t>
      </w:r>
      <w:r>
        <w:rPr>
          <w:rStyle w:val="45"/>
          <w:rFonts w:hint="eastAsia"/>
          <w:b w:val="0"/>
          <w:bCs w:val="0"/>
          <w:color w:val="000000" w:themeColor="text1"/>
          <w:sz w:val="21"/>
          <w:szCs w:val="21"/>
          <w:lang w:eastAsia="zh-Hans"/>
          <w14:textFill>
            <w14:solidFill>
              <w14:schemeClr w14:val="tx1"/>
            </w14:solidFill>
          </w14:textFill>
        </w:rPr>
        <w:t>协议</w:t>
      </w:r>
      <w:r>
        <w:rPr>
          <w:rStyle w:val="45"/>
          <w:rFonts w:hint="eastAsia"/>
          <w:b w:val="0"/>
          <w:bCs w:val="0"/>
          <w:color w:val="000000" w:themeColor="text1"/>
          <w:sz w:val="21"/>
          <w:szCs w:val="21"/>
          <w14:textFill>
            <w14:solidFill>
              <w14:schemeClr w14:val="tx1"/>
            </w14:solidFill>
          </w14:textFill>
        </w:rPr>
        <w:t>约定</w:t>
      </w:r>
      <w:r>
        <w:rPr>
          <w:rStyle w:val="45"/>
          <w:rFonts w:hint="eastAsia"/>
          <w:b w:val="0"/>
          <w:bCs w:val="0"/>
          <w:color w:val="000000" w:themeColor="text1"/>
          <w:sz w:val="21"/>
          <w:szCs w:val="21"/>
          <w:lang w:eastAsia="zh-Hans"/>
          <w14:textFill>
            <w14:solidFill>
              <w14:schemeClr w14:val="tx1"/>
            </w14:solidFill>
          </w14:textFill>
        </w:rPr>
        <w:t>；</w:t>
      </w:r>
      <w:bookmarkEnd w:id="208"/>
    </w:p>
    <w:p w14:paraId="1B46FAED">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09" w:name="_Toc6586"/>
      <w:r>
        <w:rPr>
          <w:rStyle w:val="45"/>
          <w:b w:val="0"/>
          <w:bCs w:val="0"/>
          <w:color w:val="000000" w:themeColor="text1"/>
          <w:sz w:val="21"/>
          <w:szCs w:val="21"/>
          <w14:textFill>
            <w14:solidFill>
              <w14:schemeClr w14:val="tx1"/>
            </w14:solidFill>
          </w14:textFill>
        </w:rPr>
        <w:t>1.2.2</w:t>
      </w:r>
      <w:r>
        <w:rPr>
          <w:rStyle w:val="45"/>
          <w:rFonts w:hint="eastAsia"/>
          <w:b w:val="0"/>
          <w:bCs w:val="0"/>
          <w:color w:val="000000" w:themeColor="text1"/>
          <w:sz w:val="21"/>
          <w:szCs w:val="21"/>
          <w:lang w:eastAsia="zh-Hans"/>
          <w14:textFill>
            <w14:solidFill>
              <w14:schemeClr w14:val="tx1"/>
            </w14:solidFill>
          </w14:textFill>
        </w:rPr>
        <w:t>乙方工作人员</w:t>
      </w:r>
      <w:r>
        <w:rPr>
          <w:rStyle w:val="45"/>
          <w:rFonts w:hint="eastAsia"/>
          <w:b w:val="0"/>
          <w:bCs w:val="0"/>
          <w:color w:val="000000" w:themeColor="text1"/>
          <w:sz w:val="21"/>
          <w:szCs w:val="21"/>
          <w14:textFill>
            <w14:solidFill>
              <w14:schemeClr w14:val="tx1"/>
            </w14:solidFill>
          </w14:textFill>
        </w:rPr>
        <w:t>不得以任何理由向甲方工作人员赠送现金、礼金、购物卡、有价证券、贵重物品、回扣、好处费、感谢费、干股等；</w:t>
      </w:r>
      <w:bookmarkEnd w:id="209"/>
    </w:p>
    <w:p w14:paraId="0D1527FF">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0" w:name="_Toc3689"/>
      <w:r>
        <w:rPr>
          <w:rStyle w:val="45"/>
          <w:b w:val="0"/>
          <w:bCs w:val="0"/>
          <w:color w:val="000000" w:themeColor="text1"/>
          <w:sz w:val="21"/>
          <w:szCs w:val="21"/>
          <w14:textFill>
            <w14:solidFill>
              <w14:schemeClr w14:val="tx1"/>
            </w14:solidFill>
          </w14:textFill>
        </w:rPr>
        <w:t>1.2.</w:t>
      </w:r>
      <w:r>
        <w:rPr>
          <w:rStyle w:val="45"/>
          <w:rFonts w:hint="eastAsia"/>
          <w:b w:val="0"/>
          <w:bCs w:val="0"/>
          <w:color w:val="000000" w:themeColor="text1"/>
          <w:sz w:val="21"/>
          <w:szCs w:val="21"/>
          <w14:textFill>
            <w14:solidFill>
              <w14:schemeClr w14:val="tx1"/>
            </w14:solidFill>
          </w14:textFill>
        </w:rPr>
        <w:t>3</w:t>
      </w:r>
      <w:r>
        <w:rPr>
          <w:rStyle w:val="45"/>
          <w:rFonts w:hint="eastAsia"/>
          <w:b w:val="0"/>
          <w:bCs w:val="0"/>
          <w:color w:val="000000" w:themeColor="text1"/>
          <w:sz w:val="21"/>
          <w:szCs w:val="21"/>
          <w:lang w:eastAsia="zh-Hans"/>
          <w14:textFill>
            <w14:solidFill>
              <w14:schemeClr w14:val="tx1"/>
            </w14:solidFill>
          </w14:textFill>
        </w:rPr>
        <w:t>乙方工作人员</w:t>
      </w:r>
      <w:r>
        <w:rPr>
          <w:rStyle w:val="45"/>
          <w:rFonts w:hint="eastAsia"/>
          <w:b w:val="0"/>
          <w:bCs w:val="0"/>
          <w:color w:val="000000" w:themeColor="text1"/>
          <w:sz w:val="21"/>
          <w:szCs w:val="21"/>
          <w14:textFill>
            <w14:solidFill>
              <w14:schemeClr w14:val="tx1"/>
            </w14:solidFill>
          </w14:textFill>
        </w:rPr>
        <w:t>不得以任何理由为甲方工作人员报销应由甲方或个人支付的费用；</w:t>
      </w:r>
      <w:bookmarkEnd w:id="210"/>
    </w:p>
    <w:p w14:paraId="7FAC2990">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1" w:name="_Toc31252"/>
      <w:r>
        <w:rPr>
          <w:rStyle w:val="45"/>
          <w:b w:val="0"/>
          <w:bCs w:val="0"/>
          <w:color w:val="000000" w:themeColor="text1"/>
          <w:sz w:val="21"/>
          <w:szCs w:val="21"/>
          <w14:textFill>
            <w14:solidFill>
              <w14:schemeClr w14:val="tx1"/>
            </w14:solidFill>
          </w14:textFill>
        </w:rPr>
        <w:t>1.2.</w:t>
      </w:r>
      <w:r>
        <w:rPr>
          <w:rStyle w:val="45"/>
          <w:rFonts w:hint="eastAsia"/>
          <w:b w:val="0"/>
          <w:bCs w:val="0"/>
          <w:color w:val="000000" w:themeColor="text1"/>
          <w:sz w:val="21"/>
          <w:szCs w:val="21"/>
          <w14:textFill>
            <w14:solidFill>
              <w14:schemeClr w14:val="tx1"/>
            </w14:solidFill>
          </w14:textFill>
        </w:rPr>
        <w:t>4</w:t>
      </w:r>
      <w:r>
        <w:rPr>
          <w:rStyle w:val="45"/>
          <w:rFonts w:hint="eastAsia"/>
          <w:b w:val="0"/>
          <w:bCs w:val="0"/>
          <w:color w:val="000000" w:themeColor="text1"/>
          <w:sz w:val="21"/>
          <w:szCs w:val="21"/>
          <w:lang w:eastAsia="zh-Hans"/>
          <w14:textFill>
            <w14:solidFill>
              <w14:schemeClr w14:val="tx1"/>
            </w14:solidFill>
          </w14:textFill>
        </w:rPr>
        <w:t>乙方工作人员</w:t>
      </w:r>
      <w:r>
        <w:rPr>
          <w:rStyle w:val="45"/>
          <w:rFonts w:hint="eastAsia"/>
          <w:b w:val="0"/>
          <w:bCs w:val="0"/>
          <w:color w:val="000000" w:themeColor="text1"/>
          <w:sz w:val="21"/>
          <w:szCs w:val="21"/>
          <w14:textFill>
            <w14:solidFill>
              <w14:schemeClr w14:val="tx1"/>
            </w14:solidFill>
          </w14:textFill>
        </w:rPr>
        <w:t>不得为甲方工作人员合资合伙、借车（临时性除外）、借钱、租赁，为其装修住房、婚丧嫁娶、配偶子女的工作安排以及境内外旅游等支付费用；</w:t>
      </w:r>
      <w:bookmarkEnd w:id="211"/>
    </w:p>
    <w:p w14:paraId="0AC387E8">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2" w:name="_Toc8153"/>
      <w:r>
        <w:rPr>
          <w:rStyle w:val="45"/>
          <w:b w:val="0"/>
          <w:bCs w:val="0"/>
          <w:color w:val="000000" w:themeColor="text1"/>
          <w:sz w:val="21"/>
          <w:szCs w:val="21"/>
          <w14:textFill>
            <w14:solidFill>
              <w14:schemeClr w14:val="tx1"/>
            </w14:solidFill>
          </w14:textFill>
        </w:rPr>
        <w:t>1.2.</w:t>
      </w:r>
      <w:r>
        <w:rPr>
          <w:rStyle w:val="45"/>
          <w:rFonts w:hint="eastAsia"/>
          <w:b w:val="0"/>
          <w:bCs w:val="0"/>
          <w:color w:val="000000" w:themeColor="text1"/>
          <w:sz w:val="21"/>
          <w:szCs w:val="21"/>
          <w14:textFill>
            <w14:solidFill>
              <w14:schemeClr w14:val="tx1"/>
            </w14:solidFill>
          </w14:textFill>
        </w:rPr>
        <w:t>5不得以任何理由为甲方工作人员提供有可能影响公正执行业务的宴请等娱乐活动；</w:t>
      </w:r>
      <w:bookmarkEnd w:id="212"/>
    </w:p>
    <w:p w14:paraId="0A4175DF">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13" w:name="_Toc25193"/>
      <w:r>
        <w:rPr>
          <w:rStyle w:val="45"/>
          <w:b w:val="0"/>
          <w:bCs w:val="0"/>
          <w:color w:val="000000" w:themeColor="text1"/>
          <w:sz w:val="21"/>
          <w:szCs w:val="21"/>
          <w14:textFill>
            <w14:solidFill>
              <w14:schemeClr w14:val="tx1"/>
            </w14:solidFill>
          </w14:textFill>
        </w:rPr>
        <w:t>1.2.</w:t>
      </w:r>
      <w:r>
        <w:rPr>
          <w:rStyle w:val="45"/>
          <w:rFonts w:hint="eastAsia"/>
          <w:b w:val="0"/>
          <w:bCs w:val="0"/>
          <w:color w:val="000000" w:themeColor="text1"/>
          <w:sz w:val="21"/>
          <w:szCs w:val="21"/>
          <w14:textFill>
            <w14:solidFill>
              <w14:schemeClr w14:val="tx1"/>
            </w14:solidFill>
          </w14:textFill>
        </w:rPr>
        <w:t>6乙方不得以任何借口和理由给予甲方工作人员任何其他形式的利益或好处</w:t>
      </w:r>
      <w:r>
        <w:rPr>
          <w:rStyle w:val="45"/>
          <w:rFonts w:hint="eastAsia"/>
          <w:b w:val="0"/>
          <w:bCs w:val="0"/>
          <w:color w:val="000000" w:themeColor="text1"/>
          <w:sz w:val="21"/>
          <w:szCs w:val="21"/>
          <w:lang w:eastAsia="zh-Hans"/>
          <w14:textFill>
            <w14:solidFill>
              <w14:schemeClr w14:val="tx1"/>
            </w14:solidFill>
          </w14:textFill>
        </w:rPr>
        <w:t>；</w:t>
      </w:r>
      <w:bookmarkEnd w:id="213"/>
    </w:p>
    <w:p w14:paraId="0C53B465">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4" w:name="_Toc29837"/>
      <w:r>
        <w:rPr>
          <w:rStyle w:val="45"/>
          <w:b w:val="0"/>
          <w:bCs w:val="0"/>
          <w:color w:val="000000" w:themeColor="text1"/>
          <w:sz w:val="21"/>
          <w:szCs w:val="21"/>
          <w14:textFill>
            <w14:solidFill>
              <w14:schemeClr w14:val="tx1"/>
            </w14:solidFill>
          </w14:textFill>
        </w:rPr>
        <w:t>1.2.</w:t>
      </w:r>
      <w:r>
        <w:rPr>
          <w:rStyle w:val="45"/>
          <w:rFonts w:hint="eastAsia"/>
          <w:b w:val="0"/>
          <w:bCs w:val="0"/>
          <w:color w:val="000000" w:themeColor="text1"/>
          <w:sz w:val="21"/>
          <w:szCs w:val="21"/>
          <w14:textFill>
            <w14:solidFill>
              <w14:schemeClr w14:val="tx1"/>
            </w14:solidFill>
          </w14:textFill>
        </w:rPr>
        <w:t>7</w:t>
      </w:r>
      <w:r>
        <w:rPr>
          <w:rStyle w:val="45"/>
          <w:rFonts w:hint="eastAsia"/>
          <w:b w:val="0"/>
          <w:bCs w:val="0"/>
          <w:color w:val="000000" w:themeColor="text1"/>
          <w:sz w:val="21"/>
          <w:szCs w:val="21"/>
          <w:lang w:eastAsia="zh-Hans"/>
          <w14:textFill>
            <w14:solidFill>
              <w14:schemeClr w14:val="tx1"/>
            </w14:solidFill>
          </w14:textFill>
        </w:rPr>
        <w:t>乙方不得安排甲方人员及其亲属在乙方或乙方相关单位工作。</w:t>
      </w:r>
      <w:bookmarkEnd w:id="214"/>
    </w:p>
    <w:p w14:paraId="023C4C01">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5" w:name="_Toc4182"/>
      <w:r>
        <w:rPr>
          <w:rStyle w:val="45"/>
          <w:b w:val="0"/>
          <w:bCs w:val="0"/>
          <w:color w:val="000000" w:themeColor="text1"/>
          <w:sz w:val="21"/>
          <w:szCs w:val="21"/>
          <w14:textFill>
            <w14:solidFill>
              <w14:schemeClr w14:val="tx1"/>
            </w14:solidFill>
          </w14:textFill>
        </w:rPr>
        <w:t>1.</w:t>
      </w:r>
      <w:r>
        <w:rPr>
          <w:rStyle w:val="45"/>
          <w:rFonts w:hint="eastAsia"/>
          <w:b w:val="0"/>
          <w:bCs w:val="0"/>
          <w:color w:val="000000" w:themeColor="text1"/>
          <w:sz w:val="21"/>
          <w:szCs w:val="21"/>
          <w14:textFill>
            <w14:solidFill>
              <w14:schemeClr w14:val="tx1"/>
            </w14:solidFill>
          </w14:textFill>
        </w:rPr>
        <w:t>3</w:t>
      </w:r>
      <w:r>
        <w:rPr>
          <w:rStyle w:val="45"/>
          <w:b w:val="0"/>
          <w:bCs w:val="0"/>
          <w:color w:val="000000" w:themeColor="text1"/>
          <w:sz w:val="21"/>
          <w:szCs w:val="21"/>
          <w14:textFill>
            <w14:solidFill>
              <w14:schemeClr w14:val="tx1"/>
            </w14:solidFill>
          </w14:textFill>
        </w:rPr>
        <w:t>.</w:t>
      </w:r>
      <w:r>
        <w:rPr>
          <w:rStyle w:val="45"/>
          <w:rFonts w:hint="eastAsia"/>
          <w:b w:val="0"/>
          <w:bCs w:val="0"/>
          <w:color w:val="000000" w:themeColor="text1"/>
          <w:sz w:val="21"/>
          <w:szCs w:val="21"/>
          <w14:textFill>
            <w14:solidFill>
              <w14:schemeClr w14:val="tx1"/>
            </w14:solidFill>
          </w14:textFill>
        </w:rPr>
        <w:t>本协议中的乙方工作人员是指：乙方（包括乙方参股、控股、实际控制或其他关系的关联单位）的员工或受乙方所托为乙方服务的人员。</w:t>
      </w:r>
      <w:bookmarkEnd w:id="215"/>
    </w:p>
    <w:p w14:paraId="5E3C7683">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6" w:name="_Toc26449"/>
      <w:r>
        <w:rPr>
          <w:rStyle w:val="45"/>
          <w:b w:val="0"/>
          <w:bCs w:val="0"/>
          <w:color w:val="000000" w:themeColor="text1"/>
          <w:sz w:val="21"/>
          <w:szCs w:val="21"/>
          <w14:textFill>
            <w14:solidFill>
              <w14:schemeClr w14:val="tx1"/>
            </w14:solidFill>
          </w14:textFill>
        </w:rPr>
        <w:t>1.4.</w:t>
      </w:r>
      <w:r>
        <w:rPr>
          <w:rStyle w:val="45"/>
          <w:rFonts w:hint="eastAsia"/>
          <w:b w:val="0"/>
          <w:bCs w:val="0"/>
          <w:color w:val="000000" w:themeColor="text1"/>
          <w:sz w:val="21"/>
          <w:szCs w:val="21"/>
          <w14:textFill>
            <w14:solidFill>
              <w14:schemeClr w14:val="tx1"/>
            </w14:solidFill>
          </w14:textFill>
        </w:rPr>
        <w:t>本协议中的甲方工作人员是指：甲方（包括分支机构、子公司等）的高管、员工及其他工作人员，以及这些人员的配偶、子女和亲友。</w:t>
      </w:r>
      <w:bookmarkEnd w:id="216"/>
    </w:p>
    <w:p w14:paraId="509B699D">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lang w:eastAsia="zh-Hans"/>
          <w14:textFill>
            <w14:solidFill>
              <w14:schemeClr w14:val="tx1"/>
            </w14:solidFill>
          </w14:textFill>
        </w:rPr>
      </w:pPr>
      <w:bookmarkStart w:id="217" w:name="_Toc16526"/>
      <w:r>
        <w:rPr>
          <w:rStyle w:val="45"/>
          <w:rFonts w:hint="eastAsia"/>
          <w:b w:val="0"/>
          <w:bCs w:val="0"/>
          <w:color w:val="000000" w:themeColor="text1"/>
          <w:sz w:val="21"/>
          <w:szCs w:val="21"/>
          <w14:textFill>
            <w14:solidFill>
              <w14:schemeClr w14:val="tx1"/>
            </w14:solidFill>
          </w14:textFill>
        </w:rPr>
        <w:t>1.5</w:t>
      </w:r>
      <w:r>
        <w:rPr>
          <w:rStyle w:val="45"/>
          <w:rFonts w:hint="eastAsia"/>
          <w:b w:val="0"/>
          <w:bCs w:val="0"/>
          <w:color w:val="000000" w:themeColor="text1"/>
          <w:sz w:val="21"/>
          <w:szCs w:val="21"/>
          <w:lang w:eastAsia="zh-Hans"/>
          <w14:textFill>
            <w14:solidFill>
              <w14:schemeClr w14:val="tx1"/>
            </w14:solidFill>
          </w14:textFill>
        </w:rPr>
        <w:t>如遇甲方人员索取或要求提供等行为的，乙方应及时向甲方纪检部门举报，乙方不举报而向甲方人员提供的，视为乙方主动提供。</w:t>
      </w:r>
      <w:bookmarkEnd w:id="217"/>
    </w:p>
    <w:p w14:paraId="752F9DB3">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8" w:name="_Toc17082"/>
      <w:r>
        <w:rPr>
          <w:rStyle w:val="45"/>
          <w:b w:val="0"/>
          <w:bCs w:val="0"/>
          <w:color w:val="000000" w:themeColor="text1"/>
          <w:sz w:val="21"/>
          <w:szCs w:val="21"/>
          <w:lang w:eastAsia="zh-Hans"/>
          <w14:textFill>
            <w14:solidFill>
              <w14:schemeClr w14:val="tx1"/>
            </w14:solidFill>
          </w14:textFill>
        </w:rPr>
        <w:t>1.6</w:t>
      </w:r>
      <w:r>
        <w:rPr>
          <w:rStyle w:val="45"/>
          <w:rFonts w:hint="eastAsia"/>
          <w:b w:val="0"/>
          <w:bCs w:val="0"/>
          <w:color w:val="000000" w:themeColor="text1"/>
          <w:sz w:val="21"/>
          <w:szCs w:val="21"/>
          <w:lang w:eastAsia="zh-Hans"/>
          <w14:textFill>
            <w14:solidFill>
              <w14:schemeClr w14:val="tx1"/>
            </w14:solidFill>
          </w14:textFill>
        </w:rPr>
        <w:t>甲方对涉嫌不廉洁的商业行为进行调查时，乙方有配合甲方如实提供证据、作证的义务。</w:t>
      </w:r>
      <w:bookmarkEnd w:id="218"/>
    </w:p>
    <w:p w14:paraId="3EC1CAEC">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19" w:name="_Toc22846"/>
      <w:r>
        <w:rPr>
          <w:rStyle w:val="45"/>
          <w:rFonts w:hint="eastAsia"/>
          <w:b w:val="0"/>
          <w:bCs w:val="0"/>
          <w:color w:val="000000" w:themeColor="text1"/>
          <w:sz w:val="21"/>
          <w:szCs w:val="21"/>
          <w14:textFill>
            <w14:solidFill>
              <w14:schemeClr w14:val="tx1"/>
            </w14:solidFill>
          </w14:textFill>
        </w:rPr>
        <w:t>2.违约责任</w:t>
      </w:r>
      <w:bookmarkEnd w:id="219"/>
    </w:p>
    <w:p w14:paraId="2B9292FB">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0" w:name="_Toc10885"/>
      <w:r>
        <w:rPr>
          <w:rStyle w:val="45"/>
          <w:rFonts w:hint="eastAsia"/>
          <w:b w:val="0"/>
          <w:bCs w:val="0"/>
          <w:color w:val="000000" w:themeColor="text1"/>
          <w:sz w:val="21"/>
          <w:szCs w:val="21"/>
          <w14:textFill>
            <w14:solidFill>
              <w14:schemeClr w14:val="tx1"/>
            </w14:solidFill>
          </w14:textFill>
        </w:rPr>
        <w:t>2.1甲方工作人员如有违反本协议的，一经查实，甲方将对责任人给予警告、处分、直至解除劳动</w:t>
      </w:r>
      <w:r>
        <w:rPr>
          <w:rStyle w:val="45"/>
          <w:rFonts w:hint="eastAsia"/>
          <w:b w:val="0"/>
          <w:bCs w:val="0"/>
          <w:color w:val="000000" w:themeColor="text1"/>
          <w:sz w:val="21"/>
          <w:szCs w:val="21"/>
          <w:lang w:eastAsia="zh-Hans"/>
          <w14:textFill>
            <w14:solidFill>
              <w14:schemeClr w14:val="tx1"/>
            </w14:solidFill>
          </w14:textFill>
        </w:rPr>
        <w:t>合同</w:t>
      </w:r>
      <w:r>
        <w:rPr>
          <w:rStyle w:val="45"/>
          <w:rFonts w:hint="eastAsia"/>
          <w:b w:val="0"/>
          <w:bCs w:val="0"/>
          <w:color w:val="000000" w:themeColor="text1"/>
          <w:sz w:val="21"/>
          <w:szCs w:val="21"/>
          <w14:textFill>
            <w14:solidFill>
              <w14:schemeClr w14:val="tx1"/>
            </w14:solidFill>
          </w14:textFill>
        </w:rPr>
        <w:t>。构成犯罪的，则送交司法机关追究其法律责任。</w:t>
      </w:r>
      <w:bookmarkEnd w:id="220"/>
    </w:p>
    <w:p w14:paraId="311D7975">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1" w:name="_Toc29805"/>
      <w:r>
        <w:rPr>
          <w:rStyle w:val="45"/>
          <w:rFonts w:hint="eastAsia"/>
          <w:b w:val="0"/>
          <w:bCs w:val="0"/>
          <w:color w:val="000000" w:themeColor="text1"/>
          <w:sz w:val="21"/>
          <w:szCs w:val="21"/>
          <w14:textFill>
            <w14:solidFill>
              <w14:schemeClr w14:val="tx1"/>
            </w14:solidFill>
          </w14:textFill>
        </w:rPr>
        <w:t>2.2乙方或乙方工作人员如违反本协议，甲方有权按照本协议约定追究乙方违约责任。构成犯罪的，则送交司法机关追究其法律责任。乙方工作人员违反本协议的，视为乙方行为。</w:t>
      </w:r>
      <w:bookmarkEnd w:id="221"/>
    </w:p>
    <w:p w14:paraId="52C941EA">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2" w:name="_Toc10480"/>
      <w:r>
        <w:rPr>
          <w:rStyle w:val="45"/>
          <w:rFonts w:hint="eastAsia"/>
          <w:b w:val="0"/>
          <w:bCs w:val="0"/>
          <w:color w:val="000000" w:themeColor="text1"/>
          <w:sz w:val="21"/>
          <w:szCs w:val="21"/>
          <w14:textFill>
            <w14:solidFill>
              <w14:schemeClr w14:val="tx1"/>
            </w14:solidFill>
          </w14:textFill>
        </w:rPr>
        <w:t>2.3乙方违反本协议的，</w:t>
      </w:r>
      <w:r>
        <w:rPr>
          <w:rStyle w:val="45"/>
          <w:rFonts w:hint="eastAsia"/>
          <w:b w:val="0"/>
          <w:bCs w:val="0"/>
          <w:color w:val="000000" w:themeColor="text1"/>
          <w:sz w:val="21"/>
          <w:szCs w:val="21"/>
          <w:lang w:eastAsia="zh-Hans"/>
          <w14:textFill>
            <w14:solidFill>
              <w14:schemeClr w14:val="tx1"/>
            </w14:solidFill>
          </w14:textFill>
        </w:rPr>
        <w:t>应向甲方退还利用不正当手段获取的利益。同时，</w:t>
      </w:r>
      <w:r>
        <w:rPr>
          <w:rStyle w:val="45"/>
          <w:rFonts w:hint="eastAsia"/>
          <w:b w:val="0"/>
          <w:bCs w:val="0"/>
          <w:color w:val="000000" w:themeColor="text1"/>
          <w:sz w:val="21"/>
          <w:szCs w:val="21"/>
          <w14:textFill>
            <w14:solidFill>
              <w14:schemeClr w14:val="tx1"/>
            </w14:solidFill>
          </w14:textFill>
        </w:rPr>
        <w:t>甲方有权依据协议金额的30%追究乙方违约责任，协议没有金额的按照最近12个月的全部业务额作为协议金额。</w:t>
      </w:r>
      <w:bookmarkEnd w:id="222"/>
    </w:p>
    <w:p w14:paraId="0DF281A2">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3" w:name="_Toc12899"/>
      <w:r>
        <w:rPr>
          <w:rStyle w:val="45"/>
          <w:rFonts w:hint="eastAsia"/>
          <w:b w:val="0"/>
          <w:bCs w:val="0"/>
          <w:color w:val="000000" w:themeColor="text1"/>
          <w:sz w:val="21"/>
          <w:szCs w:val="21"/>
          <w14:textFill>
            <w14:solidFill>
              <w14:schemeClr w14:val="tx1"/>
            </w14:solidFill>
          </w14:textFill>
        </w:rPr>
        <w:t>2.4乙方违反本协议的，甲方有权暂停支付往来款项，2.3</w:t>
      </w:r>
      <w:r>
        <w:rPr>
          <w:rStyle w:val="45"/>
          <w:rFonts w:hint="eastAsia"/>
          <w:b w:val="0"/>
          <w:bCs w:val="0"/>
          <w:color w:val="000000" w:themeColor="text1"/>
          <w:sz w:val="21"/>
          <w:szCs w:val="21"/>
          <w:lang w:eastAsia="zh-Hans"/>
          <w14:textFill>
            <w14:solidFill>
              <w14:schemeClr w14:val="tx1"/>
            </w14:solidFill>
          </w14:textFill>
        </w:rPr>
        <w:t>条中乙方应赔偿款项甲方</w:t>
      </w:r>
      <w:r>
        <w:rPr>
          <w:rStyle w:val="45"/>
          <w:rFonts w:hint="eastAsia"/>
          <w:b w:val="0"/>
          <w:bCs w:val="0"/>
          <w:color w:val="000000" w:themeColor="text1"/>
          <w:sz w:val="21"/>
          <w:szCs w:val="21"/>
          <w14:textFill>
            <w14:solidFill>
              <w14:schemeClr w14:val="tx1"/>
            </w14:solidFill>
          </w14:textFill>
        </w:rPr>
        <w:t>可以直接从货款或各类保证金中扣除，不足以补偿甲方损失的，乙方应予以</w:t>
      </w:r>
      <w:r>
        <w:rPr>
          <w:rStyle w:val="45"/>
          <w:rFonts w:hint="eastAsia"/>
          <w:b w:val="0"/>
          <w:bCs w:val="0"/>
          <w:color w:val="000000" w:themeColor="text1"/>
          <w:sz w:val="21"/>
          <w:szCs w:val="21"/>
          <w:lang w:eastAsia="zh-Hans"/>
          <w14:textFill>
            <w14:solidFill>
              <w14:schemeClr w14:val="tx1"/>
            </w14:solidFill>
          </w14:textFill>
        </w:rPr>
        <w:t>继续</w:t>
      </w:r>
      <w:r>
        <w:rPr>
          <w:rStyle w:val="45"/>
          <w:rFonts w:hint="eastAsia"/>
          <w:b w:val="0"/>
          <w:bCs w:val="0"/>
          <w:color w:val="000000" w:themeColor="text1"/>
          <w:sz w:val="21"/>
          <w:szCs w:val="21"/>
          <w14:textFill>
            <w14:solidFill>
              <w14:schemeClr w14:val="tx1"/>
            </w14:solidFill>
          </w14:textFill>
        </w:rPr>
        <w:t>赔偿。</w:t>
      </w:r>
      <w:bookmarkEnd w:id="223"/>
    </w:p>
    <w:p w14:paraId="2B63CC3D">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4" w:name="_Toc18435"/>
      <w:r>
        <w:rPr>
          <w:rStyle w:val="45"/>
          <w:rFonts w:hint="eastAsia"/>
          <w:b w:val="0"/>
          <w:bCs w:val="0"/>
          <w:color w:val="000000" w:themeColor="text1"/>
          <w:sz w:val="21"/>
          <w:szCs w:val="21"/>
          <w14:textFill>
            <w14:solidFill>
              <w14:schemeClr w14:val="tx1"/>
            </w14:solidFill>
          </w14:textFill>
        </w:rPr>
        <w:t>2.5乙方违反本协议的，视为违反业务协议，甲方有权视情况采取解除协议等措施。</w:t>
      </w:r>
      <w:bookmarkEnd w:id="224"/>
    </w:p>
    <w:p w14:paraId="2E9F1654">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5" w:name="_Toc15465"/>
      <w:r>
        <w:rPr>
          <w:rStyle w:val="45"/>
          <w:rFonts w:hint="eastAsia"/>
          <w:b w:val="0"/>
          <w:bCs w:val="0"/>
          <w:color w:val="000000" w:themeColor="text1"/>
          <w:sz w:val="21"/>
          <w:szCs w:val="21"/>
          <w14:textFill>
            <w14:solidFill>
              <w14:schemeClr w14:val="tx1"/>
            </w14:solidFill>
          </w14:textFill>
        </w:rPr>
        <w:t>2.6甲方有权将乙方及乙方工作人员违反本协议的行为以各种方式进行公告。</w:t>
      </w:r>
      <w:bookmarkEnd w:id="225"/>
    </w:p>
    <w:p w14:paraId="28286A03">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6" w:name="_Toc7639"/>
      <w:r>
        <w:rPr>
          <w:rStyle w:val="45"/>
          <w:rFonts w:hint="eastAsia"/>
          <w:b w:val="0"/>
          <w:bCs w:val="0"/>
          <w:color w:val="000000" w:themeColor="text1"/>
          <w:sz w:val="21"/>
          <w:szCs w:val="21"/>
          <w14:textFill>
            <w14:solidFill>
              <w14:schemeClr w14:val="tx1"/>
            </w14:solidFill>
          </w14:textFill>
        </w:rPr>
        <w:t>3.举报</w:t>
      </w:r>
      <w:bookmarkEnd w:id="226"/>
    </w:p>
    <w:p w14:paraId="3177B23C">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7" w:name="_Toc25177"/>
      <w:r>
        <w:rPr>
          <w:rStyle w:val="45"/>
          <w:rFonts w:hint="eastAsia"/>
          <w:b w:val="0"/>
          <w:bCs w:val="0"/>
          <w:color w:val="000000" w:themeColor="text1"/>
          <w:sz w:val="21"/>
          <w:szCs w:val="21"/>
          <w14:textFill>
            <w14:solidFill>
              <w14:schemeClr w14:val="tx1"/>
            </w14:solidFill>
          </w14:textFill>
        </w:rPr>
        <w:t>乙方人员可通过以下方式对甲方工作人员违反本协议的行为如实举报或投诉。甲方受理举报、投诉</w:t>
      </w:r>
      <w:r>
        <w:rPr>
          <w:rStyle w:val="45"/>
          <w:rFonts w:hint="eastAsia"/>
          <w:b w:val="0"/>
          <w:bCs w:val="0"/>
          <w:color w:val="000000" w:themeColor="text1"/>
          <w:sz w:val="21"/>
          <w:szCs w:val="21"/>
          <w:lang w:eastAsia="zh-Hans"/>
          <w14:textFill>
            <w14:solidFill>
              <w14:schemeClr w14:val="tx1"/>
            </w14:solidFill>
          </w14:textFill>
        </w:rPr>
        <w:t>的</w:t>
      </w:r>
      <w:r>
        <w:rPr>
          <w:rStyle w:val="45"/>
          <w:rFonts w:hint="eastAsia"/>
          <w:b w:val="0"/>
          <w:bCs w:val="0"/>
          <w:color w:val="000000" w:themeColor="text1"/>
          <w:sz w:val="21"/>
          <w:szCs w:val="21"/>
          <w14:textFill>
            <w14:solidFill>
              <w14:schemeClr w14:val="tx1"/>
            </w14:solidFill>
          </w14:textFill>
        </w:rPr>
        <w:t>渠道为：</w:t>
      </w:r>
      <w:bookmarkEnd w:id="227"/>
    </w:p>
    <w:p w14:paraId="57FD63AA">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8" w:name="_Toc11360"/>
      <w:r>
        <w:rPr>
          <w:rStyle w:val="45"/>
          <w:rFonts w:hint="eastAsia"/>
          <w:b w:val="0"/>
          <w:bCs w:val="0"/>
          <w:color w:val="000000" w:themeColor="text1"/>
          <w:sz w:val="21"/>
          <w:szCs w:val="21"/>
          <w14:textFill>
            <w14:solidFill>
              <w14:schemeClr w14:val="tx1"/>
            </w14:solidFill>
          </w14:textFill>
        </w:rPr>
        <w:t>名称：北航宁波创新研究院纪检监察部</w:t>
      </w:r>
      <w:bookmarkEnd w:id="228"/>
    </w:p>
    <w:p w14:paraId="2EE54F9E">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29" w:name="_Toc20949"/>
      <w:r>
        <w:rPr>
          <w:rStyle w:val="45"/>
          <w:rFonts w:hint="eastAsia"/>
          <w:b w:val="0"/>
          <w:bCs w:val="0"/>
          <w:color w:val="000000" w:themeColor="text1"/>
          <w:sz w:val="21"/>
          <w:szCs w:val="21"/>
          <w14:textFill>
            <w14:solidFill>
              <w14:schemeClr w14:val="tx1"/>
            </w14:solidFill>
          </w14:textFill>
        </w:rPr>
        <w:t>联系人：王怡文</w:t>
      </w:r>
      <w:bookmarkEnd w:id="229"/>
    </w:p>
    <w:p w14:paraId="2E2C3897">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0" w:name="_Toc14408"/>
      <w:r>
        <w:rPr>
          <w:rStyle w:val="45"/>
          <w:rFonts w:hint="eastAsia"/>
          <w:b w:val="0"/>
          <w:bCs w:val="0"/>
          <w:color w:val="000000" w:themeColor="text1"/>
          <w:sz w:val="21"/>
          <w:szCs w:val="21"/>
          <w14:textFill>
            <w14:solidFill>
              <w14:schemeClr w14:val="tx1"/>
            </w14:solidFill>
          </w14:textFill>
        </w:rPr>
        <w:t>地址：浙江省宁波市北仑区梅山街道康达路399号</w:t>
      </w:r>
      <w:bookmarkEnd w:id="230"/>
    </w:p>
    <w:p w14:paraId="7183CAAD">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1" w:name="_Toc7206"/>
      <w:r>
        <w:rPr>
          <w:rStyle w:val="45"/>
          <w:rFonts w:hint="eastAsia"/>
          <w:b w:val="0"/>
          <w:bCs w:val="0"/>
          <w:color w:val="000000" w:themeColor="text1"/>
          <w:sz w:val="21"/>
          <w:szCs w:val="21"/>
          <w14:textFill>
            <w14:solidFill>
              <w14:schemeClr w14:val="tx1"/>
            </w14:solidFill>
          </w14:textFill>
        </w:rPr>
        <w:t>电话：0574-86001562</w:t>
      </w:r>
      <w:bookmarkEnd w:id="231"/>
    </w:p>
    <w:p w14:paraId="6803362C">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2" w:name="_Toc6106"/>
      <w:r>
        <w:rPr>
          <w:rStyle w:val="45"/>
          <w:rFonts w:hint="eastAsia"/>
          <w:b w:val="0"/>
          <w:bCs w:val="0"/>
          <w:color w:val="000000" w:themeColor="text1"/>
          <w:sz w:val="21"/>
          <w:szCs w:val="21"/>
          <w14:textFill>
            <w14:solidFill>
              <w14:schemeClr w14:val="tx1"/>
            </w14:solidFill>
          </w14:textFill>
        </w:rPr>
        <w:t>电子邮箱：wangyiwen_nb@buaa.edu.cn</w:t>
      </w:r>
      <w:bookmarkEnd w:id="232"/>
    </w:p>
    <w:p w14:paraId="5E422267">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3" w:name="_Toc10248"/>
      <w:r>
        <w:rPr>
          <w:rStyle w:val="45"/>
          <w:rFonts w:hint="eastAsia"/>
          <w:b w:val="0"/>
          <w:bCs w:val="0"/>
          <w:color w:val="000000" w:themeColor="text1"/>
          <w:sz w:val="21"/>
          <w:szCs w:val="21"/>
          <w14:textFill>
            <w14:solidFill>
              <w14:schemeClr w14:val="tx1"/>
            </w14:solidFill>
          </w14:textFill>
        </w:rPr>
        <w:t>4.附则</w:t>
      </w:r>
      <w:bookmarkEnd w:id="233"/>
    </w:p>
    <w:p w14:paraId="2A2EC341">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4" w:name="_Toc16911"/>
      <w:r>
        <w:rPr>
          <w:rStyle w:val="45"/>
          <w:rFonts w:hint="eastAsia"/>
          <w:b w:val="0"/>
          <w:bCs w:val="0"/>
          <w:color w:val="000000" w:themeColor="text1"/>
          <w:sz w:val="21"/>
          <w:szCs w:val="21"/>
          <w14:textFill>
            <w14:solidFill>
              <w14:schemeClr w14:val="tx1"/>
            </w14:solidFill>
          </w14:textFill>
        </w:rPr>
        <w:t>4.1本协议经双方签字并盖章后生效。</w:t>
      </w:r>
      <w:bookmarkEnd w:id="234"/>
    </w:p>
    <w:p w14:paraId="5F05556D">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5" w:name="_Toc22261"/>
      <w:r>
        <w:rPr>
          <w:rStyle w:val="45"/>
          <w:rFonts w:hint="eastAsia"/>
          <w:b w:val="0"/>
          <w:bCs w:val="0"/>
          <w:color w:val="000000" w:themeColor="text1"/>
          <w:sz w:val="21"/>
          <w:szCs w:val="21"/>
          <w14:textFill>
            <w14:solidFill>
              <w14:schemeClr w14:val="tx1"/>
            </w14:solidFill>
          </w14:textFill>
        </w:rPr>
        <w:t>4.2本协议与业务</w:t>
      </w:r>
      <w:r>
        <w:rPr>
          <w:rStyle w:val="45"/>
          <w:rFonts w:hint="eastAsia"/>
          <w:b w:val="0"/>
          <w:bCs w:val="0"/>
          <w:color w:val="000000" w:themeColor="text1"/>
          <w:sz w:val="21"/>
          <w:szCs w:val="21"/>
          <w:lang w:eastAsia="zh-Hans"/>
          <w14:textFill>
            <w14:solidFill>
              <w14:schemeClr w14:val="tx1"/>
            </w14:solidFill>
          </w14:textFill>
        </w:rPr>
        <w:t>合同</w:t>
      </w:r>
      <w:r>
        <w:rPr>
          <w:rStyle w:val="45"/>
          <w:rFonts w:hint="eastAsia"/>
          <w:b w:val="0"/>
          <w:bCs w:val="0"/>
          <w:color w:val="000000" w:themeColor="text1"/>
          <w:sz w:val="21"/>
          <w:szCs w:val="21"/>
          <w14:textFill>
            <w14:solidFill>
              <w14:schemeClr w14:val="tx1"/>
            </w14:solidFill>
          </w14:textFill>
        </w:rPr>
        <w:t>具有同等法律效力，作为业务</w:t>
      </w:r>
      <w:r>
        <w:rPr>
          <w:rStyle w:val="45"/>
          <w:rFonts w:hint="eastAsia"/>
          <w:b w:val="0"/>
          <w:bCs w:val="0"/>
          <w:color w:val="000000" w:themeColor="text1"/>
          <w:sz w:val="21"/>
          <w:szCs w:val="21"/>
          <w:lang w:eastAsia="zh-Hans"/>
          <w14:textFill>
            <w14:solidFill>
              <w14:schemeClr w14:val="tx1"/>
            </w14:solidFill>
          </w14:textFill>
        </w:rPr>
        <w:t>合同</w:t>
      </w:r>
      <w:r>
        <w:rPr>
          <w:rStyle w:val="45"/>
          <w:rFonts w:hint="eastAsia"/>
          <w:b w:val="0"/>
          <w:bCs w:val="0"/>
          <w:color w:val="000000" w:themeColor="text1"/>
          <w:sz w:val="21"/>
          <w:szCs w:val="21"/>
          <w14:textFill>
            <w14:solidFill>
              <w14:schemeClr w14:val="tx1"/>
            </w14:solidFill>
          </w14:textFill>
        </w:rPr>
        <w:t>的附件，且本协议可独立生效。</w:t>
      </w:r>
      <w:bookmarkEnd w:id="235"/>
    </w:p>
    <w:p w14:paraId="6AAB1501">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6" w:name="_Toc26428"/>
      <w:r>
        <w:rPr>
          <w:rStyle w:val="45"/>
          <w:rFonts w:hint="eastAsia"/>
          <w:b w:val="0"/>
          <w:bCs w:val="0"/>
          <w:color w:val="000000" w:themeColor="text1"/>
          <w:sz w:val="21"/>
          <w:szCs w:val="21"/>
          <w14:textFill>
            <w14:solidFill>
              <w14:schemeClr w14:val="tx1"/>
            </w14:solidFill>
          </w14:textFill>
        </w:rPr>
        <w:t>4.3本协议对甲、乙双方持续产生约束力，双方诚信经营自律义务不因业务</w:t>
      </w:r>
      <w:r>
        <w:rPr>
          <w:rStyle w:val="45"/>
          <w:rFonts w:hint="eastAsia"/>
          <w:b w:val="0"/>
          <w:bCs w:val="0"/>
          <w:color w:val="000000" w:themeColor="text1"/>
          <w:sz w:val="21"/>
          <w:szCs w:val="21"/>
          <w:lang w:eastAsia="zh-Hans"/>
          <w14:textFill>
            <w14:solidFill>
              <w14:schemeClr w14:val="tx1"/>
            </w14:solidFill>
          </w14:textFill>
        </w:rPr>
        <w:t>合同</w:t>
      </w:r>
      <w:r>
        <w:rPr>
          <w:rStyle w:val="45"/>
          <w:rFonts w:hint="eastAsia"/>
          <w:b w:val="0"/>
          <w:bCs w:val="0"/>
          <w:color w:val="000000" w:themeColor="text1"/>
          <w:sz w:val="21"/>
          <w:szCs w:val="21"/>
          <w14:textFill>
            <w14:solidFill>
              <w14:schemeClr w14:val="tx1"/>
            </w14:solidFill>
          </w14:textFill>
        </w:rPr>
        <w:t>履行完毕而终止。</w:t>
      </w:r>
      <w:bookmarkEnd w:id="236"/>
    </w:p>
    <w:p w14:paraId="4051C279">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7" w:name="_Toc8623"/>
      <w:r>
        <w:rPr>
          <w:rStyle w:val="45"/>
          <w:rFonts w:hint="eastAsia"/>
          <w:b w:val="0"/>
          <w:bCs w:val="0"/>
          <w:color w:val="000000" w:themeColor="text1"/>
          <w:sz w:val="21"/>
          <w:szCs w:val="21"/>
          <w14:textFill>
            <w14:solidFill>
              <w14:schemeClr w14:val="tx1"/>
            </w14:solidFill>
          </w14:textFill>
        </w:rPr>
        <w:t>4.4因履行本</w:t>
      </w:r>
      <w:r>
        <w:rPr>
          <w:rStyle w:val="45"/>
          <w:b w:val="0"/>
          <w:bCs w:val="0"/>
          <w:color w:val="000000" w:themeColor="text1"/>
          <w:sz w:val="21"/>
          <w:szCs w:val="21"/>
          <w14:textFill>
            <w14:solidFill>
              <w14:schemeClr w14:val="tx1"/>
            </w14:solidFill>
          </w14:textFill>
        </w:rPr>
        <w:t>协议</w:t>
      </w:r>
      <w:r>
        <w:rPr>
          <w:rStyle w:val="45"/>
          <w:rFonts w:hint="eastAsia"/>
          <w:b w:val="0"/>
          <w:bCs w:val="0"/>
          <w:color w:val="000000" w:themeColor="text1"/>
          <w:sz w:val="21"/>
          <w:szCs w:val="21"/>
          <w14:textFill>
            <w14:solidFill>
              <w14:schemeClr w14:val="tx1"/>
            </w14:solidFill>
          </w14:textFill>
        </w:rPr>
        <w:t>发生纠纷的，由甲、乙双方协商解决；协商不成的，任一方均有权向甲方所在地人民法院提出诉讼。</w:t>
      </w:r>
      <w:bookmarkEnd w:id="237"/>
    </w:p>
    <w:p w14:paraId="1B9E6025">
      <w:pPr>
        <w:pStyle w:val="4"/>
        <w:keepNext w:val="0"/>
        <w:keepLines w:val="0"/>
        <w:widowControl/>
        <w:numPr>
          <w:ilvl w:val="2"/>
          <w:numId w:val="0"/>
        </w:numPr>
        <w:snapToGrid w:val="0"/>
        <w:spacing w:before="0" w:after="0" w:line="360" w:lineRule="auto"/>
        <w:ind w:firstLine="420"/>
        <w:rPr>
          <w:rStyle w:val="45"/>
          <w:b w:val="0"/>
          <w:bCs w:val="0"/>
          <w:color w:val="000000" w:themeColor="text1"/>
          <w:sz w:val="21"/>
          <w:szCs w:val="21"/>
          <w14:textFill>
            <w14:solidFill>
              <w14:schemeClr w14:val="tx1"/>
            </w14:solidFill>
          </w14:textFill>
        </w:rPr>
      </w:pPr>
      <w:bookmarkStart w:id="238" w:name="_Toc26608"/>
      <w:r>
        <w:rPr>
          <w:rStyle w:val="45"/>
          <w:b w:val="0"/>
          <w:bCs w:val="0"/>
          <w:color w:val="000000" w:themeColor="text1"/>
          <w:sz w:val="21"/>
          <w:szCs w:val="21"/>
          <w14:textFill>
            <w14:solidFill>
              <w14:schemeClr w14:val="tx1"/>
            </w14:solidFill>
          </w14:textFill>
        </w:rPr>
        <w:t>4.5</w:t>
      </w:r>
      <w:r>
        <w:rPr>
          <w:rStyle w:val="45"/>
          <w:rFonts w:hint="eastAsia"/>
          <w:b w:val="0"/>
          <w:bCs w:val="0"/>
          <w:color w:val="000000" w:themeColor="text1"/>
          <w:sz w:val="21"/>
          <w:szCs w:val="21"/>
          <w:lang w:eastAsia="zh-Hans"/>
          <w14:textFill>
            <w14:solidFill>
              <w14:schemeClr w14:val="tx1"/>
            </w14:solidFill>
          </w14:textFill>
        </w:rPr>
        <w:t>本合同一式</w:t>
      </w:r>
      <w:r>
        <w:rPr>
          <w:rStyle w:val="45"/>
          <w:b w:val="0"/>
          <w:bCs w:val="0"/>
          <w:color w:val="000000" w:themeColor="text1"/>
          <w:sz w:val="21"/>
          <w:szCs w:val="21"/>
          <w:lang w:eastAsia="zh-Hans"/>
          <w14:textFill>
            <w14:solidFill>
              <w14:schemeClr w14:val="tx1"/>
            </w14:solidFill>
          </w14:textFill>
        </w:rPr>
        <w:t>___</w:t>
      </w:r>
      <w:r>
        <w:rPr>
          <w:rStyle w:val="45"/>
          <w:rFonts w:hint="eastAsia"/>
          <w:b w:val="0"/>
          <w:bCs w:val="0"/>
          <w:color w:val="000000" w:themeColor="text1"/>
          <w:sz w:val="21"/>
          <w:szCs w:val="21"/>
          <w:lang w:eastAsia="zh-Hans"/>
          <w14:textFill>
            <w14:solidFill>
              <w14:schemeClr w14:val="tx1"/>
            </w14:solidFill>
          </w14:textFill>
        </w:rPr>
        <w:t>份，双方各执</w:t>
      </w:r>
      <w:r>
        <w:rPr>
          <w:rStyle w:val="45"/>
          <w:b w:val="0"/>
          <w:bCs w:val="0"/>
          <w:color w:val="000000" w:themeColor="text1"/>
          <w:sz w:val="21"/>
          <w:szCs w:val="21"/>
          <w:lang w:eastAsia="zh-Hans"/>
          <w14:textFill>
            <w14:solidFill>
              <w14:schemeClr w14:val="tx1"/>
            </w14:solidFill>
          </w14:textFill>
        </w:rPr>
        <w:t>___</w:t>
      </w:r>
      <w:r>
        <w:rPr>
          <w:rStyle w:val="45"/>
          <w:rFonts w:hint="eastAsia"/>
          <w:b w:val="0"/>
          <w:bCs w:val="0"/>
          <w:color w:val="000000" w:themeColor="text1"/>
          <w:sz w:val="21"/>
          <w:szCs w:val="21"/>
          <w:lang w:eastAsia="zh-Hans"/>
          <w14:textFill>
            <w14:solidFill>
              <w14:schemeClr w14:val="tx1"/>
            </w14:solidFill>
          </w14:textFill>
        </w:rPr>
        <w:t>份，具有相同法律效力。</w:t>
      </w:r>
      <w:bookmarkEnd w:id="238"/>
    </w:p>
    <w:p w14:paraId="25DB2A29">
      <w:pPr>
        <w:pStyle w:val="39"/>
        <w:snapToGrid w:val="0"/>
        <w:spacing w:before="0" w:beforeAutospacing="0" w:after="0" w:afterAutospacing="0"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（以下无协议正文）</w:t>
      </w:r>
    </w:p>
    <w:p w14:paraId="63ED1BA4">
      <w:pPr>
        <w:pStyle w:val="39"/>
        <w:spacing w:before="0" w:beforeAutospacing="0" w:after="0" w:afterAutospacing="0" w:line="360" w:lineRule="auto"/>
        <w:rPr>
          <w:color w:val="000000" w:themeColor="text1"/>
          <w:sz w:val="21"/>
          <w:szCs w:val="21"/>
          <w14:textFill>
            <w14:solidFill>
              <w14:schemeClr w14:val="tx1"/>
            </w14:solidFill>
          </w14:textFill>
        </w:rPr>
      </w:pPr>
    </w:p>
    <w:p w14:paraId="1A4A5DFD">
      <w:pPr>
        <w:pStyle w:val="39"/>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签订时间：    年    月    日</w:t>
      </w:r>
    </w:p>
    <w:p w14:paraId="32046C9B">
      <w:pPr>
        <w:pStyle w:val="39"/>
        <w:spacing w:before="0" w:beforeAutospacing="0" w:after="0" w:afterAutospacing="0" w:line="360" w:lineRule="auto"/>
        <w:rPr>
          <w:color w:val="000000" w:themeColor="text1"/>
          <w:sz w:val="21"/>
          <w:szCs w:val="21"/>
          <w14:textFill>
            <w14:solidFill>
              <w14:schemeClr w14:val="tx1"/>
            </w14:solidFill>
          </w14:textFill>
        </w:rPr>
      </w:pPr>
      <w:r>
        <w:rPr>
          <w:rStyle w:val="45"/>
          <w:color w:val="000000" w:themeColor="text1"/>
          <w:sz w:val="21"/>
          <w:szCs w:val="21"/>
          <w14:textFill>
            <w14:solidFill>
              <w14:schemeClr w14:val="tx1"/>
            </w14:solidFill>
          </w14:textFill>
        </w:rPr>
        <w:t>甲方（盖章）：</w:t>
      </w:r>
    </w:p>
    <w:p w14:paraId="6EC74AE6">
      <w:pPr>
        <w:pStyle w:val="39"/>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法定代表人或授权代表：</w:t>
      </w:r>
    </w:p>
    <w:p w14:paraId="6E915C87">
      <w:pPr>
        <w:pStyle w:val="39"/>
        <w:spacing w:before="0" w:beforeAutospacing="0" w:after="0" w:afterAutospacing="0" w:line="360" w:lineRule="auto"/>
        <w:rPr>
          <w:color w:val="000000" w:themeColor="text1"/>
          <w:sz w:val="21"/>
          <w:szCs w:val="21"/>
          <w14:textFill>
            <w14:solidFill>
              <w14:schemeClr w14:val="tx1"/>
            </w14:solidFill>
          </w14:textFill>
        </w:rPr>
      </w:pPr>
      <w:r>
        <w:rPr>
          <w:rStyle w:val="45"/>
          <w:color w:val="000000" w:themeColor="text1"/>
          <w:sz w:val="21"/>
          <w:szCs w:val="21"/>
          <w14:textFill>
            <w14:solidFill>
              <w14:schemeClr w14:val="tx1"/>
            </w14:solidFill>
          </w14:textFill>
        </w:rPr>
        <w:t>乙方（盖章）：</w:t>
      </w:r>
    </w:p>
    <w:p w14:paraId="1662D953">
      <w:pPr>
        <w:widowControl/>
        <w:spacing w:line="360" w:lineRule="auto"/>
        <w:rPr>
          <w:color w:val="000000" w:themeColor="text1"/>
          <w:szCs w:val="21"/>
          <w14:textFill>
            <w14:solidFill>
              <w14:schemeClr w14:val="tx1"/>
            </w14:solidFill>
          </w14:textFill>
        </w:rPr>
        <w:sectPr>
          <w:pgSz w:w="11907" w:h="16840"/>
          <w:pgMar w:top="1361" w:right="1474" w:bottom="1242" w:left="1474" w:header="720" w:footer="720" w:gutter="0"/>
          <w:pgNumType w:fmt="numberInDash"/>
          <w:cols w:space="720" w:num="1"/>
          <w:docGrid w:linePitch="285" w:charSpace="0"/>
        </w:sectPr>
      </w:pPr>
      <w:r>
        <w:rPr>
          <w:color w:val="000000" w:themeColor="text1"/>
          <w:szCs w:val="21"/>
          <w14:textFill>
            <w14:solidFill>
              <w14:schemeClr w14:val="tx1"/>
            </w14:solidFill>
          </w14:textFill>
        </w:rPr>
        <w:t>法定代表人或授权代表：</w:t>
      </w:r>
    </w:p>
    <w:p w14:paraId="27238E3A">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保密协议</w:t>
      </w:r>
    </w:p>
    <w:p w14:paraId="1A1403C4">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协议编号：</w:t>
      </w:r>
    </w:p>
    <w:p w14:paraId="0CE12EA1">
      <w:pPr>
        <w:adjustRightInd w:val="0"/>
        <w:snapToGrid w:val="0"/>
        <w:jc w:val="right"/>
        <w:rPr>
          <w:rFonts w:hint="eastAsia" w:ascii="宋体" w:hAnsi="宋体" w:cs="宋体"/>
          <w:color w:val="000000" w:themeColor="text1"/>
          <w:sz w:val="24"/>
          <w14:textFill>
            <w14:solidFill>
              <w14:schemeClr w14:val="tx1"/>
            </w14:solidFill>
          </w14:textFill>
        </w:rPr>
      </w:pPr>
    </w:p>
    <w:p w14:paraId="35C68159">
      <w:pPr>
        <w:adjustRightInd w:val="0"/>
        <w:snapToGrid w:val="0"/>
        <w:spacing w:line="360" w:lineRule="auto"/>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签订地点：  宁波市</w:t>
      </w:r>
      <w:r>
        <w:rPr>
          <w:rFonts w:hint="eastAsia" w:ascii="宋体" w:hAnsi="宋体" w:cs="宋体"/>
          <w:color w:val="000000" w:themeColor="text1"/>
          <w:sz w:val="24"/>
          <w:lang w:eastAsia="zh-Hans"/>
          <w14:textFill>
            <w14:solidFill>
              <w14:schemeClr w14:val="tx1"/>
            </w14:solidFill>
          </w14:textFill>
        </w:rPr>
        <w:t>北仑</w:t>
      </w:r>
      <w:r>
        <w:rPr>
          <w:rFonts w:hint="eastAsia" w:ascii="宋体" w:hAnsi="宋体" w:cs="宋体"/>
          <w:color w:val="000000" w:themeColor="text1"/>
          <w:sz w:val="24"/>
          <w14:textFill>
            <w14:solidFill>
              <w14:schemeClr w14:val="tx1"/>
            </w14:solidFill>
          </w14:textFill>
        </w:rPr>
        <w:t>区</w:t>
      </w:r>
    </w:p>
    <w:p w14:paraId="1B5D0947">
      <w:pPr>
        <w:adjustRightInd w:val="0"/>
        <w:snapToGrid w:val="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日 </w:t>
      </w:r>
    </w:p>
    <w:p w14:paraId="5B39A961">
      <w:pPr>
        <w:adjustRightInd w:val="0"/>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p>
    <w:p w14:paraId="4E23DE1B">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w:t>
      </w:r>
    </w:p>
    <w:p w14:paraId="510C92EA">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乙方： </w:t>
      </w:r>
    </w:p>
    <w:p w14:paraId="6A6D046E">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734FDF9A">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鉴于甲、乙双方拟开展合作，在合作洽谈、履行过程中，合作双方可能将其</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信息披露或提供给另一方。为保护双方</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信息，确保</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信息仅供洽谈、履行本项目之使用，双方经充分、友好协商达成如下协议。</w:t>
      </w:r>
    </w:p>
    <w:p w14:paraId="5A420982">
      <w:pPr>
        <w:adjustRightInd w:val="0"/>
        <w:snapToGrid w:val="0"/>
        <w:spacing w:line="360" w:lineRule="auto"/>
        <w:ind w:firstLine="422" w:firstLineChars="200"/>
        <w:rPr>
          <w:rFonts w:hint="eastAsia" w:ascii="宋体" w:hAnsi="宋体" w:cs="宋体"/>
          <w:b/>
          <w:color w:val="000000" w:themeColor="text1"/>
          <w:szCs w:val="21"/>
          <w:lang w:eastAsia="zh-Hans"/>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w:t>
      </w:r>
      <w:r>
        <w:rPr>
          <w:rFonts w:hint="eastAsia" w:ascii="宋体" w:hAnsi="宋体" w:cs="宋体"/>
          <w:b/>
          <w:color w:val="000000" w:themeColor="text1"/>
          <w:szCs w:val="21"/>
          <w:lang w:eastAsia="zh-Hans"/>
          <w14:textFill>
            <w14:solidFill>
              <w14:schemeClr w14:val="tx1"/>
            </w14:solidFill>
          </w14:textFill>
        </w:rPr>
        <w:t>定义</w:t>
      </w:r>
    </w:p>
    <w:p w14:paraId="3273B617">
      <w:pPr>
        <w:adjustRightInd w:val="0"/>
        <w:snapToGrid w:val="0"/>
        <w:spacing w:line="360" w:lineRule="auto"/>
        <w:ind w:firstLine="420" w:firstLineChars="200"/>
        <w:rPr>
          <w:rFonts w:hint="eastAsia" w:ascii="宋体" w:hAnsi="宋体" w:cs="宋体"/>
          <w:bCs/>
          <w:color w:val="000000" w:themeColor="text1"/>
          <w:szCs w:val="21"/>
          <w:lang w:eastAsia="zh-Hans"/>
          <w14:textFill>
            <w14:solidFill>
              <w14:schemeClr w14:val="tx1"/>
            </w14:solidFill>
          </w14:textFill>
        </w:rPr>
      </w:pPr>
      <w:r>
        <w:rPr>
          <w:rFonts w:hint="eastAsia" w:ascii="宋体" w:hAnsi="宋体" w:cs="宋体"/>
          <w:bCs/>
          <w:color w:val="000000" w:themeColor="text1"/>
          <w:szCs w:val="21"/>
          <w:lang w:eastAsia="zh-Hans"/>
          <w14:textFill>
            <w14:solidFill>
              <w14:schemeClr w14:val="tx1"/>
            </w14:solidFill>
          </w14:textFill>
        </w:rPr>
        <w:t>1.1 披露方和接收方</w:t>
      </w:r>
    </w:p>
    <w:p w14:paraId="1C1D5F7B">
      <w:pPr>
        <w:adjustRightInd w:val="0"/>
        <w:snapToGrid w:val="0"/>
        <w:spacing w:line="360" w:lineRule="auto"/>
        <w:ind w:firstLine="420" w:firstLineChars="200"/>
        <w:rPr>
          <w:rFonts w:hint="eastAsia" w:ascii="宋体" w:hAnsi="宋体" w:cs="宋体"/>
          <w:bCs/>
          <w:color w:val="000000" w:themeColor="text1"/>
          <w:szCs w:val="21"/>
          <w:lang w:eastAsia="zh-Hans"/>
          <w14:textFill>
            <w14:solidFill>
              <w14:schemeClr w14:val="tx1"/>
            </w14:solidFill>
          </w14:textFill>
        </w:rPr>
      </w:pPr>
      <w:r>
        <w:rPr>
          <w:rFonts w:hint="eastAsia" w:ascii="宋体" w:hAnsi="宋体" w:cs="宋体"/>
          <w:bCs/>
          <w:color w:val="000000" w:themeColor="text1"/>
          <w:szCs w:val="21"/>
          <w:lang w:eastAsia="zh-Hans"/>
          <w14:textFill>
            <w14:solidFill>
              <w14:schemeClr w14:val="tx1"/>
            </w14:solidFill>
          </w14:textFill>
        </w:rPr>
        <w:t>本协议履行过程中将本协议约定保密信息向对方披露的一方为披露方，接收一方为接收方。甲方或乙方基于本协议均</w:t>
      </w:r>
      <w:r>
        <w:rPr>
          <w:rFonts w:hint="eastAsia" w:ascii="宋体" w:hAnsi="宋体" w:cs="宋体"/>
          <w:bCs/>
          <w:color w:val="000000" w:themeColor="text1"/>
          <w:szCs w:val="21"/>
          <w14:textFill>
            <w14:solidFill>
              <w14:schemeClr w14:val="tx1"/>
            </w14:solidFill>
          </w14:textFill>
        </w:rPr>
        <w:t>有</w:t>
      </w:r>
      <w:r>
        <w:rPr>
          <w:rFonts w:hint="eastAsia" w:ascii="宋体" w:hAnsi="宋体" w:cs="宋体"/>
          <w:bCs/>
          <w:color w:val="000000" w:themeColor="text1"/>
          <w:szCs w:val="21"/>
          <w:lang w:eastAsia="zh-Hans"/>
          <w14:textFill>
            <w14:solidFill>
              <w14:schemeClr w14:val="tx1"/>
            </w14:solidFill>
          </w14:textFill>
        </w:rPr>
        <w:t>可能成为本协议所称的披露方或接收方。</w:t>
      </w:r>
    </w:p>
    <w:p w14:paraId="2DE4C455">
      <w:pPr>
        <w:adjustRightInd w:val="0"/>
        <w:snapToGrid w:val="0"/>
        <w:spacing w:line="360" w:lineRule="auto"/>
        <w:ind w:firstLine="420" w:firstLineChars="200"/>
        <w:rPr>
          <w:rFonts w:hint="eastAsia" w:ascii="宋体" w:hAnsi="宋体" w:cs="宋体"/>
          <w:bCs/>
          <w:color w:val="000000" w:themeColor="text1"/>
          <w:szCs w:val="21"/>
          <w:lang w:eastAsia="zh-Hans"/>
          <w14:textFill>
            <w14:solidFill>
              <w14:schemeClr w14:val="tx1"/>
            </w14:solidFill>
          </w14:textFill>
        </w:rPr>
      </w:pPr>
      <w:r>
        <w:rPr>
          <w:rFonts w:hint="eastAsia" w:ascii="宋体" w:hAnsi="宋体" w:cs="宋体"/>
          <w:bCs/>
          <w:color w:val="000000" w:themeColor="text1"/>
          <w:szCs w:val="21"/>
          <w:lang w:eastAsia="zh-Hans"/>
          <w14:textFill>
            <w14:solidFill>
              <w14:schemeClr w14:val="tx1"/>
            </w14:solidFill>
          </w14:textFill>
        </w:rPr>
        <w:t>1.2 保密信息</w:t>
      </w:r>
    </w:p>
    <w:p w14:paraId="3C4CB1C4">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eastAsia="zh-Hans"/>
          <w14:textFill>
            <w14:solidFill>
              <w14:schemeClr w14:val="tx1"/>
            </w14:solidFill>
          </w14:textFill>
        </w:rPr>
        <w:t>协议</w:t>
      </w:r>
      <w:r>
        <w:rPr>
          <w:rFonts w:hint="eastAsia" w:ascii="宋体" w:hAnsi="宋体" w:cs="宋体"/>
          <w:color w:val="000000" w:themeColor="text1"/>
          <w:szCs w:val="21"/>
          <w14:textFill>
            <w14:solidFill>
              <w14:schemeClr w14:val="tx1"/>
            </w14:solidFill>
          </w14:textFill>
        </w:rPr>
        <w:t>所称的保密信息，是指不为公众所知悉，具有实用性并且披露方已经采取保密措施予以保护的非专利技术、技术信息和经营信息等机密性信息。具体包括：</w:t>
      </w:r>
    </w:p>
    <w:p w14:paraId="654C9194">
      <w:pPr>
        <w:adjustRightInd w:val="0"/>
        <w:snapToGrid w:val="0"/>
        <w:spacing w:line="360" w:lineRule="auto"/>
        <w:ind w:firstLine="420" w:firstLineChars="200"/>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协议签订之前、签订过程中以及本协议签订后，接收方从披露方或者披露方合作方（披露方“客户”）处所获悉或获得，或基于与披露方的合作而获悉或获得的各种信息、各种文件、资料。上述信息、文件、资料包括但不限于</w:t>
      </w:r>
      <w:r>
        <w:rPr>
          <w:rFonts w:hint="eastAsia" w:ascii="宋体" w:hAnsi="宋体" w:cs="宋体"/>
          <w:color w:val="000000" w:themeColor="text1"/>
          <w:szCs w:val="21"/>
          <w:lang w:eastAsia="zh-Hans"/>
          <w14:textFill>
            <w14:solidFill>
              <w14:schemeClr w14:val="tx1"/>
            </w14:solidFill>
          </w14:textFill>
        </w:rPr>
        <w:t>：</w:t>
      </w:r>
    </w:p>
    <w:p w14:paraId="4579D1C0">
      <w:pPr>
        <w:numPr>
          <w:ilvl w:val="0"/>
          <w:numId w:val="15"/>
        </w:num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产品信息、产品配置信息、ID外观图纸、设计图纸；</w:t>
      </w:r>
    </w:p>
    <w:p w14:paraId="6D709DAC">
      <w:pPr>
        <w:numPr>
          <w:ilvl w:val="0"/>
          <w:numId w:val="15"/>
        </w:num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技术方案、工程设计、电路设计、制造方法、配方、工艺流程、技术指标、计算机软件、数据库存、研究开发记录、技术文档、技术报告、检测报告、实验数据、试验结果；</w:t>
      </w:r>
    </w:p>
    <w:p w14:paraId="145DB10B">
      <w:pPr>
        <w:numPr>
          <w:ilvl w:val="0"/>
          <w:numId w:val="15"/>
        </w:num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图纸、样品、样机、模型、操作手册、相关的函电；</w:t>
      </w:r>
    </w:p>
    <w:p w14:paraId="695DB9A7">
      <w:pPr>
        <w:numPr>
          <w:ilvl w:val="0"/>
          <w:numId w:val="15"/>
        </w:num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人力资源信息、客户名单、营销计划、采购资料、定价政策、成本信息、项目进度信息、财务资料、进货渠道、管理诀窍、买卖意向、招投标中的标底及标书内容等</w:t>
      </w:r>
      <w:r>
        <w:rPr>
          <w:rFonts w:hint="eastAsia" w:ascii="宋体" w:hAnsi="宋体" w:cs="宋体"/>
          <w:color w:val="000000" w:themeColor="text1"/>
          <w:szCs w:val="21"/>
          <w:lang w:eastAsia="zh-Hans"/>
          <w14:textFill>
            <w14:solidFill>
              <w14:schemeClr w14:val="tx1"/>
            </w14:solidFill>
          </w14:textFill>
        </w:rPr>
        <w:t>；</w:t>
      </w:r>
    </w:p>
    <w:p w14:paraId="4BA82085">
      <w:pPr>
        <w:numPr>
          <w:ilvl w:val="0"/>
          <w:numId w:val="15"/>
        </w:num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披露方向接收方披露的属于</w:t>
      </w:r>
      <w:r>
        <w:rPr>
          <w:rFonts w:hint="eastAsia" w:ascii="宋体" w:hAnsi="宋体" w:cs="宋体"/>
          <w:color w:val="000000" w:themeColor="text1"/>
          <w:szCs w:val="21"/>
          <w14:textFill>
            <w14:solidFill>
              <w14:schemeClr w14:val="tx1"/>
            </w14:solidFill>
          </w14:textFill>
        </w:rPr>
        <w:t>披露方合作方</w:t>
      </w:r>
      <w:r>
        <w:rPr>
          <w:rFonts w:hint="eastAsia" w:ascii="宋体" w:hAnsi="宋体" w:cs="宋体"/>
          <w:color w:val="000000" w:themeColor="text1"/>
          <w:szCs w:val="21"/>
          <w:lang w:eastAsia="zh-Hans"/>
          <w14:textFill>
            <w14:solidFill>
              <w14:schemeClr w14:val="tx1"/>
            </w14:solidFill>
          </w14:textFill>
        </w:rPr>
        <w:t>的保密信息或披露方应当承担保密义务的相关信息；</w:t>
      </w:r>
    </w:p>
    <w:p w14:paraId="0BF47AE4">
      <w:pPr>
        <w:numPr>
          <w:ilvl w:val="0"/>
          <w:numId w:val="15"/>
        </w:num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双方基于合作产生的依据法律或合作目的需要被保密的其他信息；</w:t>
      </w:r>
    </w:p>
    <w:p w14:paraId="3D1B37DF">
      <w:pPr>
        <w:numPr>
          <w:ilvl w:val="0"/>
          <w:numId w:val="15"/>
        </w:num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上述信息无论以何种形式或载于何种载体，无论在披露时是以口头、图像或书面以及其他方式表明，均为披露方的商业秘密。</w:t>
      </w:r>
    </w:p>
    <w:p w14:paraId="583B44F2">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1.3本协议所称保密信息，不包括下列信息：</w:t>
      </w:r>
    </w:p>
    <w:p w14:paraId="74D0D712">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接收方能以书面文件或记录证明在双方开始洽谈合作前，该信息已为接收方所知悉或已成为公开信息；</w:t>
      </w:r>
    </w:p>
    <w:p w14:paraId="0AD7C19B">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非因接收方之故意、过失泄露而成为大众所周知的信息；</w:t>
      </w:r>
    </w:p>
    <w:p w14:paraId="122B18B9">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经披露方之书面同意而披露的保密信息；</w:t>
      </w:r>
    </w:p>
    <w:p w14:paraId="1A603AA4">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在未违反本协议之情形下，接收方能以书面文件或记录证明未使用披露方之保密信息而独自开发取得的信息；</w:t>
      </w:r>
    </w:p>
    <w:p w14:paraId="78B6595A">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依法律之规定或法院之命令或要求，接收方需要披露披露方保密信息的。但接收方在接收上述命令或要求之前应在法律法规许可范围内事先通知披露方，以便披露方采取必要之保护措施。</w:t>
      </w:r>
    </w:p>
    <w:p w14:paraId="068EBF3F">
      <w:pPr>
        <w:numPr>
          <w:ilvl w:val="0"/>
          <w:numId w:val="16"/>
        </w:numPr>
        <w:adjustRightInd w:val="0"/>
        <w:snapToGrid w:val="0"/>
        <w:spacing w:line="360" w:lineRule="auto"/>
        <w:ind w:firstLine="422" w:firstLineChars="200"/>
        <w:rPr>
          <w:rFonts w:hint="eastAsia" w:ascii="宋体" w:hAnsi="宋体" w:cs="宋体"/>
          <w:b/>
          <w:color w:val="000000" w:themeColor="text1"/>
          <w:szCs w:val="21"/>
          <w:lang w:eastAsia="zh-Hans"/>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保密</w:t>
      </w:r>
      <w:r>
        <w:rPr>
          <w:rFonts w:hint="eastAsia" w:ascii="宋体" w:hAnsi="宋体" w:cs="宋体"/>
          <w:b/>
          <w:color w:val="000000" w:themeColor="text1"/>
          <w:szCs w:val="21"/>
          <w:lang w:eastAsia="zh-Hans"/>
          <w14:textFill>
            <w14:solidFill>
              <w14:schemeClr w14:val="tx1"/>
            </w14:solidFill>
          </w14:textFill>
        </w:rPr>
        <w:t>信息管理</w:t>
      </w:r>
    </w:p>
    <w:p w14:paraId="2D4B7694">
      <w:pPr>
        <w:adjustRightInd w:val="0"/>
        <w:snapToGrid w:val="0"/>
        <w:spacing w:line="360" w:lineRule="auto"/>
        <w:ind w:firstLine="420" w:firstLineChars="200"/>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2.1接收方应当尽可能采取各种有力措施（不应低于接收方为保护其自有机密性信息所采取的措施）以保护本协议涉及的须保密信息。</w:t>
      </w:r>
    </w:p>
    <w:p w14:paraId="4310E96D">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2.2合作双方同意，一方所披露或因双方合作而知悉或取得另一方</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信息，应仅为执行合作之目的而使用。未经一方书面同意，另一方不得为自己或第三人之利益，作其他目的或用途之使用，亦不得以任何方式披露或提供任何第三人。为执行双方合作，接收方员工需要接触披露方</w:t>
      </w:r>
      <w:r>
        <w:rPr>
          <w:rFonts w:hint="eastAsia" w:ascii="宋体" w:hAnsi="宋体" w:cs="宋体"/>
          <w:color w:val="000000" w:themeColor="text1"/>
          <w:szCs w:val="21"/>
          <w:lang w:eastAsia="zh-Hans"/>
          <w14:textFill>
            <w14:solidFill>
              <w14:schemeClr w14:val="tx1"/>
            </w14:solidFill>
          </w14:textFill>
        </w:rPr>
        <w:t>保密</w:t>
      </w:r>
      <w:r>
        <w:rPr>
          <w:rFonts w:hint="eastAsia" w:ascii="宋体" w:hAnsi="宋体" w:cs="宋体"/>
          <w:color w:val="000000" w:themeColor="text1"/>
          <w:szCs w:val="21"/>
          <w14:textFill>
            <w14:solidFill>
              <w14:schemeClr w14:val="tx1"/>
            </w14:solidFill>
          </w14:textFill>
        </w:rPr>
        <w:t>信息的，接收方应保证其员工承担</w:t>
      </w:r>
      <w:r>
        <w:rPr>
          <w:rFonts w:hint="eastAsia" w:ascii="宋体" w:hAnsi="宋体" w:cs="宋体"/>
          <w:color w:val="000000" w:themeColor="text1"/>
          <w:szCs w:val="21"/>
          <w:lang w:eastAsia="zh-Hans"/>
          <w14:textFill>
            <w14:solidFill>
              <w14:schemeClr w14:val="tx1"/>
            </w14:solidFill>
          </w14:textFill>
        </w:rPr>
        <w:t>本协议所约定的</w:t>
      </w:r>
      <w:r>
        <w:rPr>
          <w:rFonts w:hint="eastAsia" w:ascii="宋体" w:hAnsi="宋体" w:cs="宋体"/>
          <w:color w:val="000000" w:themeColor="text1"/>
          <w:szCs w:val="21"/>
          <w14:textFill>
            <w14:solidFill>
              <w14:schemeClr w14:val="tx1"/>
            </w14:solidFill>
          </w14:textFill>
        </w:rPr>
        <w:t>保密义务。违反本条约定的，披露方有权随时取消、终止或解除披露方与接收方合作关系、订单或契约，无需对接收方负任何赔偿责任。</w:t>
      </w:r>
    </w:p>
    <w:p w14:paraId="7AD7D662">
      <w:pPr>
        <w:adjustRightInd w:val="0"/>
        <w:snapToGrid w:val="0"/>
        <w:spacing w:line="360" w:lineRule="auto"/>
        <w:ind w:firstLine="420" w:firstLineChars="200"/>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lang w:eastAsia="zh-Hans"/>
          <w14:textFill>
            <w14:solidFill>
              <w14:schemeClr w14:val="tx1"/>
            </w14:solidFill>
          </w14:textFill>
        </w:rPr>
        <w:t>在披露方许可接收方披露给第三方的前提下，</w:t>
      </w:r>
      <w:r>
        <w:rPr>
          <w:rFonts w:hint="eastAsia" w:ascii="宋体" w:hAnsi="宋体" w:cs="宋体"/>
          <w:color w:val="000000" w:themeColor="text1"/>
          <w:szCs w:val="21"/>
          <w14:textFill>
            <w14:solidFill>
              <w14:schemeClr w14:val="tx1"/>
            </w14:solidFill>
          </w14:textFill>
        </w:rPr>
        <w:t>因接收方雇员、聘用的律师、会计师、财务顾问及其他具有专门资格或专有知识的咨询公司等原因造成泄露的，视同该方违反了本协议；接收方应当与泄露信息方一同承担连带责任</w:t>
      </w:r>
      <w:r>
        <w:rPr>
          <w:rFonts w:hint="eastAsia" w:ascii="宋体" w:hAnsi="宋体" w:cs="宋体"/>
          <w:color w:val="000000" w:themeColor="text1"/>
          <w:szCs w:val="21"/>
          <w:lang w:eastAsia="zh-Hans"/>
          <w14:textFill>
            <w14:solidFill>
              <w14:schemeClr w14:val="tx1"/>
            </w14:solidFill>
          </w14:textFill>
        </w:rPr>
        <w:t>；</w:t>
      </w:r>
    </w:p>
    <w:p w14:paraId="45485AFF">
      <w:pPr>
        <w:adjustRightInd w:val="0"/>
        <w:snapToGrid w:val="0"/>
        <w:spacing w:line="360" w:lineRule="auto"/>
        <w:ind w:firstLine="420" w:firstLineChars="200"/>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2.4如接收方与泄露信息方（包括但不限于接收方的雇员）之间签订协议的，该协议不能免除接收方按本协议应当履行的保密义务及违约责任；</w:t>
      </w:r>
    </w:p>
    <w:p w14:paraId="03D7C9F9">
      <w:pPr>
        <w:adjustRightInd w:val="0"/>
        <w:snapToGrid w:val="0"/>
        <w:spacing w:line="360" w:lineRule="auto"/>
        <w:ind w:firstLine="420" w:firstLineChars="200"/>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2.5双方同意接收方应根据披露方的要求，归还或销毁机密性信息及其全部备份（授权或未授权）和所有含有任何上述信息的文件，包括由接收方或</w:t>
      </w:r>
      <w:r>
        <w:rPr>
          <w:rFonts w:hint="eastAsia" w:ascii="宋体" w:hAnsi="宋体" w:cs="宋体"/>
          <w:color w:val="000000" w:themeColor="text1"/>
          <w:szCs w:val="21"/>
          <w14:textFill>
            <w14:solidFill>
              <w14:schemeClr w14:val="tx1"/>
            </w14:solidFill>
          </w14:textFill>
        </w:rPr>
        <w:t>任何</w:t>
      </w:r>
      <w:r>
        <w:rPr>
          <w:rFonts w:hint="eastAsia" w:ascii="宋体" w:hAnsi="宋体" w:cs="宋体"/>
          <w:color w:val="000000" w:themeColor="text1"/>
          <w:szCs w:val="21"/>
          <w:lang w:eastAsia="zh-Hans"/>
          <w14:textFill>
            <w14:solidFill>
              <w14:schemeClr w14:val="tx1"/>
            </w14:solidFill>
          </w14:textFill>
        </w:rPr>
        <w:t>代理人、雇员或代表（包括律师、会计师和财务顾问）准备的，含有或反映机密性信息的所有分析、编撰、报告和文件。接收方不得留存关于机密性信息的任何复印件或副本；</w:t>
      </w:r>
    </w:p>
    <w:p w14:paraId="086C0710">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2.6接收方同意对于其所知晓的、已发生的或者可能发生的对于本协议涉及的机密性信息披露、滥用、盗用或者其他未经披露方授权的发布机密性信息的行为，接收方应及时以书面形式通知披露方，并配合披露方采取必要的措施。</w:t>
      </w:r>
    </w:p>
    <w:p w14:paraId="3357ADBB">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三、协议效力、权利归属</w:t>
      </w:r>
    </w:p>
    <w:p w14:paraId="45B0AC42">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3.1本协议签署后，不论双方是否继续洽谈本项目、事后是否签署正式协议，均不影响本协议之效力，即使双方为合作所签署的协议事后因故终止、解除，亦不影响本协议效力。</w:t>
      </w:r>
    </w:p>
    <w:p w14:paraId="25CD4B33">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3.2披露方因合作所披露或提供的保密信息所有权、专门技术或知识、营业秘密、商标、专利以及其他知识财产权等，仍为披露方所有。该保密信息不因披露或提供予接收方或因本协议之签署而成为接收方所有，接收方不因此而取得保密信息的任何授权。 </w:t>
      </w:r>
    </w:p>
    <w:p w14:paraId="4FCABA98">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3.3除非征得披露方的同意，接收方不得对披露方发布或交付的机密性信息进行任何修改或改进。接收方在利用或使用该机密性信息的基础上所获得的非专利技术、专利、著作权等知识产权都属披露方所有。</w:t>
      </w:r>
    </w:p>
    <w:p w14:paraId="2F65359B">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3.4未经合作一方书面同意，另一方不得复制或影印所披露或提供的保密信息。</w:t>
      </w:r>
    </w:p>
    <w:p w14:paraId="58C653B9">
      <w:pPr>
        <w:numPr>
          <w:ilvl w:val="0"/>
          <w:numId w:val="17"/>
        </w:numPr>
        <w:adjustRightInd w:val="0"/>
        <w:snapToGrid w:val="0"/>
        <w:spacing w:line="360" w:lineRule="auto"/>
        <w:ind w:firstLine="422" w:firstLineChars="200"/>
        <w:rPr>
          <w:rFonts w:hint="eastAsia" w:ascii="宋体" w:hAnsi="宋体" w:cs="宋体"/>
          <w:b/>
          <w:color w:val="000000" w:themeColor="text1"/>
          <w:szCs w:val="21"/>
          <w:lang w:eastAsia="zh-Hans"/>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保密期限</w:t>
      </w:r>
    </w:p>
    <w:p w14:paraId="4B86C6EF">
      <w:pPr>
        <w:adjustRightInd w:val="0"/>
        <w:snapToGrid w:val="0"/>
        <w:spacing w:line="360" w:lineRule="auto"/>
        <w:ind w:firstLine="420" w:firstLineChars="200"/>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4.1除非相关保密信息被公开，接收方对前述保密秘密须承担无限期保密义务直至相关保密信息依法进入公众领域。在保密期间，不得将机密性信息透露给任何第三方，并不得将保密信息用于上述合作以外的任何其他目的，并不得自己使用或许可他人使用相关信息。</w:t>
      </w:r>
    </w:p>
    <w:p w14:paraId="0C8A99CA">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4.2本协议一经终止，披露方以媒介或其他任何方式传送给接收方的一切保密信息及接收方所制作的任何复本均应被销毁，或依披露方之书面请求返还给披露方，未经披露方书面许可，接收方不得留存任何机密性信息的原件及复本。接收方的保密义务于本协议终止后仍将存续。</w:t>
      </w:r>
      <w:r>
        <w:rPr>
          <w:rFonts w:hint="eastAsia" w:ascii="宋体" w:hAnsi="宋体" w:cs="宋体"/>
          <w:color w:val="000000" w:themeColor="text1"/>
          <w:szCs w:val="21"/>
          <w14:textFill>
            <w14:solidFill>
              <w14:schemeClr w14:val="tx1"/>
            </w14:solidFill>
          </w14:textFill>
        </w:rPr>
        <w:t xml:space="preserve"> </w:t>
      </w:r>
    </w:p>
    <w:p w14:paraId="3C3AA17E">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五、</w:t>
      </w:r>
      <w:r>
        <w:rPr>
          <w:rFonts w:hint="eastAsia" w:ascii="宋体" w:hAnsi="宋体" w:cs="宋体"/>
          <w:b/>
          <w:color w:val="000000" w:themeColor="text1"/>
          <w:szCs w:val="21"/>
          <w14:textFill>
            <w14:solidFill>
              <w14:schemeClr w14:val="tx1"/>
            </w14:solidFill>
          </w14:textFill>
        </w:rPr>
        <w:t>违约与赔偿</w:t>
      </w:r>
    </w:p>
    <w:p w14:paraId="305220B6">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5.1接收方违反本协议保密义务的，应当向披露方承担相应违约责任，双方应积极协助对方妥善解决有关问题，控制且尽量减少以至消除给披露方造成的影响；接收方违反保密义务的，接收方应向披露方支付违约金</w:t>
      </w:r>
      <w:r>
        <w:rPr>
          <w:rFonts w:hint="eastAsia" w:ascii="宋体" w:hAnsi="宋体" w:cs="宋体"/>
          <w:color w:val="000000" w:themeColor="text1"/>
          <w:szCs w:val="21"/>
          <w:lang w:eastAsia="zh-Hans"/>
          <w14:textFill>
            <w14:solidFill>
              <w14:schemeClr w14:val="tx1"/>
            </w14:solidFill>
          </w14:textFill>
        </w:rPr>
        <w:t>人民币</w:t>
      </w:r>
      <w:r>
        <w:rPr>
          <w:rFonts w:hint="eastAsia" w:ascii="宋体" w:hAnsi="宋体" w:cs="宋体"/>
          <w:color w:val="000000" w:themeColor="text1"/>
          <w:szCs w:val="21"/>
          <w:u w:val="single"/>
          <w:lang w:eastAsia="zh-Hans"/>
          <w14:textFill>
            <w14:solidFill>
              <w14:schemeClr w14:val="tx1"/>
            </w14:solidFill>
          </w14:textFill>
        </w:rPr>
        <w:t xml:space="preserve">      </w:t>
      </w:r>
      <w:r>
        <w:rPr>
          <w:rFonts w:hint="eastAsia" w:ascii="宋体" w:hAnsi="宋体" w:cs="宋体"/>
          <w:color w:val="000000" w:themeColor="text1"/>
          <w:szCs w:val="21"/>
          <w:lang w:eastAsia="zh-Hans"/>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，如前述违约金不足以弥补信息披露方损失，则接收方还应继续赔偿披露方因此导致的损失</w:t>
      </w:r>
      <w:r>
        <w:rPr>
          <w:rFonts w:hint="eastAsia" w:ascii="宋体" w:hAnsi="宋体" w:cs="宋体"/>
          <w:color w:val="000000" w:themeColor="text1"/>
          <w:szCs w:val="21"/>
          <w:lang w:eastAsia="zh-Hans"/>
          <w14:textFill>
            <w14:solidFill>
              <w14:schemeClr w14:val="tx1"/>
            </w14:solidFill>
          </w14:textFill>
        </w:rPr>
        <w:t>。披露方为维权支付的案件受理费、保全费、保全担保费、律师费、差旅费、调查费用及其他合理费用均由接收方承担</w:t>
      </w:r>
      <w:r>
        <w:rPr>
          <w:rFonts w:hint="eastAsia" w:ascii="宋体" w:hAnsi="宋体" w:cs="宋体"/>
          <w:color w:val="000000" w:themeColor="text1"/>
          <w:szCs w:val="21"/>
          <w14:textFill>
            <w14:solidFill>
              <w14:schemeClr w14:val="tx1"/>
            </w14:solidFill>
          </w14:textFill>
        </w:rPr>
        <w:t>。</w:t>
      </w:r>
    </w:p>
    <w:p w14:paraId="59BDB9F6">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5.2双方确认并承认，接收方违反本协议的任何条款都可能造成信息披露方不可弥补的损失，单独的金钱损害赔偿不能提供充分的救济。因此，尽管有前述第</w:t>
      </w:r>
      <w:r>
        <w:rPr>
          <w:rFonts w:hint="eastAsia" w:ascii="宋体" w:hAnsi="宋体" w:cs="宋体"/>
          <w:color w:val="000000" w:themeColor="text1"/>
          <w:szCs w:val="21"/>
          <w:lang w:eastAsia="zh-Hans"/>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条第1款的约定，针对信息接收方的违约或可能发生的违约，披露方除可行使约定权利和救济外，还可向任何具有管辖权的法院申请禁止令或其他类似的法律措施。</w:t>
      </w:r>
    </w:p>
    <w:p w14:paraId="5E93F605">
      <w:pPr>
        <w:adjustRightInd w:val="0"/>
        <w:snapToGrid w:val="0"/>
        <w:spacing w:line="360" w:lineRule="auto"/>
        <w:ind w:firstLine="420" w:firstLineChars="200"/>
        <w:rPr>
          <w:rFonts w:hint="eastAsia" w:ascii="宋体" w:hAnsi="宋体" w:cs="宋体"/>
          <w:b/>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六、</w:t>
      </w:r>
      <w:r>
        <w:rPr>
          <w:rFonts w:hint="eastAsia" w:ascii="宋体" w:hAnsi="宋体" w:cs="宋体"/>
          <w:b/>
          <w:color w:val="000000" w:themeColor="text1"/>
          <w:szCs w:val="21"/>
          <w:lang w:eastAsia="zh-Hans"/>
          <w14:textFill>
            <w14:solidFill>
              <w14:schemeClr w14:val="tx1"/>
            </w14:solidFill>
          </w14:textFill>
        </w:rPr>
        <w:t>不可抗力</w:t>
      </w:r>
    </w:p>
    <w:p w14:paraId="6D520DFB">
      <w:pPr>
        <w:adjustRightInd w:val="0"/>
        <w:snapToGrid w:val="0"/>
        <w:spacing w:line="360" w:lineRule="auto"/>
        <w:ind w:firstLine="420" w:firstLineChars="200"/>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不可抗力是指双方不能预见、不能避免且不能克服的客观情况。因为遭遇不可抗力而违约的，可适当减、免违约方的违约责任。发生不可抗力事件时，受影响方应及时以书面方式通知另一方有关不可抗力的发生情况和不可抗力对其履行本协议的影响，同时应提交不可抗力事件发生地的官方证明。因不可抗力导致本协议需要变更或终止时，应由本协议双方协商一致，以书面方式进行。</w:t>
      </w:r>
    </w:p>
    <w:p w14:paraId="7FEF5329">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其他约定</w:t>
      </w:r>
    </w:p>
    <w:p w14:paraId="1B564B33">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披露方不因本协议之签署，而负有披露或提供任何特定保密信息予接收方之义务，亦不担保其因双方合作所提供或披露之信息之完整性、正确性或合目的性。接收方并明了保密信息必然会含有诸如印刷错误、计算错误、缺漏或其他形式的错误。基于此，接收方如发现上述错误应书面通知披露方，以维持披露方提供信息的正确性。</w:t>
      </w:r>
    </w:p>
    <w:p w14:paraId="588FAE61">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7.2双方不因本协议之签署而具有雇佣、相互代理等关系。除双方就合作正式签署合作协议外，双方为洽谈合作进行的讨论及保密信息之披露或提供等，均不得解释为双方已就合作达成合意或承诺。</w:t>
      </w:r>
    </w:p>
    <w:p w14:paraId="1B21AAB0">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7.3任何一方在未征得对方书面同意的情况下，不能将本协议中的全部或部分权利、义务转让给协议外的第三人。</w:t>
      </w:r>
    </w:p>
    <w:p w14:paraId="759DE78B">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7.4本协议履行过程中发生争议的，甲、乙双方应先通过友好协商解决；如协商不成的，由披露方住所地人民法院诉讼管辖。</w:t>
      </w:r>
    </w:p>
    <w:p w14:paraId="45C8B5E2">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7.5本协议经双方签字并盖章后生效。</w:t>
      </w:r>
    </w:p>
    <w:p w14:paraId="3FF678A4">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7.6本协议书壹式</w:t>
      </w:r>
      <w:r>
        <w:rPr>
          <w:rFonts w:ascii="宋体" w:hAnsi="宋体" w:cs="宋体"/>
          <w:color w:val="000000" w:themeColor="text1"/>
          <w:szCs w:val="21"/>
          <w14:textFill>
            <w14:solidFill>
              <w14:schemeClr w14:val="tx1"/>
            </w14:solidFill>
          </w14:textFill>
        </w:rPr>
        <w:t>___</w:t>
      </w:r>
      <w:r>
        <w:rPr>
          <w:rFonts w:hint="eastAsia" w:ascii="宋体" w:hAnsi="宋体" w:cs="宋体"/>
          <w:color w:val="000000" w:themeColor="text1"/>
          <w:szCs w:val="21"/>
          <w14:textFill>
            <w14:solidFill>
              <w14:schemeClr w14:val="tx1"/>
            </w14:solidFill>
          </w14:textFill>
        </w:rPr>
        <w:t>份，双方各执</w:t>
      </w:r>
      <w:r>
        <w:rPr>
          <w:rFonts w:ascii="宋体" w:hAnsi="宋体" w:cs="宋体"/>
          <w:color w:val="000000" w:themeColor="text1"/>
          <w:szCs w:val="21"/>
          <w14:textFill>
            <w14:solidFill>
              <w14:schemeClr w14:val="tx1"/>
            </w14:solidFill>
          </w14:textFill>
        </w:rPr>
        <w:t>____</w:t>
      </w:r>
      <w:r>
        <w:rPr>
          <w:rFonts w:hint="eastAsia" w:ascii="宋体" w:hAnsi="宋体" w:cs="宋体"/>
          <w:color w:val="000000" w:themeColor="text1"/>
          <w:szCs w:val="21"/>
          <w14:textFill>
            <w14:solidFill>
              <w14:schemeClr w14:val="tx1"/>
            </w14:solidFill>
          </w14:textFill>
        </w:rPr>
        <w:t>份，具有同等法律效力。</w:t>
      </w:r>
    </w:p>
    <w:p w14:paraId="6D7F07BD">
      <w:p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（以下无正文）</w:t>
      </w:r>
    </w:p>
    <w:p w14:paraId="3D58C789">
      <w:pPr>
        <w:adjustRightInd w:val="0"/>
        <w:snapToGrid w:val="0"/>
        <w:spacing w:line="360" w:lineRule="auto"/>
        <w:rPr>
          <w:rFonts w:hint="eastAsia" w:ascii="宋体" w:hAnsi="宋体" w:cs="宋体"/>
          <w:b/>
          <w:color w:val="000000" w:themeColor="text1"/>
          <w:szCs w:val="21"/>
          <w14:textFill>
            <w14:solidFill>
              <w14:schemeClr w14:val="tx1"/>
            </w14:solidFill>
          </w14:textFill>
        </w:rPr>
      </w:pPr>
    </w:p>
    <w:p w14:paraId="11EB9F93">
      <w:pPr>
        <w:spacing w:before="240" w:beforeLines="100" w:after="240" w:afterLines="100" w:line="48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Hans"/>
          <w14:textFill>
            <w14:solidFill>
              <w14:schemeClr w14:val="tx1"/>
            </w14:solidFill>
          </w14:textFill>
        </w:rPr>
        <w:t>甲方</w:t>
      </w:r>
      <w:r>
        <w:rPr>
          <w:rFonts w:hint="eastAsia" w:ascii="宋体" w:hAnsi="宋体" w:cs="宋体"/>
          <w:b/>
          <w:color w:val="000000" w:themeColor="text1"/>
          <w:szCs w:val="21"/>
          <w14:textFill>
            <w14:solidFill>
              <w14:schemeClr w14:val="tx1"/>
            </w14:solidFill>
          </w14:textFill>
        </w:rPr>
        <w:t xml:space="preserve">（盖章）：                                 </w:t>
      </w:r>
      <w:r>
        <w:rPr>
          <w:rFonts w:hint="eastAsia" w:ascii="宋体" w:hAnsi="宋体" w:cs="宋体"/>
          <w:b/>
          <w:color w:val="000000" w:themeColor="text1"/>
          <w:szCs w:val="21"/>
          <w:lang w:eastAsia="zh-Hans"/>
          <w14:textFill>
            <w14:solidFill>
              <w14:schemeClr w14:val="tx1"/>
            </w14:solidFill>
          </w14:textFill>
        </w:rPr>
        <w:t>乙方</w:t>
      </w:r>
      <w:r>
        <w:rPr>
          <w:rFonts w:hint="eastAsia" w:ascii="宋体" w:hAnsi="宋体" w:cs="宋体"/>
          <w:b/>
          <w:color w:val="000000" w:themeColor="text1"/>
          <w:szCs w:val="21"/>
          <w14:textFill>
            <w14:solidFill>
              <w14:schemeClr w14:val="tx1"/>
            </w14:solidFill>
          </w14:textFill>
        </w:rPr>
        <w:t xml:space="preserve">（盖章）： </w:t>
      </w:r>
    </w:p>
    <w:p w14:paraId="175584D9">
      <w:pPr>
        <w:adjustRightInd w:val="0"/>
        <w:snapToGrid w:val="0"/>
        <w:spacing w:line="360" w:lineRule="auto"/>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授权代表（签字）：                             授权代表（签字）：</w:t>
      </w:r>
    </w:p>
    <w:p w14:paraId="46D64662">
      <w:pPr>
        <w:adjustRightInd w:val="0"/>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地址：                                        住所：</w:t>
      </w:r>
    </w:p>
    <w:p w14:paraId="2556F75E">
      <w:pPr>
        <w:adjustRightInd w:val="0"/>
        <w:snapToGrid w:val="0"/>
        <w:spacing w:line="360" w:lineRule="auto"/>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电话：                                        电话：</w:t>
      </w:r>
    </w:p>
    <w:p w14:paraId="145C9BDB">
      <w:pPr>
        <w:adjustRightInd w:val="0"/>
        <w:snapToGrid w:val="0"/>
        <w:spacing w:line="360" w:lineRule="auto"/>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传真：                                        传真：</w:t>
      </w:r>
    </w:p>
    <w:p w14:paraId="3FD3D7B5">
      <w:pPr>
        <w:rPr>
          <w:color w:val="000000" w:themeColor="text1"/>
          <w14:textFill>
            <w14:solidFill>
              <w14:schemeClr w14:val="tx1"/>
            </w14:solidFill>
          </w14:textFill>
        </w:rPr>
      </w:pPr>
    </w:p>
    <w:p w14:paraId="3D07089B">
      <w:pPr>
        <w:spacing w:line="440" w:lineRule="exact"/>
        <w:rPr>
          <w:rFonts w:hint="eastAsia" w:ascii="宋体" w:hAnsi="宋体"/>
          <w:b/>
          <w:color w:val="000000" w:themeColor="text1"/>
          <w:szCs w:val="21"/>
          <w14:textFill>
            <w14:solidFill>
              <w14:schemeClr w14:val="tx1"/>
            </w14:solidFill>
          </w14:textFill>
        </w:rPr>
      </w:pPr>
    </w:p>
    <w:p w14:paraId="51E1F195">
      <w:pPr>
        <w:spacing w:line="440" w:lineRule="exact"/>
        <w:rPr>
          <w:rFonts w:hint="eastAsia" w:ascii="宋体" w:hAnsi="宋体"/>
          <w:b/>
          <w:color w:val="000000" w:themeColor="text1"/>
          <w:szCs w:val="21"/>
          <w14:textFill>
            <w14:solidFill>
              <w14:schemeClr w14:val="tx1"/>
            </w14:solidFill>
          </w14:textFill>
        </w:rPr>
      </w:pPr>
    </w:p>
    <w:p w14:paraId="63FDC1B6">
      <w:pPr>
        <w:spacing w:line="440" w:lineRule="exact"/>
        <w:rPr>
          <w:rFonts w:hint="eastAsia" w:ascii="宋体" w:hAnsi="宋体"/>
          <w:b/>
          <w:color w:val="000000" w:themeColor="text1"/>
          <w:szCs w:val="21"/>
          <w14:textFill>
            <w14:solidFill>
              <w14:schemeClr w14:val="tx1"/>
            </w14:solidFill>
          </w14:textFill>
        </w:rPr>
      </w:pPr>
    </w:p>
    <w:p w14:paraId="18FD4221">
      <w:pPr>
        <w:spacing w:line="440" w:lineRule="exact"/>
        <w:rPr>
          <w:rFonts w:hint="eastAsia" w:ascii="宋体" w:hAnsi="宋体"/>
          <w:b/>
          <w:color w:val="000000" w:themeColor="text1"/>
          <w:szCs w:val="21"/>
          <w14:textFill>
            <w14:solidFill>
              <w14:schemeClr w14:val="tx1"/>
            </w14:solidFill>
          </w14:textFill>
        </w:rPr>
      </w:pPr>
    </w:p>
    <w:p w14:paraId="46DEABC1">
      <w:pPr>
        <w:spacing w:line="440" w:lineRule="exact"/>
        <w:rPr>
          <w:rFonts w:hint="eastAsia" w:ascii="宋体" w:hAnsi="宋体"/>
          <w:b/>
          <w:color w:val="000000" w:themeColor="text1"/>
          <w:szCs w:val="21"/>
          <w14:textFill>
            <w14:solidFill>
              <w14:schemeClr w14:val="tx1"/>
            </w14:solidFill>
          </w14:textFill>
        </w:rPr>
      </w:pPr>
    </w:p>
    <w:p w14:paraId="676FD4B1">
      <w:pPr>
        <w:pStyle w:val="19"/>
        <w:widowControl/>
        <w:spacing w:line="360" w:lineRule="auto"/>
        <w:ind w:firstLine="0"/>
        <w:jc w:val="left"/>
        <w:rPr>
          <w:color w:val="000000" w:themeColor="text1"/>
          <w14:textFill>
            <w14:solidFill>
              <w14:schemeClr w14:val="tx1"/>
            </w14:solidFill>
          </w14:textFill>
        </w:rPr>
      </w:pPr>
    </w:p>
    <w:p w14:paraId="483F7260">
      <w:pPr>
        <w:spacing w:line="360" w:lineRule="auto"/>
        <w:rPr>
          <w:rFonts w:hint="eastAsia" w:ascii="宋体" w:hAnsi="宋体"/>
          <w:b/>
          <w:bCs/>
          <w:color w:val="000000" w:themeColor="text1"/>
          <w:kern w:val="44"/>
          <w:sz w:val="30"/>
          <w:szCs w:val="44"/>
          <w14:textFill>
            <w14:solidFill>
              <w14:schemeClr w14:val="tx1"/>
            </w14:solidFill>
          </w14:textFill>
        </w:rPr>
      </w:pPr>
      <w:r>
        <w:rPr>
          <w:rFonts w:ascii="宋体" w:hAnsi="宋体"/>
          <w:color w:val="000000" w:themeColor="text1"/>
          <w:sz w:val="30"/>
          <w14:textFill>
            <w14:solidFill>
              <w14:schemeClr w14:val="tx1"/>
            </w14:solidFill>
          </w14:textFill>
        </w:rPr>
        <w:br w:type="page"/>
      </w:r>
    </w:p>
    <w:p w14:paraId="4513B22E">
      <w:pPr>
        <w:pStyle w:val="2"/>
        <w:spacing w:before="0" w:after="0" w:line="360" w:lineRule="auto"/>
        <w:jc w:val="center"/>
        <w:rPr>
          <w:color w:val="000000" w:themeColor="text1"/>
          <w14:textFill>
            <w14:solidFill>
              <w14:schemeClr w14:val="tx1"/>
            </w14:solidFill>
          </w14:textFill>
        </w:rPr>
      </w:pPr>
      <w:bookmarkStart w:id="239" w:name="_Toc19983"/>
      <w:r>
        <w:rPr>
          <w:rFonts w:hint="eastAsia" w:ascii="宋体" w:hAnsi="宋体"/>
          <w:color w:val="000000" w:themeColor="text1"/>
          <w:sz w:val="30"/>
          <w14:textFill>
            <w14:solidFill>
              <w14:schemeClr w14:val="tx1"/>
            </w14:solidFill>
          </w14:textFill>
        </w:rPr>
        <w:t>第六章 投标文件格式</w:t>
      </w:r>
      <w:bookmarkEnd w:id="196"/>
      <w:bookmarkEnd w:id="239"/>
      <w:bookmarkStart w:id="240" w:name="_Toc460857946"/>
    </w:p>
    <w:p w14:paraId="1FA7585E">
      <w:pP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格式一：</w:t>
      </w:r>
      <w:r>
        <w:rPr>
          <w:rFonts w:hint="eastAsia" w:ascii="宋体" w:hAnsi="宋体"/>
          <w:color w:val="000000" w:themeColor="text1"/>
          <w:szCs w:val="21"/>
          <w14:textFill>
            <w14:solidFill>
              <w14:schemeClr w14:val="tx1"/>
            </w14:solidFill>
          </w14:textFill>
        </w:rPr>
        <w:t>投标人资格声明</w:t>
      </w:r>
    </w:p>
    <w:p w14:paraId="71F5D6D3">
      <w:pPr>
        <w:jc w:val="center"/>
        <w:outlineLvl w:val="2"/>
        <w:rPr>
          <w:rFonts w:hint="eastAsia" w:ascii="宋体" w:hAnsi="宋体"/>
          <w:b/>
          <w:color w:val="000000" w:themeColor="text1"/>
          <w:sz w:val="28"/>
          <w:szCs w:val="28"/>
          <w14:textFill>
            <w14:solidFill>
              <w14:schemeClr w14:val="tx1"/>
            </w14:solidFill>
          </w14:textFill>
        </w:rPr>
      </w:pPr>
      <w:bookmarkStart w:id="241" w:name="_Toc275865606"/>
    </w:p>
    <w:p w14:paraId="7F3F6432">
      <w:pPr>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投标人资格声明函</w:t>
      </w:r>
      <w:bookmarkEnd w:id="241"/>
    </w:p>
    <w:p w14:paraId="3DF3C2A2">
      <w:pPr>
        <w:rPr>
          <w:rFonts w:hint="eastAsia" w:ascii="宋体" w:hAnsi="宋体"/>
          <w:b/>
          <w:color w:val="000000" w:themeColor="text1"/>
          <w14:textFill>
            <w14:solidFill>
              <w14:schemeClr w14:val="tx1"/>
            </w14:solidFill>
          </w14:textFill>
        </w:rPr>
      </w:pPr>
    </w:p>
    <w:p w14:paraId="4B7E8D0E">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采购人或采购代理机构：</w:t>
      </w:r>
    </w:p>
    <w:p w14:paraId="50F62182">
      <w:pPr>
        <w:snapToGrid w:val="0"/>
        <w:spacing w:before="120" w:beforeLines="50" w:line="360" w:lineRule="auto"/>
        <w:ind w:firstLine="424" w:firstLineChars="202"/>
        <w:rPr>
          <w:rFonts w:hint="eastAsia" w:ascii="宋体" w:hAnsi="宋体"/>
          <w:color w:val="000000" w:themeColor="text1"/>
          <w14:textFill>
            <w14:solidFill>
              <w14:schemeClr w14:val="tx1"/>
            </w14:solidFill>
          </w14:textFill>
        </w:rPr>
      </w:pPr>
    </w:p>
    <w:p w14:paraId="0D7066C0">
      <w:pPr>
        <w:snapToGrid w:val="0"/>
        <w:spacing w:before="120" w:beforeLines="50"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关于你贵司项目（项目编号：　　　）的采购公告，本公司（企业）愿意参加投标，并声明：</w:t>
      </w:r>
    </w:p>
    <w:p w14:paraId="2C228428">
      <w:pPr>
        <w:snapToGrid w:val="0"/>
        <w:spacing w:line="360" w:lineRule="auto"/>
        <w:ind w:firstLine="424" w:firstLineChars="202"/>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本公司（企业）具备</w:t>
      </w:r>
      <w:r>
        <w:rPr>
          <w:rFonts w:hint="eastAsia" w:ascii="宋体" w:hAnsi="宋体"/>
          <w:bCs/>
          <w:color w:val="000000" w:themeColor="text1"/>
          <w:szCs w:val="21"/>
          <w14:textFill>
            <w14:solidFill>
              <w14:schemeClr w14:val="tx1"/>
            </w14:solidFill>
          </w14:textFill>
        </w:rPr>
        <w:t>《中华人民共和国政府采购法》第二十二条资格条件，</w:t>
      </w:r>
    </w:p>
    <w:p w14:paraId="4334B30B">
      <w:pPr>
        <w:snapToGrid w:val="0"/>
        <w:spacing w:line="360" w:lineRule="auto"/>
        <w:ind w:firstLine="424" w:firstLineChars="202"/>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（一）具有独立承担民事责任的能力；</w:t>
      </w:r>
    </w:p>
    <w:p w14:paraId="57C595E5">
      <w:pPr>
        <w:snapToGrid w:val="0"/>
        <w:spacing w:line="360" w:lineRule="auto"/>
        <w:ind w:firstLine="424" w:firstLineChars="202"/>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（二）具有良好的商业信誉和健全的财务会计制度；</w:t>
      </w:r>
    </w:p>
    <w:p w14:paraId="5214576B">
      <w:pPr>
        <w:snapToGrid w:val="0"/>
        <w:spacing w:line="360" w:lineRule="auto"/>
        <w:ind w:firstLine="424" w:firstLineChars="202"/>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（三）具有履行合同所必需的设备和专业技术能力；</w:t>
      </w:r>
    </w:p>
    <w:p w14:paraId="716A8CEB">
      <w:pPr>
        <w:snapToGrid w:val="0"/>
        <w:spacing w:line="360" w:lineRule="auto"/>
        <w:ind w:firstLine="424" w:firstLineChars="202"/>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（四）有依法缴纳税收和社会保障资金的良好记录；</w:t>
      </w:r>
    </w:p>
    <w:p w14:paraId="1FAD068A">
      <w:pPr>
        <w:snapToGrid w:val="0"/>
        <w:spacing w:line="360" w:lineRule="auto"/>
        <w:ind w:firstLine="424" w:firstLineChars="202"/>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（五）参加政府采购活动前三年内，在经营活动中没有重大违法记录；</w:t>
      </w:r>
    </w:p>
    <w:p w14:paraId="4BE096A7">
      <w:pPr>
        <w:snapToGrid w:val="0"/>
        <w:spacing w:line="360" w:lineRule="auto"/>
        <w:ind w:firstLine="424" w:firstLineChars="202"/>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（六）法律、行政法规规定的其他条件。</w:t>
      </w:r>
    </w:p>
    <w:p w14:paraId="02005931">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并已清楚采购文件的要求及有关文件规定。</w:t>
      </w:r>
    </w:p>
    <w:p w14:paraId="626A5C14">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本公司（企业）的法定代表人或单位负责人与所参投的本采购项目的其他投标人的法定代表人或单位负责人不为同一人且与其他投标人之间不存在直接控股、管理关系。</w:t>
      </w:r>
    </w:p>
    <w:p w14:paraId="255B5CB6">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14:paraId="3D007CBF">
      <w:pPr>
        <w:snapToGrid w:val="0"/>
        <w:spacing w:line="360" w:lineRule="auto"/>
        <w:ind w:firstLine="426" w:firstLineChars="202"/>
        <w:rPr>
          <w:rFonts w:hint="eastAsia"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本公司（企业）</w:t>
      </w:r>
      <w:r>
        <w:rPr>
          <w:rFonts w:ascii="宋体" w:hAnsi="宋体"/>
          <w:b/>
          <w:color w:val="000000" w:themeColor="text1"/>
          <w14:textFill>
            <w14:solidFill>
              <w14:schemeClr w14:val="tx1"/>
            </w14:solidFill>
          </w14:textFill>
        </w:rPr>
        <w:t>具有履行合同所必需的设备和专业技术能力</w:t>
      </w:r>
      <w:r>
        <w:rPr>
          <w:rFonts w:hint="eastAsia" w:ascii="宋体" w:hAnsi="宋体"/>
          <w:b/>
          <w:color w:val="000000" w:themeColor="text1"/>
          <w14:textFill>
            <w14:solidFill>
              <w14:schemeClr w14:val="tx1"/>
            </w14:solidFill>
          </w14:textFill>
        </w:rPr>
        <w:t>，且本公司（企业）参加政府采购活动前</w:t>
      </w: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年内在经营活动中没有重大违法记录。</w:t>
      </w:r>
      <w:r>
        <w:rPr>
          <w:rFonts w:hint="eastAsia" w:ascii="宋体" w:hAnsi="宋体"/>
          <w:color w:val="000000" w:themeColor="text1"/>
          <w14:textFill>
            <w14:solidFill>
              <w14:schemeClr w14:val="tx1"/>
            </w14:solidFill>
          </w14:textFill>
        </w:rPr>
        <w:t>否则，由此所造成的损失、不良后果及法律责任，一律由我公司（企业）承担。</w:t>
      </w:r>
    </w:p>
    <w:p w14:paraId="56BE81EE">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本次招标采购活动中，如有违法、违规、弄虚作假行为，所造成的损失、不良后果及法律责任，一律由我公司（企业）承担。</w:t>
      </w:r>
    </w:p>
    <w:p w14:paraId="658B596E">
      <w:pPr>
        <w:spacing w:line="360" w:lineRule="auto"/>
        <w:ind w:firstLine="420"/>
        <w:rPr>
          <w:rFonts w:hint="eastAsia" w:ascii="宋体" w:hAnsi="宋体"/>
          <w:b/>
          <w:color w:val="000000" w:themeColor="text1"/>
          <w14:textFill>
            <w14:solidFill>
              <w14:schemeClr w14:val="tx1"/>
            </w14:solidFill>
          </w14:textFill>
        </w:rPr>
      </w:pPr>
    </w:p>
    <w:p w14:paraId="2DF2C63A">
      <w:pPr>
        <w:spacing w:line="360" w:lineRule="auto"/>
        <w:ind w:firstLine="420"/>
        <w:rPr>
          <w:rFonts w:hint="eastAsia" w:ascii="宋体" w:hAnsi="宋体"/>
          <w:b/>
          <w:color w:val="000000" w:themeColor="text1"/>
          <w14:textFill>
            <w14:solidFill>
              <w14:schemeClr w14:val="tx1"/>
            </w14:solidFill>
          </w14:textFill>
        </w:rPr>
      </w:pPr>
    </w:p>
    <w:p w14:paraId="55AB5CCF">
      <w:pPr>
        <w:spacing w:line="360" w:lineRule="auto"/>
        <w:ind w:firstLine="42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特此声明！</w:t>
      </w:r>
    </w:p>
    <w:p w14:paraId="2A1464D1">
      <w:pPr>
        <w:adjustRightInd w:val="0"/>
        <w:snapToGrid w:val="0"/>
        <w:spacing w:line="360" w:lineRule="auto"/>
        <w:ind w:left="425"/>
        <w:rPr>
          <w:rFonts w:hint="eastAsia" w:ascii="宋体" w:hAnsi="宋体"/>
          <w:color w:val="000000" w:themeColor="text1"/>
          <w:spacing w:val="4"/>
          <w14:textFill>
            <w14:solidFill>
              <w14:schemeClr w14:val="tx1"/>
            </w14:solidFill>
          </w14:textFill>
        </w:rPr>
      </w:pPr>
    </w:p>
    <w:p w14:paraId="6B6C63D0">
      <w:pPr>
        <w:widowControl/>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人（盖章）：</w:t>
      </w:r>
    </w:p>
    <w:p w14:paraId="383E241D">
      <w:pPr>
        <w:pStyle w:val="19"/>
        <w:snapToGrid w:val="0"/>
        <w:spacing w:line="360" w:lineRule="auto"/>
        <w:ind w:firstLine="0"/>
        <w:rPr>
          <w:rFonts w:hint="eastAsia" w:hAnsi="宋体"/>
          <w:color w:val="000000" w:themeColor="text1"/>
          <w:spacing w:val="0"/>
          <w:sz w:val="24"/>
          <w:szCs w:val="24"/>
          <w14:textFill>
            <w14:solidFill>
              <w14:schemeClr w14:val="tx1"/>
            </w14:solidFill>
          </w14:textFill>
        </w:rPr>
      </w:pPr>
      <w:r>
        <w:rPr>
          <w:rFonts w:hint="eastAsia" w:hAnsi="宋体"/>
          <w:color w:val="000000" w:themeColor="text1"/>
          <w:spacing w:val="0"/>
          <w:sz w:val="24"/>
          <w:szCs w:val="24"/>
          <w14:textFill>
            <w14:solidFill>
              <w14:schemeClr w14:val="tx1"/>
            </w14:solidFill>
          </w14:textFill>
        </w:rPr>
        <w:t>法定代表人或其授权代表（签字或盖章）：</w:t>
      </w:r>
    </w:p>
    <w:p w14:paraId="42FC489F">
      <w:pPr>
        <w:pStyle w:val="19"/>
        <w:widowControl/>
        <w:spacing w:line="360" w:lineRule="auto"/>
        <w:ind w:firstLine="0"/>
        <w:jc w:val="left"/>
        <w:rPr>
          <w:rFonts w:hint="eastAsia" w:hAnsi="宋体"/>
          <w:color w:val="000000" w:themeColor="text1"/>
          <w:spacing w:val="0"/>
          <w:sz w:val="24"/>
          <w:szCs w:val="24"/>
          <w14:textFill>
            <w14:solidFill>
              <w14:schemeClr w14:val="tx1"/>
            </w14:solidFill>
          </w14:textFill>
        </w:rPr>
      </w:pPr>
      <w:r>
        <w:rPr>
          <w:rFonts w:hint="eastAsia" w:hAnsi="宋体"/>
          <w:color w:val="000000" w:themeColor="text1"/>
          <w:spacing w:val="0"/>
          <w:sz w:val="24"/>
          <w:szCs w:val="24"/>
          <w14:textFill>
            <w14:solidFill>
              <w14:schemeClr w14:val="tx1"/>
            </w14:solidFill>
          </w14:textFill>
        </w:rPr>
        <w:t>日  期：</w:t>
      </w:r>
    </w:p>
    <w:p w14:paraId="637ADEAA">
      <w:pPr>
        <w:widowControl/>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7BBD16F7">
      <w:pPr>
        <w:rPr>
          <w:rFonts w:hint="eastAsia" w:ascii="宋体" w:hAnsi="宋体"/>
          <w:color w:val="000000" w:themeColor="text1"/>
          <w:sz w:val="24"/>
          <w14:textFill>
            <w14:solidFill>
              <w14:schemeClr w14:val="tx1"/>
            </w14:solidFill>
          </w14:textFill>
        </w:rPr>
      </w:pPr>
      <w:r>
        <w:rPr>
          <w:rFonts w:hint="eastAsia" w:ascii="宋体" w:hAnsi="宋体"/>
          <w:b/>
          <w:color w:val="000000" w:themeColor="text1"/>
          <w14:textFill>
            <w14:solidFill>
              <w14:schemeClr w14:val="tx1"/>
            </w14:solidFill>
          </w14:textFill>
        </w:rPr>
        <w:t>格式二：</w:t>
      </w:r>
    </w:p>
    <w:p w14:paraId="2027018F">
      <w:pPr>
        <w:jc w:val="center"/>
        <w:rPr>
          <w:rFonts w:hint="eastAsia"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投标承诺书</w:t>
      </w:r>
    </w:p>
    <w:p w14:paraId="1373A04C">
      <w:pPr>
        <w:ind w:firstLine="420"/>
        <w:rPr>
          <w:rFonts w:hint="eastAsia" w:ascii="宋体" w:hAnsi="宋体"/>
          <w:color w:val="000000" w:themeColor="text1"/>
          <w14:textFill>
            <w14:solidFill>
              <w14:schemeClr w14:val="tx1"/>
            </w14:solidFill>
          </w14:textFill>
        </w:rPr>
      </w:pPr>
    </w:p>
    <w:p w14:paraId="55D932D0">
      <w:pPr>
        <w:spacing w:line="360" w:lineRule="auto"/>
        <w:ind w:firstLine="42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本投标人遵循公开、公平、公正和诚实信用的原则，参加_____________ 项目投标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，特郑重承诺如下</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p>
    <w:p w14:paraId="087F400A">
      <w:pPr>
        <w:spacing w:line="360" w:lineRule="auto"/>
        <w:ind w:firstLine="42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一、所提供的一切资料都是真实、有效、合法的</w:t>
      </w:r>
      <w:r>
        <w:rPr>
          <w:rFonts w:hint="eastAsia" w:ascii="宋体" w:hAnsi="宋体"/>
          <w:color w:val="000000" w:themeColor="text1"/>
          <w14:textFill>
            <w14:solidFill>
              <w14:schemeClr w14:val="tx1"/>
            </w14:solidFill>
          </w14:textFill>
        </w:rPr>
        <w:t>；</w:t>
      </w:r>
    </w:p>
    <w:p w14:paraId="14C87762">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二、未为本项目提供整体设计、规范编制或者项目管理、监理、检测等服务。</w:t>
      </w:r>
    </w:p>
    <w:p w14:paraId="6998A378">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三、与采购人不存在以下利害关系（1）北京航空航天大学、北京航空航天大学宁波创新研究院在该投标人中有股份的。（2）项目负责人、项目主要成员及经办人在该投标人中有股份或任职的。</w:t>
      </w:r>
    </w:p>
    <w:p w14:paraId="1FC42DA1">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ascii="宋体" w:hAnsi="宋体"/>
          <w:color w:val="000000" w:themeColor="text1"/>
          <w14:textFill>
            <w14:solidFill>
              <w14:schemeClr w14:val="tx1"/>
            </w14:solidFill>
          </w14:textFill>
        </w:rPr>
        <w:t>、无资质挂靠或出卖资质让他人挂靠投标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的行为</w:t>
      </w:r>
      <w:r>
        <w:rPr>
          <w:rFonts w:hint="eastAsia" w:ascii="宋体" w:hAnsi="宋体"/>
          <w:color w:val="000000" w:themeColor="text1"/>
          <w14:textFill>
            <w14:solidFill>
              <w14:schemeClr w14:val="tx1"/>
            </w14:solidFill>
          </w14:textFill>
        </w:rPr>
        <w:t>；</w:t>
      </w:r>
    </w:p>
    <w:p w14:paraId="441736B4">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w:t>
      </w:r>
      <w:r>
        <w:rPr>
          <w:rFonts w:ascii="宋体" w:hAnsi="宋体"/>
          <w:color w:val="000000" w:themeColor="text1"/>
          <w14:textFill>
            <w14:solidFill>
              <w14:schemeClr w14:val="tx1"/>
            </w14:solidFill>
          </w14:textFill>
        </w:rPr>
        <w:t>、不以他人名义投标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或者以其他方式弄虚作假，骗取中标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成交</w:t>
      </w:r>
      <w:r>
        <w:rPr>
          <w:rFonts w:hint="eastAsia" w:ascii="宋体" w:hAnsi="宋体"/>
          <w:color w:val="000000" w:themeColor="text1"/>
          <w14:textFill>
            <w14:solidFill>
              <w14:schemeClr w14:val="tx1"/>
            </w14:solidFill>
          </w14:textFill>
        </w:rPr>
        <w:t>） ；</w:t>
      </w:r>
    </w:p>
    <w:p w14:paraId="499A8097">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w:t>
      </w:r>
      <w:r>
        <w:rPr>
          <w:rFonts w:ascii="宋体" w:hAnsi="宋体"/>
          <w:color w:val="000000" w:themeColor="text1"/>
          <w14:textFill>
            <w14:solidFill>
              <w14:schemeClr w14:val="tx1"/>
            </w14:solidFill>
          </w14:textFill>
        </w:rPr>
        <w:t>、没有被各级行政主管部门做出停止市场行为的处罚</w:t>
      </w:r>
      <w:r>
        <w:rPr>
          <w:rFonts w:hint="eastAsia" w:ascii="宋体" w:hAnsi="宋体"/>
          <w:color w:val="000000" w:themeColor="text1"/>
          <w14:textFill>
            <w14:solidFill>
              <w14:schemeClr w14:val="tx1"/>
            </w14:solidFill>
          </w14:textFill>
        </w:rPr>
        <w:t>；</w:t>
      </w:r>
    </w:p>
    <w:p w14:paraId="4743FB98">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w:t>
      </w:r>
      <w:r>
        <w:rPr>
          <w:rFonts w:ascii="宋体" w:hAnsi="宋体"/>
          <w:color w:val="000000" w:themeColor="text1"/>
          <w14:textFill>
            <w14:solidFill>
              <w14:schemeClr w14:val="tx1"/>
            </w14:solidFill>
          </w14:textFill>
        </w:rPr>
        <w:t>、不参与串标、围标及抬标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情形，不排挤其他投标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人的公平竞争</w:t>
      </w:r>
      <w:r>
        <w:rPr>
          <w:rFonts w:hint="eastAsia" w:ascii="宋体" w:hAnsi="宋体"/>
          <w:color w:val="000000" w:themeColor="text1"/>
          <w14:textFill>
            <w14:solidFill>
              <w14:schemeClr w14:val="tx1"/>
            </w14:solidFill>
          </w14:textFill>
        </w:rPr>
        <w:t>；</w:t>
      </w:r>
    </w:p>
    <w:p w14:paraId="1617CEC9">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w:t>
      </w:r>
      <w:r>
        <w:rPr>
          <w:rFonts w:ascii="宋体" w:hAnsi="宋体"/>
          <w:color w:val="000000" w:themeColor="text1"/>
          <w14:textFill>
            <w14:solidFill>
              <w14:schemeClr w14:val="tx1"/>
            </w14:solidFill>
          </w14:textFill>
        </w:rPr>
        <w:t>、不与采购人或采购代理机构串通投标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，损害国家利益、社会公共利益或者他人的合法权益</w:t>
      </w:r>
      <w:r>
        <w:rPr>
          <w:rFonts w:hint="eastAsia" w:ascii="宋体" w:hAnsi="宋体"/>
          <w:color w:val="000000" w:themeColor="text1"/>
          <w14:textFill>
            <w14:solidFill>
              <w14:schemeClr w14:val="tx1"/>
            </w14:solidFill>
          </w14:textFill>
        </w:rPr>
        <w:t>；</w:t>
      </w:r>
    </w:p>
    <w:p w14:paraId="2A64C352">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、不向采购人或者评审委员会成员行贿以牟取中标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成交</w:t>
      </w:r>
      <w:r>
        <w:rPr>
          <w:rFonts w:hint="eastAsia" w:ascii="宋体" w:hAnsi="宋体"/>
          <w:color w:val="000000" w:themeColor="text1"/>
          <w14:textFill>
            <w14:solidFill>
              <w14:schemeClr w14:val="tx1"/>
            </w14:solidFill>
          </w14:textFill>
        </w:rPr>
        <w:t>） ；</w:t>
      </w:r>
    </w:p>
    <w:p w14:paraId="76A5F382">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w:t>
      </w:r>
      <w:r>
        <w:rPr>
          <w:rFonts w:ascii="宋体" w:hAnsi="宋体"/>
          <w:color w:val="000000" w:themeColor="text1"/>
          <w14:textFill>
            <w14:solidFill>
              <w14:schemeClr w14:val="tx1"/>
            </w14:solidFill>
          </w14:textFill>
        </w:rPr>
        <w:t>、不扰乱采购人招标采购秩序，不在招标采购过程中进行虚假恶意投标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、质疑或投诉</w:t>
      </w:r>
      <w:r>
        <w:rPr>
          <w:rFonts w:hint="eastAsia" w:ascii="宋体" w:hAnsi="宋体"/>
          <w:color w:val="000000" w:themeColor="text1"/>
          <w14:textFill>
            <w14:solidFill>
              <w14:schemeClr w14:val="tx1"/>
            </w14:solidFill>
          </w14:textFill>
        </w:rPr>
        <w:t>；</w:t>
      </w:r>
    </w:p>
    <w:p w14:paraId="577BB072">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w:t>
      </w:r>
      <w:r>
        <w:rPr>
          <w:rFonts w:ascii="宋体" w:hAnsi="宋体"/>
          <w:color w:val="000000" w:themeColor="text1"/>
          <w14:textFill>
            <w14:solidFill>
              <w14:schemeClr w14:val="tx1"/>
            </w14:solidFill>
          </w14:textFill>
        </w:rPr>
        <w:t>、若我方中标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成交</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，将严格按照投标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文件所承诺的报价、质量、</w:t>
      </w:r>
      <w:r>
        <w:rPr>
          <w:rFonts w:hint="eastAsia" w:ascii="宋体" w:hAnsi="宋体"/>
          <w:color w:val="000000" w:themeColor="text1"/>
          <w14:textFill>
            <w14:solidFill>
              <w14:schemeClr w14:val="tx1"/>
            </w14:solidFill>
          </w14:textFill>
        </w:rPr>
        <w:t>交货</w:t>
      </w:r>
      <w:r>
        <w:rPr>
          <w:rFonts w:ascii="宋体" w:hAnsi="宋体"/>
          <w:color w:val="000000" w:themeColor="text1"/>
          <w14:textFill>
            <w14:solidFill>
              <w14:schemeClr w14:val="tx1"/>
            </w14:solidFill>
          </w14:textFill>
        </w:rPr>
        <w:t>期、 投标</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响应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方案等内容签署合同并组织实施。 </w:t>
      </w:r>
    </w:p>
    <w:p w14:paraId="3F2CE6BF">
      <w:pPr>
        <w:spacing w:line="360" w:lineRule="auto"/>
        <w:ind w:firstLine="42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本公司若有违反本承诺内容的行为之一，愿意承担法律责任，接受政府相关行政主管部门、行业组织及学校等依法依规进行的任何处罚。若造成财产损失，承担全部赔偿责任。 </w:t>
      </w:r>
    </w:p>
    <w:p w14:paraId="389D055A">
      <w:pPr>
        <w:spacing w:line="360" w:lineRule="auto"/>
        <w:rPr>
          <w:rFonts w:hint="eastAsia" w:ascii="宋体" w:hAnsi="宋体"/>
          <w:color w:val="000000" w:themeColor="text1"/>
          <w14:textFill>
            <w14:solidFill>
              <w14:schemeClr w14:val="tx1"/>
            </w14:solidFill>
          </w14:textFill>
        </w:rPr>
      </w:pPr>
    </w:p>
    <w:p w14:paraId="7AE330F9">
      <w:pPr>
        <w:widowControl/>
        <w:spacing w:line="360"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14:paraId="78DAB425">
      <w:pPr>
        <w:pStyle w:val="19"/>
        <w:snapToGrid w:val="0"/>
        <w:spacing w:line="360" w:lineRule="auto"/>
        <w:ind w:firstLine="0"/>
        <w:rPr>
          <w:rFonts w:hint="eastAsia"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法定代表人或其授权代表（签字或盖章）：</w:t>
      </w:r>
    </w:p>
    <w:p w14:paraId="793DDAA9">
      <w:pPr>
        <w:pStyle w:val="19"/>
        <w:widowControl/>
        <w:spacing w:line="360" w:lineRule="auto"/>
        <w:ind w:firstLine="0"/>
        <w:jc w:val="left"/>
        <w:rPr>
          <w:rFonts w:hint="eastAsia"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日           期：</w:t>
      </w:r>
    </w:p>
    <w:p w14:paraId="54FA82E6">
      <w:pPr>
        <w:widowControl/>
        <w:jc w:val="left"/>
        <w:rPr>
          <w:rFonts w:hint="eastAsia"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End w:id="197"/>
      <w:bookmarkEnd w:id="240"/>
    </w:p>
    <w:p w14:paraId="297C94FC">
      <w:pP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格式三：</w:t>
      </w:r>
      <w:r>
        <w:rPr>
          <w:rFonts w:hint="eastAsia" w:ascii="宋体" w:hAnsi="宋体"/>
          <w:color w:val="000000" w:themeColor="text1"/>
          <w:szCs w:val="21"/>
          <w14:textFill>
            <w14:solidFill>
              <w14:schemeClr w14:val="tx1"/>
            </w14:solidFill>
          </w14:textFill>
        </w:rPr>
        <w:t>投标函</w:t>
      </w:r>
    </w:p>
    <w:p w14:paraId="2B6C62D0">
      <w:pPr>
        <w:widowControl/>
        <w:spacing w:line="400" w:lineRule="exact"/>
        <w:jc w:val="center"/>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投标函</w:t>
      </w:r>
    </w:p>
    <w:p w14:paraId="7817822D">
      <w:pPr>
        <w:widowControl/>
        <w:spacing w:line="400" w:lineRule="exact"/>
        <w:jc w:val="center"/>
        <w:rPr>
          <w:rFonts w:hint="eastAsia" w:ascii="宋体" w:hAnsi="宋体"/>
          <w:b/>
          <w:color w:val="000000" w:themeColor="text1"/>
          <w:sz w:val="24"/>
          <w14:textFill>
            <w14:solidFill>
              <w14:schemeClr w14:val="tx1"/>
            </w14:solidFill>
          </w14:textFill>
        </w:rPr>
      </w:pPr>
    </w:p>
    <w:p w14:paraId="38E9F687">
      <w:pPr>
        <w:pStyle w:val="19"/>
        <w:widowControl/>
        <w:spacing w:line="360" w:lineRule="auto"/>
        <w:ind w:firstLine="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致：招标代理机构</w:t>
      </w:r>
    </w:p>
    <w:p w14:paraId="02A36E64">
      <w:pPr>
        <w:pStyle w:val="19"/>
        <w:widowControl/>
        <w:spacing w:line="360" w:lineRule="auto"/>
        <w:ind w:firstLine="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u w:val="single"/>
          <w14:textFill>
            <w14:solidFill>
              <w14:schemeClr w14:val="tx1"/>
            </w14:solidFill>
          </w14:textFill>
        </w:rPr>
        <w:t xml:space="preserve">   （投标人全称）   </w:t>
      </w:r>
      <w:r>
        <w:rPr>
          <w:rFonts w:hint="eastAsia" w:hAnsi="宋体"/>
          <w:color w:val="000000" w:themeColor="text1"/>
          <w:sz w:val="21"/>
          <w:szCs w:val="21"/>
          <w14:textFill>
            <w14:solidFill>
              <w14:schemeClr w14:val="tx1"/>
            </w14:solidFill>
          </w14:textFill>
        </w:rPr>
        <w:t xml:space="preserve"> 授权</w:t>
      </w:r>
      <w:r>
        <w:rPr>
          <w:rFonts w:hint="eastAsia" w:hAnsi="宋体"/>
          <w:color w:val="000000" w:themeColor="text1"/>
          <w:sz w:val="21"/>
          <w:szCs w:val="21"/>
          <w:u w:val="single"/>
          <w14:textFill>
            <w14:solidFill>
              <w14:schemeClr w14:val="tx1"/>
            </w14:solidFill>
          </w14:textFill>
        </w:rPr>
        <w:t xml:space="preserve"> （授权代表姓名、职务）   </w:t>
      </w:r>
      <w:r>
        <w:rPr>
          <w:rFonts w:hint="eastAsia" w:hAnsi="宋体"/>
          <w:color w:val="000000" w:themeColor="text1"/>
          <w:sz w:val="21"/>
          <w:szCs w:val="21"/>
          <w14:textFill>
            <w14:solidFill>
              <w14:schemeClr w14:val="tx1"/>
            </w14:solidFill>
          </w14:textFill>
        </w:rPr>
        <w:t xml:space="preserve">为本公司合法代理人，参加贵方组织的 </w:t>
      </w:r>
      <w:r>
        <w:rPr>
          <w:rFonts w:hint="eastAsia" w:hAnsi="宋体"/>
          <w:color w:val="000000" w:themeColor="text1"/>
          <w:sz w:val="21"/>
          <w:szCs w:val="21"/>
          <w:u w:val="single"/>
          <w14:textFill>
            <w14:solidFill>
              <w14:schemeClr w14:val="tx1"/>
            </w14:solidFill>
          </w14:textFill>
        </w:rPr>
        <w:t xml:space="preserve">   （招标编号、项目名称） </w:t>
      </w:r>
      <w:r>
        <w:rPr>
          <w:rFonts w:hint="eastAsia" w:hAnsi="宋体"/>
          <w:color w:val="000000" w:themeColor="text1"/>
          <w:sz w:val="21"/>
          <w:szCs w:val="21"/>
          <w14:textFill>
            <w14:solidFill>
              <w14:schemeClr w14:val="tx1"/>
            </w14:solidFill>
          </w14:textFill>
        </w:rPr>
        <w:t>招投标活动，代表本公司（单位）处理招投标活动中的一切事宜，在此：</w:t>
      </w:r>
    </w:p>
    <w:p w14:paraId="52CEA188">
      <w:pPr>
        <w:pStyle w:val="19"/>
        <w:widowControl/>
        <w:spacing w:line="360" w:lineRule="auto"/>
        <w:ind w:firstLine="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1、据此函，签字代表宣布并承诺如下：</w:t>
      </w:r>
    </w:p>
    <w:p w14:paraId="5C17C8E1">
      <w:pPr>
        <w:pStyle w:val="19"/>
        <w:widowControl/>
        <w:spacing w:line="360" w:lineRule="auto"/>
        <w:ind w:firstLine="202" w:firstLineChars="1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（1）我方对招标项目标项愿以投标报价：</w:t>
      </w:r>
      <w:r>
        <w:rPr>
          <w:rFonts w:hint="eastAsia" w:hAnsi="宋体"/>
          <w:color w:val="000000" w:themeColor="text1"/>
          <w:sz w:val="21"/>
          <w:szCs w:val="21"/>
          <w:u w:val="single"/>
          <w14:textFill>
            <w14:solidFill>
              <w14:schemeClr w14:val="tx1"/>
            </w14:solidFill>
          </w14:textFill>
        </w:rPr>
        <w:t xml:space="preserve">    元</w:t>
      </w:r>
      <w:r>
        <w:rPr>
          <w:rFonts w:hint="eastAsia" w:hAnsi="宋体"/>
          <w:color w:val="000000" w:themeColor="text1"/>
          <w:sz w:val="21"/>
          <w:szCs w:val="21"/>
          <w14:textFill>
            <w14:solidFill>
              <w14:schemeClr w14:val="tx1"/>
            </w14:solidFill>
          </w14:textFill>
        </w:rPr>
        <w:t>，承担采购文件规定内容。</w:t>
      </w:r>
    </w:p>
    <w:p w14:paraId="178254DB">
      <w:pPr>
        <w:pStyle w:val="19"/>
        <w:widowControl/>
        <w:spacing w:line="360" w:lineRule="auto"/>
        <w:ind w:left="715" w:leftChars="100" w:hanging="505" w:hangingChars="25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（2）本报价已经包含了所供货物应纳的税金及采购文件规定的报价方式应包含的其他费用。本报价在投标有效期内固定不变，并在合同有效期内不受利率波动的影响。</w:t>
      </w:r>
    </w:p>
    <w:p w14:paraId="7DFE055C">
      <w:pPr>
        <w:pStyle w:val="19"/>
        <w:widowControl/>
        <w:spacing w:line="360" w:lineRule="auto"/>
        <w:ind w:firstLine="202" w:firstLineChars="1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（3）本投标自开标之日起</w:t>
      </w:r>
      <w:r>
        <w:rPr>
          <w:rFonts w:hint="eastAsia" w:hAnsi="宋体"/>
          <w:color w:val="000000" w:themeColor="text1"/>
          <w:sz w:val="21"/>
          <w:szCs w:val="21"/>
          <w:u w:val="single"/>
          <w14:textFill>
            <w14:solidFill>
              <w14:schemeClr w14:val="tx1"/>
            </w14:solidFill>
          </w14:textFill>
        </w:rPr>
        <w:t xml:space="preserve">    90   </w:t>
      </w:r>
      <w:r>
        <w:rPr>
          <w:rFonts w:hint="eastAsia" w:hAnsi="宋体"/>
          <w:color w:val="000000" w:themeColor="text1"/>
          <w:sz w:val="21"/>
          <w:szCs w:val="21"/>
          <w14:textFill>
            <w14:solidFill>
              <w14:schemeClr w14:val="tx1"/>
            </w14:solidFill>
          </w14:textFill>
        </w:rPr>
        <w:t>天内有效。</w:t>
      </w:r>
    </w:p>
    <w:p w14:paraId="15209648">
      <w:pPr>
        <w:pStyle w:val="19"/>
        <w:widowControl/>
        <w:spacing w:line="360" w:lineRule="auto"/>
        <w:ind w:left="715" w:leftChars="100" w:hanging="505" w:hangingChars="25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（4）我们已详细审查全部采购文件及有关的澄清/修改文件（若有的话），我们完全理解并同意放弃对这方面提出任何异议的权利。保证遵守采购文件有关条款规定。</w:t>
      </w:r>
    </w:p>
    <w:p w14:paraId="1E320560">
      <w:pPr>
        <w:pStyle w:val="19"/>
        <w:widowControl/>
        <w:spacing w:line="360" w:lineRule="auto"/>
        <w:ind w:left="715" w:leftChars="100" w:hanging="505" w:hangingChars="25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（5）保证在中标后忠实地执行与招标人所签署的合同，并承担合同规定的责任义务。</w:t>
      </w:r>
    </w:p>
    <w:p w14:paraId="0004F6B7">
      <w:pPr>
        <w:pStyle w:val="19"/>
        <w:widowControl/>
        <w:spacing w:line="360" w:lineRule="auto"/>
        <w:ind w:left="715" w:leftChars="100" w:hanging="505" w:hangingChars="25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9797EDB">
      <w:pPr>
        <w:pStyle w:val="19"/>
        <w:widowControl/>
        <w:spacing w:line="360" w:lineRule="auto"/>
        <w:ind w:firstLine="202" w:firstLineChars="1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7</w:t>
      </w:r>
      <w:r>
        <w:rPr>
          <w:rFonts w:hint="eastAsia" w:hAnsi="宋体"/>
          <w:color w:val="000000" w:themeColor="text1"/>
          <w:sz w:val="21"/>
          <w:szCs w:val="21"/>
          <w14:textFill>
            <w14:solidFill>
              <w14:schemeClr w14:val="tx1"/>
            </w14:solidFill>
          </w14:textFill>
        </w:rPr>
        <w:t>）承诺应贵方要求提供任何与该项目投标有关的数据、情况和技术资料。</w:t>
      </w:r>
    </w:p>
    <w:p w14:paraId="25047021">
      <w:pPr>
        <w:pStyle w:val="19"/>
        <w:widowControl/>
        <w:spacing w:line="360" w:lineRule="auto"/>
        <w:ind w:left="614" w:leftChars="100" w:hanging="404" w:hangingChars="20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8</w:t>
      </w:r>
      <w:r>
        <w:rPr>
          <w:rFonts w:hint="eastAsia" w:hAnsi="宋体"/>
          <w:color w:val="000000" w:themeColor="text1"/>
          <w:sz w:val="21"/>
          <w:szCs w:val="21"/>
          <w14:textFill>
            <w14:solidFill>
              <w14:schemeClr w14:val="tx1"/>
            </w14:solidFill>
          </w14:textFill>
        </w:rPr>
        <w:t>）我们承诺，与为招标人采购本次招标的货物进行设计、编制规范和其他文件所委托的咨询公司或其附属机构无任何直接或间接的关联。</w:t>
      </w:r>
    </w:p>
    <w:p w14:paraId="364E57CA">
      <w:pPr>
        <w:pStyle w:val="19"/>
        <w:widowControl/>
        <w:spacing w:line="360" w:lineRule="auto"/>
        <w:ind w:left="303" w:hanging="303" w:hangingChars="15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我们郑重声明：</w:t>
      </w:r>
    </w:p>
    <w:p w14:paraId="768AA3E4">
      <w:pPr>
        <w:pStyle w:val="19"/>
        <w:widowControl/>
        <w:spacing w:line="360" w:lineRule="auto"/>
        <w:ind w:left="303" w:hanging="303" w:hangingChars="150"/>
        <w:jc w:val="left"/>
        <w:rPr>
          <w:rFonts w:hint="eastAsia"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我公司符合有关法律法规规定的参加采购活动应当具备的条件：具有健全的财务会计制度、依法缴纳税收和社会保障资金、参加本次采购活动之前的三年内，在经营活动中无重大违法活动。</w:t>
      </w:r>
    </w:p>
    <w:p w14:paraId="3FBE54EB">
      <w:pPr>
        <w:pStyle w:val="19"/>
        <w:widowControl/>
        <w:spacing w:line="360" w:lineRule="auto"/>
        <w:ind w:firstLine="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3、与本投标有关的一切往来通讯请寄：</w:t>
      </w:r>
    </w:p>
    <w:p w14:paraId="03CC9537">
      <w:pPr>
        <w:pStyle w:val="19"/>
        <w:widowControl/>
        <w:spacing w:line="360" w:lineRule="auto"/>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地址：</w:t>
      </w:r>
    </w:p>
    <w:p w14:paraId="5A850A4A">
      <w:pPr>
        <w:pStyle w:val="19"/>
        <w:widowControl/>
        <w:spacing w:line="360" w:lineRule="auto"/>
        <w:jc w:val="left"/>
        <w:rPr>
          <w:rFonts w:hint="eastAsia"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邮编：电话：传真：</w:t>
      </w:r>
    </w:p>
    <w:p w14:paraId="3CE89246">
      <w:pPr>
        <w:pStyle w:val="19"/>
        <w:widowControl/>
        <w:spacing w:line="360" w:lineRule="auto"/>
        <w:ind w:firstLine="0"/>
        <w:jc w:val="left"/>
        <w:rPr>
          <w:rFonts w:hint="eastAsia" w:hAnsi="宋体"/>
          <w:color w:val="000000" w:themeColor="text1"/>
          <w:sz w:val="21"/>
          <w:szCs w:val="21"/>
          <w14:textFill>
            <w14:solidFill>
              <w14:schemeClr w14:val="tx1"/>
            </w14:solidFill>
          </w14:textFill>
        </w:rPr>
      </w:pPr>
    </w:p>
    <w:p w14:paraId="414055A8">
      <w:pPr>
        <w:pStyle w:val="19"/>
        <w:snapToGrid w:val="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 标 人  （盖章）：</w:t>
      </w:r>
    </w:p>
    <w:p w14:paraId="5C22D9C8">
      <w:pPr>
        <w:pStyle w:val="19"/>
        <w:snapToGrid w:val="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法定代表人或其授权代表（签字或盖章）：</w:t>
      </w:r>
    </w:p>
    <w:p w14:paraId="4009BFFF">
      <w:pPr>
        <w:widowControl/>
        <w:jc w:val="left"/>
        <w:rPr>
          <w:rFonts w:hint="eastAsia" w:ascii="宋体" w:hAnsi="宋体"/>
          <w:b/>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 xml:space="preserve">   日             期：</w:t>
      </w:r>
      <w:r>
        <w:rPr>
          <w:rFonts w:hint="eastAsia" w:hAnsi="宋体"/>
          <w:color w:val="000000" w:themeColor="text1"/>
          <w:sz w:val="24"/>
          <w14:textFill>
            <w14:solidFill>
              <w14:schemeClr w14:val="tx1"/>
            </w14:solidFill>
          </w14:textFill>
        </w:rPr>
        <w:br w:type="page"/>
      </w:r>
    </w:p>
    <w:p w14:paraId="51177A85">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格式四：</w:t>
      </w:r>
      <w:r>
        <w:rPr>
          <w:rFonts w:hint="eastAsia" w:ascii="宋体" w:hAnsi="宋体"/>
          <w:color w:val="000000" w:themeColor="text1"/>
          <w:szCs w:val="21"/>
          <w14:textFill>
            <w14:solidFill>
              <w14:schemeClr w14:val="tx1"/>
            </w14:solidFill>
          </w14:textFill>
        </w:rPr>
        <w:t>法定代表人的身份证明</w:t>
      </w:r>
    </w:p>
    <w:p w14:paraId="0CC414D7">
      <w:pPr>
        <w:jc w:val="center"/>
        <w:rPr>
          <w:rFonts w:hint="eastAsia" w:ascii="宋体" w:hAnsi="宋体"/>
          <w:b/>
          <w:color w:val="000000" w:themeColor="text1"/>
          <w:sz w:val="32"/>
          <w:szCs w:val="32"/>
          <w14:textFill>
            <w14:solidFill>
              <w14:schemeClr w14:val="tx1"/>
            </w14:solidFill>
          </w14:textFill>
        </w:rPr>
      </w:pPr>
    </w:p>
    <w:p w14:paraId="59602B62">
      <w:pPr>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法定代表人身份证明</w:t>
      </w:r>
    </w:p>
    <w:p w14:paraId="596D400B">
      <w:pPr>
        <w:spacing w:line="480" w:lineRule="auto"/>
        <w:jc w:val="center"/>
        <w:rPr>
          <w:rFonts w:hint="eastAsia" w:ascii="宋体" w:hAnsi="宋体"/>
          <w:bCs/>
          <w:color w:val="000000" w:themeColor="text1"/>
          <w:sz w:val="24"/>
          <w14:textFill>
            <w14:solidFill>
              <w14:schemeClr w14:val="tx1"/>
            </w14:solidFill>
          </w14:textFill>
        </w:rPr>
      </w:pPr>
    </w:p>
    <w:p w14:paraId="4F3EBFFC">
      <w:pPr>
        <w:spacing w:line="480" w:lineRule="auto"/>
        <w:jc w:val="center"/>
        <w:rPr>
          <w:rFonts w:hint="eastAsia"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（法定代表人不来投标的，此表不用）</w:t>
      </w:r>
    </w:p>
    <w:p w14:paraId="35580628">
      <w:pPr>
        <w:spacing w:line="480" w:lineRule="auto"/>
        <w:ind w:firstLine="420" w:firstLineChars="200"/>
        <w:rPr>
          <w:rFonts w:hint="eastAsia" w:ascii="宋体" w:hAnsi="宋体"/>
          <w:color w:val="000000" w:themeColor="text1"/>
          <w:szCs w:val="21"/>
          <w14:textFill>
            <w14:solidFill>
              <w14:schemeClr w14:val="tx1"/>
            </w14:solidFill>
          </w14:textFill>
        </w:rPr>
      </w:pPr>
    </w:p>
    <w:p w14:paraId="0CF0FDAF">
      <w:pPr>
        <w:spacing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14:paraId="1440CB30">
      <w:pPr>
        <w:spacing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p>
    <w:p w14:paraId="14BFB526">
      <w:pPr>
        <w:spacing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p w14:paraId="19953BF0">
      <w:pPr>
        <w:spacing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成立时间：年月＿日</w:t>
      </w:r>
    </w:p>
    <w:p w14:paraId="0D292475">
      <w:pPr>
        <w:spacing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p w14:paraId="7E684DCE">
      <w:pPr>
        <w:spacing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姓名：性别：年龄：</w:t>
      </w:r>
      <w:r>
        <w:rPr>
          <w:rFonts w:hint="eastAsia" w:ascii="宋体" w:hAnsi="宋体"/>
          <w:color w:val="000000" w:themeColor="text1"/>
          <w:szCs w:val="21"/>
          <w:u w:val="single"/>
          <w14:textFill>
            <w14:solidFill>
              <w14:schemeClr w14:val="tx1"/>
            </w14:solidFill>
          </w14:textFill>
        </w:rPr>
        <w:t xml:space="preserve">    周岁  </w:t>
      </w:r>
      <w:r>
        <w:rPr>
          <w:rFonts w:hint="eastAsia" w:ascii="宋体" w:hAnsi="宋体"/>
          <w:color w:val="000000" w:themeColor="text1"/>
          <w:szCs w:val="21"/>
          <w14:textFill>
            <w14:solidFill>
              <w14:schemeClr w14:val="tx1"/>
            </w14:solidFill>
          </w14:textFill>
        </w:rPr>
        <w:t>职务：_</w:t>
      </w:r>
    </w:p>
    <w:p w14:paraId="027DC59C">
      <w:pPr>
        <w:spacing w:line="480" w:lineRule="auto"/>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p w14:paraId="2E12A932">
      <w:pPr>
        <w:spacing w:line="48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系（供应商名称）的法定代表人。</w:t>
      </w:r>
    </w:p>
    <w:p w14:paraId="1CF1AD7F">
      <w:pPr>
        <w:spacing w:line="480" w:lineRule="auto"/>
        <w:ind w:firstLine="840" w:firstLine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14:paraId="7E99B2CE">
      <w:pPr>
        <w:spacing w:line="360" w:lineRule="auto"/>
        <w:ind w:firstLine="420" w:firstLineChars="200"/>
        <w:rPr>
          <w:rFonts w:hint="eastAsia" w:ascii="宋体" w:hAnsi="宋体"/>
          <w:color w:val="000000" w:themeColor="text1"/>
          <w:szCs w:val="21"/>
          <w14:textFill>
            <w14:solidFill>
              <w14:schemeClr w14:val="tx1"/>
            </w14:solidFill>
          </w14:textFill>
        </w:rPr>
      </w:pPr>
    </w:p>
    <w:p w14:paraId="696D8896">
      <w:pPr>
        <w:spacing w:line="360" w:lineRule="auto"/>
        <w:ind w:firstLine="420" w:firstLineChars="200"/>
        <w:rPr>
          <w:rFonts w:hint="eastAsia" w:ascii="宋体" w:hAnsi="宋体"/>
          <w:color w:val="000000" w:themeColor="text1"/>
          <w:szCs w:val="21"/>
          <w14:textFill>
            <w14:solidFill>
              <w14:schemeClr w14:val="tx1"/>
            </w14:solidFill>
          </w14:textFill>
        </w:rPr>
      </w:pPr>
    </w:p>
    <w:p w14:paraId="2A1DD728">
      <w:pPr>
        <w:wordWrap w:val="0"/>
        <w:spacing w:line="360" w:lineRule="auto"/>
        <w:ind w:right="420" w:firstLine="3045" w:firstLineChars="14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供应商：（盖单位公章）</w:t>
      </w:r>
    </w:p>
    <w:p w14:paraId="55D3EC40">
      <w:pPr>
        <w:spacing w:line="360" w:lineRule="auto"/>
        <w:ind w:firstLine="4515" w:firstLineChars="2150"/>
        <w:rPr>
          <w:rFonts w:hint="eastAsia" w:ascii="宋体" w:hAnsi="宋体"/>
          <w:color w:val="000000" w:themeColor="text1"/>
          <w:szCs w:val="21"/>
          <w:u w:val="single"/>
          <w14:textFill>
            <w14:solidFill>
              <w14:schemeClr w14:val="tx1"/>
            </w14:solidFill>
          </w14:textFill>
        </w:rPr>
      </w:pPr>
    </w:p>
    <w:p w14:paraId="3E1B4178">
      <w:pPr>
        <w:spacing w:line="360" w:lineRule="auto"/>
        <w:ind w:firstLine="3675" w:firstLineChars="17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年月日</w:t>
      </w:r>
    </w:p>
    <w:p w14:paraId="36AB79DA">
      <w:pPr>
        <w:spacing w:line="360" w:lineRule="auto"/>
        <w:rPr>
          <w:rFonts w:hint="eastAsia" w:ascii="宋体" w:hAnsi="宋体"/>
          <w:color w:val="000000" w:themeColor="text1"/>
          <w:sz w:val="24"/>
          <w14:textFill>
            <w14:solidFill>
              <w14:schemeClr w14:val="tx1"/>
            </w14:solidFill>
          </w14:textFill>
        </w:rPr>
      </w:pPr>
    </w:p>
    <w:p w14:paraId="6B6E7131">
      <w:pPr>
        <w:spacing w:line="360" w:lineRule="auto"/>
        <w:rPr>
          <w:rFonts w:hint="eastAsia" w:ascii="宋体" w:hAnsi="宋体"/>
          <w:b/>
          <w:color w:val="000000" w:themeColor="text1"/>
          <w:szCs w:val="21"/>
          <w14:textFill>
            <w14:solidFill>
              <w14:schemeClr w14:val="tx1"/>
            </w14:solidFill>
          </w14:textFill>
        </w:rPr>
      </w:pPr>
    </w:p>
    <w:p w14:paraId="06F94C35">
      <w:pPr>
        <w:spacing w:line="360" w:lineRule="auto"/>
        <w:rPr>
          <w:rFonts w:hint="eastAsia" w:ascii="宋体" w:hAnsi="宋体"/>
          <w:b/>
          <w:color w:val="000000" w:themeColor="text1"/>
          <w:szCs w:val="21"/>
          <w14:textFill>
            <w14:solidFill>
              <w14:schemeClr w14:val="tx1"/>
            </w14:solidFill>
          </w14:textFill>
        </w:rPr>
      </w:pPr>
    </w:p>
    <w:p w14:paraId="24ED33D8">
      <w:pPr>
        <w:spacing w:line="360" w:lineRule="auto"/>
        <w:ind w:firstLine="413"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附法定代表人身份证复印件（正反面）：</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581C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175" w:type="dxa"/>
          </w:tcPr>
          <w:p w14:paraId="3AEAADDA">
            <w:pPr>
              <w:rPr>
                <w:rFonts w:hint="eastAsia" w:ascii="宋体" w:hAnsi="宋体"/>
                <w:color w:val="000000" w:themeColor="text1"/>
                <w14:textFill>
                  <w14:solidFill>
                    <w14:schemeClr w14:val="tx1"/>
                  </w14:solidFill>
                </w14:textFill>
              </w:rPr>
            </w:pPr>
          </w:p>
        </w:tc>
      </w:tr>
    </w:tbl>
    <w:p w14:paraId="503CB460">
      <w:pPr>
        <w:rPr>
          <w:rFonts w:hint="eastAsia" w:ascii="宋体" w:hAnsi="宋体"/>
          <w:color w:val="000000" w:themeColor="text1"/>
          <w14:textFill>
            <w14:solidFill>
              <w14:schemeClr w14:val="tx1"/>
            </w14:solidFill>
          </w14:textFill>
        </w:rPr>
      </w:pPr>
    </w:p>
    <w:p w14:paraId="43E0B0E6">
      <w:pPr>
        <w:jc w:val="left"/>
        <w:rPr>
          <w:rFonts w:hint="eastAsia" w:ascii="宋体" w:hAnsi="宋体"/>
          <w:b/>
          <w:color w:val="000000" w:themeColor="text1"/>
          <w:sz w:val="32"/>
          <w:szCs w:val="32"/>
          <w14:textFill>
            <w14:solidFill>
              <w14:schemeClr w14:val="tx1"/>
            </w14:solidFill>
          </w14:textFill>
        </w:rPr>
      </w:pPr>
    </w:p>
    <w:p w14:paraId="1DEF4238">
      <w:pPr>
        <w:jc w:val="left"/>
        <w:rPr>
          <w:rFonts w:hint="eastAsia"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法定代表人授权书</w:t>
      </w:r>
    </w:p>
    <w:p w14:paraId="7ECC2FF0">
      <w:pPr>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法定代表人授权委托书</w:t>
      </w:r>
    </w:p>
    <w:p w14:paraId="7A5802F8">
      <w:pPr>
        <w:jc w:val="center"/>
        <w:rPr>
          <w:rFonts w:hint="eastAsia" w:ascii="宋体" w:hAnsi="宋体"/>
          <w:bCs/>
          <w:color w:val="000000" w:themeColor="text1"/>
          <w:sz w:val="24"/>
          <w14:textFill>
            <w14:solidFill>
              <w14:schemeClr w14:val="tx1"/>
            </w14:solidFill>
          </w14:textFill>
        </w:rPr>
      </w:pPr>
    </w:p>
    <w:p w14:paraId="1D76DCCE">
      <w:pPr>
        <w:jc w:val="center"/>
        <w:rPr>
          <w:rFonts w:hint="eastAsia" w:ascii="宋体" w:hAnsi="宋体"/>
          <w:b/>
          <w:color w:val="000000" w:themeColor="text1"/>
          <w:sz w:val="32"/>
          <w:szCs w:val="32"/>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（法定代表人来投标的，此表不用）</w:t>
      </w:r>
    </w:p>
    <w:p w14:paraId="74019649">
      <w:pPr>
        <w:snapToGrid w:val="0"/>
        <w:spacing w:line="360" w:lineRule="auto"/>
        <w:rPr>
          <w:rFonts w:hint="eastAsia" w:ascii="宋体" w:hAnsi="宋体"/>
          <w:bCs/>
          <w:color w:val="000000" w:themeColor="text1"/>
          <w:sz w:val="24"/>
          <w14:textFill>
            <w14:solidFill>
              <w14:schemeClr w14:val="tx1"/>
            </w14:solidFill>
          </w14:textFill>
        </w:rPr>
      </w:pPr>
    </w:p>
    <w:p w14:paraId="7BEF6B59">
      <w:pPr>
        <w:snapToGrid w:val="0"/>
        <w:spacing w:line="360" w:lineRule="auto"/>
        <w:rPr>
          <w:rFonts w:hint="eastAsia" w:ascii="宋体" w:hAnsi="宋体"/>
          <w:bCs/>
          <w:color w:val="000000" w:themeColor="text1"/>
          <w:szCs w:val="21"/>
          <w14:textFill>
            <w14:solidFill>
              <w14:schemeClr w14:val="tx1"/>
            </w14:solidFill>
          </w14:textFill>
        </w:rPr>
      </w:pPr>
    </w:p>
    <w:p w14:paraId="2AF626DA">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（采购单位名称）：</w:t>
      </w:r>
    </w:p>
    <w:p w14:paraId="403D33DD">
      <w:pPr>
        <w:snapToGrid w:val="0"/>
        <w:spacing w:line="360" w:lineRule="auto"/>
        <w:ind w:firstLine="525" w:firstLineChars="25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的法定代表人，现授权委托本单位在职职工</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以我方的名义参加</w:t>
      </w:r>
      <w:r>
        <w:rPr>
          <w:rFonts w:hint="eastAsia" w:ascii="宋体" w:hAnsi="宋体"/>
          <w:color w:val="000000" w:themeColor="text1"/>
          <w:szCs w:val="21"/>
          <w:u w:val="single"/>
          <w14:textFill>
            <w14:solidFill>
              <w14:schemeClr w14:val="tx1"/>
            </w14:solidFill>
          </w14:textFill>
        </w:rPr>
        <w:t xml:space="preserve">                       政府采购</w:t>
      </w:r>
      <w:r>
        <w:rPr>
          <w:rFonts w:hint="eastAsia" w:ascii="宋体" w:hAnsi="宋体"/>
          <w:color w:val="000000" w:themeColor="text1"/>
          <w:szCs w:val="21"/>
          <w14:textFill>
            <w14:solidFill>
              <w14:schemeClr w14:val="tx1"/>
            </w14:solidFill>
          </w14:textFill>
        </w:rPr>
        <w:t>项目的投标活动，并代表我方全权办理针对上述项目的投标、开标、评标、签约等具体事务和签署相关文件。</w:t>
      </w:r>
    </w:p>
    <w:p w14:paraId="06FB87BF">
      <w:pPr>
        <w:snapToGrid w:val="0"/>
        <w:spacing w:line="360" w:lineRule="auto"/>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我方对被授权人的签名事项负全部责任。</w:t>
      </w:r>
    </w:p>
    <w:p w14:paraId="7A93516C">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00A78E6E">
      <w:pPr>
        <w:snapToGrid w:val="0"/>
        <w:spacing w:line="360" w:lineRule="auto"/>
        <w:ind w:firstLine="4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被授权人无转委托权，特此委托。</w:t>
      </w:r>
    </w:p>
    <w:p w14:paraId="370FBE8B">
      <w:pPr>
        <w:snapToGrid w:val="0"/>
        <w:spacing w:line="360" w:lineRule="auto"/>
        <w:rPr>
          <w:rFonts w:hint="eastAsia" w:ascii="宋体" w:hAnsi="宋体"/>
          <w:color w:val="000000" w:themeColor="text1"/>
          <w:szCs w:val="21"/>
          <w14:textFill>
            <w14:solidFill>
              <w14:schemeClr w14:val="tx1"/>
            </w14:solidFill>
          </w14:textFill>
        </w:rPr>
      </w:pPr>
    </w:p>
    <w:p w14:paraId="720DB741">
      <w:pPr>
        <w:snapToGrid w:val="0"/>
        <w:spacing w:line="360" w:lineRule="auto"/>
        <w:rPr>
          <w:rFonts w:hint="eastAsia" w:ascii="宋体" w:hAnsi="宋体"/>
          <w:color w:val="000000" w:themeColor="text1"/>
          <w:szCs w:val="21"/>
          <w14:textFill>
            <w14:solidFill>
              <w14:schemeClr w14:val="tx1"/>
            </w14:solidFill>
          </w14:textFill>
        </w:rPr>
      </w:pPr>
    </w:p>
    <w:p w14:paraId="133C3F56">
      <w:pPr>
        <w:snapToGrid w:val="0"/>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被授权人签名：                 法定代表人签名：</w:t>
      </w:r>
    </w:p>
    <w:p w14:paraId="09569080">
      <w:pPr>
        <w:snapToGrid w:val="0"/>
        <w:spacing w:line="360" w:lineRule="auto"/>
        <w:ind w:firstLine="840" w:firstLine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                          职务：</w:t>
      </w:r>
    </w:p>
    <w:p w14:paraId="58F23233">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被授权人身份证号码：</w:t>
      </w:r>
    </w:p>
    <w:p w14:paraId="5E7CB51A">
      <w:pPr>
        <w:snapToGrid w:val="0"/>
        <w:spacing w:line="360" w:lineRule="auto"/>
        <w:rPr>
          <w:rFonts w:hint="eastAsia" w:ascii="宋体" w:hAnsi="宋体"/>
          <w:color w:val="000000" w:themeColor="text1"/>
          <w:szCs w:val="21"/>
          <w14:textFill>
            <w14:solidFill>
              <w14:schemeClr w14:val="tx1"/>
            </w14:solidFill>
          </w14:textFill>
        </w:rPr>
      </w:pPr>
    </w:p>
    <w:p w14:paraId="713C99D5">
      <w:pPr>
        <w:snapToGrid w:val="0"/>
        <w:spacing w:line="360" w:lineRule="auto"/>
        <w:rPr>
          <w:rFonts w:hint="eastAsia" w:ascii="宋体" w:hAnsi="宋体"/>
          <w:color w:val="000000" w:themeColor="text1"/>
          <w:szCs w:val="21"/>
          <w14:textFill>
            <w14:solidFill>
              <w14:schemeClr w14:val="tx1"/>
            </w14:solidFill>
          </w14:textFill>
        </w:rPr>
      </w:pPr>
    </w:p>
    <w:p w14:paraId="3CE67617">
      <w:pPr>
        <w:snapToGrid w:val="0"/>
        <w:spacing w:line="360" w:lineRule="auto"/>
        <w:ind w:firstLine="4830" w:firstLineChars="2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供应商公章：</w:t>
      </w:r>
    </w:p>
    <w:p w14:paraId="704D37FB">
      <w:pPr>
        <w:snapToGrid w:val="0"/>
        <w:spacing w:line="360" w:lineRule="auto"/>
        <w:ind w:firstLine="4830" w:firstLineChars="2300"/>
        <w:rPr>
          <w:rFonts w:hint="eastAsia" w:ascii="宋体" w:hAnsi="宋体"/>
          <w:color w:val="000000" w:themeColor="text1"/>
          <w:szCs w:val="21"/>
          <w14:textFill>
            <w14:solidFill>
              <w14:schemeClr w14:val="tx1"/>
            </w14:solidFill>
          </w14:textFill>
        </w:rPr>
      </w:pPr>
    </w:p>
    <w:p w14:paraId="5D697A0A">
      <w:pPr>
        <w:snapToGrid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p w14:paraId="327BB42A">
      <w:pPr>
        <w:spacing w:line="360" w:lineRule="auto"/>
        <w:rPr>
          <w:rFonts w:hint="eastAsia" w:ascii="宋体" w:hAnsi="宋体"/>
          <w:b/>
          <w:color w:val="000000" w:themeColor="text1"/>
          <w:szCs w:val="21"/>
          <w14:textFill>
            <w14:solidFill>
              <w14:schemeClr w14:val="tx1"/>
            </w14:solidFill>
          </w14:textFill>
        </w:rPr>
      </w:pPr>
    </w:p>
    <w:p w14:paraId="4EBB83A0">
      <w:pPr>
        <w:spacing w:line="360" w:lineRule="auto"/>
        <w:rPr>
          <w:rFonts w:hint="eastAsia" w:ascii="宋体" w:hAnsi="宋体"/>
          <w:b/>
          <w:color w:val="000000" w:themeColor="text1"/>
          <w:szCs w:val="21"/>
          <w14:textFill>
            <w14:solidFill>
              <w14:schemeClr w14:val="tx1"/>
            </w14:solidFill>
          </w14:textFill>
        </w:rPr>
      </w:pPr>
    </w:p>
    <w:p w14:paraId="0AB57F33">
      <w:pPr>
        <w:spacing w:line="360" w:lineRule="auto"/>
        <w:ind w:firstLine="103" w:firstLineChars="49"/>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14:paraId="563B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14:paraId="6FDD747B">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法定代表人身份证复印件（正反面）</w:t>
            </w:r>
          </w:p>
          <w:p w14:paraId="1DCA924A">
            <w:pPr>
              <w:spacing w:line="360" w:lineRule="auto"/>
              <w:rPr>
                <w:rFonts w:hint="eastAsia" w:ascii="宋体" w:hAnsi="宋体"/>
                <w:b/>
                <w:color w:val="000000" w:themeColor="text1"/>
                <w:szCs w:val="21"/>
                <w14:textFill>
                  <w14:solidFill>
                    <w14:schemeClr w14:val="tx1"/>
                  </w14:solidFill>
                </w14:textFill>
              </w:rPr>
            </w:pPr>
          </w:p>
        </w:tc>
        <w:tc>
          <w:tcPr>
            <w:tcW w:w="4588" w:type="dxa"/>
          </w:tcPr>
          <w:p w14:paraId="7F5AE13E">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授权代表身份证复印件（正反面）</w:t>
            </w:r>
          </w:p>
          <w:p w14:paraId="5C8008D9">
            <w:pPr>
              <w:spacing w:line="360" w:lineRule="auto"/>
              <w:rPr>
                <w:rFonts w:hint="eastAsia" w:ascii="宋体" w:hAnsi="宋体"/>
                <w:b/>
                <w:color w:val="000000" w:themeColor="text1"/>
                <w:szCs w:val="21"/>
                <w14:textFill>
                  <w14:solidFill>
                    <w14:schemeClr w14:val="tx1"/>
                  </w14:solidFill>
                </w14:textFill>
              </w:rPr>
            </w:pPr>
          </w:p>
          <w:p w14:paraId="36E05A74">
            <w:pPr>
              <w:spacing w:line="360" w:lineRule="auto"/>
              <w:rPr>
                <w:rFonts w:hint="eastAsia" w:ascii="宋体" w:hAnsi="宋体"/>
                <w:b/>
                <w:color w:val="000000" w:themeColor="text1"/>
                <w:szCs w:val="21"/>
                <w14:textFill>
                  <w14:solidFill>
                    <w14:schemeClr w14:val="tx1"/>
                  </w14:solidFill>
                </w14:textFill>
              </w:rPr>
            </w:pPr>
          </w:p>
          <w:p w14:paraId="57FAE403">
            <w:pPr>
              <w:spacing w:line="360" w:lineRule="auto"/>
              <w:rPr>
                <w:rFonts w:hint="eastAsia" w:ascii="宋体" w:hAnsi="宋体"/>
                <w:b/>
                <w:color w:val="000000" w:themeColor="text1"/>
                <w:szCs w:val="21"/>
                <w14:textFill>
                  <w14:solidFill>
                    <w14:schemeClr w14:val="tx1"/>
                  </w14:solidFill>
                </w14:textFill>
              </w:rPr>
            </w:pPr>
          </w:p>
          <w:p w14:paraId="4F0A390E">
            <w:pPr>
              <w:spacing w:line="360" w:lineRule="auto"/>
              <w:rPr>
                <w:rFonts w:hint="eastAsia" w:ascii="宋体" w:hAnsi="宋体"/>
                <w:b/>
                <w:color w:val="000000" w:themeColor="text1"/>
                <w:szCs w:val="21"/>
                <w14:textFill>
                  <w14:solidFill>
                    <w14:schemeClr w14:val="tx1"/>
                  </w14:solidFill>
                </w14:textFill>
              </w:rPr>
            </w:pPr>
          </w:p>
        </w:tc>
      </w:tr>
    </w:tbl>
    <w:p w14:paraId="4B3B4E89">
      <w:pPr>
        <w:spacing w:line="360" w:lineRule="auto"/>
        <w:ind w:firstLine="103" w:firstLineChars="49"/>
        <w:rPr>
          <w:rFonts w:hint="eastAsia" w:ascii="宋体" w:hAnsi="宋体"/>
          <w:b/>
          <w:color w:val="000000" w:themeColor="text1"/>
          <w:szCs w:val="21"/>
          <w14:textFill>
            <w14:solidFill>
              <w14:schemeClr w14:val="tx1"/>
            </w14:solidFill>
          </w14:textFill>
        </w:rPr>
      </w:pPr>
    </w:p>
    <w:p w14:paraId="3D40B18A">
      <w:pPr>
        <w:spacing w:line="360" w:lineRule="auto"/>
        <w:ind w:firstLine="103" w:firstLineChars="49"/>
        <w:rPr>
          <w:rFonts w:hint="eastAsia" w:ascii="宋体" w:hAnsi="宋体"/>
          <w:b/>
          <w:color w:val="000000" w:themeColor="text1"/>
          <w:szCs w:val="21"/>
          <w14:textFill>
            <w14:solidFill>
              <w14:schemeClr w14:val="tx1"/>
            </w14:solidFill>
          </w14:textFill>
        </w:rPr>
      </w:pPr>
    </w:p>
    <w:p w14:paraId="75E7D7D1">
      <w:pPr>
        <w:widowControl/>
        <w:jc w:val="left"/>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p>
    <w:p w14:paraId="5A4F6137">
      <w:pPr>
        <w:rPr>
          <w:rFonts w:hint="eastAsia"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格式五：</w:t>
      </w:r>
      <w:r>
        <w:rPr>
          <w:rFonts w:hint="eastAsia" w:ascii="宋体" w:hAnsi="宋体"/>
          <w:color w:val="000000" w:themeColor="text1"/>
          <w:szCs w:val="21"/>
          <w14:textFill>
            <w14:solidFill>
              <w14:schemeClr w14:val="tx1"/>
            </w14:solidFill>
          </w14:textFill>
        </w:rPr>
        <w:t>投标人基本情况说明</w:t>
      </w:r>
    </w:p>
    <w:p w14:paraId="32515139">
      <w:pPr>
        <w:spacing w:line="360" w:lineRule="auto"/>
        <w:jc w:val="center"/>
        <w:rPr>
          <w:rFonts w:hint="eastAsia" w:ascii="宋体" w:hAnsi="宋体" w:cs="Arial"/>
          <w:b/>
          <w:color w:val="000000" w:themeColor="text1"/>
          <w:szCs w:val="21"/>
          <w14:textFill>
            <w14:solidFill>
              <w14:schemeClr w14:val="tx1"/>
            </w14:solidFill>
          </w14:textFill>
        </w:rPr>
      </w:pPr>
      <w:bookmarkStart w:id="242" w:name="_Toc479927873"/>
      <w:bookmarkStart w:id="243" w:name="_Toc225223761"/>
      <w:bookmarkStart w:id="244" w:name="_Toc110393361"/>
      <w:bookmarkStart w:id="245" w:name="_Toc483379796"/>
      <w:bookmarkStart w:id="246" w:name="_Toc488936100"/>
      <w:bookmarkStart w:id="247" w:name="_Toc14746861"/>
    </w:p>
    <w:p w14:paraId="74A5D42A">
      <w:pPr>
        <w:spacing w:line="360" w:lineRule="auto"/>
        <w:jc w:val="center"/>
        <w:rPr>
          <w:rFonts w:hint="eastAsia"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投标人基本情况说明</w:t>
      </w:r>
      <w:bookmarkEnd w:id="242"/>
      <w:bookmarkEnd w:id="243"/>
      <w:bookmarkEnd w:id="244"/>
      <w:bookmarkEnd w:id="245"/>
      <w:bookmarkEnd w:id="246"/>
      <w:bookmarkEnd w:id="247"/>
    </w:p>
    <w:tbl>
      <w:tblPr>
        <w:tblStyle w:val="42"/>
        <w:tblW w:w="916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0331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8C95502">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tc>
        <w:tc>
          <w:tcPr>
            <w:tcW w:w="3675" w:type="dxa"/>
            <w:gridSpan w:val="3"/>
            <w:vAlign w:val="center"/>
          </w:tcPr>
          <w:p w14:paraId="7ECEEA0A">
            <w:pPr>
              <w:jc w:val="center"/>
              <w:rPr>
                <w:rFonts w:hint="eastAsia" w:ascii="宋体" w:hAnsi="宋体"/>
                <w:color w:val="000000" w:themeColor="text1"/>
                <w:szCs w:val="21"/>
                <w14:textFill>
                  <w14:solidFill>
                    <w14:schemeClr w14:val="tx1"/>
                  </w14:solidFill>
                </w14:textFill>
              </w:rPr>
            </w:pPr>
          </w:p>
        </w:tc>
        <w:tc>
          <w:tcPr>
            <w:tcW w:w="1785" w:type="dxa"/>
            <w:vAlign w:val="center"/>
          </w:tcPr>
          <w:p w14:paraId="62F58A4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组织机构代码</w:t>
            </w:r>
          </w:p>
        </w:tc>
        <w:tc>
          <w:tcPr>
            <w:tcW w:w="2234" w:type="dxa"/>
            <w:vAlign w:val="center"/>
          </w:tcPr>
          <w:p w14:paraId="00C791CE">
            <w:pPr>
              <w:jc w:val="center"/>
              <w:rPr>
                <w:rFonts w:hint="eastAsia" w:ascii="宋体" w:hAnsi="宋体"/>
                <w:color w:val="000000" w:themeColor="text1"/>
                <w:szCs w:val="21"/>
                <w14:textFill>
                  <w14:solidFill>
                    <w14:schemeClr w14:val="tx1"/>
                  </w14:solidFill>
                </w14:textFill>
              </w:rPr>
            </w:pPr>
          </w:p>
        </w:tc>
      </w:tr>
      <w:tr w14:paraId="09DF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2795BB2">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675" w:type="dxa"/>
            <w:gridSpan w:val="3"/>
            <w:vAlign w:val="center"/>
          </w:tcPr>
          <w:p w14:paraId="54BF849A">
            <w:pPr>
              <w:jc w:val="center"/>
              <w:rPr>
                <w:rFonts w:hint="eastAsia" w:ascii="宋体" w:hAnsi="宋体"/>
                <w:color w:val="000000" w:themeColor="text1"/>
                <w:szCs w:val="21"/>
                <w14:textFill>
                  <w14:solidFill>
                    <w14:schemeClr w14:val="tx1"/>
                  </w14:solidFill>
                </w14:textFill>
              </w:rPr>
            </w:pPr>
          </w:p>
        </w:tc>
        <w:tc>
          <w:tcPr>
            <w:tcW w:w="1785" w:type="dxa"/>
            <w:vAlign w:val="center"/>
          </w:tcPr>
          <w:p w14:paraId="524EFDB2">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注册登记号</w:t>
            </w:r>
          </w:p>
        </w:tc>
        <w:tc>
          <w:tcPr>
            <w:tcW w:w="2234" w:type="dxa"/>
            <w:vAlign w:val="center"/>
          </w:tcPr>
          <w:p w14:paraId="3B676D7B">
            <w:pPr>
              <w:jc w:val="center"/>
              <w:rPr>
                <w:rFonts w:hint="eastAsia" w:ascii="宋体" w:hAnsi="宋体"/>
                <w:color w:val="000000" w:themeColor="text1"/>
                <w:szCs w:val="21"/>
                <w14:textFill>
                  <w14:solidFill>
                    <w14:schemeClr w14:val="tx1"/>
                  </w14:solidFill>
                </w14:textFill>
              </w:rPr>
            </w:pPr>
          </w:p>
        </w:tc>
      </w:tr>
      <w:tr w14:paraId="30A0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C2F2B1C">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经营地址</w:t>
            </w:r>
          </w:p>
        </w:tc>
        <w:tc>
          <w:tcPr>
            <w:tcW w:w="3675" w:type="dxa"/>
            <w:gridSpan w:val="3"/>
            <w:vAlign w:val="center"/>
          </w:tcPr>
          <w:p w14:paraId="6895BBA5">
            <w:pPr>
              <w:jc w:val="center"/>
              <w:rPr>
                <w:rFonts w:hint="eastAsia" w:ascii="宋体" w:hAnsi="宋体"/>
                <w:color w:val="000000" w:themeColor="text1"/>
                <w:szCs w:val="21"/>
                <w14:textFill>
                  <w14:solidFill>
                    <w14:schemeClr w14:val="tx1"/>
                  </w14:solidFill>
                </w14:textFill>
              </w:rPr>
            </w:pPr>
          </w:p>
        </w:tc>
        <w:tc>
          <w:tcPr>
            <w:tcW w:w="1785" w:type="dxa"/>
            <w:vAlign w:val="center"/>
          </w:tcPr>
          <w:p w14:paraId="534C8720">
            <w:pPr>
              <w:jc w:val="center"/>
              <w:rPr>
                <w:rFonts w:hint="eastAsia" w:ascii="宋体" w:hAnsi="宋体"/>
                <w:color w:val="000000" w:themeColor="text1"/>
                <w:spacing w:val="3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税务登记证号</w:t>
            </w:r>
          </w:p>
        </w:tc>
        <w:tc>
          <w:tcPr>
            <w:tcW w:w="2234" w:type="dxa"/>
            <w:vAlign w:val="center"/>
          </w:tcPr>
          <w:p w14:paraId="39E8BCD4">
            <w:pPr>
              <w:jc w:val="center"/>
              <w:rPr>
                <w:rFonts w:hint="eastAsia" w:ascii="宋体" w:hAnsi="宋体"/>
                <w:color w:val="000000" w:themeColor="text1"/>
                <w:szCs w:val="21"/>
                <w14:textFill>
                  <w14:solidFill>
                    <w14:schemeClr w14:val="tx1"/>
                  </w14:solidFill>
                </w14:textFill>
              </w:rPr>
            </w:pPr>
          </w:p>
        </w:tc>
      </w:tr>
      <w:tr w14:paraId="391F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6FA3545">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p>
        </w:tc>
        <w:tc>
          <w:tcPr>
            <w:tcW w:w="3675" w:type="dxa"/>
            <w:gridSpan w:val="3"/>
            <w:vAlign w:val="center"/>
          </w:tcPr>
          <w:p w14:paraId="67DA5761">
            <w:pPr>
              <w:pStyle w:val="121"/>
              <w:widowControl w:val="0"/>
              <w:spacing w:before="0" w:beforeAutospacing="0" w:after="0" w:afterAutospacing="0"/>
              <w:ind w:left="1320" w:hanging="480"/>
              <w:rPr>
                <w:rFonts w:hint="eastAsia" w:ascii="宋体" w:hAnsi="宋体" w:eastAsia="宋体"/>
                <w:color w:val="000000" w:themeColor="text1"/>
                <w:kern w:val="2"/>
                <w:sz w:val="21"/>
                <w:szCs w:val="21"/>
                <w14:textFill>
                  <w14:solidFill>
                    <w14:schemeClr w14:val="tx1"/>
                  </w14:solidFill>
                </w14:textFill>
              </w:rPr>
            </w:pPr>
          </w:p>
        </w:tc>
        <w:tc>
          <w:tcPr>
            <w:tcW w:w="1785" w:type="dxa"/>
            <w:vAlign w:val="center"/>
          </w:tcPr>
          <w:p w14:paraId="3E5710BC">
            <w:pPr>
              <w:jc w:val="center"/>
              <w:rPr>
                <w:rFonts w:hint="eastAsia" w:ascii="宋体" w:hAnsi="宋体"/>
                <w:color w:val="000000" w:themeColor="text1"/>
                <w:spacing w:val="34"/>
                <w:szCs w:val="21"/>
                <w14:textFill>
                  <w14:solidFill>
                    <w14:schemeClr w14:val="tx1"/>
                  </w14:solidFill>
                </w14:textFill>
              </w:rPr>
            </w:pPr>
            <w:r>
              <w:rPr>
                <w:rFonts w:hint="eastAsia" w:ascii="宋体" w:hAnsi="宋体"/>
                <w:color w:val="000000" w:themeColor="text1"/>
                <w:spacing w:val="34"/>
                <w:szCs w:val="21"/>
                <w14:textFill>
                  <w14:solidFill>
                    <w14:schemeClr w14:val="tx1"/>
                  </w14:solidFill>
                </w14:textFill>
              </w:rPr>
              <w:t>注册资本</w:t>
            </w:r>
          </w:p>
        </w:tc>
        <w:tc>
          <w:tcPr>
            <w:tcW w:w="2234" w:type="dxa"/>
            <w:vAlign w:val="center"/>
          </w:tcPr>
          <w:p w14:paraId="2D29D6BD">
            <w:pPr>
              <w:jc w:val="center"/>
              <w:rPr>
                <w:rFonts w:hint="eastAsia" w:ascii="宋体" w:hAnsi="宋体"/>
                <w:color w:val="000000" w:themeColor="text1"/>
                <w:szCs w:val="21"/>
                <w14:textFill>
                  <w14:solidFill>
                    <w14:schemeClr w14:val="tx1"/>
                  </w14:solidFill>
                </w14:textFill>
              </w:rPr>
            </w:pPr>
          </w:p>
        </w:tc>
      </w:tr>
      <w:tr w14:paraId="0FBA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415D47C">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经营范围</w:t>
            </w:r>
          </w:p>
        </w:tc>
        <w:tc>
          <w:tcPr>
            <w:tcW w:w="3675" w:type="dxa"/>
            <w:gridSpan w:val="3"/>
            <w:vAlign w:val="center"/>
          </w:tcPr>
          <w:p w14:paraId="248543E8">
            <w:pPr>
              <w:jc w:val="center"/>
              <w:rPr>
                <w:rFonts w:hint="eastAsia" w:ascii="宋体" w:hAnsi="宋体"/>
                <w:color w:val="000000" w:themeColor="text1"/>
                <w:szCs w:val="21"/>
                <w14:textFill>
                  <w14:solidFill>
                    <w14:schemeClr w14:val="tx1"/>
                  </w14:solidFill>
                </w14:textFill>
              </w:rPr>
            </w:pPr>
          </w:p>
        </w:tc>
        <w:tc>
          <w:tcPr>
            <w:tcW w:w="1785" w:type="dxa"/>
            <w:vAlign w:val="center"/>
          </w:tcPr>
          <w:p w14:paraId="278AF13A">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营业期限</w:t>
            </w:r>
          </w:p>
        </w:tc>
        <w:tc>
          <w:tcPr>
            <w:tcW w:w="2234" w:type="dxa"/>
            <w:vAlign w:val="center"/>
          </w:tcPr>
          <w:p w14:paraId="1854FEA9">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年 月</w:t>
            </w:r>
          </w:p>
        </w:tc>
      </w:tr>
      <w:tr w14:paraId="4A50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C70F2A9">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资质情况</w:t>
            </w:r>
          </w:p>
        </w:tc>
        <w:tc>
          <w:tcPr>
            <w:tcW w:w="7694" w:type="dxa"/>
            <w:gridSpan w:val="5"/>
            <w:vAlign w:val="center"/>
          </w:tcPr>
          <w:p w14:paraId="141A26D2">
            <w:pPr>
              <w:jc w:val="center"/>
              <w:rPr>
                <w:rFonts w:hint="eastAsia" w:ascii="宋体" w:hAnsi="宋体"/>
                <w:color w:val="000000" w:themeColor="text1"/>
                <w:szCs w:val="21"/>
                <w14:textFill>
                  <w14:solidFill>
                    <w14:schemeClr w14:val="tx1"/>
                  </w14:solidFill>
                </w14:textFill>
              </w:rPr>
            </w:pPr>
          </w:p>
        </w:tc>
      </w:tr>
      <w:tr w14:paraId="1475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C75001C">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员工数量</w:t>
            </w:r>
          </w:p>
        </w:tc>
        <w:tc>
          <w:tcPr>
            <w:tcW w:w="7694" w:type="dxa"/>
            <w:gridSpan w:val="5"/>
            <w:vAlign w:val="center"/>
          </w:tcPr>
          <w:p w14:paraId="2F9223D7">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共人，其中，高级职称人，中级职称人</w:t>
            </w:r>
          </w:p>
        </w:tc>
      </w:tr>
      <w:tr w14:paraId="4C09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3159B56">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675" w:type="dxa"/>
            <w:gridSpan w:val="3"/>
            <w:vAlign w:val="center"/>
          </w:tcPr>
          <w:p w14:paraId="6EF4DA07">
            <w:pPr>
              <w:jc w:val="center"/>
              <w:rPr>
                <w:rFonts w:hint="eastAsia" w:ascii="宋体" w:hAnsi="宋体"/>
                <w:color w:val="000000" w:themeColor="text1"/>
                <w:szCs w:val="21"/>
                <w14:textFill>
                  <w14:solidFill>
                    <w14:schemeClr w14:val="tx1"/>
                  </w14:solidFill>
                </w14:textFill>
              </w:rPr>
            </w:pPr>
          </w:p>
        </w:tc>
        <w:tc>
          <w:tcPr>
            <w:tcW w:w="1785" w:type="dxa"/>
            <w:vAlign w:val="center"/>
          </w:tcPr>
          <w:p w14:paraId="425D29B1">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c>
          <w:tcPr>
            <w:tcW w:w="2234" w:type="dxa"/>
            <w:vAlign w:val="center"/>
          </w:tcPr>
          <w:p w14:paraId="0B15527B">
            <w:pPr>
              <w:jc w:val="center"/>
              <w:rPr>
                <w:rFonts w:hint="eastAsia" w:ascii="宋体" w:hAnsi="宋体"/>
                <w:color w:val="000000" w:themeColor="text1"/>
                <w:szCs w:val="21"/>
                <w14:textFill>
                  <w14:solidFill>
                    <w14:schemeClr w14:val="tx1"/>
                  </w14:solidFill>
                </w14:textFill>
              </w:rPr>
            </w:pPr>
          </w:p>
        </w:tc>
      </w:tr>
      <w:tr w14:paraId="3865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34650AAE">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主要业绩</w:t>
            </w:r>
          </w:p>
        </w:tc>
        <w:tc>
          <w:tcPr>
            <w:tcW w:w="7694" w:type="dxa"/>
            <w:gridSpan w:val="5"/>
            <w:vAlign w:val="center"/>
          </w:tcPr>
          <w:p w14:paraId="23577966">
            <w:pPr>
              <w:rPr>
                <w:rFonts w:hint="eastAsia" w:ascii="宋体" w:hAnsi="宋体"/>
                <w:color w:val="000000" w:themeColor="text1"/>
                <w:szCs w:val="21"/>
                <w14:textFill>
                  <w14:solidFill>
                    <w14:schemeClr w14:val="tx1"/>
                  </w14:solidFill>
                </w14:textFill>
              </w:rPr>
            </w:pPr>
          </w:p>
          <w:p w14:paraId="6DD8FCC4">
            <w:pPr>
              <w:rPr>
                <w:rFonts w:hint="eastAsia" w:ascii="宋体" w:hAnsi="宋体"/>
                <w:color w:val="000000" w:themeColor="text1"/>
                <w:szCs w:val="21"/>
                <w14:textFill>
                  <w14:solidFill>
                    <w14:schemeClr w14:val="tx1"/>
                  </w14:solidFill>
                </w14:textFill>
              </w:rPr>
            </w:pPr>
          </w:p>
        </w:tc>
      </w:tr>
      <w:tr w14:paraId="59E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3935A44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 定 代 表 人 基 本 情 况</w:t>
            </w:r>
          </w:p>
        </w:tc>
      </w:tr>
      <w:tr w14:paraId="45FE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EDD6814">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3675" w:type="dxa"/>
            <w:gridSpan w:val="3"/>
            <w:vAlign w:val="center"/>
          </w:tcPr>
          <w:p w14:paraId="7EEEA3E0">
            <w:pPr>
              <w:jc w:val="center"/>
              <w:rPr>
                <w:rFonts w:hint="eastAsia" w:ascii="宋体" w:hAnsi="宋体"/>
                <w:color w:val="000000" w:themeColor="text1"/>
                <w:szCs w:val="21"/>
                <w14:textFill>
                  <w14:solidFill>
                    <w14:schemeClr w14:val="tx1"/>
                  </w14:solidFill>
                </w14:textFill>
              </w:rPr>
            </w:pPr>
          </w:p>
        </w:tc>
        <w:tc>
          <w:tcPr>
            <w:tcW w:w="1785" w:type="dxa"/>
            <w:vAlign w:val="center"/>
          </w:tcPr>
          <w:p w14:paraId="2411B5B3">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tc>
        <w:tc>
          <w:tcPr>
            <w:tcW w:w="2234" w:type="dxa"/>
            <w:vAlign w:val="center"/>
          </w:tcPr>
          <w:p w14:paraId="5674481A">
            <w:pPr>
              <w:jc w:val="center"/>
              <w:rPr>
                <w:rFonts w:hint="eastAsia" w:ascii="宋体" w:hAnsi="宋体"/>
                <w:color w:val="000000" w:themeColor="text1"/>
                <w:szCs w:val="21"/>
                <w14:textFill>
                  <w14:solidFill>
                    <w14:schemeClr w14:val="tx1"/>
                  </w14:solidFill>
                </w14:textFill>
              </w:rPr>
            </w:pPr>
          </w:p>
        </w:tc>
      </w:tr>
      <w:tr w14:paraId="18D3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05D3D48">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tc>
        <w:tc>
          <w:tcPr>
            <w:tcW w:w="1680" w:type="dxa"/>
            <w:vAlign w:val="center"/>
          </w:tcPr>
          <w:p w14:paraId="7404EABD">
            <w:pPr>
              <w:jc w:val="center"/>
              <w:rPr>
                <w:rFonts w:hint="eastAsia" w:ascii="宋体" w:hAnsi="宋体"/>
                <w:color w:val="000000" w:themeColor="text1"/>
                <w:szCs w:val="21"/>
                <w14:textFill>
                  <w14:solidFill>
                    <w14:schemeClr w14:val="tx1"/>
                  </w14:solidFill>
                </w14:textFill>
              </w:rPr>
            </w:pPr>
          </w:p>
        </w:tc>
        <w:tc>
          <w:tcPr>
            <w:tcW w:w="1050" w:type="dxa"/>
            <w:vAlign w:val="center"/>
          </w:tcPr>
          <w:p w14:paraId="7BAE50F6">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称</w:t>
            </w:r>
          </w:p>
        </w:tc>
        <w:tc>
          <w:tcPr>
            <w:tcW w:w="945" w:type="dxa"/>
            <w:vAlign w:val="center"/>
          </w:tcPr>
          <w:p w14:paraId="6964FAC1">
            <w:pPr>
              <w:jc w:val="center"/>
              <w:rPr>
                <w:rFonts w:hint="eastAsia" w:ascii="宋体" w:hAnsi="宋体"/>
                <w:color w:val="000000" w:themeColor="text1"/>
                <w:szCs w:val="21"/>
                <w14:textFill>
                  <w14:solidFill>
                    <w14:schemeClr w14:val="tx1"/>
                  </w14:solidFill>
                </w14:textFill>
              </w:rPr>
            </w:pPr>
          </w:p>
        </w:tc>
        <w:tc>
          <w:tcPr>
            <w:tcW w:w="1785" w:type="dxa"/>
            <w:vAlign w:val="center"/>
          </w:tcPr>
          <w:p w14:paraId="61F4B506">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    历</w:t>
            </w:r>
          </w:p>
        </w:tc>
        <w:tc>
          <w:tcPr>
            <w:tcW w:w="2234" w:type="dxa"/>
            <w:vAlign w:val="center"/>
          </w:tcPr>
          <w:p w14:paraId="03D18B23">
            <w:pPr>
              <w:jc w:val="center"/>
              <w:rPr>
                <w:rFonts w:hint="eastAsia" w:ascii="宋体" w:hAnsi="宋体"/>
                <w:color w:val="000000" w:themeColor="text1"/>
                <w:szCs w:val="21"/>
                <w14:textFill>
                  <w14:solidFill>
                    <w14:schemeClr w14:val="tx1"/>
                  </w14:solidFill>
                </w14:textFill>
              </w:rPr>
            </w:pPr>
          </w:p>
        </w:tc>
      </w:tr>
      <w:tr w14:paraId="666D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0470620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bl>
    <w:p w14:paraId="23393999">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14:paraId="65635B00">
      <w:pPr>
        <w:spacing w:line="360" w:lineRule="auto"/>
        <w:rPr>
          <w:rFonts w:hint="eastAsia" w:ascii="宋体" w:hAnsi="宋体"/>
          <w:b/>
          <w:color w:val="000000" w:themeColor="text1"/>
          <w14:textFill>
            <w14:solidFill>
              <w14:schemeClr w14:val="tx1"/>
            </w14:solidFill>
          </w14:textFill>
        </w:rPr>
      </w:pPr>
    </w:p>
    <w:p w14:paraId="2FA70696">
      <w:pPr>
        <w:rPr>
          <w:rFonts w:hint="eastAsia" w:ascii="宋体" w:hAnsi="宋体"/>
          <w:color w:val="000000" w:themeColor="text1"/>
          <w14:textFill>
            <w14:solidFill>
              <w14:schemeClr w14:val="tx1"/>
            </w14:solidFill>
          </w14:textFill>
        </w:rPr>
      </w:pPr>
    </w:p>
    <w:p w14:paraId="35B47E70">
      <w:pPr>
        <w:widowControl/>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 标 人（盖章）：</w:t>
      </w:r>
    </w:p>
    <w:p w14:paraId="68634F46">
      <w:pPr>
        <w:pStyle w:val="19"/>
        <w:snapToGrid w:val="0"/>
        <w:spacing w:line="360" w:lineRule="auto"/>
        <w:ind w:firstLine="0"/>
        <w:rPr>
          <w:rFonts w:hint="eastAsia"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法定代表人或其授权代表（签字或盖章）：</w:t>
      </w:r>
    </w:p>
    <w:p w14:paraId="44E5204C">
      <w:pPr>
        <w:pStyle w:val="19"/>
        <w:widowControl/>
        <w:spacing w:line="360" w:lineRule="auto"/>
        <w:ind w:firstLine="0"/>
        <w:jc w:val="left"/>
        <w:rPr>
          <w:rFonts w:hint="eastAsia" w:hAnsi="宋体"/>
          <w:color w:val="000000" w:themeColor="text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日            期：</w:t>
      </w:r>
    </w:p>
    <w:p w14:paraId="1DEB1A09">
      <w:pPr>
        <w:spacing w:line="360" w:lineRule="auto"/>
        <w:rPr>
          <w:rFonts w:hint="eastAsia" w:ascii="宋体" w:hAnsi="宋体"/>
          <w:color w:val="000000" w:themeColor="text1"/>
          <w:sz w:val="24"/>
          <w:szCs w:val="21"/>
          <w14:textFill>
            <w14:solidFill>
              <w14:schemeClr w14:val="tx1"/>
            </w14:solidFill>
          </w14:textFill>
        </w:rPr>
        <w:sectPr>
          <w:pgSz w:w="11907" w:h="16840"/>
          <w:pgMar w:top="1361" w:right="1474" w:bottom="1242" w:left="1474" w:header="720" w:footer="720" w:gutter="0"/>
          <w:pgNumType w:fmt="numberInDash"/>
          <w:cols w:space="720" w:num="1"/>
          <w:docGrid w:linePitch="285" w:charSpace="0"/>
        </w:sectPr>
      </w:pPr>
    </w:p>
    <w:p w14:paraId="2D9729E8">
      <w:pPr>
        <w:rPr>
          <w:rFonts w:hint="eastAsia" w:ascii="宋体" w:hAnsi="宋体"/>
          <w:b/>
          <w:color w:val="000000" w:themeColor="text1"/>
          <w14:textFill>
            <w14:solidFill>
              <w14:schemeClr w14:val="tx1"/>
            </w14:solidFill>
          </w14:textFill>
        </w:rPr>
      </w:pPr>
      <w:bookmarkStart w:id="248" w:name="_Toc434566544"/>
      <w:bookmarkStart w:id="249" w:name="_Toc460857951"/>
      <w:bookmarkStart w:id="250" w:name="_Toc97372570"/>
      <w:bookmarkStart w:id="251" w:name="_Toc303892571"/>
      <w:r>
        <w:rPr>
          <w:rFonts w:ascii="宋体" w:hAnsi="宋体"/>
          <w:b/>
          <w:color w:val="000000" w:themeColor="text1"/>
          <w14:textFill>
            <w14:solidFill>
              <w14:schemeClr w14:val="tx1"/>
            </w14:solidFill>
          </w14:textFill>
        </w:rPr>
        <w:t>格式</w:t>
      </w:r>
      <w:r>
        <w:rPr>
          <w:rFonts w:hint="eastAsia" w:ascii="宋体" w:hAnsi="宋体"/>
          <w:b/>
          <w:color w:val="000000" w:themeColor="text1"/>
          <w14:textFill>
            <w14:solidFill>
              <w14:schemeClr w14:val="tx1"/>
            </w14:solidFill>
          </w14:textFill>
        </w:rPr>
        <w:t>六：</w:t>
      </w:r>
      <w:bookmarkEnd w:id="248"/>
      <w:bookmarkEnd w:id="249"/>
      <w:bookmarkEnd w:id="250"/>
      <w:bookmarkEnd w:id="251"/>
      <w:r>
        <w:rPr>
          <w:rFonts w:hint="eastAsia" w:ascii="宋体" w:hAnsi="宋体"/>
          <w:color w:val="000000" w:themeColor="text1"/>
          <w:szCs w:val="21"/>
          <w14:textFill>
            <w14:solidFill>
              <w14:schemeClr w14:val="tx1"/>
            </w14:solidFill>
          </w14:textFill>
        </w:rPr>
        <w:t>类似项目业绩表</w:t>
      </w:r>
    </w:p>
    <w:p w14:paraId="1B2F7290">
      <w:pPr>
        <w:spacing w:line="360" w:lineRule="auto"/>
        <w:rPr>
          <w:rFonts w:hint="eastAsia" w:ascii="宋体" w:hAnsi="宋体"/>
          <w:color w:val="000000" w:themeColor="text1"/>
          <w:u w:val="single"/>
          <w14:textFill>
            <w14:solidFill>
              <w14:schemeClr w14:val="tx1"/>
            </w14:solidFill>
          </w14:textFill>
        </w:rPr>
      </w:pPr>
    </w:p>
    <w:p w14:paraId="064ACA85">
      <w:pPr>
        <w:spacing w:before="120" w:after="120"/>
        <w:jc w:val="center"/>
        <w:rPr>
          <w:rFonts w:hint="eastAsia" w:ascii="宋体" w:hAnsi="宋体"/>
          <w:b/>
          <w:bCs/>
          <w:color w:val="000000" w:themeColor="text1"/>
          <w:spacing w:val="20"/>
          <w:sz w:val="24"/>
          <w14:textFill>
            <w14:solidFill>
              <w14:schemeClr w14:val="tx1"/>
            </w14:solidFill>
          </w14:textFill>
        </w:rPr>
      </w:pPr>
      <w:r>
        <w:rPr>
          <w:rFonts w:hint="eastAsia" w:ascii="宋体" w:hAnsi="宋体"/>
          <w:b/>
          <w:bCs/>
          <w:color w:val="000000" w:themeColor="text1"/>
          <w:spacing w:val="20"/>
          <w:sz w:val="24"/>
          <w14:textFill>
            <w14:solidFill>
              <w14:schemeClr w14:val="tx1"/>
            </w14:solidFill>
          </w14:textFill>
        </w:rPr>
        <w:t>类似项目业绩表（如有）</w:t>
      </w:r>
    </w:p>
    <w:p w14:paraId="7E47F960">
      <w:pPr>
        <w:rPr>
          <w:rFonts w:hint="eastAsia" w:ascii="宋体" w:hAnsi="宋体"/>
          <w:color w:val="000000" w:themeColor="text1"/>
          <w:sz w:val="28"/>
          <w14:textFill>
            <w14:solidFill>
              <w14:schemeClr w14:val="tx1"/>
            </w14:solidFill>
          </w14:textFill>
        </w:rPr>
      </w:pPr>
    </w:p>
    <w:p w14:paraId="2A36C66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14:paraId="1265E78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14:paraId="6A703A40">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标项：</w:t>
      </w:r>
    </w:p>
    <w:tbl>
      <w:tblPr>
        <w:tblStyle w:val="42"/>
        <w:tblW w:w="8846"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1649"/>
        <w:gridCol w:w="2028"/>
        <w:gridCol w:w="1143"/>
        <w:gridCol w:w="1260"/>
        <w:gridCol w:w="2052"/>
      </w:tblGrid>
      <w:tr w14:paraId="225CD6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4" w:type="dxa"/>
            <w:tcBorders>
              <w:top w:val="single" w:color="auto" w:sz="4" w:space="0"/>
              <w:bottom w:val="single" w:color="auto" w:sz="4" w:space="0"/>
            </w:tcBorders>
            <w:tcMar>
              <w:left w:w="0" w:type="dxa"/>
              <w:right w:w="0" w:type="dxa"/>
            </w:tcMar>
            <w:vAlign w:val="center"/>
          </w:tcPr>
          <w:p w14:paraId="6E778E07">
            <w:pPr>
              <w:spacing w:line="0" w:lineRule="atLeast"/>
              <w:ind w:left="-115" w:right="-107"/>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49" w:type="dxa"/>
            <w:tcBorders>
              <w:top w:val="single" w:color="auto" w:sz="4" w:space="0"/>
              <w:bottom w:val="single" w:color="auto" w:sz="4" w:space="0"/>
            </w:tcBorders>
            <w:tcMar>
              <w:left w:w="0" w:type="dxa"/>
              <w:right w:w="0" w:type="dxa"/>
            </w:tcMar>
            <w:vAlign w:val="center"/>
          </w:tcPr>
          <w:p w14:paraId="7B908824">
            <w:pPr>
              <w:spacing w:line="0" w:lineRule="atLeas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2028" w:type="dxa"/>
            <w:tcBorders>
              <w:top w:val="single" w:color="auto" w:sz="4" w:space="0"/>
              <w:bottom w:val="single" w:color="auto" w:sz="4" w:space="0"/>
            </w:tcBorders>
            <w:tcMar>
              <w:left w:w="0" w:type="dxa"/>
              <w:right w:w="0" w:type="dxa"/>
            </w:tcMar>
            <w:vAlign w:val="center"/>
          </w:tcPr>
          <w:p w14:paraId="72C3D8F7">
            <w:pPr>
              <w:spacing w:line="0" w:lineRule="atLeast"/>
              <w:ind w:left="-115" w:right="-107"/>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用户名称</w:t>
            </w:r>
          </w:p>
        </w:tc>
        <w:tc>
          <w:tcPr>
            <w:tcW w:w="1143" w:type="dxa"/>
            <w:tcBorders>
              <w:top w:val="single" w:color="auto" w:sz="4" w:space="0"/>
              <w:bottom w:val="single" w:color="auto" w:sz="4" w:space="0"/>
            </w:tcBorders>
            <w:tcMar>
              <w:left w:w="0" w:type="dxa"/>
              <w:right w:w="0" w:type="dxa"/>
            </w:tcMar>
            <w:vAlign w:val="center"/>
          </w:tcPr>
          <w:p w14:paraId="5E6780BA">
            <w:pPr>
              <w:spacing w:line="0" w:lineRule="atLeast"/>
              <w:ind w:left="-115" w:right="-107"/>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合同金额</w:t>
            </w:r>
          </w:p>
        </w:tc>
        <w:tc>
          <w:tcPr>
            <w:tcW w:w="1260" w:type="dxa"/>
            <w:tcBorders>
              <w:top w:val="single" w:color="auto" w:sz="4" w:space="0"/>
              <w:bottom w:val="single" w:color="auto" w:sz="4" w:space="0"/>
            </w:tcBorders>
            <w:tcMar>
              <w:left w:w="0" w:type="dxa"/>
              <w:right w:w="0" w:type="dxa"/>
            </w:tcMar>
            <w:vAlign w:val="center"/>
          </w:tcPr>
          <w:p w14:paraId="43C2494B">
            <w:pPr>
              <w:spacing w:line="0" w:lineRule="atLeast"/>
              <w:ind w:left="-115" w:right="-107"/>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合同签订时间</w:t>
            </w:r>
          </w:p>
        </w:tc>
        <w:tc>
          <w:tcPr>
            <w:tcW w:w="2052" w:type="dxa"/>
            <w:tcBorders>
              <w:top w:val="single" w:color="auto" w:sz="4" w:space="0"/>
              <w:bottom w:val="single" w:color="auto" w:sz="4" w:space="0"/>
            </w:tcBorders>
            <w:tcMar>
              <w:left w:w="0" w:type="dxa"/>
              <w:right w:w="0" w:type="dxa"/>
            </w:tcMar>
            <w:vAlign w:val="center"/>
          </w:tcPr>
          <w:p w14:paraId="0F82A767">
            <w:pPr>
              <w:spacing w:line="0" w:lineRule="atLeast"/>
              <w:ind w:left="-115" w:right="-107"/>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联系人/电话</w:t>
            </w:r>
          </w:p>
        </w:tc>
      </w:tr>
      <w:tr w14:paraId="2F530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Borders>
              <w:top w:val="single" w:color="auto" w:sz="4" w:space="0"/>
            </w:tcBorders>
            <w:tcMar>
              <w:left w:w="0" w:type="dxa"/>
              <w:right w:w="0" w:type="dxa"/>
            </w:tcMar>
            <w:vAlign w:val="center"/>
          </w:tcPr>
          <w:p w14:paraId="5E8FCDA3">
            <w:pPr>
              <w:spacing w:line="0" w:lineRule="atLeast"/>
              <w:jc w:val="center"/>
              <w:rPr>
                <w:rFonts w:hint="eastAsia" w:ascii="宋体" w:hAnsi="宋体"/>
                <w:color w:val="000000" w:themeColor="text1"/>
                <w:szCs w:val="21"/>
                <w14:textFill>
                  <w14:solidFill>
                    <w14:schemeClr w14:val="tx1"/>
                  </w14:solidFill>
                </w14:textFill>
              </w:rPr>
            </w:pPr>
          </w:p>
        </w:tc>
        <w:tc>
          <w:tcPr>
            <w:tcW w:w="1649" w:type="dxa"/>
            <w:tcBorders>
              <w:top w:val="single" w:color="auto" w:sz="4" w:space="0"/>
            </w:tcBorders>
            <w:tcMar>
              <w:left w:w="0" w:type="dxa"/>
              <w:right w:w="0" w:type="dxa"/>
            </w:tcMar>
            <w:vAlign w:val="center"/>
          </w:tcPr>
          <w:p w14:paraId="4DD0C6A6">
            <w:pPr>
              <w:spacing w:line="0" w:lineRule="atLeast"/>
              <w:jc w:val="center"/>
              <w:rPr>
                <w:rFonts w:hint="eastAsia" w:ascii="宋体" w:hAnsi="宋体"/>
                <w:color w:val="000000" w:themeColor="text1"/>
                <w:szCs w:val="21"/>
                <w14:textFill>
                  <w14:solidFill>
                    <w14:schemeClr w14:val="tx1"/>
                  </w14:solidFill>
                </w14:textFill>
              </w:rPr>
            </w:pPr>
          </w:p>
        </w:tc>
        <w:tc>
          <w:tcPr>
            <w:tcW w:w="2028" w:type="dxa"/>
            <w:tcBorders>
              <w:top w:val="single" w:color="auto" w:sz="4" w:space="0"/>
            </w:tcBorders>
            <w:tcMar>
              <w:left w:w="0" w:type="dxa"/>
              <w:right w:w="0" w:type="dxa"/>
            </w:tcMar>
            <w:vAlign w:val="center"/>
          </w:tcPr>
          <w:p w14:paraId="5D619F60">
            <w:pPr>
              <w:spacing w:line="0" w:lineRule="atLeast"/>
              <w:jc w:val="center"/>
              <w:rPr>
                <w:rFonts w:hint="eastAsia" w:ascii="宋体" w:hAnsi="宋体"/>
                <w:color w:val="000000" w:themeColor="text1"/>
                <w:szCs w:val="21"/>
                <w14:textFill>
                  <w14:solidFill>
                    <w14:schemeClr w14:val="tx1"/>
                  </w14:solidFill>
                </w14:textFill>
              </w:rPr>
            </w:pPr>
          </w:p>
        </w:tc>
        <w:tc>
          <w:tcPr>
            <w:tcW w:w="1143" w:type="dxa"/>
            <w:tcBorders>
              <w:top w:val="single" w:color="auto" w:sz="4" w:space="0"/>
            </w:tcBorders>
            <w:tcMar>
              <w:left w:w="0" w:type="dxa"/>
              <w:right w:w="0" w:type="dxa"/>
            </w:tcMar>
            <w:vAlign w:val="center"/>
          </w:tcPr>
          <w:p w14:paraId="052C1440">
            <w:pPr>
              <w:spacing w:line="0" w:lineRule="atLeast"/>
              <w:jc w:val="center"/>
              <w:rPr>
                <w:rFonts w:hint="eastAsia" w:ascii="宋体" w:hAnsi="宋体"/>
                <w:color w:val="000000" w:themeColor="text1"/>
                <w:szCs w:val="21"/>
                <w14:textFill>
                  <w14:solidFill>
                    <w14:schemeClr w14:val="tx1"/>
                  </w14:solidFill>
                </w14:textFill>
              </w:rPr>
            </w:pPr>
          </w:p>
        </w:tc>
        <w:tc>
          <w:tcPr>
            <w:tcW w:w="1260" w:type="dxa"/>
            <w:tcBorders>
              <w:top w:val="single" w:color="auto" w:sz="4" w:space="0"/>
            </w:tcBorders>
            <w:tcMar>
              <w:left w:w="0" w:type="dxa"/>
              <w:right w:w="0" w:type="dxa"/>
            </w:tcMar>
            <w:vAlign w:val="center"/>
          </w:tcPr>
          <w:p w14:paraId="07117DB9">
            <w:pPr>
              <w:spacing w:line="0" w:lineRule="atLeast"/>
              <w:jc w:val="center"/>
              <w:rPr>
                <w:rFonts w:hint="eastAsia" w:ascii="宋体" w:hAnsi="宋体"/>
                <w:color w:val="000000" w:themeColor="text1"/>
                <w:szCs w:val="21"/>
                <w14:textFill>
                  <w14:solidFill>
                    <w14:schemeClr w14:val="tx1"/>
                  </w14:solidFill>
                </w14:textFill>
              </w:rPr>
            </w:pPr>
          </w:p>
        </w:tc>
        <w:tc>
          <w:tcPr>
            <w:tcW w:w="2052" w:type="dxa"/>
            <w:tcBorders>
              <w:top w:val="single" w:color="auto" w:sz="4" w:space="0"/>
            </w:tcBorders>
            <w:tcMar>
              <w:left w:w="0" w:type="dxa"/>
              <w:right w:w="0" w:type="dxa"/>
            </w:tcMar>
            <w:vAlign w:val="center"/>
          </w:tcPr>
          <w:p w14:paraId="4510C499">
            <w:pPr>
              <w:spacing w:line="0" w:lineRule="atLeast"/>
              <w:jc w:val="center"/>
              <w:rPr>
                <w:rFonts w:hint="eastAsia" w:ascii="宋体" w:hAnsi="宋体"/>
                <w:color w:val="000000" w:themeColor="text1"/>
                <w:szCs w:val="21"/>
                <w14:textFill>
                  <w14:solidFill>
                    <w14:schemeClr w14:val="tx1"/>
                  </w14:solidFill>
                </w14:textFill>
              </w:rPr>
            </w:pPr>
          </w:p>
        </w:tc>
      </w:tr>
      <w:tr w14:paraId="5A0725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1FA93735">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39B7B1CA">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572C5B70">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5BBCB559">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7185F31E">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3ACCB34B">
            <w:pPr>
              <w:spacing w:line="0" w:lineRule="atLeast"/>
              <w:jc w:val="center"/>
              <w:rPr>
                <w:rFonts w:hint="eastAsia" w:ascii="宋体" w:hAnsi="宋体"/>
                <w:color w:val="000000" w:themeColor="text1"/>
                <w:szCs w:val="21"/>
                <w14:textFill>
                  <w14:solidFill>
                    <w14:schemeClr w14:val="tx1"/>
                  </w14:solidFill>
                </w14:textFill>
              </w:rPr>
            </w:pPr>
          </w:p>
        </w:tc>
      </w:tr>
      <w:tr w14:paraId="51F3BB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5F3976BB">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3A8CC737">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45C3564E">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71D2D98E">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40F11A04">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7C7FE7FC">
            <w:pPr>
              <w:spacing w:line="0" w:lineRule="atLeast"/>
              <w:jc w:val="center"/>
              <w:rPr>
                <w:rFonts w:hint="eastAsia" w:ascii="宋体" w:hAnsi="宋体"/>
                <w:color w:val="000000" w:themeColor="text1"/>
                <w:szCs w:val="21"/>
                <w14:textFill>
                  <w14:solidFill>
                    <w14:schemeClr w14:val="tx1"/>
                  </w14:solidFill>
                </w14:textFill>
              </w:rPr>
            </w:pPr>
          </w:p>
        </w:tc>
      </w:tr>
      <w:tr w14:paraId="533E11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0E63D7FA">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2761551C">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5C0ACAFE">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251A587A">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7EC110DD">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4FB0F89A">
            <w:pPr>
              <w:spacing w:line="0" w:lineRule="atLeast"/>
              <w:jc w:val="center"/>
              <w:rPr>
                <w:rFonts w:hint="eastAsia" w:ascii="宋体" w:hAnsi="宋体"/>
                <w:color w:val="000000" w:themeColor="text1"/>
                <w:szCs w:val="21"/>
                <w14:textFill>
                  <w14:solidFill>
                    <w14:schemeClr w14:val="tx1"/>
                  </w14:solidFill>
                </w14:textFill>
              </w:rPr>
            </w:pPr>
          </w:p>
        </w:tc>
      </w:tr>
      <w:tr w14:paraId="511BC1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0F3CAD01">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25C5AB33">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2B4580F8">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247181D6">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318EBD1E">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4BFA0196">
            <w:pPr>
              <w:spacing w:line="0" w:lineRule="atLeast"/>
              <w:jc w:val="center"/>
              <w:rPr>
                <w:rFonts w:hint="eastAsia" w:ascii="宋体" w:hAnsi="宋体"/>
                <w:color w:val="000000" w:themeColor="text1"/>
                <w:szCs w:val="21"/>
                <w14:textFill>
                  <w14:solidFill>
                    <w14:schemeClr w14:val="tx1"/>
                  </w14:solidFill>
                </w14:textFill>
              </w:rPr>
            </w:pPr>
          </w:p>
        </w:tc>
      </w:tr>
      <w:tr w14:paraId="74B88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30DE9F7D">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67994BE2">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7F011642">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67BFD72A">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45AE4365">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495C4B10">
            <w:pPr>
              <w:spacing w:line="0" w:lineRule="atLeast"/>
              <w:jc w:val="center"/>
              <w:rPr>
                <w:rFonts w:hint="eastAsia" w:ascii="宋体" w:hAnsi="宋体"/>
                <w:color w:val="000000" w:themeColor="text1"/>
                <w:szCs w:val="21"/>
                <w14:textFill>
                  <w14:solidFill>
                    <w14:schemeClr w14:val="tx1"/>
                  </w14:solidFill>
                </w14:textFill>
              </w:rPr>
            </w:pPr>
          </w:p>
        </w:tc>
      </w:tr>
      <w:tr w14:paraId="38DC9D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6660CD02">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2AA5B658">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32512809">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6E79A17B">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4B34DF13">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465EAB40">
            <w:pPr>
              <w:spacing w:line="0" w:lineRule="atLeast"/>
              <w:jc w:val="center"/>
              <w:rPr>
                <w:rFonts w:hint="eastAsia" w:ascii="宋体" w:hAnsi="宋体"/>
                <w:color w:val="000000" w:themeColor="text1"/>
                <w:szCs w:val="21"/>
                <w14:textFill>
                  <w14:solidFill>
                    <w14:schemeClr w14:val="tx1"/>
                  </w14:solidFill>
                </w14:textFill>
              </w:rPr>
            </w:pPr>
          </w:p>
        </w:tc>
      </w:tr>
      <w:tr w14:paraId="59FE4D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029E9C5D">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19E15BED">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75905928">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3DB93E01">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068C8A8D">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58AC030F">
            <w:pPr>
              <w:spacing w:line="0" w:lineRule="atLeast"/>
              <w:jc w:val="center"/>
              <w:rPr>
                <w:rFonts w:hint="eastAsia" w:ascii="宋体" w:hAnsi="宋体"/>
                <w:color w:val="000000" w:themeColor="text1"/>
                <w:szCs w:val="21"/>
                <w14:textFill>
                  <w14:solidFill>
                    <w14:schemeClr w14:val="tx1"/>
                  </w14:solidFill>
                </w14:textFill>
              </w:rPr>
            </w:pPr>
          </w:p>
        </w:tc>
      </w:tr>
      <w:tr w14:paraId="5DB979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14:paraId="0BEAA661">
            <w:pPr>
              <w:spacing w:line="0" w:lineRule="atLeast"/>
              <w:jc w:val="center"/>
              <w:rPr>
                <w:rFonts w:hint="eastAsia" w:ascii="宋体" w:hAnsi="宋体"/>
                <w:color w:val="000000" w:themeColor="text1"/>
                <w:szCs w:val="21"/>
                <w14:textFill>
                  <w14:solidFill>
                    <w14:schemeClr w14:val="tx1"/>
                  </w14:solidFill>
                </w14:textFill>
              </w:rPr>
            </w:pPr>
          </w:p>
        </w:tc>
        <w:tc>
          <w:tcPr>
            <w:tcW w:w="1649" w:type="dxa"/>
            <w:tcMar>
              <w:left w:w="0" w:type="dxa"/>
              <w:right w:w="0" w:type="dxa"/>
            </w:tcMar>
            <w:vAlign w:val="center"/>
          </w:tcPr>
          <w:p w14:paraId="43FD968E">
            <w:pPr>
              <w:spacing w:line="0" w:lineRule="atLeast"/>
              <w:jc w:val="center"/>
              <w:rPr>
                <w:rFonts w:hint="eastAsia" w:ascii="宋体" w:hAnsi="宋体"/>
                <w:color w:val="000000" w:themeColor="text1"/>
                <w:szCs w:val="21"/>
                <w14:textFill>
                  <w14:solidFill>
                    <w14:schemeClr w14:val="tx1"/>
                  </w14:solidFill>
                </w14:textFill>
              </w:rPr>
            </w:pPr>
          </w:p>
        </w:tc>
        <w:tc>
          <w:tcPr>
            <w:tcW w:w="2028" w:type="dxa"/>
            <w:tcMar>
              <w:left w:w="0" w:type="dxa"/>
              <w:right w:w="0" w:type="dxa"/>
            </w:tcMar>
            <w:vAlign w:val="center"/>
          </w:tcPr>
          <w:p w14:paraId="72858BB7">
            <w:pPr>
              <w:spacing w:line="0" w:lineRule="atLeast"/>
              <w:jc w:val="center"/>
              <w:rPr>
                <w:rFonts w:hint="eastAsia" w:ascii="宋体" w:hAnsi="宋体"/>
                <w:color w:val="000000" w:themeColor="text1"/>
                <w:szCs w:val="21"/>
                <w14:textFill>
                  <w14:solidFill>
                    <w14:schemeClr w14:val="tx1"/>
                  </w14:solidFill>
                </w14:textFill>
              </w:rPr>
            </w:pPr>
          </w:p>
        </w:tc>
        <w:tc>
          <w:tcPr>
            <w:tcW w:w="1143" w:type="dxa"/>
            <w:tcMar>
              <w:left w:w="0" w:type="dxa"/>
              <w:right w:w="0" w:type="dxa"/>
            </w:tcMar>
            <w:vAlign w:val="center"/>
          </w:tcPr>
          <w:p w14:paraId="084DEC49">
            <w:pPr>
              <w:spacing w:line="0" w:lineRule="atLeast"/>
              <w:jc w:val="center"/>
              <w:rPr>
                <w:rFonts w:hint="eastAsia" w:ascii="宋体" w:hAnsi="宋体"/>
                <w:color w:val="000000" w:themeColor="text1"/>
                <w:szCs w:val="21"/>
                <w14:textFill>
                  <w14:solidFill>
                    <w14:schemeClr w14:val="tx1"/>
                  </w14:solidFill>
                </w14:textFill>
              </w:rPr>
            </w:pPr>
          </w:p>
        </w:tc>
        <w:tc>
          <w:tcPr>
            <w:tcW w:w="1260" w:type="dxa"/>
            <w:tcMar>
              <w:left w:w="0" w:type="dxa"/>
              <w:right w:w="0" w:type="dxa"/>
            </w:tcMar>
            <w:vAlign w:val="center"/>
          </w:tcPr>
          <w:p w14:paraId="306E694A">
            <w:pPr>
              <w:spacing w:line="0" w:lineRule="atLeast"/>
              <w:jc w:val="center"/>
              <w:rPr>
                <w:rFonts w:hint="eastAsia" w:ascii="宋体" w:hAnsi="宋体"/>
                <w:color w:val="000000" w:themeColor="text1"/>
                <w:szCs w:val="21"/>
                <w14:textFill>
                  <w14:solidFill>
                    <w14:schemeClr w14:val="tx1"/>
                  </w14:solidFill>
                </w14:textFill>
              </w:rPr>
            </w:pPr>
          </w:p>
        </w:tc>
        <w:tc>
          <w:tcPr>
            <w:tcW w:w="2052" w:type="dxa"/>
            <w:tcMar>
              <w:left w:w="0" w:type="dxa"/>
              <w:right w:w="0" w:type="dxa"/>
            </w:tcMar>
            <w:vAlign w:val="center"/>
          </w:tcPr>
          <w:p w14:paraId="16C9FB46">
            <w:pPr>
              <w:spacing w:line="0" w:lineRule="atLeast"/>
              <w:jc w:val="center"/>
              <w:rPr>
                <w:rFonts w:hint="eastAsia" w:ascii="宋体" w:hAnsi="宋体"/>
                <w:color w:val="000000" w:themeColor="text1"/>
                <w:szCs w:val="21"/>
                <w14:textFill>
                  <w14:solidFill>
                    <w14:schemeClr w14:val="tx1"/>
                  </w14:solidFill>
                </w14:textFill>
              </w:rPr>
            </w:pPr>
          </w:p>
        </w:tc>
      </w:tr>
    </w:tbl>
    <w:p w14:paraId="2F782CBA">
      <w:pPr>
        <w:spacing w:line="0" w:lineRule="atLeast"/>
        <w:rPr>
          <w:rFonts w:hint="eastAsia" w:ascii="宋体" w:hAnsi="宋体"/>
          <w:color w:val="000000" w:themeColor="text1"/>
          <w:sz w:val="24"/>
          <w14:textFill>
            <w14:solidFill>
              <w14:schemeClr w14:val="tx1"/>
            </w14:solidFill>
          </w14:textFill>
        </w:rPr>
      </w:pPr>
    </w:p>
    <w:p w14:paraId="305898A3">
      <w:pPr>
        <w:widowControl/>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 标 人（盖章）：</w:t>
      </w:r>
    </w:p>
    <w:p w14:paraId="51E4807A">
      <w:pPr>
        <w:pStyle w:val="19"/>
        <w:snapToGrid w:val="0"/>
        <w:spacing w:line="360" w:lineRule="auto"/>
        <w:ind w:firstLine="0"/>
        <w:rPr>
          <w:rFonts w:hint="eastAsia"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法定代表人或其授权代表（签字或盖章）：</w:t>
      </w:r>
    </w:p>
    <w:p w14:paraId="4621AB4D">
      <w:pPr>
        <w:pStyle w:val="19"/>
        <w:widowControl/>
        <w:spacing w:line="360" w:lineRule="auto"/>
        <w:ind w:firstLine="0"/>
        <w:jc w:val="left"/>
        <w:rPr>
          <w:rFonts w:hint="eastAsia" w:hAnsi="宋体"/>
          <w:b/>
          <w:color w:val="000000" w:themeColor="text1"/>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日  期：</w:t>
      </w:r>
      <w:r>
        <w:rPr>
          <w:rFonts w:hAnsi="宋体"/>
          <w:b/>
          <w:color w:val="000000" w:themeColor="text1"/>
          <w:sz w:val="28"/>
          <w:szCs w:val="28"/>
          <w14:textFill>
            <w14:solidFill>
              <w14:schemeClr w14:val="tx1"/>
            </w14:solidFill>
          </w14:textFill>
        </w:rPr>
        <w:br w:type="page"/>
      </w:r>
      <w:bookmarkStart w:id="252" w:name="_Toc460857952"/>
      <w:r>
        <w:rPr>
          <w:rFonts w:hint="eastAsia" w:hAnsi="宋体"/>
          <w:b/>
          <w:color w:val="000000" w:themeColor="text1"/>
          <w:sz w:val="21"/>
          <w:szCs w:val="21"/>
          <w14:textFill>
            <w14:solidFill>
              <w14:schemeClr w14:val="tx1"/>
            </w14:solidFill>
          </w14:textFill>
        </w:rPr>
        <w:t>格式</w:t>
      </w:r>
      <w:bookmarkEnd w:id="252"/>
      <w:r>
        <w:rPr>
          <w:rFonts w:hint="eastAsia" w:hAnsi="宋体"/>
          <w:b/>
          <w:color w:val="000000" w:themeColor="text1"/>
          <w:sz w:val="21"/>
          <w:szCs w:val="21"/>
          <w14:textFill>
            <w14:solidFill>
              <w14:schemeClr w14:val="tx1"/>
            </w14:solidFill>
          </w14:textFill>
        </w:rPr>
        <w:t>七：</w:t>
      </w:r>
      <w:r>
        <w:rPr>
          <w:rFonts w:hint="eastAsia" w:hAnsi="宋体"/>
          <w:color w:val="000000" w:themeColor="text1"/>
          <w:sz w:val="21"/>
          <w:szCs w:val="21"/>
          <w14:textFill>
            <w14:solidFill>
              <w14:schemeClr w14:val="tx1"/>
            </w14:solidFill>
          </w14:textFill>
        </w:rPr>
        <w:t>商务条款偏离表</w:t>
      </w:r>
    </w:p>
    <w:p w14:paraId="14B580CB">
      <w:pPr>
        <w:pStyle w:val="19"/>
        <w:spacing w:line="400" w:lineRule="exact"/>
        <w:ind w:left="711" w:leftChars="228" w:hanging="232" w:hangingChars="100"/>
        <w:rPr>
          <w:rFonts w:hint="eastAsia" w:hAnsi="宋体"/>
          <w:color w:val="000000" w:themeColor="text1"/>
          <w:sz w:val="24"/>
          <w:szCs w:val="21"/>
          <w14:textFill>
            <w14:solidFill>
              <w14:schemeClr w14:val="tx1"/>
            </w14:solidFill>
          </w14:textFill>
        </w:rPr>
      </w:pPr>
    </w:p>
    <w:p w14:paraId="121A9ABB">
      <w:pPr>
        <w:spacing w:line="360" w:lineRule="auto"/>
        <w:jc w:val="center"/>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商务条款偏离表</w:t>
      </w:r>
    </w:p>
    <w:p w14:paraId="21AEA724">
      <w:pPr>
        <w:spacing w:line="360" w:lineRule="auto"/>
        <w:ind w:firstLine="3089"/>
        <w:rPr>
          <w:rFonts w:hint="eastAsia" w:ascii="宋体" w:hAnsi="宋体"/>
          <w:b/>
          <w:color w:val="000000" w:themeColor="text1"/>
          <w:sz w:val="24"/>
          <w:szCs w:val="21"/>
          <w14:textFill>
            <w14:solidFill>
              <w14:schemeClr w14:val="tx1"/>
            </w14:solidFill>
          </w14:textFill>
        </w:rPr>
      </w:pPr>
    </w:p>
    <w:p w14:paraId="444ED430">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14:paraId="1F2F138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14:paraId="6C0DC11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标项：</w:t>
      </w:r>
    </w:p>
    <w:tbl>
      <w:tblPr>
        <w:tblStyle w:val="42"/>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14:paraId="65EF9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66B58A63">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062" w:type="dxa"/>
            <w:vAlign w:val="center"/>
          </w:tcPr>
          <w:p w14:paraId="5D8ADBB1">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采购文件的商务条款</w:t>
            </w:r>
          </w:p>
        </w:tc>
        <w:tc>
          <w:tcPr>
            <w:tcW w:w="3151" w:type="dxa"/>
            <w:vAlign w:val="center"/>
          </w:tcPr>
          <w:p w14:paraId="331B0C70">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投标文件的商务条款</w:t>
            </w:r>
          </w:p>
        </w:tc>
        <w:tc>
          <w:tcPr>
            <w:tcW w:w="1243" w:type="dxa"/>
            <w:vAlign w:val="center"/>
          </w:tcPr>
          <w:p w14:paraId="2FB8F72F">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r>
      <w:tr w14:paraId="55E30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34C28696">
            <w:pPr>
              <w:jc w:val="center"/>
              <w:rPr>
                <w:rFonts w:hint="eastAsia" w:ascii="宋体" w:hAnsi="宋体"/>
                <w:color w:val="000000" w:themeColor="text1"/>
                <w:sz w:val="24"/>
                <w14:textFill>
                  <w14:solidFill>
                    <w14:schemeClr w14:val="tx1"/>
                  </w14:solidFill>
                </w14:textFill>
              </w:rPr>
            </w:pPr>
          </w:p>
        </w:tc>
        <w:tc>
          <w:tcPr>
            <w:tcW w:w="3062" w:type="dxa"/>
            <w:vAlign w:val="center"/>
          </w:tcPr>
          <w:p w14:paraId="25B1F85E">
            <w:pPr>
              <w:jc w:val="center"/>
              <w:rPr>
                <w:rFonts w:hint="eastAsia" w:ascii="宋体" w:hAnsi="宋体"/>
                <w:color w:val="000000" w:themeColor="text1"/>
                <w:sz w:val="24"/>
                <w14:textFill>
                  <w14:solidFill>
                    <w14:schemeClr w14:val="tx1"/>
                  </w14:solidFill>
                </w14:textFill>
              </w:rPr>
            </w:pPr>
          </w:p>
        </w:tc>
        <w:tc>
          <w:tcPr>
            <w:tcW w:w="3151" w:type="dxa"/>
            <w:vAlign w:val="center"/>
          </w:tcPr>
          <w:p w14:paraId="3791F9C0">
            <w:pPr>
              <w:jc w:val="center"/>
              <w:rPr>
                <w:rFonts w:hint="eastAsia" w:ascii="宋体" w:hAnsi="宋体"/>
                <w:color w:val="000000" w:themeColor="text1"/>
                <w:sz w:val="24"/>
                <w14:textFill>
                  <w14:solidFill>
                    <w14:schemeClr w14:val="tx1"/>
                  </w14:solidFill>
                </w14:textFill>
              </w:rPr>
            </w:pPr>
          </w:p>
        </w:tc>
        <w:tc>
          <w:tcPr>
            <w:tcW w:w="1243" w:type="dxa"/>
            <w:vAlign w:val="center"/>
          </w:tcPr>
          <w:p w14:paraId="76271F27">
            <w:pPr>
              <w:jc w:val="center"/>
              <w:rPr>
                <w:rFonts w:hint="eastAsia" w:ascii="宋体" w:hAnsi="宋体"/>
                <w:color w:val="000000" w:themeColor="text1"/>
                <w:sz w:val="24"/>
                <w14:textFill>
                  <w14:solidFill>
                    <w14:schemeClr w14:val="tx1"/>
                  </w14:solidFill>
                </w14:textFill>
              </w:rPr>
            </w:pPr>
          </w:p>
        </w:tc>
      </w:tr>
      <w:tr w14:paraId="4F99A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01288518">
            <w:pPr>
              <w:jc w:val="center"/>
              <w:rPr>
                <w:rFonts w:hint="eastAsia" w:ascii="宋体" w:hAnsi="宋体"/>
                <w:color w:val="000000" w:themeColor="text1"/>
                <w:sz w:val="24"/>
                <w14:textFill>
                  <w14:solidFill>
                    <w14:schemeClr w14:val="tx1"/>
                  </w14:solidFill>
                </w14:textFill>
              </w:rPr>
            </w:pPr>
          </w:p>
        </w:tc>
        <w:tc>
          <w:tcPr>
            <w:tcW w:w="3062" w:type="dxa"/>
            <w:vAlign w:val="center"/>
          </w:tcPr>
          <w:p w14:paraId="0A86A704">
            <w:pPr>
              <w:jc w:val="center"/>
              <w:rPr>
                <w:rFonts w:hint="eastAsia" w:ascii="宋体" w:hAnsi="宋体"/>
                <w:color w:val="000000" w:themeColor="text1"/>
                <w:sz w:val="24"/>
                <w14:textFill>
                  <w14:solidFill>
                    <w14:schemeClr w14:val="tx1"/>
                  </w14:solidFill>
                </w14:textFill>
              </w:rPr>
            </w:pPr>
          </w:p>
        </w:tc>
        <w:tc>
          <w:tcPr>
            <w:tcW w:w="3151" w:type="dxa"/>
            <w:vAlign w:val="center"/>
          </w:tcPr>
          <w:p w14:paraId="6AC1E7E5">
            <w:pPr>
              <w:jc w:val="center"/>
              <w:rPr>
                <w:rFonts w:hint="eastAsia" w:ascii="宋体" w:hAnsi="宋体"/>
                <w:color w:val="000000" w:themeColor="text1"/>
                <w:sz w:val="24"/>
                <w14:textFill>
                  <w14:solidFill>
                    <w14:schemeClr w14:val="tx1"/>
                  </w14:solidFill>
                </w14:textFill>
              </w:rPr>
            </w:pPr>
          </w:p>
        </w:tc>
        <w:tc>
          <w:tcPr>
            <w:tcW w:w="1243" w:type="dxa"/>
            <w:vAlign w:val="center"/>
          </w:tcPr>
          <w:p w14:paraId="2BEA1E50">
            <w:pPr>
              <w:jc w:val="center"/>
              <w:rPr>
                <w:rFonts w:hint="eastAsia" w:ascii="宋体" w:hAnsi="宋体"/>
                <w:color w:val="000000" w:themeColor="text1"/>
                <w:sz w:val="24"/>
                <w14:textFill>
                  <w14:solidFill>
                    <w14:schemeClr w14:val="tx1"/>
                  </w14:solidFill>
                </w14:textFill>
              </w:rPr>
            </w:pPr>
          </w:p>
        </w:tc>
      </w:tr>
      <w:tr w14:paraId="75FF7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543F0623">
            <w:pPr>
              <w:jc w:val="center"/>
              <w:rPr>
                <w:rFonts w:hint="eastAsia" w:ascii="宋体" w:hAnsi="宋体"/>
                <w:color w:val="000000" w:themeColor="text1"/>
                <w:sz w:val="24"/>
                <w14:textFill>
                  <w14:solidFill>
                    <w14:schemeClr w14:val="tx1"/>
                  </w14:solidFill>
                </w14:textFill>
              </w:rPr>
            </w:pPr>
          </w:p>
        </w:tc>
        <w:tc>
          <w:tcPr>
            <w:tcW w:w="3062" w:type="dxa"/>
            <w:vAlign w:val="center"/>
          </w:tcPr>
          <w:p w14:paraId="10DB5338">
            <w:pPr>
              <w:jc w:val="center"/>
              <w:rPr>
                <w:rFonts w:hint="eastAsia" w:ascii="宋体" w:hAnsi="宋体"/>
                <w:color w:val="000000" w:themeColor="text1"/>
                <w:sz w:val="24"/>
                <w14:textFill>
                  <w14:solidFill>
                    <w14:schemeClr w14:val="tx1"/>
                  </w14:solidFill>
                </w14:textFill>
              </w:rPr>
            </w:pPr>
          </w:p>
        </w:tc>
        <w:tc>
          <w:tcPr>
            <w:tcW w:w="3151" w:type="dxa"/>
            <w:vAlign w:val="center"/>
          </w:tcPr>
          <w:p w14:paraId="49145167">
            <w:pPr>
              <w:jc w:val="center"/>
              <w:rPr>
                <w:rFonts w:hint="eastAsia" w:ascii="宋体" w:hAnsi="宋体"/>
                <w:color w:val="000000" w:themeColor="text1"/>
                <w:sz w:val="24"/>
                <w14:textFill>
                  <w14:solidFill>
                    <w14:schemeClr w14:val="tx1"/>
                  </w14:solidFill>
                </w14:textFill>
              </w:rPr>
            </w:pPr>
          </w:p>
        </w:tc>
        <w:tc>
          <w:tcPr>
            <w:tcW w:w="1243" w:type="dxa"/>
            <w:vAlign w:val="center"/>
          </w:tcPr>
          <w:p w14:paraId="2B83AFE4">
            <w:pPr>
              <w:jc w:val="center"/>
              <w:rPr>
                <w:rFonts w:hint="eastAsia" w:ascii="宋体" w:hAnsi="宋体"/>
                <w:color w:val="000000" w:themeColor="text1"/>
                <w:sz w:val="24"/>
                <w14:textFill>
                  <w14:solidFill>
                    <w14:schemeClr w14:val="tx1"/>
                  </w14:solidFill>
                </w14:textFill>
              </w:rPr>
            </w:pPr>
          </w:p>
        </w:tc>
      </w:tr>
      <w:tr w14:paraId="5A2BA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65AA37FC">
            <w:pPr>
              <w:jc w:val="center"/>
              <w:rPr>
                <w:rFonts w:hint="eastAsia" w:ascii="宋体" w:hAnsi="宋体"/>
                <w:color w:val="000000" w:themeColor="text1"/>
                <w:sz w:val="24"/>
                <w14:textFill>
                  <w14:solidFill>
                    <w14:schemeClr w14:val="tx1"/>
                  </w14:solidFill>
                </w14:textFill>
              </w:rPr>
            </w:pPr>
          </w:p>
        </w:tc>
        <w:tc>
          <w:tcPr>
            <w:tcW w:w="3062" w:type="dxa"/>
            <w:vAlign w:val="center"/>
          </w:tcPr>
          <w:p w14:paraId="4E32B9A7">
            <w:pPr>
              <w:jc w:val="center"/>
              <w:rPr>
                <w:rFonts w:hint="eastAsia" w:ascii="宋体" w:hAnsi="宋体"/>
                <w:color w:val="000000" w:themeColor="text1"/>
                <w:sz w:val="24"/>
                <w14:textFill>
                  <w14:solidFill>
                    <w14:schemeClr w14:val="tx1"/>
                  </w14:solidFill>
                </w14:textFill>
              </w:rPr>
            </w:pPr>
          </w:p>
        </w:tc>
        <w:tc>
          <w:tcPr>
            <w:tcW w:w="3151" w:type="dxa"/>
            <w:vAlign w:val="center"/>
          </w:tcPr>
          <w:p w14:paraId="0B092638">
            <w:pPr>
              <w:jc w:val="center"/>
              <w:rPr>
                <w:rFonts w:hint="eastAsia" w:ascii="宋体" w:hAnsi="宋体"/>
                <w:color w:val="000000" w:themeColor="text1"/>
                <w:sz w:val="24"/>
                <w14:textFill>
                  <w14:solidFill>
                    <w14:schemeClr w14:val="tx1"/>
                  </w14:solidFill>
                </w14:textFill>
              </w:rPr>
            </w:pPr>
          </w:p>
        </w:tc>
        <w:tc>
          <w:tcPr>
            <w:tcW w:w="1243" w:type="dxa"/>
            <w:vAlign w:val="center"/>
          </w:tcPr>
          <w:p w14:paraId="790BF10E">
            <w:pPr>
              <w:jc w:val="center"/>
              <w:rPr>
                <w:rFonts w:hint="eastAsia" w:ascii="宋体" w:hAnsi="宋体"/>
                <w:color w:val="000000" w:themeColor="text1"/>
                <w:sz w:val="24"/>
                <w14:textFill>
                  <w14:solidFill>
                    <w14:schemeClr w14:val="tx1"/>
                  </w14:solidFill>
                </w14:textFill>
              </w:rPr>
            </w:pPr>
          </w:p>
        </w:tc>
      </w:tr>
      <w:tr w14:paraId="04F9B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57C8145B">
            <w:pPr>
              <w:jc w:val="center"/>
              <w:rPr>
                <w:rFonts w:hint="eastAsia" w:ascii="宋体" w:hAnsi="宋体"/>
                <w:color w:val="000000" w:themeColor="text1"/>
                <w:sz w:val="24"/>
                <w14:textFill>
                  <w14:solidFill>
                    <w14:schemeClr w14:val="tx1"/>
                  </w14:solidFill>
                </w14:textFill>
              </w:rPr>
            </w:pPr>
          </w:p>
        </w:tc>
        <w:tc>
          <w:tcPr>
            <w:tcW w:w="3062" w:type="dxa"/>
            <w:vAlign w:val="center"/>
          </w:tcPr>
          <w:p w14:paraId="31C1C71E">
            <w:pPr>
              <w:jc w:val="center"/>
              <w:rPr>
                <w:rFonts w:hint="eastAsia" w:ascii="宋体" w:hAnsi="宋体"/>
                <w:color w:val="000000" w:themeColor="text1"/>
                <w:sz w:val="24"/>
                <w14:textFill>
                  <w14:solidFill>
                    <w14:schemeClr w14:val="tx1"/>
                  </w14:solidFill>
                </w14:textFill>
              </w:rPr>
            </w:pPr>
          </w:p>
        </w:tc>
        <w:tc>
          <w:tcPr>
            <w:tcW w:w="3151" w:type="dxa"/>
            <w:vAlign w:val="center"/>
          </w:tcPr>
          <w:p w14:paraId="72009E7D">
            <w:pPr>
              <w:jc w:val="center"/>
              <w:rPr>
                <w:rFonts w:hint="eastAsia" w:ascii="宋体" w:hAnsi="宋体"/>
                <w:color w:val="000000" w:themeColor="text1"/>
                <w:sz w:val="24"/>
                <w14:textFill>
                  <w14:solidFill>
                    <w14:schemeClr w14:val="tx1"/>
                  </w14:solidFill>
                </w14:textFill>
              </w:rPr>
            </w:pPr>
          </w:p>
        </w:tc>
        <w:tc>
          <w:tcPr>
            <w:tcW w:w="1243" w:type="dxa"/>
            <w:vAlign w:val="center"/>
          </w:tcPr>
          <w:p w14:paraId="1CCD2463">
            <w:pPr>
              <w:jc w:val="center"/>
              <w:rPr>
                <w:rFonts w:hint="eastAsia" w:ascii="宋体" w:hAnsi="宋体"/>
                <w:color w:val="000000" w:themeColor="text1"/>
                <w:sz w:val="24"/>
                <w14:textFill>
                  <w14:solidFill>
                    <w14:schemeClr w14:val="tx1"/>
                  </w14:solidFill>
                </w14:textFill>
              </w:rPr>
            </w:pPr>
          </w:p>
        </w:tc>
      </w:tr>
      <w:tr w14:paraId="72021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7A052818">
            <w:pPr>
              <w:jc w:val="center"/>
              <w:rPr>
                <w:rFonts w:hint="eastAsia" w:ascii="宋体" w:hAnsi="宋体"/>
                <w:color w:val="000000" w:themeColor="text1"/>
                <w:sz w:val="24"/>
                <w14:textFill>
                  <w14:solidFill>
                    <w14:schemeClr w14:val="tx1"/>
                  </w14:solidFill>
                </w14:textFill>
              </w:rPr>
            </w:pPr>
          </w:p>
        </w:tc>
        <w:tc>
          <w:tcPr>
            <w:tcW w:w="3062" w:type="dxa"/>
            <w:vAlign w:val="center"/>
          </w:tcPr>
          <w:p w14:paraId="32E0232C">
            <w:pPr>
              <w:jc w:val="center"/>
              <w:rPr>
                <w:rFonts w:hint="eastAsia" w:ascii="宋体" w:hAnsi="宋体"/>
                <w:color w:val="000000" w:themeColor="text1"/>
                <w:sz w:val="24"/>
                <w14:textFill>
                  <w14:solidFill>
                    <w14:schemeClr w14:val="tx1"/>
                  </w14:solidFill>
                </w14:textFill>
              </w:rPr>
            </w:pPr>
          </w:p>
        </w:tc>
        <w:tc>
          <w:tcPr>
            <w:tcW w:w="3151" w:type="dxa"/>
            <w:vAlign w:val="center"/>
          </w:tcPr>
          <w:p w14:paraId="5BB20B9A">
            <w:pPr>
              <w:jc w:val="center"/>
              <w:rPr>
                <w:rFonts w:hint="eastAsia" w:ascii="宋体" w:hAnsi="宋体"/>
                <w:color w:val="000000" w:themeColor="text1"/>
                <w:sz w:val="24"/>
                <w14:textFill>
                  <w14:solidFill>
                    <w14:schemeClr w14:val="tx1"/>
                  </w14:solidFill>
                </w14:textFill>
              </w:rPr>
            </w:pPr>
          </w:p>
        </w:tc>
        <w:tc>
          <w:tcPr>
            <w:tcW w:w="1243" w:type="dxa"/>
            <w:vAlign w:val="center"/>
          </w:tcPr>
          <w:p w14:paraId="5873EAC3">
            <w:pPr>
              <w:jc w:val="center"/>
              <w:rPr>
                <w:rFonts w:hint="eastAsia" w:ascii="宋体" w:hAnsi="宋体"/>
                <w:color w:val="000000" w:themeColor="text1"/>
                <w:sz w:val="24"/>
                <w14:textFill>
                  <w14:solidFill>
                    <w14:schemeClr w14:val="tx1"/>
                  </w14:solidFill>
                </w14:textFill>
              </w:rPr>
            </w:pPr>
          </w:p>
        </w:tc>
      </w:tr>
      <w:tr w14:paraId="3B5DD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5433B0A4">
            <w:pPr>
              <w:jc w:val="center"/>
              <w:rPr>
                <w:rFonts w:hint="eastAsia" w:ascii="宋体" w:hAnsi="宋体"/>
                <w:color w:val="000000" w:themeColor="text1"/>
                <w:sz w:val="24"/>
                <w14:textFill>
                  <w14:solidFill>
                    <w14:schemeClr w14:val="tx1"/>
                  </w14:solidFill>
                </w14:textFill>
              </w:rPr>
            </w:pPr>
          </w:p>
        </w:tc>
        <w:tc>
          <w:tcPr>
            <w:tcW w:w="3062" w:type="dxa"/>
            <w:vAlign w:val="center"/>
          </w:tcPr>
          <w:p w14:paraId="5E0C6E33">
            <w:pPr>
              <w:jc w:val="center"/>
              <w:rPr>
                <w:rFonts w:hint="eastAsia" w:ascii="宋体" w:hAnsi="宋体"/>
                <w:color w:val="000000" w:themeColor="text1"/>
                <w:sz w:val="24"/>
                <w14:textFill>
                  <w14:solidFill>
                    <w14:schemeClr w14:val="tx1"/>
                  </w14:solidFill>
                </w14:textFill>
              </w:rPr>
            </w:pPr>
          </w:p>
        </w:tc>
        <w:tc>
          <w:tcPr>
            <w:tcW w:w="3151" w:type="dxa"/>
            <w:vAlign w:val="center"/>
          </w:tcPr>
          <w:p w14:paraId="1DEC8694">
            <w:pPr>
              <w:jc w:val="center"/>
              <w:rPr>
                <w:rFonts w:hint="eastAsia" w:ascii="宋体" w:hAnsi="宋体"/>
                <w:color w:val="000000" w:themeColor="text1"/>
                <w:sz w:val="24"/>
                <w14:textFill>
                  <w14:solidFill>
                    <w14:schemeClr w14:val="tx1"/>
                  </w14:solidFill>
                </w14:textFill>
              </w:rPr>
            </w:pPr>
          </w:p>
        </w:tc>
        <w:tc>
          <w:tcPr>
            <w:tcW w:w="1243" w:type="dxa"/>
            <w:vAlign w:val="center"/>
          </w:tcPr>
          <w:p w14:paraId="15F38C66">
            <w:pPr>
              <w:jc w:val="center"/>
              <w:rPr>
                <w:rFonts w:hint="eastAsia" w:ascii="宋体" w:hAnsi="宋体"/>
                <w:color w:val="000000" w:themeColor="text1"/>
                <w:sz w:val="24"/>
                <w14:textFill>
                  <w14:solidFill>
                    <w14:schemeClr w14:val="tx1"/>
                  </w14:solidFill>
                </w14:textFill>
              </w:rPr>
            </w:pPr>
          </w:p>
        </w:tc>
      </w:tr>
      <w:tr w14:paraId="431FD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199F12B6">
            <w:pPr>
              <w:jc w:val="center"/>
              <w:rPr>
                <w:rFonts w:hint="eastAsia" w:ascii="宋体" w:hAnsi="宋体"/>
                <w:color w:val="000000" w:themeColor="text1"/>
                <w:sz w:val="24"/>
                <w14:textFill>
                  <w14:solidFill>
                    <w14:schemeClr w14:val="tx1"/>
                  </w14:solidFill>
                </w14:textFill>
              </w:rPr>
            </w:pPr>
          </w:p>
        </w:tc>
        <w:tc>
          <w:tcPr>
            <w:tcW w:w="3062" w:type="dxa"/>
            <w:vAlign w:val="center"/>
          </w:tcPr>
          <w:p w14:paraId="069D901C">
            <w:pPr>
              <w:jc w:val="center"/>
              <w:rPr>
                <w:rFonts w:hint="eastAsia" w:ascii="宋体" w:hAnsi="宋体"/>
                <w:color w:val="000000" w:themeColor="text1"/>
                <w:sz w:val="24"/>
                <w14:textFill>
                  <w14:solidFill>
                    <w14:schemeClr w14:val="tx1"/>
                  </w14:solidFill>
                </w14:textFill>
              </w:rPr>
            </w:pPr>
          </w:p>
        </w:tc>
        <w:tc>
          <w:tcPr>
            <w:tcW w:w="3151" w:type="dxa"/>
            <w:vAlign w:val="center"/>
          </w:tcPr>
          <w:p w14:paraId="65AE3A4B">
            <w:pPr>
              <w:jc w:val="center"/>
              <w:rPr>
                <w:rFonts w:hint="eastAsia" w:ascii="宋体" w:hAnsi="宋体"/>
                <w:color w:val="000000" w:themeColor="text1"/>
                <w:sz w:val="24"/>
                <w14:textFill>
                  <w14:solidFill>
                    <w14:schemeClr w14:val="tx1"/>
                  </w14:solidFill>
                </w14:textFill>
              </w:rPr>
            </w:pPr>
          </w:p>
        </w:tc>
        <w:tc>
          <w:tcPr>
            <w:tcW w:w="1243" w:type="dxa"/>
            <w:vAlign w:val="center"/>
          </w:tcPr>
          <w:p w14:paraId="67FF2AF5">
            <w:pPr>
              <w:jc w:val="center"/>
              <w:rPr>
                <w:rFonts w:hint="eastAsia" w:ascii="宋体" w:hAnsi="宋体"/>
                <w:color w:val="000000" w:themeColor="text1"/>
                <w:sz w:val="24"/>
                <w14:textFill>
                  <w14:solidFill>
                    <w14:schemeClr w14:val="tx1"/>
                  </w14:solidFill>
                </w14:textFill>
              </w:rPr>
            </w:pPr>
          </w:p>
        </w:tc>
      </w:tr>
    </w:tbl>
    <w:p w14:paraId="38CB646A">
      <w:pPr>
        <w:pStyle w:val="19"/>
        <w:spacing w:line="360" w:lineRule="auto"/>
        <w:ind w:left="404" w:hanging="404" w:hanging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注：1、按采购文件第二章中四、商务要求内容进行填写。若无偏离可在本表空白处醒目地注明“无商务条款偏离”的字样。</w:t>
      </w:r>
    </w:p>
    <w:p w14:paraId="6DD80E19">
      <w:pPr>
        <w:widowControl/>
        <w:spacing w:line="360" w:lineRule="auto"/>
        <w:jc w:val="left"/>
        <w:rPr>
          <w:rFonts w:hint="eastAsia" w:ascii="宋体" w:hAnsi="宋体"/>
          <w:color w:val="000000" w:themeColor="text1"/>
          <w:sz w:val="24"/>
          <w14:textFill>
            <w14:solidFill>
              <w14:schemeClr w14:val="tx1"/>
            </w14:solidFill>
          </w14:textFill>
        </w:rPr>
      </w:pPr>
    </w:p>
    <w:p w14:paraId="14A1BBE3">
      <w:pPr>
        <w:widowControl/>
        <w:spacing w:line="360"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14:paraId="1BB1AF09">
      <w:pPr>
        <w:pStyle w:val="19"/>
        <w:snapToGrid w:val="0"/>
        <w:spacing w:line="360" w:lineRule="auto"/>
        <w:ind w:firstLine="0"/>
        <w:rPr>
          <w:rFonts w:hint="eastAsia"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法定代表人或其授权代表（签字或盖章）：</w:t>
      </w:r>
    </w:p>
    <w:p w14:paraId="0A94AF42">
      <w:pPr>
        <w:pStyle w:val="19"/>
        <w:widowControl/>
        <w:spacing w:line="360" w:lineRule="auto"/>
        <w:ind w:firstLine="0"/>
        <w:jc w:val="left"/>
        <w:rPr>
          <w:rFonts w:hint="eastAsia" w:hAnsi="宋体"/>
          <w:b/>
          <w:color w:val="000000" w:themeColor="text1"/>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日  期：</w:t>
      </w:r>
      <w:bookmarkStart w:id="253" w:name="_Toc460857953"/>
      <w:r>
        <w:rPr>
          <w:rFonts w:hAnsi="宋体"/>
          <w:b/>
          <w:color w:val="000000" w:themeColor="text1"/>
          <w14:textFill>
            <w14:solidFill>
              <w14:schemeClr w14:val="tx1"/>
            </w14:solidFill>
          </w14:textFill>
        </w:rPr>
        <w:br w:type="page"/>
      </w:r>
    </w:p>
    <w:bookmarkEnd w:id="253"/>
    <w:p w14:paraId="0514394B">
      <w:pPr>
        <w:pStyle w:val="19"/>
        <w:widowControl/>
        <w:spacing w:line="360" w:lineRule="auto"/>
        <w:ind w:firstLine="0"/>
        <w:jc w:val="left"/>
        <w:rPr>
          <w:rFonts w:hint="eastAsia"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格式八：技术服务</w:t>
      </w:r>
      <w:r>
        <w:rPr>
          <w:rFonts w:hint="eastAsia" w:hAnsi="宋体"/>
          <w:color w:val="000000" w:themeColor="text1"/>
          <w:sz w:val="21"/>
          <w:szCs w:val="21"/>
          <w14:textFill>
            <w14:solidFill>
              <w14:schemeClr w14:val="tx1"/>
            </w14:solidFill>
          </w14:textFill>
        </w:rPr>
        <w:t>条款偏离表</w:t>
      </w:r>
    </w:p>
    <w:p w14:paraId="73E69C34">
      <w:pPr>
        <w:pStyle w:val="19"/>
        <w:spacing w:line="400" w:lineRule="exact"/>
        <w:ind w:left="711" w:leftChars="228" w:hanging="232" w:hangingChars="100"/>
        <w:rPr>
          <w:rFonts w:hint="eastAsia" w:hAnsi="宋体"/>
          <w:color w:val="000000" w:themeColor="text1"/>
          <w:sz w:val="24"/>
          <w:szCs w:val="21"/>
          <w14:textFill>
            <w14:solidFill>
              <w14:schemeClr w14:val="tx1"/>
            </w14:solidFill>
          </w14:textFill>
        </w:rPr>
      </w:pPr>
    </w:p>
    <w:p w14:paraId="71036C4D">
      <w:pPr>
        <w:spacing w:line="360" w:lineRule="auto"/>
        <w:jc w:val="center"/>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技术服务条款偏离表</w:t>
      </w:r>
    </w:p>
    <w:p w14:paraId="2B5EB817">
      <w:pPr>
        <w:spacing w:line="360" w:lineRule="auto"/>
        <w:ind w:firstLine="3089"/>
        <w:rPr>
          <w:rFonts w:hint="eastAsia" w:ascii="宋体" w:hAnsi="宋体"/>
          <w:b/>
          <w:color w:val="000000" w:themeColor="text1"/>
          <w:sz w:val="24"/>
          <w:szCs w:val="21"/>
          <w14:textFill>
            <w14:solidFill>
              <w14:schemeClr w14:val="tx1"/>
            </w14:solidFill>
          </w14:textFill>
        </w:rPr>
      </w:pPr>
    </w:p>
    <w:p w14:paraId="6BC9166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14:paraId="1C6D7BA2">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14:paraId="2F2CC66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标项：</w:t>
      </w:r>
    </w:p>
    <w:tbl>
      <w:tblPr>
        <w:tblStyle w:val="42"/>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14:paraId="7C23C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63C41B02">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062" w:type="dxa"/>
            <w:vAlign w:val="center"/>
          </w:tcPr>
          <w:p w14:paraId="754D0167">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采购文件的技术服务条款</w:t>
            </w:r>
          </w:p>
        </w:tc>
        <w:tc>
          <w:tcPr>
            <w:tcW w:w="3151" w:type="dxa"/>
            <w:vAlign w:val="center"/>
          </w:tcPr>
          <w:p w14:paraId="263BB8EB">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投标文件的技术服务条款</w:t>
            </w:r>
          </w:p>
        </w:tc>
        <w:tc>
          <w:tcPr>
            <w:tcW w:w="1243" w:type="dxa"/>
            <w:vAlign w:val="center"/>
          </w:tcPr>
          <w:p w14:paraId="5C31C372">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r>
      <w:tr w14:paraId="1DAEB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04DB0D62">
            <w:pPr>
              <w:jc w:val="center"/>
              <w:rPr>
                <w:rFonts w:hint="eastAsia" w:ascii="宋体" w:hAnsi="宋体"/>
                <w:color w:val="000000" w:themeColor="text1"/>
                <w:sz w:val="24"/>
                <w14:textFill>
                  <w14:solidFill>
                    <w14:schemeClr w14:val="tx1"/>
                  </w14:solidFill>
                </w14:textFill>
              </w:rPr>
            </w:pPr>
          </w:p>
        </w:tc>
        <w:tc>
          <w:tcPr>
            <w:tcW w:w="3062" w:type="dxa"/>
            <w:vAlign w:val="center"/>
          </w:tcPr>
          <w:p w14:paraId="629D1389">
            <w:pPr>
              <w:jc w:val="center"/>
              <w:rPr>
                <w:rFonts w:hint="eastAsia" w:ascii="宋体" w:hAnsi="宋体"/>
                <w:color w:val="000000" w:themeColor="text1"/>
                <w:sz w:val="24"/>
                <w14:textFill>
                  <w14:solidFill>
                    <w14:schemeClr w14:val="tx1"/>
                  </w14:solidFill>
                </w14:textFill>
              </w:rPr>
            </w:pPr>
          </w:p>
        </w:tc>
        <w:tc>
          <w:tcPr>
            <w:tcW w:w="3151" w:type="dxa"/>
            <w:vAlign w:val="center"/>
          </w:tcPr>
          <w:p w14:paraId="3F034BAE">
            <w:pPr>
              <w:jc w:val="center"/>
              <w:rPr>
                <w:rFonts w:hint="eastAsia" w:ascii="宋体" w:hAnsi="宋体"/>
                <w:color w:val="000000" w:themeColor="text1"/>
                <w:sz w:val="24"/>
                <w14:textFill>
                  <w14:solidFill>
                    <w14:schemeClr w14:val="tx1"/>
                  </w14:solidFill>
                </w14:textFill>
              </w:rPr>
            </w:pPr>
          </w:p>
        </w:tc>
        <w:tc>
          <w:tcPr>
            <w:tcW w:w="1243" w:type="dxa"/>
            <w:vAlign w:val="center"/>
          </w:tcPr>
          <w:p w14:paraId="7C7B350A">
            <w:pPr>
              <w:jc w:val="center"/>
              <w:rPr>
                <w:rFonts w:hint="eastAsia" w:ascii="宋体" w:hAnsi="宋体"/>
                <w:color w:val="000000" w:themeColor="text1"/>
                <w:sz w:val="24"/>
                <w14:textFill>
                  <w14:solidFill>
                    <w14:schemeClr w14:val="tx1"/>
                  </w14:solidFill>
                </w14:textFill>
              </w:rPr>
            </w:pPr>
          </w:p>
        </w:tc>
      </w:tr>
      <w:tr w14:paraId="65648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51C45F1C">
            <w:pPr>
              <w:jc w:val="center"/>
              <w:rPr>
                <w:rFonts w:hint="eastAsia" w:ascii="宋体" w:hAnsi="宋体"/>
                <w:color w:val="000000" w:themeColor="text1"/>
                <w:sz w:val="24"/>
                <w14:textFill>
                  <w14:solidFill>
                    <w14:schemeClr w14:val="tx1"/>
                  </w14:solidFill>
                </w14:textFill>
              </w:rPr>
            </w:pPr>
          </w:p>
        </w:tc>
        <w:tc>
          <w:tcPr>
            <w:tcW w:w="3062" w:type="dxa"/>
            <w:vAlign w:val="center"/>
          </w:tcPr>
          <w:p w14:paraId="758197ED">
            <w:pPr>
              <w:jc w:val="center"/>
              <w:rPr>
                <w:rFonts w:hint="eastAsia" w:ascii="宋体" w:hAnsi="宋体"/>
                <w:color w:val="000000" w:themeColor="text1"/>
                <w:sz w:val="24"/>
                <w14:textFill>
                  <w14:solidFill>
                    <w14:schemeClr w14:val="tx1"/>
                  </w14:solidFill>
                </w14:textFill>
              </w:rPr>
            </w:pPr>
          </w:p>
        </w:tc>
        <w:tc>
          <w:tcPr>
            <w:tcW w:w="3151" w:type="dxa"/>
            <w:vAlign w:val="center"/>
          </w:tcPr>
          <w:p w14:paraId="07AE4860">
            <w:pPr>
              <w:jc w:val="center"/>
              <w:rPr>
                <w:rFonts w:hint="eastAsia" w:ascii="宋体" w:hAnsi="宋体"/>
                <w:color w:val="000000" w:themeColor="text1"/>
                <w:sz w:val="24"/>
                <w14:textFill>
                  <w14:solidFill>
                    <w14:schemeClr w14:val="tx1"/>
                  </w14:solidFill>
                </w14:textFill>
              </w:rPr>
            </w:pPr>
          </w:p>
        </w:tc>
        <w:tc>
          <w:tcPr>
            <w:tcW w:w="1243" w:type="dxa"/>
            <w:vAlign w:val="center"/>
          </w:tcPr>
          <w:p w14:paraId="441B464B">
            <w:pPr>
              <w:jc w:val="center"/>
              <w:rPr>
                <w:rFonts w:hint="eastAsia" w:ascii="宋体" w:hAnsi="宋体"/>
                <w:color w:val="000000" w:themeColor="text1"/>
                <w:sz w:val="24"/>
                <w14:textFill>
                  <w14:solidFill>
                    <w14:schemeClr w14:val="tx1"/>
                  </w14:solidFill>
                </w14:textFill>
              </w:rPr>
            </w:pPr>
          </w:p>
        </w:tc>
      </w:tr>
      <w:tr w14:paraId="0881A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5C8ECBF2">
            <w:pPr>
              <w:jc w:val="center"/>
              <w:rPr>
                <w:rFonts w:hint="eastAsia" w:ascii="宋体" w:hAnsi="宋体"/>
                <w:color w:val="000000" w:themeColor="text1"/>
                <w:sz w:val="24"/>
                <w14:textFill>
                  <w14:solidFill>
                    <w14:schemeClr w14:val="tx1"/>
                  </w14:solidFill>
                </w14:textFill>
              </w:rPr>
            </w:pPr>
          </w:p>
        </w:tc>
        <w:tc>
          <w:tcPr>
            <w:tcW w:w="3062" w:type="dxa"/>
            <w:vAlign w:val="center"/>
          </w:tcPr>
          <w:p w14:paraId="6D32F8D9">
            <w:pPr>
              <w:jc w:val="center"/>
              <w:rPr>
                <w:rFonts w:hint="eastAsia" w:ascii="宋体" w:hAnsi="宋体"/>
                <w:color w:val="000000" w:themeColor="text1"/>
                <w:sz w:val="24"/>
                <w14:textFill>
                  <w14:solidFill>
                    <w14:schemeClr w14:val="tx1"/>
                  </w14:solidFill>
                </w14:textFill>
              </w:rPr>
            </w:pPr>
          </w:p>
        </w:tc>
        <w:tc>
          <w:tcPr>
            <w:tcW w:w="3151" w:type="dxa"/>
            <w:vAlign w:val="center"/>
          </w:tcPr>
          <w:p w14:paraId="57819949">
            <w:pPr>
              <w:jc w:val="center"/>
              <w:rPr>
                <w:rFonts w:hint="eastAsia" w:ascii="宋体" w:hAnsi="宋体"/>
                <w:color w:val="000000" w:themeColor="text1"/>
                <w:sz w:val="24"/>
                <w14:textFill>
                  <w14:solidFill>
                    <w14:schemeClr w14:val="tx1"/>
                  </w14:solidFill>
                </w14:textFill>
              </w:rPr>
            </w:pPr>
          </w:p>
        </w:tc>
        <w:tc>
          <w:tcPr>
            <w:tcW w:w="1243" w:type="dxa"/>
            <w:vAlign w:val="center"/>
          </w:tcPr>
          <w:p w14:paraId="21E27A7C">
            <w:pPr>
              <w:jc w:val="center"/>
              <w:rPr>
                <w:rFonts w:hint="eastAsia" w:ascii="宋体" w:hAnsi="宋体"/>
                <w:color w:val="000000" w:themeColor="text1"/>
                <w:sz w:val="24"/>
                <w14:textFill>
                  <w14:solidFill>
                    <w14:schemeClr w14:val="tx1"/>
                  </w14:solidFill>
                </w14:textFill>
              </w:rPr>
            </w:pPr>
          </w:p>
        </w:tc>
      </w:tr>
      <w:tr w14:paraId="2B1C8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722E1487">
            <w:pPr>
              <w:jc w:val="center"/>
              <w:rPr>
                <w:rFonts w:hint="eastAsia" w:ascii="宋体" w:hAnsi="宋体"/>
                <w:color w:val="000000" w:themeColor="text1"/>
                <w:sz w:val="24"/>
                <w14:textFill>
                  <w14:solidFill>
                    <w14:schemeClr w14:val="tx1"/>
                  </w14:solidFill>
                </w14:textFill>
              </w:rPr>
            </w:pPr>
          </w:p>
        </w:tc>
        <w:tc>
          <w:tcPr>
            <w:tcW w:w="3062" w:type="dxa"/>
            <w:vAlign w:val="center"/>
          </w:tcPr>
          <w:p w14:paraId="6CD661CC">
            <w:pPr>
              <w:jc w:val="center"/>
              <w:rPr>
                <w:rFonts w:hint="eastAsia" w:ascii="宋体" w:hAnsi="宋体"/>
                <w:color w:val="000000" w:themeColor="text1"/>
                <w:sz w:val="24"/>
                <w14:textFill>
                  <w14:solidFill>
                    <w14:schemeClr w14:val="tx1"/>
                  </w14:solidFill>
                </w14:textFill>
              </w:rPr>
            </w:pPr>
          </w:p>
        </w:tc>
        <w:tc>
          <w:tcPr>
            <w:tcW w:w="3151" w:type="dxa"/>
            <w:vAlign w:val="center"/>
          </w:tcPr>
          <w:p w14:paraId="7772B888">
            <w:pPr>
              <w:jc w:val="center"/>
              <w:rPr>
                <w:rFonts w:hint="eastAsia" w:ascii="宋体" w:hAnsi="宋体"/>
                <w:color w:val="000000" w:themeColor="text1"/>
                <w:sz w:val="24"/>
                <w14:textFill>
                  <w14:solidFill>
                    <w14:schemeClr w14:val="tx1"/>
                  </w14:solidFill>
                </w14:textFill>
              </w:rPr>
            </w:pPr>
          </w:p>
        </w:tc>
        <w:tc>
          <w:tcPr>
            <w:tcW w:w="1243" w:type="dxa"/>
            <w:vAlign w:val="center"/>
          </w:tcPr>
          <w:p w14:paraId="071E2921">
            <w:pPr>
              <w:jc w:val="center"/>
              <w:rPr>
                <w:rFonts w:hint="eastAsia" w:ascii="宋体" w:hAnsi="宋体"/>
                <w:color w:val="000000" w:themeColor="text1"/>
                <w:sz w:val="24"/>
                <w14:textFill>
                  <w14:solidFill>
                    <w14:schemeClr w14:val="tx1"/>
                  </w14:solidFill>
                </w14:textFill>
              </w:rPr>
            </w:pPr>
          </w:p>
        </w:tc>
      </w:tr>
      <w:tr w14:paraId="1B7BD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7FFBD448">
            <w:pPr>
              <w:jc w:val="center"/>
              <w:rPr>
                <w:rFonts w:hint="eastAsia" w:ascii="宋体" w:hAnsi="宋体"/>
                <w:color w:val="000000" w:themeColor="text1"/>
                <w:sz w:val="24"/>
                <w14:textFill>
                  <w14:solidFill>
                    <w14:schemeClr w14:val="tx1"/>
                  </w14:solidFill>
                </w14:textFill>
              </w:rPr>
            </w:pPr>
          </w:p>
        </w:tc>
        <w:tc>
          <w:tcPr>
            <w:tcW w:w="3062" w:type="dxa"/>
            <w:vAlign w:val="center"/>
          </w:tcPr>
          <w:p w14:paraId="7B0BB8ED">
            <w:pPr>
              <w:jc w:val="center"/>
              <w:rPr>
                <w:rFonts w:hint="eastAsia" w:ascii="宋体" w:hAnsi="宋体"/>
                <w:color w:val="000000" w:themeColor="text1"/>
                <w:sz w:val="24"/>
                <w14:textFill>
                  <w14:solidFill>
                    <w14:schemeClr w14:val="tx1"/>
                  </w14:solidFill>
                </w14:textFill>
              </w:rPr>
            </w:pPr>
          </w:p>
        </w:tc>
        <w:tc>
          <w:tcPr>
            <w:tcW w:w="3151" w:type="dxa"/>
            <w:vAlign w:val="center"/>
          </w:tcPr>
          <w:p w14:paraId="0BC25629">
            <w:pPr>
              <w:jc w:val="center"/>
              <w:rPr>
                <w:rFonts w:hint="eastAsia" w:ascii="宋体" w:hAnsi="宋体"/>
                <w:color w:val="000000" w:themeColor="text1"/>
                <w:sz w:val="24"/>
                <w14:textFill>
                  <w14:solidFill>
                    <w14:schemeClr w14:val="tx1"/>
                  </w14:solidFill>
                </w14:textFill>
              </w:rPr>
            </w:pPr>
          </w:p>
        </w:tc>
        <w:tc>
          <w:tcPr>
            <w:tcW w:w="1243" w:type="dxa"/>
            <w:vAlign w:val="center"/>
          </w:tcPr>
          <w:p w14:paraId="39701253">
            <w:pPr>
              <w:jc w:val="center"/>
              <w:rPr>
                <w:rFonts w:hint="eastAsia" w:ascii="宋体" w:hAnsi="宋体"/>
                <w:color w:val="000000" w:themeColor="text1"/>
                <w:sz w:val="24"/>
                <w14:textFill>
                  <w14:solidFill>
                    <w14:schemeClr w14:val="tx1"/>
                  </w14:solidFill>
                </w14:textFill>
              </w:rPr>
            </w:pPr>
          </w:p>
        </w:tc>
      </w:tr>
      <w:tr w14:paraId="1379B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7860EA5D">
            <w:pPr>
              <w:jc w:val="center"/>
              <w:rPr>
                <w:rFonts w:hint="eastAsia" w:ascii="宋体" w:hAnsi="宋体"/>
                <w:color w:val="000000" w:themeColor="text1"/>
                <w:sz w:val="24"/>
                <w14:textFill>
                  <w14:solidFill>
                    <w14:schemeClr w14:val="tx1"/>
                  </w14:solidFill>
                </w14:textFill>
              </w:rPr>
            </w:pPr>
          </w:p>
        </w:tc>
        <w:tc>
          <w:tcPr>
            <w:tcW w:w="3062" w:type="dxa"/>
            <w:vAlign w:val="center"/>
          </w:tcPr>
          <w:p w14:paraId="390BF882">
            <w:pPr>
              <w:jc w:val="center"/>
              <w:rPr>
                <w:rFonts w:hint="eastAsia" w:ascii="宋体" w:hAnsi="宋体"/>
                <w:color w:val="000000" w:themeColor="text1"/>
                <w:sz w:val="24"/>
                <w14:textFill>
                  <w14:solidFill>
                    <w14:schemeClr w14:val="tx1"/>
                  </w14:solidFill>
                </w14:textFill>
              </w:rPr>
            </w:pPr>
          </w:p>
        </w:tc>
        <w:tc>
          <w:tcPr>
            <w:tcW w:w="3151" w:type="dxa"/>
            <w:vAlign w:val="center"/>
          </w:tcPr>
          <w:p w14:paraId="1B495D7C">
            <w:pPr>
              <w:jc w:val="center"/>
              <w:rPr>
                <w:rFonts w:hint="eastAsia" w:ascii="宋体" w:hAnsi="宋体"/>
                <w:color w:val="000000" w:themeColor="text1"/>
                <w:sz w:val="24"/>
                <w14:textFill>
                  <w14:solidFill>
                    <w14:schemeClr w14:val="tx1"/>
                  </w14:solidFill>
                </w14:textFill>
              </w:rPr>
            </w:pPr>
          </w:p>
        </w:tc>
        <w:tc>
          <w:tcPr>
            <w:tcW w:w="1243" w:type="dxa"/>
            <w:vAlign w:val="center"/>
          </w:tcPr>
          <w:p w14:paraId="689411BF">
            <w:pPr>
              <w:jc w:val="center"/>
              <w:rPr>
                <w:rFonts w:hint="eastAsia" w:ascii="宋体" w:hAnsi="宋体"/>
                <w:color w:val="000000" w:themeColor="text1"/>
                <w:sz w:val="24"/>
                <w14:textFill>
                  <w14:solidFill>
                    <w14:schemeClr w14:val="tx1"/>
                  </w14:solidFill>
                </w14:textFill>
              </w:rPr>
            </w:pPr>
          </w:p>
        </w:tc>
      </w:tr>
      <w:tr w14:paraId="0461D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3ED37AC2">
            <w:pPr>
              <w:jc w:val="center"/>
              <w:rPr>
                <w:rFonts w:hint="eastAsia" w:ascii="宋体" w:hAnsi="宋体"/>
                <w:color w:val="000000" w:themeColor="text1"/>
                <w:sz w:val="24"/>
                <w14:textFill>
                  <w14:solidFill>
                    <w14:schemeClr w14:val="tx1"/>
                  </w14:solidFill>
                </w14:textFill>
              </w:rPr>
            </w:pPr>
          </w:p>
        </w:tc>
        <w:tc>
          <w:tcPr>
            <w:tcW w:w="3062" w:type="dxa"/>
            <w:vAlign w:val="center"/>
          </w:tcPr>
          <w:p w14:paraId="521933D3">
            <w:pPr>
              <w:jc w:val="center"/>
              <w:rPr>
                <w:rFonts w:hint="eastAsia" w:ascii="宋体" w:hAnsi="宋体"/>
                <w:color w:val="000000" w:themeColor="text1"/>
                <w:sz w:val="24"/>
                <w14:textFill>
                  <w14:solidFill>
                    <w14:schemeClr w14:val="tx1"/>
                  </w14:solidFill>
                </w14:textFill>
              </w:rPr>
            </w:pPr>
          </w:p>
        </w:tc>
        <w:tc>
          <w:tcPr>
            <w:tcW w:w="3151" w:type="dxa"/>
            <w:vAlign w:val="center"/>
          </w:tcPr>
          <w:p w14:paraId="2BE60D34">
            <w:pPr>
              <w:jc w:val="center"/>
              <w:rPr>
                <w:rFonts w:hint="eastAsia" w:ascii="宋体" w:hAnsi="宋体"/>
                <w:color w:val="000000" w:themeColor="text1"/>
                <w:sz w:val="24"/>
                <w14:textFill>
                  <w14:solidFill>
                    <w14:schemeClr w14:val="tx1"/>
                  </w14:solidFill>
                </w14:textFill>
              </w:rPr>
            </w:pPr>
          </w:p>
        </w:tc>
        <w:tc>
          <w:tcPr>
            <w:tcW w:w="1243" w:type="dxa"/>
            <w:vAlign w:val="center"/>
          </w:tcPr>
          <w:p w14:paraId="33955EC8">
            <w:pPr>
              <w:jc w:val="center"/>
              <w:rPr>
                <w:rFonts w:hint="eastAsia" w:ascii="宋体" w:hAnsi="宋体"/>
                <w:color w:val="000000" w:themeColor="text1"/>
                <w:sz w:val="24"/>
                <w14:textFill>
                  <w14:solidFill>
                    <w14:schemeClr w14:val="tx1"/>
                  </w14:solidFill>
                </w14:textFill>
              </w:rPr>
            </w:pPr>
          </w:p>
        </w:tc>
      </w:tr>
      <w:tr w14:paraId="02DAA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14:paraId="39ACFE2B">
            <w:pPr>
              <w:jc w:val="center"/>
              <w:rPr>
                <w:rFonts w:hint="eastAsia" w:ascii="宋体" w:hAnsi="宋体"/>
                <w:color w:val="000000" w:themeColor="text1"/>
                <w:sz w:val="24"/>
                <w14:textFill>
                  <w14:solidFill>
                    <w14:schemeClr w14:val="tx1"/>
                  </w14:solidFill>
                </w14:textFill>
              </w:rPr>
            </w:pPr>
          </w:p>
        </w:tc>
        <w:tc>
          <w:tcPr>
            <w:tcW w:w="3062" w:type="dxa"/>
            <w:vAlign w:val="center"/>
          </w:tcPr>
          <w:p w14:paraId="3C9F8B17">
            <w:pPr>
              <w:jc w:val="center"/>
              <w:rPr>
                <w:rFonts w:hint="eastAsia" w:ascii="宋体" w:hAnsi="宋体"/>
                <w:color w:val="000000" w:themeColor="text1"/>
                <w:sz w:val="24"/>
                <w14:textFill>
                  <w14:solidFill>
                    <w14:schemeClr w14:val="tx1"/>
                  </w14:solidFill>
                </w14:textFill>
              </w:rPr>
            </w:pPr>
          </w:p>
        </w:tc>
        <w:tc>
          <w:tcPr>
            <w:tcW w:w="3151" w:type="dxa"/>
            <w:vAlign w:val="center"/>
          </w:tcPr>
          <w:p w14:paraId="4FA7D888">
            <w:pPr>
              <w:jc w:val="center"/>
              <w:rPr>
                <w:rFonts w:hint="eastAsia" w:ascii="宋体" w:hAnsi="宋体"/>
                <w:color w:val="000000" w:themeColor="text1"/>
                <w:sz w:val="24"/>
                <w14:textFill>
                  <w14:solidFill>
                    <w14:schemeClr w14:val="tx1"/>
                  </w14:solidFill>
                </w14:textFill>
              </w:rPr>
            </w:pPr>
          </w:p>
        </w:tc>
        <w:tc>
          <w:tcPr>
            <w:tcW w:w="1243" w:type="dxa"/>
            <w:vAlign w:val="center"/>
          </w:tcPr>
          <w:p w14:paraId="752AB7D0">
            <w:pPr>
              <w:jc w:val="center"/>
              <w:rPr>
                <w:rFonts w:hint="eastAsia" w:ascii="宋体" w:hAnsi="宋体"/>
                <w:color w:val="000000" w:themeColor="text1"/>
                <w:sz w:val="24"/>
                <w14:textFill>
                  <w14:solidFill>
                    <w14:schemeClr w14:val="tx1"/>
                  </w14:solidFill>
                </w14:textFill>
              </w:rPr>
            </w:pPr>
          </w:p>
        </w:tc>
      </w:tr>
    </w:tbl>
    <w:p w14:paraId="187907BF">
      <w:pPr>
        <w:pStyle w:val="19"/>
        <w:spacing w:line="360" w:lineRule="auto"/>
        <w:ind w:left="404" w:hanging="404" w:hanging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注：1、按采购文件第二章 招标需求“二、采购标的需满足的质量、安全、技术规格、物理特性等要求”内容进行填写。若无偏离可在本表空白处醒目地注明“无服务条款偏离”的字样。</w:t>
      </w:r>
    </w:p>
    <w:p w14:paraId="762AF012">
      <w:pPr>
        <w:widowControl/>
        <w:spacing w:line="360" w:lineRule="auto"/>
        <w:jc w:val="left"/>
        <w:rPr>
          <w:rFonts w:hint="eastAsia" w:ascii="宋体" w:hAnsi="宋体"/>
          <w:color w:val="000000" w:themeColor="text1"/>
          <w:sz w:val="24"/>
          <w14:textFill>
            <w14:solidFill>
              <w14:schemeClr w14:val="tx1"/>
            </w14:solidFill>
          </w14:textFill>
        </w:rPr>
      </w:pPr>
    </w:p>
    <w:p w14:paraId="6848D088">
      <w:pPr>
        <w:widowControl/>
        <w:spacing w:line="360" w:lineRule="auto"/>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 标 人（盖章）：</w:t>
      </w:r>
    </w:p>
    <w:p w14:paraId="4C74E41F">
      <w:pPr>
        <w:pStyle w:val="19"/>
        <w:snapToGrid w:val="0"/>
        <w:spacing w:line="360" w:lineRule="auto"/>
        <w:ind w:firstLine="0"/>
        <w:rPr>
          <w:rFonts w:hint="eastAsia" w:hAnsi="宋体"/>
          <w:color w:val="000000" w:themeColor="text1"/>
          <w:spacing w:val="0"/>
          <w:sz w:val="21"/>
          <w:szCs w:val="24"/>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法定代表人或其授权代表（签字或盖章）：</w:t>
      </w:r>
    </w:p>
    <w:p w14:paraId="3B60569F">
      <w:pPr>
        <w:pStyle w:val="19"/>
        <w:widowControl/>
        <w:spacing w:line="360" w:lineRule="auto"/>
        <w:ind w:firstLine="0"/>
        <w:jc w:val="left"/>
        <w:rPr>
          <w:rFonts w:hint="eastAsia" w:hAnsi="宋体"/>
          <w:color w:val="000000" w:themeColor="text1"/>
          <w:sz w:val="21"/>
          <w:szCs w:val="21"/>
          <w14:textFill>
            <w14:solidFill>
              <w14:schemeClr w14:val="tx1"/>
            </w14:solidFill>
          </w14:textFill>
        </w:rPr>
      </w:pPr>
      <w:r>
        <w:rPr>
          <w:rFonts w:hint="eastAsia" w:hAnsi="宋体"/>
          <w:color w:val="000000" w:themeColor="text1"/>
          <w:spacing w:val="0"/>
          <w:sz w:val="21"/>
          <w:szCs w:val="24"/>
          <w14:textFill>
            <w14:solidFill>
              <w14:schemeClr w14:val="tx1"/>
            </w14:solidFill>
          </w14:textFill>
        </w:rPr>
        <w:t>日  期：</w:t>
      </w:r>
      <w:r>
        <w:rPr>
          <w:rFonts w:hAnsi="宋体"/>
          <w:color w:val="000000" w:themeColor="text1"/>
          <w:sz w:val="21"/>
          <w:szCs w:val="21"/>
          <w14:textFill>
            <w14:solidFill>
              <w14:schemeClr w14:val="tx1"/>
            </w14:solidFill>
          </w14:textFill>
        </w:rPr>
        <w:br w:type="page"/>
      </w:r>
    </w:p>
    <w:p w14:paraId="5973EFCE">
      <w:pPr>
        <w:pStyle w:val="19"/>
        <w:widowControl/>
        <w:spacing w:line="360" w:lineRule="auto"/>
        <w:ind w:firstLine="304" w:firstLineChars="150"/>
        <w:jc w:val="left"/>
        <w:rPr>
          <w:rFonts w:hint="eastAsia" w:hAnsi="宋体"/>
          <w:b/>
          <w:bCs/>
          <w:color w:val="000000" w:themeColor="text1"/>
          <w:sz w:val="21"/>
          <w:szCs w:val="21"/>
          <w14:textFill>
            <w14:solidFill>
              <w14:schemeClr w14:val="tx1"/>
            </w14:solidFill>
          </w14:textFill>
        </w:rPr>
        <w:sectPr>
          <w:headerReference r:id="rId7" w:type="default"/>
          <w:footerReference r:id="rId8" w:type="default"/>
          <w:pgSz w:w="11906" w:h="16838"/>
          <w:pgMar w:top="1474" w:right="1531" w:bottom="1247" w:left="1531" w:header="851" w:footer="851" w:gutter="0"/>
          <w:pgNumType w:fmt="numberInDash"/>
          <w:cols w:space="720" w:num="1"/>
          <w:titlePg/>
          <w:docGrid w:linePitch="312" w:charSpace="0"/>
        </w:sectPr>
      </w:pPr>
    </w:p>
    <w:p w14:paraId="53236F26">
      <w:pPr>
        <w:pStyle w:val="19"/>
        <w:widowControl/>
        <w:spacing w:line="360" w:lineRule="auto"/>
        <w:ind w:firstLine="304" w:firstLineChars="150"/>
        <w:jc w:val="left"/>
        <w:rPr>
          <w:rFonts w:hint="eastAsia"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格式九：开标一览表</w:t>
      </w:r>
    </w:p>
    <w:p w14:paraId="116BE4A4">
      <w:pPr>
        <w:spacing w:line="360" w:lineRule="auto"/>
        <w:rPr>
          <w:rFonts w:hint="eastAsia" w:ascii="宋体" w:hAnsi="宋体"/>
          <w:color w:val="000000" w:themeColor="text1"/>
          <w:sz w:val="24"/>
          <w14:textFill>
            <w14:solidFill>
              <w14:schemeClr w14:val="tx1"/>
            </w14:solidFill>
          </w14:textFill>
        </w:rPr>
      </w:pPr>
    </w:p>
    <w:p w14:paraId="732F2744">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开标一览表</w:t>
      </w:r>
    </w:p>
    <w:p w14:paraId="730244AD">
      <w:pPr>
        <w:spacing w:line="360" w:lineRule="auto"/>
        <w:jc w:val="center"/>
        <w:rPr>
          <w:rFonts w:hint="eastAsia" w:ascii="宋体" w:hAnsi="宋体"/>
          <w:b/>
          <w:color w:val="000000" w:themeColor="text1"/>
          <w:sz w:val="24"/>
          <w14:textFill>
            <w14:solidFill>
              <w14:schemeClr w14:val="tx1"/>
            </w14:solidFill>
          </w14:textFill>
        </w:rPr>
      </w:pPr>
    </w:p>
    <w:p w14:paraId="39118D1F">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14:paraId="715FA3D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招标编号：  </w:t>
      </w:r>
    </w:p>
    <w:p w14:paraId="7D1E720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标项号：</w:t>
      </w:r>
    </w:p>
    <w:tbl>
      <w:tblPr>
        <w:tblStyle w:val="42"/>
        <w:tblW w:w="90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130"/>
        <w:gridCol w:w="4160"/>
        <w:gridCol w:w="1330"/>
      </w:tblGrid>
      <w:tr w14:paraId="14ACC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15" w:type="dxa"/>
            <w:vAlign w:val="center"/>
          </w:tcPr>
          <w:p w14:paraId="14099CD0">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30" w:type="dxa"/>
            <w:vAlign w:val="center"/>
          </w:tcPr>
          <w:p w14:paraId="4FD18D6F">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采购内容</w:t>
            </w:r>
          </w:p>
        </w:tc>
        <w:tc>
          <w:tcPr>
            <w:tcW w:w="4160" w:type="dxa"/>
            <w:vAlign w:val="center"/>
          </w:tcPr>
          <w:p w14:paraId="352BCC2B">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报价（元）</w:t>
            </w:r>
          </w:p>
        </w:tc>
        <w:tc>
          <w:tcPr>
            <w:tcW w:w="1330" w:type="dxa"/>
            <w:vAlign w:val="center"/>
          </w:tcPr>
          <w:p w14:paraId="6C445639">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063A5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415" w:type="dxa"/>
            <w:vAlign w:val="center"/>
          </w:tcPr>
          <w:p w14:paraId="43B2C3AB">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30" w:type="dxa"/>
            <w:vAlign w:val="center"/>
          </w:tcPr>
          <w:p w14:paraId="3C096245">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北京航空航天大学宁波创新研究院数字化协同运营平台三期</w:t>
            </w:r>
          </w:p>
        </w:tc>
        <w:tc>
          <w:tcPr>
            <w:tcW w:w="4160" w:type="dxa"/>
            <w:vAlign w:val="center"/>
          </w:tcPr>
          <w:p w14:paraId="4F0BC12A">
            <w:pPr>
              <w:snapToGrid w:val="0"/>
              <w:jc w:val="center"/>
              <w:rPr>
                <w:rFonts w:hint="eastAsia" w:ascii="宋体" w:hAnsi="宋体"/>
                <w:color w:val="000000" w:themeColor="text1"/>
                <w:szCs w:val="21"/>
                <w14:textFill>
                  <w14:solidFill>
                    <w14:schemeClr w14:val="tx1"/>
                  </w14:solidFill>
                </w14:textFill>
              </w:rPr>
            </w:pPr>
          </w:p>
        </w:tc>
        <w:tc>
          <w:tcPr>
            <w:tcW w:w="1330" w:type="dxa"/>
            <w:vAlign w:val="center"/>
          </w:tcPr>
          <w:p w14:paraId="10FE48C5">
            <w:pPr>
              <w:snapToGrid w:val="0"/>
              <w:jc w:val="center"/>
              <w:rPr>
                <w:rFonts w:hint="eastAsia" w:ascii="宋体" w:hAnsi="宋体"/>
                <w:color w:val="000000" w:themeColor="text1"/>
                <w:szCs w:val="21"/>
                <w14:textFill>
                  <w14:solidFill>
                    <w14:schemeClr w14:val="tx1"/>
                  </w14:solidFill>
                </w14:textFill>
              </w:rPr>
            </w:pPr>
          </w:p>
        </w:tc>
      </w:tr>
      <w:tr w14:paraId="420B3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545" w:type="dxa"/>
            <w:gridSpan w:val="2"/>
            <w:vAlign w:val="center"/>
          </w:tcPr>
          <w:p w14:paraId="0864B7C7">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投标声明</w:t>
            </w:r>
          </w:p>
        </w:tc>
        <w:tc>
          <w:tcPr>
            <w:tcW w:w="5490" w:type="dxa"/>
            <w:gridSpan w:val="2"/>
            <w:vAlign w:val="center"/>
          </w:tcPr>
          <w:p w14:paraId="1AEAF023">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若无，请写“无”</w:t>
            </w:r>
          </w:p>
        </w:tc>
      </w:tr>
    </w:tbl>
    <w:p w14:paraId="42D4C4D3">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778F9A6E">
      <w:pPr>
        <w:pStyle w:val="19"/>
        <w:spacing w:line="360" w:lineRule="auto"/>
        <w:ind w:left="-178" w:leftChars="-85" w:firstLine="505" w:firstLineChars="250"/>
        <w:rPr>
          <w:rFonts w:hint="eastAsia"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、若投标人尚有其他内容需列明的，请按此表格式扩展。</w:t>
      </w:r>
    </w:p>
    <w:p w14:paraId="5B246E9D">
      <w:pPr>
        <w:pStyle w:val="19"/>
        <w:spacing w:line="360" w:lineRule="auto"/>
        <w:ind w:left="-178" w:leftChars="-85" w:firstLine="505" w:firstLineChars="2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2、“投标报价”应与格式三“投标函”中“投标报价”一致。</w:t>
      </w:r>
    </w:p>
    <w:p w14:paraId="1FB4523B">
      <w:pPr>
        <w:pStyle w:val="19"/>
        <w:spacing w:line="360" w:lineRule="auto"/>
        <w:ind w:left="-178" w:leftChars="-85" w:firstLine="505" w:firstLineChars="250"/>
        <w:rPr>
          <w:rFonts w:hint="eastAsia" w:hAnsi="宋体"/>
          <w:color w:val="000000" w:themeColor="text1"/>
          <w:sz w:val="21"/>
          <w:szCs w:val="21"/>
          <w:lang w:val="zh-CN"/>
          <w14:textFill>
            <w14:solidFill>
              <w14:schemeClr w14:val="tx1"/>
            </w14:solidFill>
          </w14:textFill>
        </w:rPr>
      </w:pPr>
      <w:r>
        <w:rPr>
          <w:rFonts w:hint="eastAsia" w:hAnsi="宋体"/>
          <w:color w:val="000000" w:themeColor="text1"/>
          <w:sz w:val="21"/>
          <w:szCs w:val="21"/>
          <w14:textFill>
            <w14:solidFill>
              <w14:schemeClr w14:val="tx1"/>
            </w14:solidFill>
          </w14:textFill>
        </w:rPr>
        <w:t>3</w:t>
      </w:r>
      <w:r>
        <w:rPr>
          <w:rFonts w:hAnsi="宋体"/>
          <w:color w:val="000000" w:themeColor="text1"/>
          <w:sz w:val="21"/>
          <w:szCs w:val="21"/>
          <w14:textFill>
            <w14:solidFill>
              <w14:schemeClr w14:val="tx1"/>
            </w14:solidFill>
          </w14:textFill>
        </w:rPr>
        <w:t>、</w:t>
      </w:r>
      <w:r>
        <w:rPr>
          <w:rFonts w:hAnsi="宋体"/>
          <w:color w:val="000000" w:themeColor="text1"/>
          <w:sz w:val="21"/>
          <w:szCs w:val="21"/>
          <w:lang w:val="zh-CN"/>
          <w14:textFill>
            <w14:solidFill>
              <w14:schemeClr w14:val="tx1"/>
            </w14:solidFill>
          </w14:textFill>
        </w:rPr>
        <w:t>报价一经涂改，应在涂改处加盖单位公章或者由法定代表人或授权代表或自然人签字或盖章，否则其报价作无效标处理。</w:t>
      </w:r>
    </w:p>
    <w:p w14:paraId="63C36910">
      <w:pPr>
        <w:pStyle w:val="19"/>
        <w:spacing w:line="360" w:lineRule="auto"/>
        <w:ind w:left="-178" w:leftChars="-85" w:firstLine="505" w:firstLineChars="250"/>
        <w:rPr>
          <w:rFonts w:hint="eastAsia" w:hAnsi="宋体"/>
          <w:color w:val="000000" w:themeColor="text1"/>
          <w:sz w:val="21"/>
          <w:szCs w:val="21"/>
          <w14:textFill>
            <w14:solidFill>
              <w14:schemeClr w14:val="tx1"/>
            </w14:solidFill>
          </w14:textFill>
        </w:rPr>
      </w:pPr>
    </w:p>
    <w:p w14:paraId="5AA27D87">
      <w:pPr>
        <w:pStyle w:val="19"/>
        <w:spacing w:line="360" w:lineRule="auto"/>
        <w:ind w:left="-178" w:leftChars="-85" w:firstLine="505" w:firstLineChars="250"/>
        <w:rPr>
          <w:rFonts w:hint="eastAsia" w:hAnsi="宋体"/>
          <w:color w:val="000000" w:themeColor="text1"/>
          <w:sz w:val="21"/>
          <w:szCs w:val="21"/>
          <w14:textFill>
            <w14:solidFill>
              <w14:schemeClr w14:val="tx1"/>
            </w14:solidFill>
          </w14:textFill>
        </w:rPr>
      </w:pPr>
    </w:p>
    <w:p w14:paraId="26B68168">
      <w:pPr>
        <w:pStyle w:val="19"/>
        <w:snapToGrid w:val="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投 标 人  （盖章）：                   </w:t>
      </w:r>
    </w:p>
    <w:p w14:paraId="428F32B2">
      <w:pPr>
        <w:pStyle w:val="19"/>
        <w:snapToGrid w:val="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法定代表人或其授权代表（签字或盖章）：</w:t>
      </w:r>
    </w:p>
    <w:p w14:paraId="0A98AE2F">
      <w:pPr>
        <w:pStyle w:val="19"/>
        <w:widowControl/>
        <w:spacing w:line="360" w:lineRule="auto"/>
        <w:ind w:firstLine="303" w:firstLineChars="150"/>
        <w:jc w:val="left"/>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             期：</w:t>
      </w:r>
    </w:p>
    <w:p w14:paraId="63E7CF68">
      <w:pPr>
        <w:pStyle w:val="19"/>
        <w:widowControl/>
        <w:spacing w:line="360" w:lineRule="auto"/>
        <w:ind w:firstLine="0"/>
        <w:jc w:val="left"/>
        <w:rPr>
          <w:rFonts w:hint="eastAsia" w:hAnsi="宋体"/>
          <w:b/>
          <w:color w:val="000000" w:themeColor="text1"/>
          <w:sz w:val="28"/>
          <w14:textFill>
            <w14:solidFill>
              <w14:schemeClr w14:val="tx1"/>
            </w14:solidFill>
          </w14:textFill>
        </w:rPr>
        <w:sectPr>
          <w:pgSz w:w="11906" w:h="16838"/>
          <w:pgMar w:top="1474" w:right="1531" w:bottom="1247" w:left="1531" w:header="851" w:footer="851" w:gutter="0"/>
          <w:pgNumType w:fmt="numberInDash"/>
          <w:cols w:space="720" w:num="1"/>
          <w:titlePg/>
          <w:docGrid w:linePitch="312" w:charSpace="0"/>
        </w:sectPr>
      </w:pPr>
    </w:p>
    <w:p w14:paraId="3CBE8C8D">
      <w:pPr>
        <w:rPr>
          <w:rFonts w:hint="eastAsia" w:ascii="宋体" w:hAnsi="宋体"/>
          <w:color w:val="000000" w:themeColor="text1"/>
          <w:sz w:val="24"/>
          <w:szCs w:val="21"/>
          <w14:textFill>
            <w14:solidFill>
              <w14:schemeClr w14:val="tx1"/>
            </w14:solidFill>
          </w14:textFill>
        </w:rPr>
      </w:pPr>
      <w:bookmarkStart w:id="254" w:name="_Toc460857948"/>
      <w:r>
        <w:rPr>
          <w:rFonts w:hint="eastAsia" w:ascii="宋体" w:hAnsi="宋体"/>
          <w:b/>
          <w:color w:val="000000" w:themeColor="text1"/>
          <w14:textFill>
            <w14:solidFill>
              <w14:schemeClr w14:val="tx1"/>
            </w14:solidFill>
          </w14:textFill>
        </w:rPr>
        <w:t>格式十：</w:t>
      </w:r>
      <w:bookmarkEnd w:id="254"/>
      <w:r>
        <w:rPr>
          <w:rFonts w:hint="eastAsia" w:ascii="宋体" w:hAnsi="宋体"/>
          <w:color w:val="000000" w:themeColor="text1"/>
          <w:szCs w:val="21"/>
          <w14:textFill>
            <w14:solidFill>
              <w14:schemeClr w14:val="tx1"/>
            </w14:solidFill>
          </w14:textFill>
        </w:rPr>
        <w:t>投标分项报价表</w:t>
      </w:r>
    </w:p>
    <w:p w14:paraId="7522BFD5">
      <w:pPr>
        <w:jc w:val="center"/>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投标分项报价表</w:t>
      </w:r>
    </w:p>
    <w:p w14:paraId="51263A93">
      <w:pPr>
        <w:jc w:val="center"/>
        <w:rPr>
          <w:rFonts w:hint="eastAsia" w:ascii="宋体" w:hAnsi="宋体"/>
          <w:b/>
          <w:color w:val="000000" w:themeColor="text1"/>
          <w:sz w:val="24"/>
          <w:szCs w:val="21"/>
          <w14:textFill>
            <w14:solidFill>
              <w14:schemeClr w14:val="tx1"/>
            </w14:solidFill>
          </w14:textFill>
        </w:rPr>
      </w:pPr>
    </w:p>
    <w:p w14:paraId="42A1FE55">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 招标编号：</w:t>
      </w:r>
    </w:p>
    <w:tbl>
      <w:tblPr>
        <w:tblStyle w:val="4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327E2008">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BA6D00E">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序号</w:t>
            </w:r>
          </w:p>
        </w:tc>
        <w:tc>
          <w:tcPr>
            <w:tcW w:w="3835" w:type="dxa"/>
            <w:tcBorders>
              <w:top w:val="single" w:color="auto" w:sz="4" w:space="0"/>
              <w:left w:val="nil"/>
              <w:bottom w:val="single" w:color="auto" w:sz="4" w:space="0"/>
              <w:right w:val="single" w:color="auto" w:sz="4" w:space="0"/>
            </w:tcBorders>
            <w:vAlign w:val="center"/>
          </w:tcPr>
          <w:p w14:paraId="29888660">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lang w:bidi="ar"/>
                <w14:textFill>
                  <w14:solidFill>
                    <w14:schemeClr w14:val="tx1"/>
                  </w14:solidFill>
                </w14:textFill>
              </w:rPr>
              <w:t>项目内容</w:t>
            </w:r>
          </w:p>
        </w:tc>
        <w:tc>
          <w:tcPr>
            <w:tcW w:w="1610" w:type="dxa"/>
            <w:tcBorders>
              <w:top w:val="single" w:color="auto" w:sz="4" w:space="0"/>
              <w:left w:val="nil"/>
              <w:bottom w:val="single" w:color="auto" w:sz="4" w:space="0"/>
              <w:right w:val="single" w:color="auto" w:sz="4" w:space="0"/>
            </w:tcBorders>
            <w:vAlign w:val="center"/>
          </w:tcPr>
          <w:p w14:paraId="7597C9D1">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单位及数量</w:t>
            </w:r>
          </w:p>
        </w:tc>
        <w:tc>
          <w:tcPr>
            <w:tcW w:w="1253" w:type="dxa"/>
            <w:tcBorders>
              <w:top w:val="single" w:color="auto" w:sz="4" w:space="0"/>
              <w:left w:val="nil"/>
              <w:bottom w:val="single" w:color="auto" w:sz="4" w:space="0"/>
              <w:right w:val="single" w:color="auto" w:sz="4" w:space="0"/>
            </w:tcBorders>
            <w:vAlign w:val="center"/>
          </w:tcPr>
          <w:p w14:paraId="5B2658ED">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单价（元）</w:t>
            </w:r>
          </w:p>
        </w:tc>
        <w:tc>
          <w:tcPr>
            <w:tcW w:w="1432" w:type="dxa"/>
            <w:tcBorders>
              <w:top w:val="single" w:color="auto" w:sz="4" w:space="0"/>
              <w:left w:val="nil"/>
              <w:bottom w:val="single" w:color="auto" w:sz="4" w:space="0"/>
              <w:right w:val="single" w:color="auto" w:sz="4" w:space="0"/>
            </w:tcBorders>
            <w:vAlign w:val="center"/>
          </w:tcPr>
          <w:p w14:paraId="692E5BA1">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金额（元）</w:t>
            </w:r>
          </w:p>
        </w:tc>
      </w:tr>
      <w:tr w14:paraId="77E9A03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B9FA601">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1</w:t>
            </w:r>
          </w:p>
        </w:tc>
        <w:tc>
          <w:tcPr>
            <w:tcW w:w="3835" w:type="dxa"/>
            <w:tcBorders>
              <w:top w:val="single" w:color="auto" w:sz="4" w:space="0"/>
              <w:left w:val="nil"/>
              <w:bottom w:val="single" w:color="auto" w:sz="4" w:space="0"/>
              <w:right w:val="single" w:color="auto" w:sz="4" w:space="0"/>
            </w:tcBorders>
          </w:tcPr>
          <w:p w14:paraId="26B038B3">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517BF7AE">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1BD9A116">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0705786D">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441EC8C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8B588FF">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1.1</w:t>
            </w:r>
          </w:p>
        </w:tc>
        <w:tc>
          <w:tcPr>
            <w:tcW w:w="3835" w:type="dxa"/>
            <w:tcBorders>
              <w:top w:val="single" w:color="auto" w:sz="4" w:space="0"/>
              <w:left w:val="nil"/>
              <w:bottom w:val="single" w:color="auto" w:sz="4" w:space="0"/>
              <w:right w:val="single" w:color="auto" w:sz="4" w:space="0"/>
            </w:tcBorders>
            <w:vAlign w:val="center"/>
          </w:tcPr>
          <w:p w14:paraId="47557F12">
            <w:pPr>
              <w:widowControl/>
              <w:spacing w:line="0" w:lineRule="atLeast"/>
              <w:jc w:val="center"/>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35F8A69D">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1F1C9D0B">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27C177D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7B706BB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C0915B7">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1.2</w:t>
            </w:r>
          </w:p>
        </w:tc>
        <w:tc>
          <w:tcPr>
            <w:tcW w:w="3835" w:type="dxa"/>
            <w:tcBorders>
              <w:top w:val="single" w:color="auto" w:sz="4" w:space="0"/>
              <w:left w:val="nil"/>
              <w:bottom w:val="single" w:color="auto" w:sz="4" w:space="0"/>
              <w:right w:val="single" w:color="auto" w:sz="4" w:space="0"/>
            </w:tcBorders>
            <w:vAlign w:val="center"/>
          </w:tcPr>
          <w:p w14:paraId="3392F9C1">
            <w:pPr>
              <w:widowControl/>
              <w:spacing w:line="0" w:lineRule="atLeast"/>
              <w:jc w:val="center"/>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288426B9">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70CE573A">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36F54BF9">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43B0C45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2E05625">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1.3</w:t>
            </w:r>
          </w:p>
        </w:tc>
        <w:tc>
          <w:tcPr>
            <w:tcW w:w="3835" w:type="dxa"/>
            <w:tcBorders>
              <w:top w:val="single" w:color="auto" w:sz="4" w:space="0"/>
              <w:left w:val="nil"/>
              <w:bottom w:val="single" w:color="auto" w:sz="4" w:space="0"/>
              <w:right w:val="single" w:color="auto" w:sz="4" w:space="0"/>
            </w:tcBorders>
            <w:vAlign w:val="center"/>
          </w:tcPr>
          <w:p w14:paraId="13559233">
            <w:pPr>
              <w:widowControl/>
              <w:spacing w:line="0" w:lineRule="atLeast"/>
              <w:jc w:val="center"/>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54D67050">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419F9956">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22CA3DC7">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1911A62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F6967FD">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1.4</w:t>
            </w:r>
          </w:p>
        </w:tc>
        <w:tc>
          <w:tcPr>
            <w:tcW w:w="3835" w:type="dxa"/>
            <w:tcBorders>
              <w:top w:val="single" w:color="auto" w:sz="4" w:space="0"/>
              <w:left w:val="nil"/>
              <w:bottom w:val="single" w:color="auto" w:sz="4" w:space="0"/>
              <w:right w:val="single" w:color="auto" w:sz="4" w:space="0"/>
            </w:tcBorders>
            <w:vAlign w:val="center"/>
          </w:tcPr>
          <w:p w14:paraId="39C75710">
            <w:pPr>
              <w:widowControl/>
              <w:spacing w:line="0" w:lineRule="atLeast"/>
              <w:jc w:val="center"/>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2F63C7EC">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21F96AAC">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787E1C53">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3947172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20AFF0">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2</w:t>
            </w:r>
          </w:p>
        </w:tc>
        <w:tc>
          <w:tcPr>
            <w:tcW w:w="3835" w:type="dxa"/>
            <w:tcBorders>
              <w:top w:val="single" w:color="auto" w:sz="4" w:space="0"/>
              <w:left w:val="nil"/>
              <w:bottom w:val="single" w:color="auto" w:sz="4" w:space="0"/>
              <w:right w:val="single" w:color="auto" w:sz="4" w:space="0"/>
            </w:tcBorders>
          </w:tcPr>
          <w:p w14:paraId="620A6EBD">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45473FB9">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596467BC">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7BEC74BB">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405B3EB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7511341">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2.1</w:t>
            </w:r>
          </w:p>
        </w:tc>
        <w:tc>
          <w:tcPr>
            <w:tcW w:w="3835" w:type="dxa"/>
            <w:tcBorders>
              <w:top w:val="single" w:color="auto" w:sz="4" w:space="0"/>
              <w:left w:val="nil"/>
              <w:bottom w:val="single" w:color="auto" w:sz="4" w:space="0"/>
              <w:right w:val="single" w:color="auto" w:sz="4" w:space="0"/>
            </w:tcBorders>
            <w:vAlign w:val="center"/>
          </w:tcPr>
          <w:p w14:paraId="7C5C92C1">
            <w:pPr>
              <w:widowControl/>
              <w:spacing w:line="0" w:lineRule="atLeast"/>
              <w:jc w:val="center"/>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0676F6EB">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1CEB522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0ABAEE79">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6777CF9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78108FC">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2.2</w:t>
            </w:r>
          </w:p>
        </w:tc>
        <w:tc>
          <w:tcPr>
            <w:tcW w:w="3835" w:type="dxa"/>
            <w:tcBorders>
              <w:top w:val="single" w:color="auto" w:sz="4" w:space="0"/>
              <w:left w:val="nil"/>
              <w:bottom w:val="single" w:color="auto" w:sz="4" w:space="0"/>
              <w:right w:val="single" w:color="auto" w:sz="4" w:space="0"/>
            </w:tcBorders>
            <w:vAlign w:val="center"/>
          </w:tcPr>
          <w:p w14:paraId="7C42689C">
            <w:pPr>
              <w:widowControl/>
              <w:spacing w:line="0" w:lineRule="atLeast"/>
              <w:jc w:val="center"/>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1AB42A4D">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0CC788BE">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5DD5A069">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4597FCE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A6469FC">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spacing w:val="20"/>
                <w:kern w:val="0"/>
                <w:szCs w:val="21"/>
                <w14:textFill>
                  <w14:solidFill>
                    <w14:schemeClr w14:val="tx1"/>
                  </w14:solidFill>
                </w14:textFill>
              </w:rPr>
              <w:t>2.3</w:t>
            </w:r>
          </w:p>
        </w:tc>
        <w:tc>
          <w:tcPr>
            <w:tcW w:w="3835" w:type="dxa"/>
            <w:tcBorders>
              <w:top w:val="single" w:color="auto" w:sz="4" w:space="0"/>
              <w:left w:val="nil"/>
              <w:bottom w:val="single" w:color="auto" w:sz="4" w:space="0"/>
              <w:right w:val="single" w:color="auto" w:sz="4" w:space="0"/>
            </w:tcBorders>
            <w:vAlign w:val="center"/>
          </w:tcPr>
          <w:p w14:paraId="7942F256">
            <w:pPr>
              <w:widowControl/>
              <w:spacing w:line="0" w:lineRule="atLeast"/>
              <w:jc w:val="center"/>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1857CEF2">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7BAADD92">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65032B10">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60D07D7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2CECA17">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3835" w:type="dxa"/>
            <w:tcBorders>
              <w:top w:val="single" w:color="auto" w:sz="4" w:space="0"/>
              <w:left w:val="nil"/>
              <w:bottom w:val="single" w:color="auto" w:sz="4" w:space="0"/>
              <w:right w:val="single" w:color="auto" w:sz="4" w:space="0"/>
            </w:tcBorders>
          </w:tcPr>
          <w:p w14:paraId="022BC4D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642A9EDA">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521D06FC">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3EA1D0B5">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48D25F11">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3969B2D8">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3835" w:type="dxa"/>
            <w:tcBorders>
              <w:top w:val="single" w:color="auto" w:sz="4" w:space="0"/>
              <w:left w:val="nil"/>
              <w:bottom w:val="single" w:color="auto" w:sz="4" w:space="0"/>
              <w:right w:val="single" w:color="auto" w:sz="4" w:space="0"/>
            </w:tcBorders>
          </w:tcPr>
          <w:p w14:paraId="26FECAEF">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17BBEAB9">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1F28820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70109FE1">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25B8E33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4995F168">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3835" w:type="dxa"/>
            <w:tcBorders>
              <w:top w:val="single" w:color="auto" w:sz="4" w:space="0"/>
              <w:left w:val="nil"/>
              <w:bottom w:val="single" w:color="auto" w:sz="4" w:space="0"/>
              <w:right w:val="single" w:color="auto" w:sz="4" w:space="0"/>
            </w:tcBorders>
          </w:tcPr>
          <w:p w14:paraId="185B01A5">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765AC8C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13D4FF6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6D56604A">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3264A65A">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40F21B16">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3835" w:type="dxa"/>
            <w:tcBorders>
              <w:top w:val="single" w:color="auto" w:sz="4" w:space="0"/>
              <w:left w:val="nil"/>
              <w:bottom w:val="single" w:color="auto" w:sz="4" w:space="0"/>
              <w:right w:val="single" w:color="auto" w:sz="4" w:space="0"/>
            </w:tcBorders>
          </w:tcPr>
          <w:p w14:paraId="2305EDDD">
            <w:pPr>
              <w:snapToGrid w:val="0"/>
              <w:spacing w:before="50" w:after="50" w:line="360" w:lineRule="auto"/>
              <w:textAlignment w:val="baseline"/>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35830D1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7F999147">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416748E7">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40604FC9">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5A4E9BC4">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3835" w:type="dxa"/>
            <w:tcBorders>
              <w:top w:val="single" w:color="auto" w:sz="4" w:space="0"/>
              <w:left w:val="nil"/>
              <w:bottom w:val="single" w:color="auto" w:sz="4" w:space="0"/>
              <w:right w:val="single" w:color="auto" w:sz="4" w:space="0"/>
            </w:tcBorders>
          </w:tcPr>
          <w:p w14:paraId="14BA9C93">
            <w:pPr>
              <w:snapToGrid w:val="0"/>
              <w:spacing w:before="50" w:after="50" w:line="360" w:lineRule="auto"/>
              <w:textAlignment w:val="baseline"/>
              <w:rPr>
                <w:rFonts w:hint="eastAsia" w:ascii="宋体" w:hAnsi="宋体" w:cs="宋体"/>
                <w:color w:val="000000" w:themeColor="text1"/>
                <w:spacing w:val="20"/>
                <w:kern w:val="0"/>
                <w:szCs w:val="21"/>
                <w14:textFill>
                  <w14:solidFill>
                    <w14:schemeClr w14:val="tx1"/>
                  </w14:solidFill>
                </w14:textFill>
              </w:rPr>
            </w:pPr>
          </w:p>
        </w:tc>
        <w:tc>
          <w:tcPr>
            <w:tcW w:w="1610" w:type="dxa"/>
            <w:tcBorders>
              <w:top w:val="single" w:color="auto" w:sz="4" w:space="0"/>
              <w:left w:val="nil"/>
              <w:bottom w:val="single" w:color="auto" w:sz="4" w:space="0"/>
              <w:right w:val="single" w:color="auto" w:sz="4" w:space="0"/>
            </w:tcBorders>
          </w:tcPr>
          <w:p w14:paraId="56157C3B">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253" w:type="dxa"/>
            <w:tcBorders>
              <w:top w:val="single" w:color="auto" w:sz="4" w:space="0"/>
              <w:left w:val="nil"/>
              <w:bottom w:val="single" w:color="auto" w:sz="4" w:space="0"/>
              <w:right w:val="single" w:color="auto" w:sz="4" w:space="0"/>
            </w:tcBorders>
          </w:tcPr>
          <w:p w14:paraId="114BD28E">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c>
          <w:tcPr>
            <w:tcW w:w="1432" w:type="dxa"/>
            <w:tcBorders>
              <w:top w:val="single" w:color="auto" w:sz="4" w:space="0"/>
              <w:left w:val="nil"/>
              <w:bottom w:val="single" w:color="auto" w:sz="4" w:space="0"/>
              <w:right w:val="single" w:color="auto" w:sz="4" w:space="0"/>
            </w:tcBorders>
          </w:tcPr>
          <w:p w14:paraId="24D95360">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r w14:paraId="3C7FD03D">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9E1978D">
            <w:pPr>
              <w:snapToGrid w:val="0"/>
              <w:spacing w:before="50" w:after="50" w:line="360" w:lineRule="auto"/>
              <w:jc w:val="center"/>
              <w:textAlignment w:val="baseline"/>
              <w:rPr>
                <w:rFonts w:hint="eastAsia" w:ascii="宋体" w:hAnsi="宋体" w:cs="宋体"/>
                <w:color w:val="000000" w:themeColor="text1"/>
                <w:spacing w:val="20"/>
                <w:kern w:val="0"/>
                <w:szCs w:val="21"/>
                <w:lang w:bidi="ar"/>
                <w14:textFill>
                  <w14:solidFill>
                    <w14:schemeClr w14:val="tx1"/>
                  </w14:solidFill>
                </w14:textFill>
              </w:rPr>
            </w:pPr>
            <w:r>
              <w:rPr>
                <w:rFonts w:hint="eastAsia" w:ascii="宋体" w:hAnsi="宋体" w:cs="宋体"/>
                <w:color w:val="000000" w:themeColor="text1"/>
                <w:spacing w:val="20"/>
                <w:szCs w:val="21"/>
                <w:lang w:bidi="ar"/>
                <w14:textFill>
                  <w14:solidFill>
                    <w14:schemeClr w14:val="tx1"/>
                  </w14:solidFill>
                </w14:textFill>
              </w:rPr>
              <w:t>响应报价（元）</w:t>
            </w:r>
          </w:p>
        </w:tc>
        <w:tc>
          <w:tcPr>
            <w:tcW w:w="1432" w:type="dxa"/>
            <w:tcBorders>
              <w:top w:val="single" w:color="auto" w:sz="4" w:space="0"/>
              <w:left w:val="nil"/>
              <w:bottom w:val="single" w:color="auto" w:sz="4" w:space="0"/>
              <w:right w:val="single" w:color="auto" w:sz="4" w:space="0"/>
            </w:tcBorders>
          </w:tcPr>
          <w:p w14:paraId="6E7FEBA3">
            <w:pPr>
              <w:snapToGrid w:val="0"/>
              <w:spacing w:before="50" w:after="50" w:line="360" w:lineRule="auto"/>
              <w:jc w:val="center"/>
              <w:textAlignment w:val="baseline"/>
              <w:rPr>
                <w:rFonts w:hint="eastAsia" w:ascii="宋体" w:hAnsi="宋体" w:cs="宋体"/>
                <w:color w:val="000000" w:themeColor="text1"/>
                <w:spacing w:val="20"/>
                <w:kern w:val="0"/>
                <w:szCs w:val="21"/>
                <w14:textFill>
                  <w14:solidFill>
                    <w14:schemeClr w14:val="tx1"/>
                  </w14:solidFill>
                </w14:textFill>
              </w:rPr>
            </w:pPr>
          </w:p>
        </w:tc>
      </w:tr>
    </w:tbl>
    <w:p w14:paraId="0E64901A">
      <w:pPr>
        <w:spacing w:line="360" w:lineRule="auto"/>
        <w:rPr>
          <w:rFonts w:hint="eastAsia" w:ascii="宋体" w:hAnsi="宋体"/>
          <w:color w:val="000000" w:themeColor="text1"/>
          <w:sz w:val="24"/>
          <w14:textFill>
            <w14:solidFill>
              <w14:schemeClr w14:val="tx1"/>
            </w14:solidFill>
          </w14:textFill>
        </w:rPr>
      </w:pPr>
    </w:p>
    <w:p w14:paraId="42F8E40D">
      <w:pPr>
        <w:pStyle w:val="19"/>
        <w:snapToGrid w:val="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投 标 人  （盖章）：                   </w:t>
      </w:r>
    </w:p>
    <w:p w14:paraId="61519FD0">
      <w:pPr>
        <w:pStyle w:val="19"/>
        <w:snapToGrid w:val="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法定代表人或其授权代表（签字或盖章）：</w:t>
      </w:r>
    </w:p>
    <w:p w14:paraId="136CC748">
      <w:pPr>
        <w:pStyle w:val="19"/>
        <w:snapToGrid w:val="0"/>
        <w:spacing w:line="360" w:lineRule="auto"/>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             期：</w:t>
      </w:r>
    </w:p>
    <w:p w14:paraId="0C7373CE">
      <w:pPr>
        <w:pStyle w:val="19"/>
        <w:snapToGrid w:val="0"/>
        <w:spacing w:line="360" w:lineRule="auto"/>
        <w:rPr>
          <w:rFonts w:hint="eastAsia" w:hAnsi="宋体"/>
          <w:color w:val="000000" w:themeColor="text1"/>
          <w:sz w:val="21"/>
          <w:szCs w:val="21"/>
          <w14:textFill>
            <w14:solidFill>
              <w14:schemeClr w14:val="tx1"/>
            </w14:solidFill>
          </w14:textFill>
        </w:rPr>
        <w:sectPr>
          <w:pgSz w:w="11906" w:h="16838"/>
          <w:pgMar w:top="1247" w:right="1797" w:bottom="1474" w:left="1797" w:header="851" w:footer="851" w:gutter="0"/>
          <w:pgNumType w:fmt="numberInDash"/>
          <w:cols w:space="720" w:num="1"/>
          <w:titlePg/>
          <w:docGrid w:linePitch="312" w:charSpace="0"/>
        </w:sectPr>
      </w:pPr>
    </w:p>
    <w:p w14:paraId="77EABC62">
      <w:pPr>
        <w:rPr>
          <w:rFonts w:hint="eastAsia" w:ascii="宋体" w:hAnsi="宋体"/>
          <w:b/>
          <w:color w:val="000000" w:themeColor="text1"/>
          <w14:textFill>
            <w14:solidFill>
              <w14:schemeClr w14:val="tx1"/>
            </w14:solidFill>
          </w14:textFill>
        </w:rPr>
      </w:pPr>
      <w:bookmarkStart w:id="255" w:name="_Toc460857950"/>
      <w:r>
        <w:rPr>
          <w:rFonts w:hint="eastAsia" w:ascii="宋体" w:hAnsi="宋体"/>
          <w:b/>
          <w:color w:val="000000" w:themeColor="text1"/>
          <w14:textFill>
            <w14:solidFill>
              <w14:schemeClr w14:val="tx1"/>
            </w14:solidFill>
          </w14:textFill>
        </w:rPr>
        <w:t>格式十一：</w:t>
      </w:r>
      <w:r>
        <w:rPr>
          <w:rFonts w:hint="eastAsia" w:ascii="宋体" w:hAnsi="宋体"/>
          <w:color w:val="000000" w:themeColor="text1"/>
          <w:szCs w:val="21"/>
          <w14:textFill>
            <w14:solidFill>
              <w14:schemeClr w14:val="tx1"/>
            </w14:solidFill>
          </w14:textFill>
        </w:rPr>
        <w:t>中小企业声明函</w:t>
      </w:r>
      <w:bookmarkEnd w:id="255"/>
    </w:p>
    <w:p w14:paraId="0349EA93">
      <w:pPr>
        <w:spacing w:line="360" w:lineRule="auto"/>
        <w:rPr>
          <w:rFonts w:hint="eastAsia" w:ascii="宋体" w:hAnsi="宋体"/>
          <w:b/>
          <w:color w:val="000000" w:themeColor="text1"/>
          <w:spacing w:val="-4"/>
          <w:szCs w:val="21"/>
          <w14:textFill>
            <w14:solidFill>
              <w14:schemeClr w14:val="tx1"/>
            </w14:solidFill>
          </w14:textFill>
        </w:rPr>
      </w:pPr>
    </w:p>
    <w:p w14:paraId="45B8BD54">
      <w:pPr>
        <w:pStyle w:val="19"/>
        <w:spacing w:line="360" w:lineRule="auto"/>
        <w:jc w:val="center"/>
        <w:rPr>
          <w:b/>
          <w:color w:val="000000" w:themeColor="text1"/>
          <w:sz w:val="28"/>
          <w:szCs w:val="28"/>
          <w14:textFill>
            <w14:solidFill>
              <w14:schemeClr w14:val="tx1"/>
            </w14:solidFill>
          </w14:textFill>
        </w:rPr>
      </w:pPr>
      <w:r>
        <w:rPr>
          <w:rFonts w:hint="eastAsia" w:ascii="Arial" w:hAnsi="Arial"/>
          <w:b/>
          <w:color w:val="000000" w:themeColor="text1"/>
          <w:sz w:val="28"/>
          <w:szCs w:val="28"/>
          <w14:textFill>
            <w14:solidFill>
              <w14:schemeClr w14:val="tx1"/>
            </w14:solidFill>
          </w14:textFill>
        </w:rPr>
        <w:t>中小企业声明函（服务）</w:t>
      </w:r>
    </w:p>
    <w:p w14:paraId="5B4414A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本公司郑重声明，根据《政府采购促进中小企业发展管理办法》（财库﹝2020﹞46 号）的规定，本公司参加</w:t>
      </w:r>
      <w:r>
        <w:rPr>
          <w:rFonts w:hint="eastAsia" w:ascii="宋体" w:hAnsi="宋体" w:cs="宋体"/>
          <w:color w:val="000000" w:themeColor="text1"/>
          <w:szCs w:val="21"/>
          <w:u w:val="single"/>
          <w14:textFill>
            <w14:solidFill>
              <w14:schemeClr w14:val="tx1"/>
            </w14:solidFill>
          </w14:textFill>
        </w:rPr>
        <w:t>（单位名称）</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采购活动，服务全部由符合政策要求的中小企业制造。相关企业（含联合体中的中小企业、签订分包意向协议的中小企业）的具体情况如下：</w:t>
      </w:r>
    </w:p>
    <w:p w14:paraId="5DD888E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北京航空航天大学宁波创新研究院数字化协同运营平台三期 </w:t>
      </w:r>
      <w:r>
        <w:rPr>
          <w:rFonts w:hint="eastAsia" w:ascii="宋体" w:hAnsi="宋体" w:cs="宋体"/>
          <w:color w:val="000000" w:themeColor="text1"/>
          <w:szCs w:val="21"/>
          <w14:textFill>
            <w14:solidFill>
              <w14:schemeClr w14:val="tx1"/>
            </w14:solidFill>
          </w14:textFill>
        </w:rPr>
        <w:t>，属于</w:t>
      </w:r>
      <w:r>
        <w:rPr>
          <w:rFonts w:hint="eastAsia" w:ascii="宋体" w:hAnsi="宋体" w:cs="宋体"/>
          <w:color w:val="000000" w:themeColor="text1"/>
          <w:szCs w:val="21"/>
          <w:u w:val="single"/>
          <w14:textFill>
            <w14:solidFill>
              <w14:schemeClr w14:val="tx1"/>
            </w14:solidFill>
          </w14:textFill>
        </w:rPr>
        <w:t>软件和信息技术服务业</w:t>
      </w:r>
      <w:r>
        <w:rPr>
          <w:rFonts w:hint="eastAsia" w:ascii="宋体" w:hAnsi="宋体" w:cs="宋体"/>
          <w:color w:val="000000" w:themeColor="text1"/>
          <w:szCs w:val="21"/>
          <w14:textFill>
            <w14:solidFill>
              <w14:schemeClr w14:val="tx1"/>
            </w14:solidFill>
          </w14:textFill>
        </w:rPr>
        <w:t>；承接企业为</w:t>
      </w:r>
      <w:r>
        <w:rPr>
          <w:rFonts w:hint="eastAsia" w:ascii="宋体" w:hAnsi="宋体" w:cs="宋体"/>
          <w:color w:val="000000" w:themeColor="text1"/>
          <w:szCs w:val="21"/>
          <w:u w:val="single"/>
          <w14:textFill>
            <w14:solidFill>
              <w14:schemeClr w14:val="tx1"/>
            </w14:solidFill>
          </w14:textFill>
        </w:rPr>
        <w:t>（企业名称）</w:t>
      </w:r>
      <w:r>
        <w:rPr>
          <w:rFonts w:hint="eastAsia" w:ascii="宋体" w:hAnsi="宋体" w:cs="宋体"/>
          <w:color w:val="000000" w:themeColor="text1"/>
          <w:szCs w:val="21"/>
          <w14:textFill>
            <w14:solidFill>
              <w14:schemeClr w14:val="tx1"/>
            </w14:solidFill>
          </w14:textFill>
        </w:rPr>
        <w:t>，从业人员</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人，营业收入为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万元，资产总额为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万元，属于</w:t>
      </w:r>
      <w:r>
        <w:rPr>
          <w:rFonts w:hint="eastAsia" w:ascii="宋体" w:hAnsi="宋体" w:cs="宋体"/>
          <w:color w:val="000000" w:themeColor="text1"/>
          <w:szCs w:val="21"/>
          <w:u w:val="single"/>
          <w14:textFill>
            <w14:solidFill>
              <w14:schemeClr w14:val="tx1"/>
            </w14:solidFill>
          </w14:textFill>
        </w:rPr>
        <w:t>（中型企业、小型企业、微型企业）</w:t>
      </w:r>
      <w:r>
        <w:rPr>
          <w:rFonts w:hint="eastAsia" w:ascii="宋体" w:hAnsi="宋体" w:cs="宋体"/>
          <w:color w:val="000000" w:themeColor="text1"/>
          <w:szCs w:val="21"/>
          <w14:textFill>
            <w14:solidFill>
              <w14:schemeClr w14:val="tx1"/>
            </w14:solidFill>
          </w14:textFill>
        </w:rPr>
        <w:t>；</w:t>
      </w:r>
    </w:p>
    <w:p w14:paraId="57080D82">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6AFB120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3CEFCCF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本企业对上述声明内容的真实性负责。如有虚假，将依法承担相应责任。</w:t>
      </w:r>
    </w:p>
    <w:p w14:paraId="56981180">
      <w:pPr>
        <w:spacing w:line="360" w:lineRule="auto"/>
        <w:rPr>
          <w:rFonts w:hint="eastAsia" w:ascii="宋体" w:hAnsi="宋体" w:cs="宋体"/>
          <w:color w:val="000000" w:themeColor="text1"/>
          <w:szCs w:val="21"/>
          <w14:textFill>
            <w14:solidFill>
              <w14:schemeClr w14:val="tx1"/>
            </w14:solidFill>
          </w14:textFill>
        </w:rPr>
      </w:pPr>
    </w:p>
    <w:p w14:paraId="22E4448D">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企业名称（盖章）：</w:t>
      </w:r>
    </w:p>
    <w:p w14:paraId="2A26A20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p>
    <w:p w14:paraId="2722A0FD">
      <w:pPr>
        <w:pStyle w:val="17"/>
        <w:spacing w:line="360" w:lineRule="auto"/>
        <w:rPr>
          <w:rFonts w:hint="eastAsia" w:ascii="宋体" w:hAnsi="宋体" w:cs="宋体"/>
          <w:color w:val="000000" w:themeColor="text1"/>
          <w:szCs w:val="21"/>
          <w:u w:val="single"/>
          <w14:textFill>
            <w14:solidFill>
              <w14:schemeClr w14:val="tx1"/>
            </w14:solidFill>
          </w14:textFill>
        </w:rPr>
      </w:pPr>
    </w:p>
    <w:p w14:paraId="7686D775">
      <w:pPr>
        <w:spacing w:line="360" w:lineRule="auto"/>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软件和信息技术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2E04A3A2">
      <w:pPr>
        <w:spacing w:line="360" w:lineRule="auto"/>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2、本项目对应的中小企业划分标准所属行业：</w:t>
      </w:r>
      <w:r>
        <w:rPr>
          <w:rFonts w:hint="eastAsia" w:ascii="宋体" w:hAnsi="宋体" w:cs="宋体"/>
          <w:color w:val="000000" w:themeColor="text1"/>
          <w:szCs w:val="21"/>
          <w:u w:val="single"/>
          <w14:textFill>
            <w14:solidFill>
              <w14:schemeClr w14:val="tx1"/>
            </w14:solidFill>
          </w14:textFill>
        </w:rPr>
        <w:t>软件和信息技术服务业</w:t>
      </w:r>
      <w:r>
        <w:rPr>
          <w:rFonts w:hint="eastAsia" w:ascii="宋体" w:hAnsi="宋体" w:cs="宋体"/>
          <w:color w:val="000000" w:themeColor="text1"/>
          <w:kern w:val="0"/>
          <w:szCs w:val="21"/>
          <w14:textFill>
            <w14:solidFill>
              <w14:schemeClr w14:val="tx1"/>
            </w14:solidFill>
          </w14:textFill>
        </w:rPr>
        <w:t>。</w:t>
      </w:r>
    </w:p>
    <w:p w14:paraId="030648B5">
      <w:pPr>
        <w:spacing w:line="360" w:lineRule="auto"/>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3、行业及规模：</w:t>
      </w:r>
      <w:r>
        <w:rPr>
          <w:rFonts w:hint="eastAsia" w:ascii="宋体" w:hAnsi="宋体" w:cs="宋体"/>
          <w:color w:val="000000" w:themeColor="text1"/>
          <w:szCs w:val="21"/>
          <w:u w:val="single"/>
          <w14:textFill>
            <w14:solidFill>
              <w14:schemeClr w14:val="tx1"/>
            </w14:solidFill>
          </w14:textFill>
        </w:rPr>
        <w:t>软件和信息技术服务业</w:t>
      </w:r>
      <w:r>
        <w:rPr>
          <w:rFonts w:hint="eastAsia" w:ascii="宋体" w:hAnsi="宋体" w:cs="宋体"/>
          <w:color w:val="000000" w:themeColor="text1"/>
          <w:kern w:val="0"/>
          <w:szCs w:val="21"/>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200CD7">
      <w:pPr>
        <w:spacing w:line="360" w:lineRule="auto"/>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4、从业人员、营业收入、资产总额填报上一年度数据，无上一年度数据的新成立企业可不填报。</w:t>
      </w:r>
    </w:p>
    <w:p w14:paraId="1F9959B8">
      <w:pPr>
        <w:spacing w:line="360" w:lineRule="auto"/>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5、如接受联合体投标的项目，所有联合体参与方均需提供本表。</w:t>
      </w:r>
    </w:p>
    <w:p w14:paraId="5913A881">
      <w:pPr>
        <w:spacing w:line="360" w:lineRule="auto"/>
        <w:contextualSpacing/>
        <w:rPr>
          <w:rFonts w:hint="eastAsia" w:ascii="宋体" w:hAnsi="宋体" w:cs="宋体"/>
          <w:color w:val="000000" w:themeColor="text1"/>
          <w:kern w:val="0"/>
          <w:szCs w:val="21"/>
          <w14:textFill>
            <w14:solidFill>
              <w14:schemeClr w14:val="tx1"/>
            </w14:solidFill>
          </w14:textFill>
        </w:rPr>
      </w:pPr>
    </w:p>
    <w:p w14:paraId="623453B3">
      <w:pPr>
        <w:spacing w:line="360" w:lineRule="auto"/>
        <w:contextualSpacing/>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风险提示：</w:t>
      </w:r>
    </w:p>
    <w:p w14:paraId="0C7BD704">
      <w:pPr>
        <w:spacing w:line="360" w:lineRule="auto"/>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1、对于非面向联合体的项目，在货物采购项目中，供应商提供的货物既有中型企业制造，也有小微企业制造的，不享受办法规定的小微企业扶持政策。</w:t>
      </w:r>
    </w:p>
    <w:p w14:paraId="05F477E4">
      <w:pPr>
        <w:spacing w:line="360" w:lineRule="auto"/>
        <w:contextualSpacing/>
        <w:rPr>
          <w:rFonts w:hint="eastAsia" w:ascii="宋体" w:hAnsi="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cs="宋体"/>
          <w:color w:val="000000" w:themeColor="text1"/>
          <w:kern w:val="0"/>
          <w:szCs w:val="21"/>
          <w14:textFill>
            <w14:solidFill>
              <w14:schemeClr w14:val="tx1"/>
            </w14:solidFill>
          </w14:textFill>
        </w:rPr>
        <w:br w:type="page"/>
      </w:r>
      <w:bookmarkStart w:id="256" w:name="OLE_LINK13"/>
      <w:bookmarkStart w:id="257" w:name="OLE_LINK14"/>
      <w:r>
        <w:rPr>
          <w:rFonts w:hint="eastAsia" w:ascii="宋体" w:hAnsi="宋体"/>
          <w:b/>
          <w:color w:val="000000" w:themeColor="text1"/>
          <w14:textFill>
            <w14:solidFill>
              <w14:schemeClr w14:val="tx1"/>
            </w14:solidFill>
          </w14:textFill>
        </w:rPr>
        <w:t>格式十二：</w:t>
      </w:r>
      <w:r>
        <w:rPr>
          <w:rFonts w:hint="eastAsia" w:ascii="宋体" w:hAnsi="宋体"/>
          <w:color w:val="000000" w:themeColor="text1"/>
          <w:szCs w:val="21"/>
          <w14:textFill>
            <w14:solidFill>
              <w14:schemeClr w14:val="tx1"/>
            </w14:solidFill>
          </w14:textFill>
        </w:rPr>
        <w:t>残疾人福利性单位声明函</w:t>
      </w:r>
    </w:p>
    <w:p w14:paraId="0EA82B97">
      <w:pPr>
        <w:pStyle w:val="19"/>
        <w:spacing w:line="520" w:lineRule="exact"/>
        <w:jc w:val="center"/>
        <w:rPr>
          <w:rFonts w:hint="eastAsia" w:hAnsi="宋体"/>
          <w:b/>
          <w:color w:val="000000" w:themeColor="text1"/>
          <w:sz w:val="21"/>
          <w:szCs w:val="21"/>
          <w14:textFill>
            <w14:solidFill>
              <w14:schemeClr w14:val="tx1"/>
            </w14:solidFill>
          </w14:textFill>
        </w:rPr>
      </w:pPr>
    </w:p>
    <w:bookmarkEnd w:id="256"/>
    <w:bookmarkEnd w:id="257"/>
    <w:p w14:paraId="649CF773">
      <w:pPr>
        <w:pStyle w:val="19"/>
        <w:spacing w:line="360" w:lineRule="auto"/>
        <w:jc w:val="center"/>
        <w:rPr>
          <w:rFonts w:ascii="Arial" w:hAnsi="Arial"/>
          <w:b/>
          <w:color w:val="000000" w:themeColor="text1"/>
          <w:sz w:val="28"/>
          <w:szCs w:val="28"/>
          <w14:textFill>
            <w14:solidFill>
              <w14:schemeClr w14:val="tx1"/>
            </w14:solidFill>
          </w14:textFill>
        </w:rPr>
      </w:pPr>
      <w:r>
        <w:rPr>
          <w:rFonts w:hint="eastAsia" w:ascii="Arial" w:hAnsi="Arial"/>
          <w:b/>
          <w:color w:val="000000" w:themeColor="text1"/>
          <w:sz w:val="28"/>
          <w:szCs w:val="28"/>
          <w14:textFill>
            <w14:solidFill>
              <w14:schemeClr w14:val="tx1"/>
            </w14:solidFill>
          </w14:textFill>
        </w:rPr>
        <w:t>残疾人福利性单位声明函</w:t>
      </w:r>
    </w:p>
    <w:p w14:paraId="74CDEE6F">
      <w:pPr>
        <w:spacing w:line="360" w:lineRule="auto"/>
        <w:ind w:firstLine="420" w:firstLineChars="200"/>
        <w:rPr>
          <w:rFonts w:ascii="Arial" w:hAnsi="Arial"/>
          <w:color w:val="000000" w:themeColor="text1"/>
          <w:szCs w:val="21"/>
          <w14:textFill>
            <w14:solidFill>
              <w14:schemeClr w14:val="tx1"/>
            </w14:solidFill>
          </w14:textFill>
        </w:rPr>
      </w:pPr>
      <w:r>
        <w:rPr>
          <w:rFonts w:hint="eastAsia" w:ascii="Arial" w:hAnsi="Arial"/>
          <w:color w:val="000000" w:themeColor="text1"/>
          <w:szCs w:val="2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411B9A">
      <w:pPr>
        <w:spacing w:line="360" w:lineRule="auto"/>
        <w:ind w:firstLine="420" w:firstLineChars="200"/>
        <w:rPr>
          <w:rFonts w:ascii="Arial" w:hAnsi="Arial"/>
          <w:color w:val="000000" w:themeColor="text1"/>
          <w14:textFill>
            <w14:solidFill>
              <w14:schemeClr w14:val="tx1"/>
            </w14:solidFill>
          </w14:textFill>
        </w:rPr>
      </w:pPr>
      <w:r>
        <w:rPr>
          <w:rFonts w:hint="eastAsia" w:ascii="Arial" w:hAnsi="Arial"/>
          <w:color w:val="000000" w:themeColor="text1"/>
          <w:szCs w:val="21"/>
          <w14:textFill>
            <w14:solidFill>
              <w14:schemeClr w14:val="tx1"/>
            </w14:solidFill>
          </w14:textFill>
        </w:rPr>
        <w:t>本单位对上述声明的真实性负责。如有虚假，将依法承担相应责任。</w:t>
      </w:r>
    </w:p>
    <w:p w14:paraId="2BCC9F6A">
      <w:pPr>
        <w:spacing w:line="360" w:lineRule="auto"/>
        <w:rPr>
          <w:rFonts w:ascii="Arial" w:hAnsi="Arial"/>
          <w:color w:val="000000" w:themeColor="text1"/>
          <w:spacing w:val="6"/>
          <w:szCs w:val="21"/>
          <w14:textFill>
            <w14:solidFill>
              <w14:schemeClr w14:val="tx1"/>
            </w14:solidFill>
          </w14:textFill>
        </w:rPr>
      </w:pPr>
    </w:p>
    <w:p w14:paraId="640C6F63">
      <w:pPr>
        <w:tabs>
          <w:tab w:val="left" w:pos="4860"/>
        </w:tabs>
        <w:spacing w:line="360" w:lineRule="auto"/>
        <w:ind w:right="1560" w:firstLine="444" w:firstLineChars="200"/>
        <w:jc w:val="center"/>
        <w:rPr>
          <w:rFonts w:ascii="Arial" w:hAnsi="Arial"/>
          <w:color w:val="000000" w:themeColor="text1"/>
          <w:spacing w:val="6"/>
          <w:szCs w:val="21"/>
          <w14:textFill>
            <w14:solidFill>
              <w14:schemeClr w14:val="tx1"/>
            </w14:solidFill>
          </w14:textFill>
        </w:rPr>
      </w:pPr>
      <w:r>
        <w:rPr>
          <w:rFonts w:hint="eastAsia" w:ascii="Arial" w:hAnsi="Arial"/>
          <w:color w:val="000000" w:themeColor="text1"/>
          <w:spacing w:val="6"/>
          <w:szCs w:val="21"/>
          <w14:textFill>
            <w14:solidFill>
              <w14:schemeClr w14:val="tx1"/>
            </w14:solidFill>
          </w14:textFill>
        </w:rPr>
        <w:t>企业名称（盖章）：</w:t>
      </w:r>
    </w:p>
    <w:p w14:paraId="4C1A068D">
      <w:pPr>
        <w:pStyle w:val="39"/>
        <w:spacing w:before="0" w:beforeAutospacing="0" w:after="0" w:afterAutospacing="0" w:line="360" w:lineRule="auto"/>
        <w:ind w:firstLine="420"/>
        <w:rPr>
          <w:rFonts w:ascii="Arial" w:hAnsi="Arial"/>
          <w:color w:val="000000" w:themeColor="text1"/>
          <w:sz w:val="21"/>
          <w:szCs w:val="21"/>
          <w14:textFill>
            <w14:solidFill>
              <w14:schemeClr w14:val="tx1"/>
            </w14:solidFill>
          </w14:textFill>
        </w:rPr>
      </w:pPr>
      <w:r>
        <w:rPr>
          <w:rFonts w:hint="eastAsia" w:ascii="Arial" w:hAnsi="Arial"/>
          <w:color w:val="000000" w:themeColor="text1"/>
          <w:spacing w:val="6"/>
          <w:szCs w:val="21"/>
          <w14:textFill>
            <w14:solidFill>
              <w14:schemeClr w14:val="tx1"/>
            </w14:solidFill>
          </w14:textFill>
        </w:rPr>
        <w:t>日期：</w:t>
      </w:r>
    </w:p>
    <w:p w14:paraId="1D7A240B">
      <w:pPr>
        <w:rPr>
          <w:rFonts w:ascii="Arial" w:hAnsi="Arial"/>
          <w:color w:val="000000" w:themeColor="text1"/>
          <w14:textFill>
            <w14:solidFill>
              <w14:schemeClr w14:val="tx1"/>
            </w14:solidFill>
          </w14:textFill>
        </w:rPr>
      </w:pPr>
    </w:p>
    <w:p w14:paraId="71C58525">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注：</w:t>
      </w:r>
    </w:p>
    <w:p w14:paraId="4191E3C3">
      <w:pPr>
        <w:spacing w:line="360" w:lineRule="auto"/>
        <w:rPr>
          <w:rFonts w:ascii="Arial" w:hAnsi="Arial"/>
          <w:color w:val="000000" w:themeColor="text1"/>
          <w14:textFill>
            <w14:solidFill>
              <w14:schemeClr w14:val="tx1"/>
            </w14:solidFill>
          </w14:textFill>
        </w:rPr>
      </w:pPr>
      <w:r>
        <w:rPr>
          <w:rFonts w:ascii="Arial" w:hAnsi="Arial"/>
          <w:color w:val="000000" w:themeColor="text1"/>
          <w14:textFill>
            <w14:solidFill>
              <w14:schemeClr w14:val="tx1"/>
            </w14:solidFill>
          </w14:textFill>
        </w:rPr>
        <w:t>1</w:t>
      </w:r>
      <w:r>
        <w:rPr>
          <w:rFonts w:hint="eastAsia" w:ascii="Arial" w:hAnsi="Arial"/>
          <w:color w:val="000000" w:themeColor="text1"/>
          <w14:textFill>
            <w14:solidFill>
              <w14:schemeClr w14:val="tx1"/>
            </w14:solidFill>
          </w14:textFill>
        </w:rPr>
        <w:t>、如投标人为非残疾人福利性单位的可不提供本声明函。</w:t>
      </w:r>
    </w:p>
    <w:p w14:paraId="14DB8B7B">
      <w:pPr>
        <w:spacing w:line="360" w:lineRule="auto"/>
        <w:rPr>
          <w:rFonts w:ascii="Arial" w:hAnsi="Arial"/>
          <w:color w:val="000000" w:themeColor="text1"/>
          <w14:textFill>
            <w14:solidFill>
              <w14:schemeClr w14:val="tx1"/>
            </w14:solidFill>
          </w14:textFill>
        </w:rPr>
      </w:pPr>
      <w:r>
        <w:rPr>
          <w:rFonts w:ascii="Arial" w:hAnsi="Arial"/>
          <w:color w:val="000000" w:themeColor="text1"/>
          <w14:textFill>
            <w14:solidFill>
              <w14:schemeClr w14:val="tx1"/>
            </w14:solidFill>
          </w14:textFill>
        </w:rPr>
        <w:t>2</w:t>
      </w:r>
      <w:r>
        <w:rPr>
          <w:rFonts w:hint="eastAsia" w:ascii="Arial" w:hAnsi="Arial"/>
          <w:color w:val="000000" w:themeColor="text1"/>
          <w14:textFill>
            <w14:solidFill>
              <w14:schemeClr w14:val="tx1"/>
            </w14:solidFill>
          </w14:textFill>
        </w:rPr>
        <w:t>、享受政府采购支持政策的残疾人福利性单位应当同时满足以下条件：</w:t>
      </w:r>
    </w:p>
    <w:p w14:paraId="4582A6C7">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（一）安置的残疾人占本单位在职职工人数的比例不低于</w:t>
      </w:r>
      <w:r>
        <w:rPr>
          <w:rFonts w:ascii="Arial" w:hAnsi="Arial"/>
          <w:color w:val="000000" w:themeColor="text1"/>
          <w14:textFill>
            <w14:solidFill>
              <w14:schemeClr w14:val="tx1"/>
            </w14:solidFill>
          </w14:textFill>
        </w:rPr>
        <w:t>25%</w:t>
      </w:r>
      <w:r>
        <w:rPr>
          <w:rFonts w:hint="eastAsia" w:ascii="Arial" w:hAnsi="Arial"/>
          <w:color w:val="000000" w:themeColor="text1"/>
          <w14:textFill>
            <w14:solidFill>
              <w14:schemeClr w14:val="tx1"/>
            </w14:solidFill>
          </w14:textFill>
        </w:rPr>
        <w:t>（含</w:t>
      </w:r>
      <w:r>
        <w:rPr>
          <w:rFonts w:ascii="Arial" w:hAnsi="Arial"/>
          <w:color w:val="000000" w:themeColor="text1"/>
          <w14:textFill>
            <w14:solidFill>
              <w14:schemeClr w14:val="tx1"/>
            </w14:solidFill>
          </w14:textFill>
        </w:rPr>
        <w:t>25%</w:t>
      </w:r>
      <w:r>
        <w:rPr>
          <w:rFonts w:hint="eastAsia" w:ascii="Arial" w:hAnsi="Arial"/>
          <w:color w:val="000000" w:themeColor="text1"/>
          <w14:textFill>
            <w14:solidFill>
              <w14:schemeClr w14:val="tx1"/>
            </w14:solidFill>
          </w14:textFill>
        </w:rPr>
        <w:t>），并且安置的残疾人人数不少于</w:t>
      </w:r>
      <w:r>
        <w:rPr>
          <w:rFonts w:ascii="Arial" w:hAnsi="Arial"/>
          <w:color w:val="000000" w:themeColor="text1"/>
          <w14:textFill>
            <w14:solidFill>
              <w14:schemeClr w14:val="tx1"/>
            </w14:solidFill>
          </w14:textFill>
        </w:rPr>
        <w:t>10</w:t>
      </w:r>
      <w:r>
        <w:rPr>
          <w:rFonts w:hint="eastAsia" w:ascii="Arial" w:hAnsi="Arial"/>
          <w:color w:val="000000" w:themeColor="text1"/>
          <w14:textFill>
            <w14:solidFill>
              <w14:schemeClr w14:val="tx1"/>
            </w14:solidFill>
          </w14:textFill>
        </w:rPr>
        <w:t>人（含</w:t>
      </w:r>
      <w:r>
        <w:rPr>
          <w:rFonts w:ascii="Arial" w:hAnsi="Arial"/>
          <w:color w:val="000000" w:themeColor="text1"/>
          <w14:textFill>
            <w14:solidFill>
              <w14:schemeClr w14:val="tx1"/>
            </w14:solidFill>
          </w14:textFill>
        </w:rPr>
        <w:t>10</w:t>
      </w:r>
      <w:r>
        <w:rPr>
          <w:rFonts w:hint="eastAsia" w:ascii="Arial" w:hAnsi="Arial"/>
          <w:color w:val="000000" w:themeColor="text1"/>
          <w14:textFill>
            <w14:solidFill>
              <w14:schemeClr w14:val="tx1"/>
            </w14:solidFill>
          </w14:textFill>
        </w:rPr>
        <w:t>人）；</w:t>
      </w:r>
    </w:p>
    <w:p w14:paraId="404509DE">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（二）依法与安置的每位残疾人签订了一年以上（含一年）的劳动合同或服务协议；</w:t>
      </w:r>
    </w:p>
    <w:p w14:paraId="339860DE">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（三）为安置的每位残疾人按月足额缴纳了基本养老保险、基本医疗保险、失业保险、工伤保险和生育保险等社会保险费；</w:t>
      </w:r>
    </w:p>
    <w:p w14:paraId="77C8E89B">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14:paraId="719078D8">
      <w:pPr>
        <w:spacing w:line="360" w:lineRule="auto"/>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30D1F5C1">
      <w:pPr>
        <w:spacing w:line="360" w:lineRule="auto"/>
        <w:rPr>
          <w:rFonts w:ascii="Arial" w:hAnsi="Arial"/>
          <w:color w:val="000000" w:themeColor="text1"/>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rFonts w:hint="eastAsia" w:ascii="Arial" w:hAnsi="Arial"/>
          <w:color w:val="000000" w:themeColor="text1"/>
          <w14:textFill>
            <w14:solidFill>
              <w14:schemeClr w14:val="tx1"/>
            </w14:solidFill>
          </w14:textFill>
        </w:rPr>
        <w:t>前款所称残疾人是指法定劳动年龄内，持有《中华人民共和国残疾人证》或者《中华人民共和国残疾军人证（</w:t>
      </w:r>
      <w:r>
        <w:rPr>
          <w:rFonts w:ascii="Arial" w:hAnsi="Arial"/>
          <w:color w:val="000000" w:themeColor="text1"/>
          <w14:textFill>
            <w14:solidFill>
              <w14:schemeClr w14:val="tx1"/>
            </w14:solidFill>
          </w14:textFill>
        </w:rPr>
        <w:t>1</w:t>
      </w:r>
      <w:r>
        <w:rPr>
          <w:rFonts w:hint="eastAsia" w:ascii="Arial" w:hAnsi="Arial"/>
          <w:color w:val="000000" w:themeColor="text1"/>
          <w14:textFill>
            <w14:solidFill>
              <w14:schemeClr w14:val="tx1"/>
            </w14:solidFill>
          </w14:textFill>
        </w:rPr>
        <w:t>至</w:t>
      </w:r>
      <w:r>
        <w:rPr>
          <w:rFonts w:ascii="Arial" w:hAnsi="Arial"/>
          <w:color w:val="000000" w:themeColor="text1"/>
          <w14:textFill>
            <w14:solidFill>
              <w14:schemeClr w14:val="tx1"/>
            </w14:solidFill>
          </w14:textFill>
        </w:rPr>
        <w:t>8</w:t>
      </w:r>
      <w:r>
        <w:rPr>
          <w:rFonts w:hint="eastAsia" w:ascii="Arial" w:hAnsi="Arial"/>
          <w:color w:val="000000" w:themeColor="text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0DED20A7">
      <w:pPr>
        <w:rPr>
          <w:rFonts w:hint="eastAsia" w:ascii="宋体" w:hAnsi="宋体" w:cs="宋体"/>
          <w:b/>
          <w:color w:val="000000" w:themeColor="text1"/>
          <w:lang w:val="zh-CN"/>
          <w14:textFill>
            <w14:solidFill>
              <w14:schemeClr w14:val="tx1"/>
            </w14:solidFill>
          </w14:textFill>
        </w:rPr>
      </w:pPr>
      <w:r>
        <w:rPr>
          <w:rFonts w:hint="eastAsia" w:ascii="宋体" w:hAnsi="宋体" w:cs="宋体"/>
          <w:b/>
          <w:color w:val="000000" w:themeColor="text1"/>
          <w14:textFill>
            <w14:solidFill>
              <w14:schemeClr w14:val="tx1"/>
            </w14:solidFill>
          </w14:textFill>
        </w:rPr>
        <w:t>格式十三：</w:t>
      </w:r>
      <w:r>
        <w:rPr>
          <w:rFonts w:hint="eastAsia" w:ascii="宋体" w:hAnsi="宋体" w:cs="宋体"/>
          <w:b/>
          <w:color w:val="000000" w:themeColor="text1"/>
          <w:lang w:val="zh-CN"/>
          <w14:textFill>
            <w14:solidFill>
              <w14:schemeClr w14:val="tx1"/>
            </w14:solidFill>
          </w14:textFill>
        </w:rPr>
        <w:t>联合协议</w:t>
      </w:r>
    </w:p>
    <w:p w14:paraId="5D0A69A7">
      <w:pPr>
        <w:widowControl/>
        <w:spacing w:line="336" w:lineRule="auto"/>
        <w:ind w:firstLine="422" w:firstLineChars="200"/>
        <w:jc w:val="left"/>
        <w:rPr>
          <w:rFonts w:hint="eastAsia"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73841457">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（项目名称）【项目编号：       】</w:t>
      </w:r>
      <w:r>
        <w:rPr>
          <w:rFonts w:hint="eastAsia" w:ascii="宋体" w:hAnsi="宋体" w:cs="宋体"/>
          <w:kern w:val="0"/>
          <w:szCs w:val="21"/>
          <w:lang w:val="zh-CN"/>
        </w:rPr>
        <w:t xml:space="preserve">投标。 </w:t>
      </w:r>
    </w:p>
    <w:p w14:paraId="2D0D444B">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7101C04B">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授权代表根据采购文件规定及投标内容而对采购人、采购代理机构所作的任何合法承诺，包括书面澄清及响应等均对联合投标各方产生约束力。</w:t>
      </w:r>
    </w:p>
    <w:p w14:paraId="6B3AEF49">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三、本次联合投标中，分工如下：</w:t>
      </w:r>
    </w:p>
    <w:p w14:paraId="4EFAAF0B">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021A05A7">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u w:val="single"/>
        </w:rPr>
        <w:t>（联合体成员2）</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3B57842D">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四、联合体成员中小企业合同份额。</w:t>
      </w:r>
    </w:p>
    <w:p w14:paraId="27768825">
      <w:pPr>
        <w:snapToGrid w:val="0"/>
        <w:spacing w:line="336" w:lineRule="auto"/>
        <w:ind w:firstLine="576"/>
        <w:rPr>
          <w:rFonts w:hint="eastAsia"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258" w:name="_Hlk101131882"/>
      <w:r>
        <w:rPr>
          <w:rFonts w:hint="eastAsia" w:ascii="宋体" w:hAnsi="宋体" w:cs="宋体"/>
          <w:kern w:val="0"/>
          <w:szCs w:val="21"/>
          <w:u w:val="single"/>
        </w:rPr>
        <w:t>联合体成员X,……</w:t>
      </w:r>
      <w:bookmarkEnd w:id="258"/>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w:t>
      </w:r>
      <w:bookmarkStart w:id="259" w:name="_Hlk101133598"/>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bookmarkEnd w:id="259"/>
      <w:r>
        <w:rPr>
          <w:rFonts w:hint="eastAsia" w:ascii="宋体" w:hAnsi="宋体" w:cs="宋体"/>
          <w:b/>
          <w:kern w:val="0"/>
          <w:szCs w:val="21"/>
          <w:lang w:val="zh-CN"/>
        </w:rPr>
        <w:t>）</w:t>
      </w:r>
    </w:p>
    <w:p w14:paraId="0951BD19">
      <w:pPr>
        <w:spacing w:line="336" w:lineRule="auto"/>
        <w:ind w:firstLine="420" w:firstLineChars="200"/>
        <w:rPr>
          <w:rFonts w:hint="eastAsia" w:ascii="宋体" w:hAnsi="宋体" w:cs="宋体"/>
          <w:b/>
          <w:bCs/>
          <w:kern w:val="0"/>
          <w:szCs w:val="21"/>
          <w:lang w:val="zh-CN"/>
        </w:rPr>
      </w:pPr>
      <w:r>
        <w:rPr>
          <w:rFonts w:hint="eastAsia" w:ascii="宋体" w:hAnsi="宋体" w:cs="宋体"/>
          <w:szCs w:val="21"/>
        </w:rPr>
        <w:t>2、</w:t>
      </w:r>
      <w:bookmarkStart w:id="260"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要求以联合体形式参加的项目或采购包，供应商按采购文件第一部分采购公告申请人的资格要求中规定的联合协议中中小企业、小微企业合同金额应当达到的比例要求填写。</w:t>
      </w:r>
      <w:r>
        <w:rPr>
          <w:rFonts w:hint="eastAsia" w:ascii="宋体" w:hAnsi="宋体" w:cs="宋体"/>
          <w:b/>
          <w:bCs/>
          <w:kern w:val="0"/>
          <w:szCs w:val="21"/>
          <w:lang w:val="zh-CN"/>
        </w:rPr>
        <w:t>）</w:t>
      </w:r>
      <w:bookmarkEnd w:id="260"/>
    </w:p>
    <w:p w14:paraId="1FD030C4">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10EB8A06">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六、有关本次联合投标的其他事宜：</w:t>
      </w:r>
    </w:p>
    <w:p w14:paraId="371AD236">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1AFF26C7">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497F6CDF">
      <w:pPr>
        <w:snapToGrid w:val="0"/>
        <w:spacing w:line="336" w:lineRule="auto"/>
        <w:ind w:firstLine="576"/>
        <w:rPr>
          <w:rFonts w:hint="eastAsia"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388072EA">
      <w:pPr>
        <w:snapToGrid w:val="0"/>
        <w:spacing w:line="336" w:lineRule="auto"/>
        <w:jc w:val="left"/>
        <w:rPr>
          <w:rFonts w:hint="eastAsia" w:ascii="宋体" w:hAnsi="宋体" w:cs="宋体"/>
          <w:kern w:val="0"/>
          <w:szCs w:val="21"/>
          <w:lang w:val="zh-CN"/>
        </w:rPr>
      </w:pPr>
      <w:r>
        <w:rPr>
          <w:rFonts w:hint="eastAsia" w:ascii="宋体" w:hAnsi="宋体" w:cs="宋体"/>
          <w:kern w:val="0"/>
          <w:szCs w:val="21"/>
          <w:lang w:val="zh-CN"/>
        </w:rPr>
        <w:t>联合体成员名称(盖章/公章)：</w:t>
      </w:r>
    </w:p>
    <w:p w14:paraId="32C554EC">
      <w:pPr>
        <w:snapToGrid w:val="0"/>
        <w:spacing w:line="336" w:lineRule="auto"/>
        <w:jc w:val="left"/>
        <w:rPr>
          <w:rFonts w:hint="eastAsia" w:ascii="宋体" w:hAnsi="宋体" w:cs="宋体"/>
          <w:kern w:val="0"/>
          <w:szCs w:val="21"/>
          <w:lang w:val="zh-CN"/>
        </w:rPr>
      </w:pPr>
      <w:r>
        <w:rPr>
          <w:rFonts w:hint="eastAsia" w:ascii="宋体" w:hAnsi="宋体" w:cs="宋体"/>
          <w:kern w:val="0"/>
          <w:szCs w:val="21"/>
          <w:lang w:val="zh-CN"/>
        </w:rPr>
        <w:t>联合体成员名称(盖章/公章)：</w:t>
      </w:r>
    </w:p>
    <w:p w14:paraId="5757BA60">
      <w:pPr>
        <w:snapToGrid w:val="0"/>
        <w:spacing w:line="336" w:lineRule="auto"/>
        <w:rPr>
          <w:rFonts w:hint="eastAsia" w:ascii="宋体" w:hAnsi="宋体" w:cs="宋体"/>
          <w:kern w:val="0"/>
          <w:szCs w:val="21"/>
          <w:lang w:val="zh-CN"/>
        </w:rPr>
      </w:pPr>
      <w:r>
        <w:rPr>
          <w:rFonts w:hint="eastAsia" w:ascii="宋体" w:hAnsi="宋体" w:cs="宋体"/>
          <w:kern w:val="0"/>
          <w:szCs w:val="21"/>
          <w:lang w:val="zh-CN"/>
        </w:rPr>
        <w:t>日期：  年  月   日</w:t>
      </w:r>
    </w:p>
    <w:p w14:paraId="5B95CA24">
      <w:pPr>
        <w:spacing w:line="336" w:lineRule="auto"/>
        <w:rPr>
          <w:rFonts w:hint="eastAsia" w:ascii="宋体" w:hAnsi="宋体" w:cs="宋体"/>
          <w:szCs w:val="21"/>
        </w:rPr>
      </w:pPr>
      <w:r>
        <w:rPr>
          <w:rFonts w:hint="eastAsia" w:ascii="宋体" w:hAnsi="宋体" w:cs="宋体"/>
          <w:szCs w:val="21"/>
        </w:rPr>
        <w:t>注：按本格式和要求提供</w:t>
      </w:r>
    </w:p>
    <w:p w14:paraId="1C78BC0B">
      <w:pPr>
        <w:spacing w:line="336" w:lineRule="auto"/>
        <w:rPr>
          <w:rFonts w:hint="eastAsia" w:ascii="宋体" w:hAnsi="宋体" w:cs="宋体"/>
          <w:b/>
          <w:kern w:val="0"/>
          <w:szCs w:val="21"/>
        </w:rPr>
      </w:pPr>
      <w:r>
        <w:rPr>
          <w:rFonts w:hint="eastAsia" w:ascii="宋体" w:hAnsi="宋体" w:cs="宋体"/>
          <w:b/>
          <w:spacing w:val="6"/>
          <w:szCs w:val="21"/>
        </w:rPr>
        <w:br w:type="page"/>
      </w:r>
      <w:r>
        <w:rPr>
          <w:rFonts w:hint="eastAsia" w:ascii="宋体" w:hAnsi="宋体" w:cs="宋体"/>
          <w:b/>
          <w:spacing w:val="6"/>
          <w:szCs w:val="21"/>
        </w:rPr>
        <w:t>格式十四：</w:t>
      </w:r>
      <w:r>
        <w:rPr>
          <w:rFonts w:hint="eastAsia" w:ascii="宋体" w:hAnsi="宋体" w:cs="宋体"/>
          <w:b/>
          <w:kern w:val="0"/>
          <w:szCs w:val="21"/>
        </w:rPr>
        <w:t>分包意向协议</w:t>
      </w:r>
    </w:p>
    <w:p w14:paraId="5ED2BA3A">
      <w:pPr>
        <w:widowControl/>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553F20CE">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（项目名称）【项目编号：（采购编号）】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71DA6197">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一、分包标的及数量</w:t>
      </w:r>
    </w:p>
    <w:p w14:paraId="61DEC721">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hint="eastAsia"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（分包供应商2名称），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3A8A1EC5">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二、分包供应商中小企业合同份额</w:t>
      </w:r>
    </w:p>
    <w:p w14:paraId="5FCB46FA">
      <w:pPr>
        <w:snapToGrid w:val="0"/>
        <w:spacing w:line="360" w:lineRule="auto"/>
        <w:ind w:firstLine="576"/>
        <w:rPr>
          <w:rFonts w:hint="eastAsia" w:ascii="宋体" w:hAnsi="宋体" w:cs="宋体"/>
          <w:b/>
          <w:kern w:val="0"/>
          <w:szCs w:val="21"/>
          <w:lang w:val="zh-CN"/>
        </w:rPr>
      </w:pPr>
      <w:r>
        <w:rPr>
          <w:rFonts w:hint="eastAsia" w:ascii="宋体" w:hAnsi="宋体" w:cs="宋体"/>
          <w:kern w:val="0"/>
          <w:szCs w:val="21"/>
        </w:rPr>
        <w:t>1、</w:t>
      </w:r>
      <w:r>
        <w:rPr>
          <w:rFonts w:hint="eastAsia" w:ascii="宋体" w:hAnsi="宋体" w:cs="宋体"/>
          <w:kern w:val="0"/>
          <w:szCs w:val="21"/>
          <w:u w:val="single"/>
        </w:rPr>
        <w:t>（分包供应商X,……）提供的服务全部由小微企业承接，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146ED5BD">
      <w:pPr>
        <w:spacing w:line="360" w:lineRule="auto"/>
        <w:ind w:firstLine="420" w:firstLineChars="200"/>
        <w:rPr>
          <w:rFonts w:hint="eastAsia" w:ascii="宋体" w:hAnsi="宋体" w:cs="宋体"/>
          <w:b/>
          <w:bCs/>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要求合同分包形式参加的项目或采购包，供应商按采购文件第一部分采购公告申请人的资格要求中规定的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p>
    <w:p w14:paraId="7B0A833B">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5D596AE3">
      <w:pPr>
        <w:snapToGrid w:val="0"/>
        <w:spacing w:line="360" w:lineRule="auto"/>
        <w:ind w:firstLine="576"/>
        <w:rPr>
          <w:rFonts w:hint="eastAsia" w:ascii="宋体" w:hAnsi="宋体" w:cs="宋体"/>
          <w:szCs w:val="21"/>
          <w:u w:val="single"/>
        </w:rPr>
      </w:pPr>
      <w:r>
        <w:rPr>
          <w:rFonts w:hint="eastAsia" w:ascii="宋体" w:hAnsi="宋体" w:cs="宋体"/>
          <w:szCs w:val="21"/>
          <w:u w:val="single"/>
        </w:rPr>
        <w:t xml:space="preserve">                                                                         </w:t>
      </w:r>
    </w:p>
    <w:p w14:paraId="4A667B6D">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四、质量</w:t>
      </w:r>
    </w:p>
    <w:p w14:paraId="5899F331">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25137C8A">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五、价款或者报酬</w:t>
      </w:r>
    </w:p>
    <w:p w14:paraId="779D7686">
      <w:pPr>
        <w:snapToGrid w:val="0"/>
        <w:spacing w:line="360" w:lineRule="auto"/>
        <w:ind w:left="573" w:leftChars="273"/>
        <w:rPr>
          <w:rFonts w:hint="eastAsia" w:ascii="宋体" w:hAnsi="宋体" w:cs="宋体"/>
          <w:kern w:val="0"/>
          <w:szCs w:val="21"/>
          <w:lang w:val="zh-CN"/>
        </w:rPr>
      </w:pPr>
      <w:r>
        <w:rPr>
          <w:rFonts w:hint="eastAsia" w:ascii="宋体" w:hAnsi="宋体" w:cs="宋体"/>
          <w:szCs w:val="21"/>
          <w:u w:val="single"/>
        </w:rPr>
        <w:t xml:space="preserve">                                                                         </w:t>
      </w:r>
    </w:p>
    <w:p w14:paraId="6ED8DBF4">
      <w:pPr>
        <w:snapToGrid w:val="0"/>
        <w:spacing w:line="360" w:lineRule="auto"/>
        <w:ind w:left="573" w:leftChars="273"/>
        <w:rPr>
          <w:rFonts w:hint="eastAsia" w:ascii="宋体" w:hAnsi="宋体" w:cs="宋体"/>
          <w:kern w:val="0"/>
          <w:szCs w:val="21"/>
          <w:lang w:val="zh-CN"/>
        </w:rPr>
      </w:pPr>
      <w:r>
        <w:rPr>
          <w:rFonts w:hint="eastAsia" w:ascii="宋体" w:hAnsi="宋体" w:cs="宋体"/>
          <w:kern w:val="0"/>
          <w:szCs w:val="21"/>
          <w:lang w:val="zh-CN"/>
        </w:rPr>
        <w:t>六、违约责任</w:t>
      </w:r>
    </w:p>
    <w:p w14:paraId="107B016D">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59F267B8">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七、争议解决的办法</w:t>
      </w:r>
    </w:p>
    <w:p w14:paraId="4381F5BB">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6BBCD262">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八、其他</w:t>
      </w:r>
    </w:p>
    <w:p w14:paraId="45DFF66F">
      <w:pPr>
        <w:snapToGrid w:val="0"/>
        <w:spacing w:line="360" w:lineRule="auto"/>
        <w:ind w:left="5128" w:leftChars="342" w:hanging="4410" w:hangingChars="2100"/>
        <w:rPr>
          <w:rFonts w:hint="eastAsia" w:ascii="宋体" w:hAnsi="宋体" w:cs="宋体"/>
          <w:kern w:val="0"/>
          <w:szCs w:val="21"/>
          <w:lang w:val="zh-CN"/>
        </w:rPr>
      </w:pP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 xml:space="preserve">  。</w:t>
      </w:r>
    </w:p>
    <w:p w14:paraId="3BFDCB7A">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投标人名称(盖章)：</w:t>
      </w:r>
    </w:p>
    <w:p w14:paraId="1273E848">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分包供应商名称(盖章/公章)：</w:t>
      </w:r>
    </w:p>
    <w:p w14:paraId="03A2C749">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日期：  年  月   日</w:t>
      </w:r>
    </w:p>
    <w:p w14:paraId="16C3E6AE">
      <w:pPr>
        <w:spacing w:line="360" w:lineRule="auto"/>
        <w:ind w:right="420"/>
        <w:rPr>
          <w:rFonts w:hint="eastAsia" w:ascii="宋体" w:hAnsi="宋体" w:cs="宋体"/>
          <w:szCs w:val="21"/>
        </w:rPr>
      </w:pPr>
      <w:r>
        <w:rPr>
          <w:rFonts w:hint="eastAsia" w:ascii="宋体" w:hAnsi="宋体" w:cs="宋体"/>
          <w:szCs w:val="21"/>
        </w:rPr>
        <w:t>注：按本格式和要求提供。</w:t>
      </w:r>
    </w:p>
    <w:p w14:paraId="74756CA9">
      <w:pPr>
        <w:spacing w:line="360" w:lineRule="auto"/>
        <w:rPr>
          <w:rFonts w:ascii="Arial" w:hAnsi="Arial"/>
          <w:color w:val="000000" w:themeColor="text1"/>
          <w14:textFill>
            <w14:solidFill>
              <w14:schemeClr w14:val="tx1"/>
            </w14:solidFill>
          </w14:textFill>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ヒラギノ角ゴ Pro W3">
    <w:altName w:val="Yu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CESI仿宋-GB13000">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C7659">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5E2F6">
                          <w:pPr>
                            <w:pStyle w:val="30"/>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xvoxzS4CAABTBAAADgAAAAAAAAABACAAAAAgAQAAZHJzL2Uyb0RvYy54bWxQSwUGAAAA&#10;AAYABgBZAQAAwAUAAAAA&#10;">
              <v:fill on="f" focussize="0,0"/>
              <v:stroke on="f" weight="0.5pt"/>
              <v:imagedata o:title=""/>
              <o:lock v:ext="edit" aspectratio="f"/>
              <v:textbox inset="0mm,0mm,0mm,0mm" style="mso-fit-shape-to-text:t;">
                <w:txbxContent>
                  <w:p w14:paraId="1645E2F6">
                    <w:pPr>
                      <w:pStyle w:val="30"/>
                    </w:pPr>
                    <w:r>
                      <w:fldChar w:fldCharType="begin"/>
                    </w:r>
                    <w:r>
                      <w:instrText xml:space="preserve"> PAGE  \* MERGEFORMAT </w:instrText>
                    </w:r>
                    <w:r>
                      <w:fldChar w:fldCharType="separate"/>
                    </w:r>
                    <w:r>
                      <w:t>- 3 -</w:t>
                    </w:r>
                    <w:r>
                      <w:fldChar w:fldCharType="end"/>
                    </w:r>
                  </w:p>
                </w:txbxContent>
              </v:textbox>
            </v:shape>
          </w:pict>
        </mc:Fallback>
      </mc:AlternateContent>
    </w:r>
  </w:p>
  <w:p w14:paraId="1254E484">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921401"/>
    </w:sdtPr>
    <w:sdtContent>
      <w:p w14:paraId="73F92E36">
        <w:pPr>
          <w:pStyle w:val="30"/>
          <w:jc w:val="center"/>
        </w:pPr>
        <w:r>
          <w:fldChar w:fldCharType="begin"/>
        </w:r>
        <w:r>
          <w:instrText xml:space="preserve">PAGE   \* MERGEFORMAT</w:instrText>
        </w:r>
        <w:r>
          <w:fldChar w:fldCharType="separate"/>
        </w:r>
        <w:r>
          <w:rPr>
            <w:lang w:val="zh-CN"/>
          </w:rPr>
          <w:t>-</w:t>
        </w:r>
        <w:r>
          <w:t xml:space="preserve"> 64 -</w:t>
        </w:r>
        <w:r>
          <w:rPr>
            <w:lang w:val="zh-CN"/>
          </w:rPr>
          <w:fldChar w:fldCharType="end"/>
        </w:r>
      </w:p>
    </w:sdtContent>
  </w:sdt>
  <w:p w14:paraId="396EB1B9">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13C2">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4000" cy="418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418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0542926"/>
                          </w:sdtPr>
                          <w:sdtContent>
                            <w:p w14:paraId="0D7D0D28">
                              <w:pPr>
                                <w:pStyle w:val="30"/>
                                <w:jc w:val="center"/>
                              </w:pPr>
                              <w:r>
                                <w:fldChar w:fldCharType="begin"/>
                              </w:r>
                              <w:r>
                                <w:instrText xml:space="preserve">PAGE   \* MERGEFORMAT</w:instrText>
                              </w:r>
                              <w:r>
                                <w:fldChar w:fldCharType="separate"/>
                              </w:r>
                              <w:r>
                                <w:rPr>
                                  <w:lang w:val="zh-CN"/>
                                </w:rPr>
                                <w:t>-</w:t>
                              </w:r>
                              <w:r>
                                <w:t xml:space="preserve"> 38 -</w:t>
                              </w:r>
                              <w:r>
                                <w:rPr>
                                  <w:lang w:val="zh-CN"/>
                                </w:rPr>
                                <w:fldChar w:fldCharType="end"/>
                              </w:r>
                            </w:p>
                          </w:sdtContent>
                        </w:sdt>
                        <w:p w14:paraId="116E7533">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2.95pt;width:20pt;mso-position-horizontal:center;mso-position-horizontal-relative:margin;mso-wrap-style:none;z-index:251660288;mso-width-relative:page;mso-height-relative:page;" filled="f" stroked="f" coordsize="21600,21600" o:gfxdata="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tWJY/RAAAAAwEAAA8AAAAAAAAAAQAgAAAAIgAAAGRycy9kb3ducmV2LnhtbFBLAQIUABQA&#10;AAAIAIdO4kB7mVekMAIAAFMEAAAOAAAAAAAAAAEAIAAAACABAABkcnMvZTJvRG9jLnhtbFBLBQYA&#10;AAAABgAGAFkBAADCBQAAAAA=&#10;">
              <v:fill on="f" focussize="0,0"/>
              <v:stroke on="f" weight="0.5pt"/>
              <v:imagedata o:title=""/>
              <o:lock v:ext="edit" aspectratio="f"/>
              <v:textbox inset="0mm,0mm,0mm,0mm" style="mso-fit-shape-to-text:t;">
                <w:txbxContent>
                  <w:sdt>
                    <w:sdtPr>
                      <w:id w:val="210542926"/>
                    </w:sdtPr>
                    <w:sdtContent>
                      <w:p w14:paraId="0D7D0D28">
                        <w:pPr>
                          <w:pStyle w:val="30"/>
                          <w:jc w:val="center"/>
                        </w:pPr>
                        <w:r>
                          <w:fldChar w:fldCharType="begin"/>
                        </w:r>
                        <w:r>
                          <w:instrText xml:space="preserve">PAGE   \* MERGEFORMAT</w:instrText>
                        </w:r>
                        <w:r>
                          <w:fldChar w:fldCharType="separate"/>
                        </w:r>
                        <w:r>
                          <w:rPr>
                            <w:lang w:val="zh-CN"/>
                          </w:rPr>
                          <w:t>-</w:t>
                        </w:r>
                        <w:r>
                          <w:t xml:space="preserve"> 38 -</w:t>
                        </w:r>
                        <w:r>
                          <w:rPr>
                            <w:lang w:val="zh-CN"/>
                          </w:rPr>
                          <w:fldChar w:fldCharType="end"/>
                        </w:r>
                      </w:p>
                    </w:sdtContent>
                  </w:sdt>
                  <w:p w14:paraId="116E7533">
                    <w:pPr>
                      <w:pStyle w:val="17"/>
                    </w:pPr>
                  </w:p>
                </w:txbxContent>
              </v:textbox>
            </v:shape>
          </w:pict>
        </mc:Fallback>
      </mc:AlternateContent>
    </w:r>
  </w:p>
  <w:p w14:paraId="2D6FD4AA">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8F78">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5400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400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D4C94">
                          <w:pPr>
                            <w:pStyle w:val="30"/>
                            <w:jc w:val="center"/>
                          </w:pPr>
                          <w:r>
                            <w:fldChar w:fldCharType="begin"/>
                          </w:r>
                          <w:r>
                            <w:instrText xml:space="preserve"> PAGE   \* MERGEFORMAT </w:instrText>
                          </w:r>
                          <w:r>
                            <w:fldChar w:fldCharType="separate"/>
                          </w:r>
                          <w:r>
                            <w:t>- 65 -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20pt;mso-position-horizontal:center;mso-position-horizontal-relative:margin;mso-wrap-style:none;z-index:251661312;mso-width-relative:page;mso-height-relative:page;" filled="f" stroked="f" coordsize="21600,21600" o:gfxdata="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vTEfRAAAAAwEAAA8AAAAAAAAAAQAgAAAAIgAAAGRycy9kb3ducmV2LnhtbFBLAQIUABQA&#10;AAAIAIdO4kAJNZ/cMAIAAFMEAAAOAAAAAAAAAAEAIAAAACABAABkcnMvZTJvRG9jLnhtbFBLBQYA&#10;AAAABgAGAFkBAADCBQAAAAA=&#10;">
              <v:fill on="f" focussize="0,0"/>
              <v:stroke on="f" weight="0.5pt"/>
              <v:imagedata o:title=""/>
              <o:lock v:ext="edit" aspectratio="f"/>
              <v:textbox inset="0mm,0mm,0mm,0mm" style="mso-fit-shape-to-text:t;">
                <w:txbxContent>
                  <w:p w14:paraId="006D4C94">
                    <w:pPr>
                      <w:pStyle w:val="30"/>
                      <w:jc w:val="center"/>
                    </w:pPr>
                    <w:r>
                      <w:fldChar w:fldCharType="begin"/>
                    </w:r>
                    <w:r>
                      <w:instrText xml:space="preserve"> PAGE   \* MERGEFORMAT </w:instrText>
                    </w:r>
                    <w:r>
                      <w:fldChar w:fldCharType="separate"/>
                    </w:r>
                    <w:r>
                      <w:t>- 65 -</w:t>
                    </w:r>
                    <w:r>
                      <w:fldChar w:fldCharType="end"/>
                    </w:r>
                  </w:p>
                </w:txbxContent>
              </v:textbox>
            </v:shape>
          </w:pict>
        </mc:Fallback>
      </mc:AlternateContent>
    </w:r>
  </w:p>
  <w:p w14:paraId="5650C74F">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CC3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B68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726CD"/>
    <w:multiLevelType w:val="singleLevel"/>
    <w:tmpl w:val="CA9726CD"/>
    <w:lvl w:ilvl="0" w:tentative="0">
      <w:start w:val="1"/>
      <w:numFmt w:val="decimal"/>
      <w:suff w:val="nothing"/>
      <w:lvlText w:val="%1）"/>
      <w:lvlJc w:val="left"/>
    </w:lvl>
  </w:abstractNum>
  <w:abstractNum w:abstractNumId="1">
    <w:nsid w:val="E7A29C16"/>
    <w:multiLevelType w:val="singleLevel"/>
    <w:tmpl w:val="E7A29C16"/>
    <w:lvl w:ilvl="0" w:tentative="0">
      <w:start w:val="5"/>
      <w:numFmt w:val="chineseCounting"/>
      <w:suff w:val="nothing"/>
      <w:lvlText w:val="%1、"/>
      <w:lvlJc w:val="left"/>
      <w:rPr>
        <w:rFonts w:hint="eastAsia"/>
      </w:rPr>
    </w:lvl>
  </w:abstractNum>
  <w:abstractNum w:abstractNumId="2">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3">
    <w:nsid w:val="0C275E91"/>
    <w:multiLevelType w:val="singleLevel"/>
    <w:tmpl w:val="0C275E91"/>
    <w:lvl w:ilvl="0" w:tentative="0">
      <w:start w:val="3"/>
      <w:numFmt w:val="decimal"/>
      <w:suff w:val="nothing"/>
      <w:lvlText w:val="%1）"/>
      <w:lvlJc w:val="left"/>
    </w:lvl>
  </w:abstractNum>
  <w:abstractNum w:abstractNumId="4">
    <w:nsid w:val="0FFFFF7C"/>
    <w:multiLevelType w:val="singleLevel"/>
    <w:tmpl w:val="0FFFFF7C"/>
    <w:lvl w:ilvl="0" w:tentative="0">
      <w:start w:val="1"/>
      <w:numFmt w:val="decimal"/>
      <w:pStyle w:val="12"/>
      <w:lvlText w:val="%1."/>
      <w:lvlJc w:val="left"/>
      <w:pPr>
        <w:tabs>
          <w:tab w:val="left" w:pos="2040"/>
        </w:tabs>
        <w:ind w:left="2040" w:hanging="360"/>
      </w:pPr>
    </w:lvl>
  </w:abstractNum>
  <w:abstractNum w:abstractNumId="5">
    <w:nsid w:val="0FFFFF7D"/>
    <w:multiLevelType w:val="singleLevel"/>
    <w:tmpl w:val="0FFFFF7D"/>
    <w:lvl w:ilvl="0" w:tentative="0">
      <w:start w:val="1"/>
      <w:numFmt w:val="decimal"/>
      <w:pStyle w:val="16"/>
      <w:lvlText w:val="%1."/>
      <w:lvlJc w:val="left"/>
      <w:pPr>
        <w:tabs>
          <w:tab w:val="left" w:pos="1620"/>
        </w:tabs>
        <w:ind w:left="1620" w:hanging="360"/>
      </w:pPr>
    </w:lvl>
  </w:abstractNum>
  <w:abstractNum w:abstractNumId="6">
    <w:nsid w:val="0FFFFF7F"/>
    <w:multiLevelType w:val="singleLevel"/>
    <w:tmpl w:val="0FFFFF7F"/>
    <w:lvl w:ilvl="0" w:tentative="0">
      <w:start w:val="1"/>
      <w:numFmt w:val="decimal"/>
      <w:pStyle w:val="13"/>
      <w:lvlText w:val="%1."/>
      <w:lvlJc w:val="left"/>
      <w:pPr>
        <w:tabs>
          <w:tab w:val="left" w:pos="780"/>
        </w:tabs>
        <w:ind w:left="780" w:hanging="360"/>
      </w:pPr>
    </w:lvl>
  </w:abstractNum>
  <w:abstractNum w:abstractNumId="7">
    <w:nsid w:val="0FFFFF80"/>
    <w:multiLevelType w:val="singleLevel"/>
    <w:tmpl w:val="0FFFFF80"/>
    <w:lvl w:ilvl="0" w:tentative="0">
      <w:start w:val="1"/>
      <w:numFmt w:val="bullet"/>
      <w:pStyle w:val="27"/>
      <w:lvlText w:val=""/>
      <w:lvlJc w:val="left"/>
      <w:pPr>
        <w:tabs>
          <w:tab w:val="left" w:pos="2040"/>
        </w:tabs>
        <w:ind w:left="2040" w:hanging="360"/>
      </w:pPr>
      <w:rPr>
        <w:rFonts w:hint="default" w:ascii="Wingdings" w:hAnsi="Wingdings"/>
      </w:rPr>
    </w:lvl>
  </w:abstractNum>
  <w:abstractNum w:abstractNumId="8">
    <w:nsid w:val="0FFFFF81"/>
    <w:multiLevelType w:val="singleLevel"/>
    <w:tmpl w:val="0FFFFF81"/>
    <w:lvl w:ilvl="0" w:tentative="0">
      <w:start w:val="1"/>
      <w:numFmt w:val="bullet"/>
      <w:pStyle w:val="22"/>
      <w:lvlText w:val=""/>
      <w:lvlJc w:val="left"/>
      <w:pPr>
        <w:tabs>
          <w:tab w:val="left" w:pos="1620"/>
        </w:tabs>
        <w:ind w:left="1620" w:hanging="360"/>
      </w:pPr>
      <w:rPr>
        <w:rFonts w:hint="default" w:ascii="Wingdings" w:hAnsi="Wingdings"/>
      </w:rPr>
    </w:lvl>
  </w:abstractNum>
  <w:abstractNum w:abstractNumId="9">
    <w:nsid w:val="0FFFFF83"/>
    <w:multiLevelType w:val="singleLevel"/>
    <w:tmpl w:val="0FFFFF83"/>
    <w:lvl w:ilvl="0" w:tentative="0">
      <w:start w:val="1"/>
      <w:numFmt w:val="bullet"/>
      <w:pStyle w:val="36"/>
      <w:lvlText w:val=""/>
      <w:lvlJc w:val="left"/>
      <w:pPr>
        <w:tabs>
          <w:tab w:val="left" w:pos="780"/>
        </w:tabs>
        <w:ind w:left="780" w:hanging="360"/>
      </w:pPr>
      <w:rPr>
        <w:rFonts w:hint="default" w:ascii="Wingdings" w:hAnsi="Wingdings"/>
      </w:rPr>
    </w:lvl>
  </w:abstractNum>
  <w:abstractNum w:abstractNumId="10">
    <w:nsid w:val="0FFFFF89"/>
    <w:multiLevelType w:val="singleLevel"/>
    <w:tmpl w:val="0FFFFF89"/>
    <w:lvl w:ilvl="0" w:tentative="0">
      <w:start w:val="1"/>
      <w:numFmt w:val="bullet"/>
      <w:pStyle w:val="91"/>
      <w:lvlText w:val=""/>
      <w:lvlJc w:val="left"/>
      <w:pPr>
        <w:tabs>
          <w:tab w:val="left" w:pos="360"/>
        </w:tabs>
        <w:ind w:left="360" w:hanging="360"/>
      </w:pPr>
      <w:rPr>
        <w:rFonts w:hint="default" w:ascii="Wingdings" w:hAnsi="Wingdings"/>
      </w:rPr>
    </w:lvl>
  </w:abstractNum>
  <w:abstractNum w:abstractNumId="11">
    <w:nsid w:val="25B54A36"/>
    <w:multiLevelType w:val="multilevel"/>
    <w:tmpl w:val="25B54A36"/>
    <w:lvl w:ilvl="0" w:tentative="0">
      <w:start w:val="1"/>
      <w:numFmt w:val="bullet"/>
      <w:pStyle w:val="10"/>
      <w:lvlText w:val="ı"/>
      <w:lvlJc w:val="left"/>
      <w:pPr>
        <w:tabs>
          <w:tab w:val="left" w:pos="425"/>
        </w:tabs>
        <w:ind w:left="425" w:hanging="425"/>
      </w:pPr>
      <w:rPr>
        <w:rFonts w:ascii="Arial Black" w:hAnsi="Arial Black" w:cs="Arial Black"/>
        <w:sz w:val="18"/>
        <w:szCs w:val="18"/>
      </w:rPr>
    </w:lvl>
    <w:lvl w:ilvl="1" w:tentative="0">
      <w:start w:val="1"/>
      <w:numFmt w:val="bullet"/>
      <w:pStyle w:val="9"/>
      <w:lvlText w:val="▪"/>
      <w:lvlJc w:val="left"/>
      <w:pPr>
        <w:tabs>
          <w:tab w:val="left" w:pos="851"/>
        </w:tabs>
        <w:ind w:left="850" w:hanging="425"/>
      </w:pPr>
      <w:rPr>
        <w:rFonts w:hint="default" w:ascii="Arial" w:hAnsi="Arial" w:cs="Arial"/>
        <w:sz w:val="18"/>
        <w:szCs w:val="18"/>
      </w:rPr>
    </w:lvl>
    <w:lvl w:ilvl="2" w:tentative="0">
      <w:start w:val="1"/>
      <w:numFmt w:val="bullet"/>
      <w:pStyle w:val="8"/>
      <w:lvlText w:val="▪"/>
      <w:lvlJc w:val="left"/>
      <w:pPr>
        <w:tabs>
          <w:tab w:val="left" w:pos="1276"/>
        </w:tabs>
        <w:ind w:left="1275" w:hanging="425"/>
      </w:pPr>
      <w:rPr>
        <w:rFonts w:hint="default" w:ascii="Arial" w:hAnsi="Arial" w:cs="Arial"/>
        <w:sz w:val="18"/>
        <w:szCs w:val="18"/>
      </w:rPr>
    </w:lvl>
    <w:lvl w:ilvl="3" w:tentative="0">
      <w:start w:val="1"/>
      <w:numFmt w:val="bullet"/>
      <w:pStyle w:val="7"/>
      <w:lvlText w:val="▪"/>
      <w:lvlJc w:val="left"/>
      <w:pPr>
        <w:tabs>
          <w:tab w:val="left" w:pos="1701"/>
        </w:tabs>
        <w:ind w:left="1700" w:hanging="425"/>
      </w:pPr>
      <w:rPr>
        <w:rFonts w:hint="default" w:ascii="Arial" w:hAnsi="Arial" w:cs="Arial"/>
        <w:sz w:val="18"/>
        <w:szCs w:val="18"/>
      </w:rPr>
    </w:lvl>
    <w:lvl w:ilvl="4" w:tentative="0">
      <w:start w:val="1"/>
      <w:numFmt w:val="bullet"/>
      <w:pStyle w:val="25"/>
      <w:lvlText w:val="▪"/>
      <w:lvlJc w:val="left"/>
      <w:pPr>
        <w:tabs>
          <w:tab w:val="left" w:pos="2126"/>
        </w:tabs>
        <w:ind w:left="2125" w:hanging="425"/>
      </w:pPr>
      <w:rPr>
        <w:rFonts w:hint="default" w:ascii="Arial" w:hAnsi="Arial" w:cs="Arial"/>
        <w:sz w:val="18"/>
      </w:rPr>
    </w:lvl>
    <w:lvl w:ilvl="5" w:tentative="0">
      <w:start w:val="1"/>
      <w:numFmt w:val="bullet"/>
      <w:lvlText w:val="▪"/>
      <w:lvlJc w:val="left"/>
      <w:pPr>
        <w:tabs>
          <w:tab w:val="left" w:pos="2552"/>
        </w:tabs>
        <w:ind w:left="2550" w:hanging="425"/>
      </w:pPr>
      <w:rPr>
        <w:rFonts w:hint="default" w:ascii="Arial" w:hAnsi="Arial" w:cs="Arial"/>
        <w:sz w:val="18"/>
        <w:szCs w:val="18"/>
      </w:rPr>
    </w:lvl>
    <w:lvl w:ilvl="6" w:tentative="0">
      <w:start w:val="1"/>
      <w:numFmt w:val="bullet"/>
      <w:lvlText w:val="▪"/>
      <w:lvlJc w:val="left"/>
      <w:pPr>
        <w:tabs>
          <w:tab w:val="left" w:pos="2977"/>
        </w:tabs>
        <w:ind w:left="2975" w:hanging="425"/>
      </w:pPr>
      <w:rPr>
        <w:rFonts w:hint="default" w:ascii="Arial" w:hAnsi="Arial" w:cs="Arial"/>
        <w:sz w:val="18"/>
      </w:rPr>
    </w:lvl>
    <w:lvl w:ilvl="7" w:tentative="0">
      <w:start w:val="1"/>
      <w:numFmt w:val="bullet"/>
      <w:lvlText w:val="▪"/>
      <w:lvlJc w:val="left"/>
      <w:pPr>
        <w:tabs>
          <w:tab w:val="left" w:pos="3402"/>
        </w:tabs>
        <w:ind w:left="3400" w:hanging="425"/>
      </w:pPr>
      <w:rPr>
        <w:rFonts w:hint="default" w:ascii="Arial" w:hAnsi="Arial" w:cs="Arial"/>
        <w:sz w:val="18"/>
        <w:szCs w:val="18"/>
      </w:rPr>
    </w:lvl>
    <w:lvl w:ilvl="8" w:tentative="0">
      <w:start w:val="1"/>
      <w:numFmt w:val="bullet"/>
      <w:lvlText w:val="▪"/>
      <w:lvlJc w:val="left"/>
      <w:pPr>
        <w:tabs>
          <w:tab w:val="left" w:pos="3827"/>
        </w:tabs>
        <w:ind w:left="3825" w:hanging="425"/>
      </w:pPr>
      <w:rPr>
        <w:rFonts w:ascii="Arial" w:hAnsi="Arial" w:cs="Arial"/>
        <w:sz w:val="18"/>
        <w:szCs w:val="18"/>
      </w:rPr>
    </w:lvl>
  </w:abstractNum>
  <w:abstractNum w:abstractNumId="12">
    <w:nsid w:val="29D120CC"/>
    <w:multiLevelType w:val="singleLevel"/>
    <w:tmpl w:val="29D120CC"/>
    <w:lvl w:ilvl="0" w:tentative="0">
      <w:start w:val="1"/>
      <w:numFmt w:val="decimal"/>
      <w:suff w:val="nothing"/>
      <w:lvlText w:val="（%1）"/>
      <w:lvlJc w:val="left"/>
    </w:lvl>
  </w:abstractNum>
  <w:abstractNum w:abstractNumId="13">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62D05F0C"/>
    <w:multiLevelType w:val="singleLevel"/>
    <w:tmpl w:val="62D05F0C"/>
    <w:lvl w:ilvl="0" w:tentative="0">
      <w:start w:val="4"/>
      <w:numFmt w:val="chineseCounting"/>
      <w:suff w:val="nothing"/>
      <w:lvlText w:val="%1、"/>
      <w:lvlJc w:val="left"/>
    </w:lvl>
  </w:abstractNum>
  <w:abstractNum w:abstractNumId="15">
    <w:nsid w:val="62D05FBF"/>
    <w:multiLevelType w:val="singleLevel"/>
    <w:tmpl w:val="62D05FBF"/>
    <w:lvl w:ilvl="0" w:tentative="0">
      <w:start w:val="2"/>
      <w:numFmt w:val="chineseCounting"/>
      <w:suff w:val="nothing"/>
      <w:lvlText w:val="%1、"/>
      <w:lvlJc w:val="left"/>
    </w:lvl>
  </w:abstractNum>
  <w:abstractNum w:abstractNumId="16">
    <w:nsid w:val="6DF928A3"/>
    <w:multiLevelType w:val="singleLevel"/>
    <w:tmpl w:val="6DF928A3"/>
    <w:lvl w:ilvl="0" w:tentative="0">
      <w:start w:val="1"/>
      <w:numFmt w:val="decimal"/>
      <w:suff w:val="nothing"/>
      <w:lvlText w:val="%1）"/>
      <w:lvlJc w:val="left"/>
    </w:lvl>
  </w:abstractNum>
  <w:num w:numId="1">
    <w:abstractNumId w:val="13"/>
  </w:num>
  <w:num w:numId="2">
    <w:abstractNumId w:val="11"/>
  </w:num>
  <w:num w:numId="3">
    <w:abstractNumId w:val="4"/>
  </w:num>
  <w:num w:numId="4">
    <w:abstractNumId w:val="6"/>
  </w:num>
  <w:num w:numId="5">
    <w:abstractNumId w:val="5"/>
  </w:num>
  <w:num w:numId="6">
    <w:abstractNumId w:val="8"/>
  </w:num>
  <w:num w:numId="7">
    <w:abstractNumId w:val="7"/>
  </w:num>
  <w:num w:numId="8">
    <w:abstractNumId w:val="9"/>
  </w:num>
  <w:num w:numId="9">
    <w:abstractNumId w:val="10"/>
  </w:num>
  <w:num w:numId="10">
    <w:abstractNumId w:val="2"/>
  </w:num>
  <w:num w:numId="11">
    <w:abstractNumId w:val="12"/>
  </w:num>
  <w:num w:numId="12">
    <w:abstractNumId w:val="1"/>
  </w:num>
  <w:num w:numId="13">
    <w:abstractNumId w:val="0"/>
  </w:num>
  <w:num w:numId="14">
    <w:abstractNumId w:val="3"/>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NDMxNmExNzZkNTE3NTE0ZTZlNGI4YzZhNTY1YjQifQ=="/>
  </w:docVars>
  <w:rsids>
    <w:rsidRoot w:val="001C3222"/>
    <w:rsid w:val="001C3222"/>
    <w:rsid w:val="001F0C26"/>
    <w:rsid w:val="00466C6F"/>
    <w:rsid w:val="0049261E"/>
    <w:rsid w:val="005C1A1E"/>
    <w:rsid w:val="005C4CF2"/>
    <w:rsid w:val="006B61D4"/>
    <w:rsid w:val="0078761A"/>
    <w:rsid w:val="00825867"/>
    <w:rsid w:val="00874801"/>
    <w:rsid w:val="00934C63"/>
    <w:rsid w:val="00A82AA5"/>
    <w:rsid w:val="00AE14AB"/>
    <w:rsid w:val="00B71D7A"/>
    <w:rsid w:val="00C37EEC"/>
    <w:rsid w:val="00C84423"/>
    <w:rsid w:val="00CC1A85"/>
    <w:rsid w:val="00DF6B8C"/>
    <w:rsid w:val="00E7172F"/>
    <w:rsid w:val="00F355CF"/>
    <w:rsid w:val="00F62401"/>
    <w:rsid w:val="03985B0D"/>
    <w:rsid w:val="051A712F"/>
    <w:rsid w:val="0856719C"/>
    <w:rsid w:val="0CF01B43"/>
    <w:rsid w:val="15B6457E"/>
    <w:rsid w:val="3748685D"/>
    <w:rsid w:val="474456A1"/>
    <w:rsid w:val="4E8110AE"/>
    <w:rsid w:val="4F5C0DEB"/>
    <w:rsid w:val="526C099F"/>
    <w:rsid w:val="535B3F9E"/>
    <w:rsid w:val="58925051"/>
    <w:rsid w:val="58DE1A62"/>
    <w:rsid w:val="5A320885"/>
    <w:rsid w:val="5DD22021"/>
    <w:rsid w:val="78274012"/>
    <w:rsid w:val="78BE07ED"/>
    <w:rsid w:val="7C602892"/>
    <w:rsid w:val="7FFD49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78"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78" w:semiHidden="0" w:name="List Bullet 2"/>
    <w:lsdException w:qFormat="1" w:uiPriority="78" w:semiHidden="0" w:name="List Bullet 3"/>
    <w:lsdException w:qFormat="1" w:uiPriority="78" w:semiHidden="0" w:name="List Bullet 4"/>
    <w:lsdException w:qFormat="1" w:uiPriority="78"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
    <w:pPr>
      <w:keepNext/>
      <w:keepLines/>
      <w:numPr>
        <w:ilvl w:val="1"/>
        <w:numId w:val="1"/>
      </w:numPr>
      <w:tabs>
        <w:tab w:val="clear" w:pos="576"/>
      </w:tabs>
      <w:spacing w:before="260" w:after="260" w:line="412" w:lineRule="auto"/>
      <w:ind w:left="0" w:firstLine="0"/>
      <w:outlineLvl w:val="1"/>
    </w:pPr>
    <w:rPr>
      <w:rFonts w:ascii="Arial" w:hAnsi="Arial" w:eastAsia="黑体"/>
      <w:b/>
      <w:bCs/>
      <w:sz w:val="32"/>
      <w:szCs w:val="32"/>
    </w:rPr>
  </w:style>
  <w:style w:type="paragraph" w:styleId="4">
    <w:name w:val="heading 3"/>
    <w:basedOn w:val="1"/>
    <w:next w:val="1"/>
    <w:link w:val="60"/>
    <w:qFormat/>
    <w:uiPriority w:val="0"/>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5">
    <w:name w:val="heading 4"/>
    <w:basedOn w:val="1"/>
    <w:next w:val="1"/>
    <w:link w:val="6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spacing w:before="280" w:after="290" w:line="372" w:lineRule="auto"/>
      <w:outlineLvl w:val="4"/>
    </w:pPr>
    <w:rPr>
      <w:b/>
      <w:bCs/>
      <w:sz w:val="28"/>
      <w:szCs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List Bullet 4"/>
    <w:basedOn w:val="8"/>
    <w:unhideWhenUsed/>
    <w:qFormat/>
    <w:uiPriority w:val="78"/>
    <w:pPr>
      <w:numPr>
        <w:ilvl w:val="3"/>
      </w:numPr>
      <w:tabs>
        <w:tab w:val="left" w:pos="425"/>
      </w:tabs>
    </w:pPr>
  </w:style>
  <w:style w:type="paragraph" w:styleId="8">
    <w:name w:val="List Bullet 3"/>
    <w:basedOn w:val="9"/>
    <w:unhideWhenUsed/>
    <w:qFormat/>
    <w:uiPriority w:val="78"/>
    <w:pPr>
      <w:numPr>
        <w:ilvl w:val="2"/>
      </w:numPr>
      <w:tabs>
        <w:tab w:val="left" w:pos="425"/>
      </w:tabs>
    </w:pPr>
  </w:style>
  <w:style w:type="paragraph" w:styleId="9">
    <w:name w:val="List Bullet 2"/>
    <w:basedOn w:val="10"/>
    <w:qFormat/>
    <w:uiPriority w:val="78"/>
    <w:pPr>
      <w:numPr>
        <w:ilvl w:val="1"/>
      </w:numPr>
      <w:tabs>
        <w:tab w:val="left" w:pos="425"/>
      </w:tabs>
    </w:pPr>
  </w:style>
  <w:style w:type="paragraph" w:styleId="10">
    <w:name w:val="List Bullet"/>
    <w:basedOn w:val="1"/>
    <w:qFormat/>
    <w:uiPriority w:val="78"/>
    <w:pPr>
      <w:widowControl/>
      <w:numPr>
        <w:ilvl w:val="0"/>
        <w:numId w:val="2"/>
      </w:numPr>
      <w:spacing w:after="120" w:line="271" w:lineRule="auto"/>
      <w:jc w:val="left"/>
    </w:pPr>
    <w:rPr>
      <w:rFonts w:asciiTheme="minorHAnsi" w:hAnsiTheme="minorHAnsi" w:eastAsiaTheme="minorEastAsia" w:cstheme="minorBidi"/>
      <w:kern w:val="0"/>
      <w:sz w:val="20"/>
      <w:szCs w:val="20"/>
    </w:rPr>
  </w:style>
  <w:style w:type="paragraph" w:styleId="11">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2">
    <w:name w:val="Normal Indent"/>
    <w:basedOn w:val="1"/>
    <w:next w:val="1"/>
    <w:qFormat/>
    <w:uiPriority w:val="0"/>
    <w:pPr>
      <w:numPr>
        <w:ilvl w:val="0"/>
        <w:numId w:val="3"/>
      </w:numPr>
      <w:tabs>
        <w:tab w:val="clear" w:pos="2040"/>
      </w:tabs>
      <w:ind w:left="0" w:firstLine="420"/>
    </w:pPr>
    <w:rPr>
      <w:szCs w:val="20"/>
    </w:rPr>
  </w:style>
  <w:style w:type="paragraph" w:styleId="13">
    <w:name w:val="caption"/>
    <w:basedOn w:val="1"/>
    <w:next w:val="1"/>
    <w:qFormat/>
    <w:uiPriority w:val="0"/>
    <w:pPr>
      <w:numPr>
        <w:ilvl w:val="0"/>
        <w:numId w:val="4"/>
      </w:numPr>
      <w:tabs>
        <w:tab w:val="clear" w:pos="780"/>
      </w:tabs>
      <w:spacing w:before="152" w:after="160"/>
      <w:ind w:left="0" w:firstLine="0"/>
    </w:pPr>
    <w:rPr>
      <w:rFonts w:ascii="Arial" w:hAnsi="Arial" w:eastAsia="黑体" w:cs="Arial"/>
      <w:sz w:val="20"/>
      <w:szCs w:val="20"/>
    </w:rPr>
  </w:style>
  <w:style w:type="paragraph" w:styleId="14">
    <w:name w:val="Document Map"/>
    <w:basedOn w:val="1"/>
    <w:link w:val="90"/>
    <w:qFormat/>
    <w:uiPriority w:val="0"/>
    <w:pPr>
      <w:shd w:val="clear" w:color="auto" w:fill="000080"/>
    </w:pPr>
  </w:style>
  <w:style w:type="paragraph" w:styleId="15">
    <w:name w:val="annotation text"/>
    <w:basedOn w:val="1"/>
    <w:link w:val="104"/>
    <w:qFormat/>
    <w:uiPriority w:val="99"/>
    <w:pPr>
      <w:jc w:val="left"/>
    </w:pPr>
    <w:rPr>
      <w:szCs w:val="20"/>
    </w:rPr>
  </w:style>
  <w:style w:type="paragraph" w:styleId="16">
    <w:name w:val="Body Text 3"/>
    <w:basedOn w:val="1"/>
    <w:link w:val="99"/>
    <w:qFormat/>
    <w:uiPriority w:val="0"/>
    <w:pPr>
      <w:numPr>
        <w:ilvl w:val="0"/>
        <w:numId w:val="5"/>
      </w:numPr>
      <w:tabs>
        <w:tab w:val="clear" w:pos="1620"/>
      </w:tabs>
      <w:snapToGrid w:val="0"/>
      <w:spacing w:before="50" w:after="50"/>
      <w:ind w:left="0" w:firstLine="0"/>
    </w:pPr>
    <w:rPr>
      <w:rFonts w:eastAsia="仿宋_GB2312"/>
      <w:b/>
      <w:bCs/>
      <w:sz w:val="24"/>
      <w:szCs w:val="20"/>
    </w:rPr>
  </w:style>
  <w:style w:type="paragraph" w:styleId="17">
    <w:name w:val="Body Text"/>
    <w:basedOn w:val="1"/>
    <w:next w:val="18"/>
    <w:link w:val="100"/>
    <w:qFormat/>
    <w:uiPriority w:val="0"/>
    <w:pPr>
      <w:spacing w:after="120"/>
    </w:pPr>
    <w:rPr>
      <w:sz w:val="28"/>
    </w:rPr>
  </w:style>
  <w:style w:type="paragraph" w:styleId="18">
    <w:name w:val="Body Text First Indent"/>
    <w:basedOn w:val="17"/>
    <w:qFormat/>
    <w:uiPriority w:val="0"/>
    <w:pPr>
      <w:ind w:firstLine="420" w:firstLineChars="100"/>
    </w:pPr>
  </w:style>
  <w:style w:type="paragraph" w:styleId="19">
    <w:name w:val="Body Text Indent"/>
    <w:basedOn w:val="1"/>
    <w:next w:val="20"/>
    <w:link w:val="95"/>
    <w:qFormat/>
    <w:uiPriority w:val="0"/>
    <w:pPr>
      <w:spacing w:line="200" w:lineRule="exact"/>
      <w:ind w:firstLine="301"/>
    </w:pPr>
    <w:rPr>
      <w:rFonts w:ascii="宋体"/>
      <w:spacing w:val="-4"/>
      <w:sz w:val="18"/>
      <w:szCs w:val="20"/>
    </w:rPr>
  </w:style>
  <w:style w:type="paragraph" w:styleId="20">
    <w:name w:val="envelope return"/>
    <w:basedOn w:val="1"/>
    <w:qFormat/>
    <w:uiPriority w:val="99"/>
    <w:pPr>
      <w:snapToGrid w:val="0"/>
    </w:pPr>
    <w:rPr>
      <w:rFonts w:ascii="Arial" w:hAnsi="Arial"/>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numPr>
        <w:ilvl w:val="0"/>
        <w:numId w:val="6"/>
      </w:numPr>
      <w:tabs>
        <w:tab w:val="clear" w:pos="1620"/>
      </w:tabs>
      <w:ind w:left="400" w:leftChars="200" w:hanging="200" w:hangingChars="200"/>
    </w:pPr>
    <w:rPr>
      <w:sz w:val="28"/>
    </w:rPr>
  </w:style>
  <w:style w:type="paragraph" w:styleId="23">
    <w:name w:val="toc 3"/>
    <w:basedOn w:val="1"/>
    <w:next w:val="1"/>
    <w:qFormat/>
    <w:uiPriority w:val="39"/>
    <w:pPr>
      <w:ind w:left="400" w:leftChars="400"/>
    </w:pPr>
  </w:style>
  <w:style w:type="paragraph" w:styleId="24">
    <w:name w:val="Plain Text"/>
    <w:basedOn w:val="1"/>
    <w:link w:val="101"/>
    <w:qFormat/>
    <w:uiPriority w:val="0"/>
    <w:pPr>
      <w:spacing w:beforeLines="50" w:afterLines="50" w:line="400" w:lineRule="exact"/>
    </w:pPr>
    <w:rPr>
      <w:rFonts w:ascii="宋体"/>
      <w:sz w:val="24"/>
    </w:rPr>
  </w:style>
  <w:style w:type="paragraph" w:styleId="25">
    <w:name w:val="List Bullet 5"/>
    <w:basedOn w:val="7"/>
    <w:unhideWhenUsed/>
    <w:qFormat/>
    <w:uiPriority w:val="78"/>
    <w:pPr>
      <w:numPr>
        <w:ilvl w:val="4"/>
      </w:numPr>
    </w:pPr>
  </w:style>
  <w:style w:type="paragraph" w:styleId="26">
    <w:name w:val="toc 8"/>
    <w:basedOn w:val="1"/>
    <w:next w:val="1"/>
    <w:qFormat/>
    <w:uiPriority w:val="0"/>
    <w:pPr>
      <w:ind w:left="1470"/>
      <w:jc w:val="left"/>
    </w:pPr>
    <w:rPr>
      <w:sz w:val="18"/>
      <w:szCs w:val="18"/>
    </w:rPr>
  </w:style>
  <w:style w:type="paragraph" w:styleId="27">
    <w:name w:val="Date"/>
    <w:basedOn w:val="1"/>
    <w:next w:val="1"/>
    <w:link w:val="97"/>
    <w:qFormat/>
    <w:uiPriority w:val="0"/>
    <w:pPr>
      <w:numPr>
        <w:ilvl w:val="0"/>
        <w:numId w:val="7"/>
      </w:numPr>
      <w:tabs>
        <w:tab w:val="clear" w:pos="2040"/>
      </w:tabs>
      <w:ind w:left="2500" w:leftChars="2500" w:firstLine="0"/>
    </w:pPr>
    <w:rPr>
      <w:rFonts w:eastAsia="楷体_GB2312"/>
      <w:sz w:val="32"/>
      <w:szCs w:val="20"/>
    </w:rPr>
  </w:style>
  <w:style w:type="paragraph" w:styleId="28">
    <w:name w:val="Body Text Indent 2"/>
    <w:basedOn w:val="1"/>
    <w:link w:val="103"/>
    <w:qFormat/>
    <w:uiPriority w:val="0"/>
    <w:pPr>
      <w:snapToGrid w:val="0"/>
      <w:ind w:firstLine="225" w:firstLineChars="225"/>
    </w:pPr>
    <w:rPr>
      <w:rFonts w:ascii="仿宋_GB2312" w:hAnsi="仿宋_GB2312"/>
      <w:b/>
      <w:bCs/>
      <w:color w:val="000000"/>
      <w:sz w:val="24"/>
    </w:rPr>
  </w:style>
  <w:style w:type="paragraph" w:styleId="29">
    <w:name w:val="Balloon Text"/>
    <w:basedOn w:val="1"/>
    <w:link w:val="98"/>
    <w:qFormat/>
    <w:uiPriority w:val="0"/>
    <w:rPr>
      <w:sz w:val="18"/>
      <w:szCs w:val="18"/>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Subtitle"/>
    <w:basedOn w:val="1"/>
    <w:next w:val="1"/>
    <w:link w:val="118"/>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4">
    <w:name w:val="List"/>
    <w:basedOn w:val="1"/>
    <w:qFormat/>
    <w:uiPriority w:val="0"/>
    <w:pPr>
      <w:ind w:left="200" w:hanging="200" w:hangingChars="200"/>
    </w:pPr>
    <w:rPr>
      <w:sz w:val="28"/>
    </w:rPr>
  </w:style>
  <w:style w:type="paragraph" w:styleId="35">
    <w:name w:val="toc 6"/>
    <w:basedOn w:val="1"/>
    <w:next w:val="1"/>
    <w:qFormat/>
    <w:uiPriority w:val="0"/>
    <w:pPr>
      <w:ind w:left="1200"/>
      <w:jc w:val="left"/>
    </w:pPr>
    <w:rPr>
      <w:rFonts w:ascii="Calibri"/>
      <w:sz w:val="18"/>
      <w:szCs w:val="18"/>
    </w:rPr>
  </w:style>
  <w:style w:type="paragraph" w:styleId="36">
    <w:name w:val="Body Text Indent 3"/>
    <w:basedOn w:val="1"/>
    <w:link w:val="96"/>
    <w:qFormat/>
    <w:uiPriority w:val="0"/>
    <w:pPr>
      <w:numPr>
        <w:ilvl w:val="0"/>
        <w:numId w:val="8"/>
      </w:numPr>
      <w:snapToGrid w:val="0"/>
      <w:jc w:val="left"/>
    </w:pPr>
    <w:rPr>
      <w:rFonts w:ascii="仿宋_GB2312" w:eastAsia="仿宋_GB2312"/>
      <w:color w:val="000000"/>
      <w:sz w:val="24"/>
    </w:rPr>
  </w:style>
  <w:style w:type="paragraph" w:styleId="37">
    <w:name w:val="toc 2"/>
    <w:basedOn w:val="1"/>
    <w:next w:val="1"/>
    <w:qFormat/>
    <w:uiPriority w:val="39"/>
    <w:pPr>
      <w:ind w:left="200" w:leftChars="200"/>
    </w:pPr>
  </w:style>
  <w:style w:type="paragraph" w:styleId="38">
    <w:name w:val="Body Text 2"/>
    <w:basedOn w:val="1"/>
    <w:link w:val="102"/>
    <w:qFormat/>
    <w:uiPriority w:val="0"/>
    <w:pPr>
      <w:widowControl/>
      <w:snapToGrid w:val="0"/>
      <w:spacing w:before="50" w:afterLines="50" w:line="400" w:lineRule="exact"/>
      <w:jc w:val="left"/>
    </w:pPr>
    <w:rPr>
      <w:rFonts w:ascii="宋体"/>
      <w:color w:val="000000"/>
      <w:sz w:val="24"/>
    </w:rPr>
  </w:style>
  <w:style w:type="paragraph" w:styleId="39">
    <w:name w:val="Normal (Web)"/>
    <w:basedOn w:val="1"/>
    <w:qFormat/>
    <w:uiPriority w:val="0"/>
    <w:pPr>
      <w:widowControl/>
      <w:spacing w:before="100" w:beforeAutospacing="1" w:after="100" w:afterAutospacing="1"/>
      <w:jc w:val="left"/>
    </w:pPr>
    <w:rPr>
      <w:kern w:val="0"/>
      <w:sz w:val="24"/>
    </w:rPr>
  </w:style>
  <w:style w:type="paragraph" w:styleId="40">
    <w:name w:val="annotation subject"/>
    <w:basedOn w:val="15"/>
    <w:next w:val="15"/>
    <w:link w:val="105"/>
    <w:qFormat/>
    <w:uiPriority w:val="0"/>
  </w:style>
  <w:style w:type="paragraph" w:styleId="41">
    <w:name w:val="Body Text First Indent 2"/>
    <w:basedOn w:val="19"/>
    <w:unhideWhenUsed/>
    <w:qFormat/>
    <w:uiPriority w:val="99"/>
    <w:pPr>
      <w:ind w:firstLine="420"/>
    </w:p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Emphasis"/>
    <w:qFormat/>
    <w:uiPriority w:val="0"/>
    <w:rPr>
      <w:color w:val="CC0000"/>
    </w:rPr>
  </w:style>
  <w:style w:type="character" w:styleId="49">
    <w:name w:val="HTML Acronym"/>
    <w:qFormat/>
    <w:uiPriority w:val="0"/>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paragraph" w:customStyle="1" w:styleId="52">
    <w:name w:val="Body Text First Indent 21"/>
    <w:basedOn w:val="53"/>
    <w:qFormat/>
    <w:uiPriority w:val="0"/>
    <w:pPr>
      <w:ind w:firstLine="420"/>
    </w:pPr>
  </w:style>
  <w:style w:type="paragraph" w:customStyle="1" w:styleId="53">
    <w:name w:val="Body Text Indent1"/>
    <w:basedOn w:val="1"/>
    <w:qFormat/>
    <w:uiPriority w:val="0"/>
    <w:pPr>
      <w:ind w:left="420" w:leftChars="200"/>
    </w:p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5">
    <w:name w:val="样式3"/>
    <w:basedOn w:val="24"/>
    <w:next w:val="1"/>
    <w:qFormat/>
    <w:uiPriority w:val="99"/>
    <w:pPr>
      <w:spacing w:line="0" w:lineRule="atLeast"/>
      <w:outlineLvl w:val="0"/>
    </w:pPr>
    <w:rPr>
      <w:sz w:val="28"/>
    </w:rPr>
  </w:style>
  <w:style w:type="character" w:customStyle="1" w:styleId="56">
    <w:name w:val="标题 1 字符"/>
    <w:basedOn w:val="44"/>
    <w:link w:val="2"/>
    <w:qFormat/>
    <w:uiPriority w:val="0"/>
    <w:rPr>
      <w:rFonts w:ascii="Times New Roman" w:hAnsi="Times New Roman" w:eastAsia="宋体" w:cs="Times New Roman"/>
      <w:b/>
      <w:bCs/>
      <w:kern w:val="44"/>
      <w:sz w:val="44"/>
      <w:szCs w:val="44"/>
    </w:rPr>
  </w:style>
  <w:style w:type="character" w:customStyle="1" w:styleId="57">
    <w:name w:val="页眉 字符"/>
    <w:basedOn w:val="44"/>
    <w:link w:val="31"/>
    <w:qFormat/>
    <w:uiPriority w:val="0"/>
    <w:rPr>
      <w:sz w:val="18"/>
      <w:szCs w:val="18"/>
    </w:rPr>
  </w:style>
  <w:style w:type="character" w:customStyle="1" w:styleId="58">
    <w:name w:val="页脚 字符"/>
    <w:basedOn w:val="44"/>
    <w:link w:val="30"/>
    <w:qFormat/>
    <w:uiPriority w:val="99"/>
    <w:rPr>
      <w:sz w:val="18"/>
      <w:szCs w:val="18"/>
    </w:rPr>
  </w:style>
  <w:style w:type="character" w:customStyle="1" w:styleId="59">
    <w:name w:val="标题 2 字符"/>
    <w:basedOn w:val="44"/>
    <w:link w:val="3"/>
    <w:qFormat/>
    <w:uiPriority w:val="9"/>
    <w:rPr>
      <w:rFonts w:ascii="Arial" w:hAnsi="Arial" w:eastAsia="黑体" w:cs="Times New Roman"/>
      <w:b/>
      <w:bCs/>
      <w:sz w:val="32"/>
      <w:szCs w:val="32"/>
    </w:rPr>
  </w:style>
  <w:style w:type="character" w:customStyle="1" w:styleId="60">
    <w:name w:val="标题 3 字符"/>
    <w:basedOn w:val="44"/>
    <w:link w:val="4"/>
    <w:qFormat/>
    <w:uiPriority w:val="0"/>
    <w:rPr>
      <w:rFonts w:ascii="Times New Roman" w:hAnsi="Times New Roman" w:eastAsia="宋体" w:cs="Times New Roman"/>
      <w:b/>
      <w:bCs/>
      <w:sz w:val="32"/>
      <w:szCs w:val="32"/>
    </w:rPr>
  </w:style>
  <w:style w:type="character" w:customStyle="1" w:styleId="61">
    <w:name w:val="标题 4 字符"/>
    <w:basedOn w:val="44"/>
    <w:link w:val="5"/>
    <w:qFormat/>
    <w:uiPriority w:val="0"/>
    <w:rPr>
      <w:rFonts w:ascii="Arial" w:hAnsi="Arial" w:eastAsia="黑体" w:cs="Times New Roman"/>
      <w:b/>
      <w:bCs/>
      <w:sz w:val="28"/>
      <w:szCs w:val="28"/>
    </w:rPr>
  </w:style>
  <w:style w:type="character" w:customStyle="1" w:styleId="62">
    <w:name w:val="标题 5 字符"/>
    <w:basedOn w:val="44"/>
    <w:link w:val="6"/>
    <w:qFormat/>
    <w:uiPriority w:val="0"/>
    <w:rPr>
      <w:rFonts w:ascii="Times New Roman" w:hAnsi="Times New Roman" w:eastAsia="宋体" w:cs="Times New Roman"/>
      <w:b/>
      <w:bCs/>
      <w:sz w:val="28"/>
      <w:szCs w:val="28"/>
    </w:rPr>
  </w:style>
  <w:style w:type="character" w:customStyle="1" w:styleId="63">
    <w:name w:val="ca-32"/>
    <w:qFormat/>
    <w:uiPriority w:val="0"/>
  </w:style>
  <w:style w:type="character" w:customStyle="1" w:styleId="64">
    <w:name w:val="apple-style-span"/>
    <w:basedOn w:val="44"/>
    <w:qFormat/>
    <w:uiPriority w:val="0"/>
  </w:style>
  <w:style w:type="character" w:customStyle="1" w:styleId="65">
    <w:name w:val="unnamed1"/>
    <w:basedOn w:val="44"/>
    <w:qFormat/>
    <w:uiPriority w:val="0"/>
  </w:style>
  <w:style w:type="character" w:customStyle="1" w:styleId="66">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67">
    <w:name w:val="c_title1"/>
    <w:qFormat/>
    <w:uiPriority w:val="0"/>
    <w:rPr>
      <w:rFonts w:ascii="黑体" w:eastAsia="黑体"/>
      <w:color w:val="03005C"/>
      <w:sz w:val="30"/>
      <w:szCs w:val="30"/>
      <w:u w:val="none"/>
    </w:rPr>
  </w:style>
  <w:style w:type="character" w:customStyle="1" w:styleId="68">
    <w:name w:val="style7"/>
    <w:basedOn w:val="44"/>
    <w:qFormat/>
    <w:uiPriority w:val="0"/>
  </w:style>
  <w:style w:type="paragraph" w:customStyle="1" w:styleId="69">
    <w:name w:val="Char"/>
    <w:basedOn w:val="1"/>
    <w:qFormat/>
    <w:uiPriority w:val="0"/>
    <w:pPr>
      <w:ind w:firstLine="200" w:firstLineChars="200"/>
    </w:pPr>
    <w:rPr>
      <w:rFonts w:ascii="幼圆" w:eastAsia="幼圆" w:cs="幼圆"/>
      <w:sz w:val="24"/>
      <w:szCs w:val="20"/>
    </w:rPr>
  </w:style>
  <w:style w:type="paragraph" w:customStyle="1" w:styleId="7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71">
    <w:name w:val="自由格式 A"/>
    <w:qFormat/>
    <w:uiPriority w:val="0"/>
    <w:rPr>
      <w:rFonts w:ascii="Helvetica" w:hAnsi="Helvetica" w:eastAsia="ヒラギノ角ゴ Pro W3" w:cs="Times New Roman"/>
      <w:color w:val="000000"/>
      <w:sz w:val="24"/>
      <w:lang w:val="en-US" w:eastAsia="zh-CN" w:bidi="ar-SA"/>
    </w:rPr>
  </w:style>
  <w:style w:type="paragraph" w:customStyle="1" w:styleId="72">
    <w:name w:val="正文段"/>
    <w:basedOn w:val="1"/>
    <w:qFormat/>
    <w:uiPriority w:val="0"/>
    <w:pPr>
      <w:widowControl/>
      <w:snapToGrid w:val="0"/>
      <w:spacing w:afterLines="50"/>
      <w:ind w:firstLine="200" w:firstLineChars="200"/>
    </w:pPr>
    <w:rPr>
      <w:kern w:val="0"/>
      <w:sz w:val="24"/>
      <w:szCs w:val="20"/>
    </w:rPr>
  </w:style>
  <w:style w:type="paragraph" w:customStyle="1" w:styleId="73">
    <w:name w:val="样式1"/>
    <w:basedOn w:val="5"/>
    <w:qFormat/>
    <w:uiPriority w:val="0"/>
  </w:style>
  <w:style w:type="paragraph" w:customStyle="1" w:styleId="74">
    <w:name w:val="p0"/>
    <w:basedOn w:val="1"/>
    <w:qFormat/>
    <w:uiPriority w:val="0"/>
    <w:pPr>
      <w:widowControl/>
    </w:pPr>
    <w:rPr>
      <w:kern w:val="0"/>
      <w:szCs w:val="21"/>
    </w:rPr>
  </w:style>
  <w:style w:type="paragraph" w:customStyle="1" w:styleId="75">
    <w:name w:val="Char1"/>
    <w:basedOn w:val="1"/>
    <w:qFormat/>
    <w:uiPriority w:val="0"/>
    <w:rPr>
      <w:rFonts w:ascii="Tahoma" w:hAnsi="Tahoma"/>
      <w:sz w:val="24"/>
      <w:szCs w:val="2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8">
    <w:name w:val="列出段落1"/>
    <w:basedOn w:val="1"/>
    <w:qFormat/>
    <w:uiPriority w:val="0"/>
    <w:pPr>
      <w:ind w:firstLine="200" w:firstLineChars="200"/>
    </w:pPr>
    <w:rPr>
      <w:rFonts w:ascii="Calibri" w:hAnsi="Calibri"/>
      <w:szCs w:val="22"/>
    </w:rPr>
  </w:style>
  <w:style w:type="paragraph" w:customStyle="1" w:styleId="79">
    <w:name w:val="Char2"/>
    <w:basedOn w:val="1"/>
    <w:qFormat/>
    <w:uiPriority w:val="0"/>
    <w:rPr>
      <w:rFonts w:ascii="仿宋_GB2312" w:eastAsia="仿宋_GB2312"/>
      <w:b/>
      <w:sz w:val="32"/>
      <w:szCs w:val="32"/>
    </w:rPr>
  </w:style>
  <w:style w:type="paragraph" w:customStyle="1" w:styleId="80">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81">
    <w:name w:val="tgt2"/>
    <w:basedOn w:val="1"/>
    <w:qFormat/>
    <w:uiPriority w:val="0"/>
    <w:pPr>
      <w:widowControl/>
      <w:spacing w:after="150" w:line="360" w:lineRule="auto"/>
      <w:jc w:val="left"/>
    </w:pPr>
    <w:rPr>
      <w:rFonts w:ascii="宋体" w:cs="宋体"/>
      <w:b/>
      <w:bCs/>
      <w:kern w:val="0"/>
      <w:sz w:val="36"/>
      <w:szCs w:val="36"/>
    </w:rPr>
  </w:style>
  <w:style w:type="paragraph" w:customStyle="1" w:styleId="82">
    <w:name w:val="p15"/>
    <w:basedOn w:val="1"/>
    <w:qFormat/>
    <w:uiPriority w:val="0"/>
    <w:pPr>
      <w:widowControl/>
    </w:pPr>
    <w:rPr>
      <w:kern w:val="0"/>
      <w:szCs w:val="21"/>
    </w:rPr>
  </w:style>
  <w:style w:type="paragraph" w:customStyle="1" w:styleId="83">
    <w:name w:val="Char Char Char Char Char Char"/>
    <w:basedOn w:val="1"/>
    <w:qFormat/>
    <w:uiPriority w:val="0"/>
    <w:pPr>
      <w:ind w:firstLine="200" w:firstLineChars="200"/>
    </w:pPr>
    <w:rPr>
      <w:rFonts w:ascii="Tahoma" w:hAnsi="Tahoma"/>
      <w:sz w:val="24"/>
      <w:szCs w:val="20"/>
    </w:rPr>
  </w:style>
  <w:style w:type="paragraph" w:customStyle="1" w:styleId="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Char1 Char Char Char"/>
    <w:basedOn w:val="1"/>
    <w:qFormat/>
    <w:uiPriority w:val="0"/>
    <w:pPr>
      <w:tabs>
        <w:tab w:val="left" w:pos="840"/>
      </w:tabs>
      <w:ind w:left="840" w:hanging="420"/>
    </w:pPr>
    <w:rPr>
      <w:sz w:val="24"/>
    </w:rPr>
  </w:style>
  <w:style w:type="paragraph" w:customStyle="1" w:styleId="87">
    <w:name w:val="table_lines"/>
    <w:basedOn w:val="1"/>
    <w:qFormat/>
    <w:uiPriority w:val="0"/>
    <w:rPr>
      <w:szCs w:val="20"/>
    </w:rPr>
  </w:style>
  <w:style w:type="paragraph" w:customStyle="1" w:styleId="88">
    <w:name w:val="Char11"/>
    <w:basedOn w:val="1"/>
    <w:qFormat/>
    <w:uiPriority w:val="0"/>
  </w:style>
  <w:style w:type="paragraph" w:customStyle="1" w:styleId="89">
    <w:name w:val="Char Char Char Char Char Char Char Char Char Char Char Char1 Char"/>
    <w:basedOn w:val="14"/>
    <w:qFormat/>
    <w:uiPriority w:val="0"/>
    <w:rPr>
      <w:rFonts w:ascii="Tahoma" w:hAnsi="Tahoma"/>
      <w:sz w:val="24"/>
    </w:rPr>
  </w:style>
  <w:style w:type="character" w:customStyle="1" w:styleId="90">
    <w:name w:val="文档结构图 字符"/>
    <w:basedOn w:val="44"/>
    <w:link w:val="14"/>
    <w:qFormat/>
    <w:uiPriority w:val="0"/>
    <w:rPr>
      <w:rFonts w:ascii="Times New Roman" w:hAnsi="Times New Roman" w:eastAsia="宋体" w:cs="Times New Roman"/>
      <w:szCs w:val="24"/>
      <w:shd w:val="clear" w:color="auto" w:fill="000080"/>
    </w:rPr>
  </w:style>
  <w:style w:type="paragraph" w:customStyle="1" w:styleId="91">
    <w:name w:val="列出段落2"/>
    <w:basedOn w:val="1"/>
    <w:link w:val="122"/>
    <w:qFormat/>
    <w:uiPriority w:val="34"/>
    <w:pPr>
      <w:numPr>
        <w:ilvl w:val="0"/>
        <w:numId w:val="9"/>
      </w:numPr>
      <w:tabs>
        <w:tab w:val="clear" w:pos="360"/>
      </w:tabs>
      <w:ind w:left="0" w:firstLine="200" w:firstLineChars="200"/>
    </w:pPr>
    <w:rPr>
      <w:rFonts w:ascii="Calibri" w:hAnsi="Calibri"/>
      <w:szCs w:val="22"/>
    </w:rPr>
  </w:style>
  <w:style w:type="paragraph" w:customStyle="1" w:styleId="92">
    <w:name w:val="table_1stline"/>
    <w:basedOn w:val="1"/>
    <w:qFormat/>
    <w:uiPriority w:val="0"/>
    <w:pPr>
      <w:spacing w:before="120"/>
    </w:pPr>
    <w:rPr>
      <w:bCs/>
      <w:szCs w:val="20"/>
    </w:rPr>
  </w:style>
  <w:style w:type="paragraph" w:customStyle="1" w:styleId="93">
    <w:name w:val="Char Char Char Char"/>
    <w:basedOn w:val="1"/>
    <w:qFormat/>
    <w:uiPriority w:val="0"/>
    <w:pPr>
      <w:widowControl/>
      <w:spacing w:after="160" w:line="240" w:lineRule="exact"/>
      <w:jc w:val="left"/>
    </w:pPr>
    <w:rPr>
      <w:szCs w:val="20"/>
    </w:rPr>
  </w:style>
  <w:style w:type="paragraph" w:customStyle="1" w:styleId="94">
    <w:name w:val="pa-1"/>
    <w:basedOn w:val="1"/>
    <w:qFormat/>
    <w:uiPriority w:val="0"/>
    <w:pPr>
      <w:widowControl/>
      <w:spacing w:before="100" w:beforeAutospacing="1" w:after="100" w:afterAutospacing="1"/>
      <w:jc w:val="left"/>
    </w:pPr>
    <w:rPr>
      <w:rFonts w:ascii="宋体" w:cs="宋体"/>
      <w:kern w:val="0"/>
      <w:sz w:val="24"/>
    </w:rPr>
  </w:style>
  <w:style w:type="character" w:customStyle="1" w:styleId="95">
    <w:name w:val="正文文本缩进 字符"/>
    <w:basedOn w:val="44"/>
    <w:link w:val="19"/>
    <w:qFormat/>
    <w:uiPriority w:val="0"/>
    <w:rPr>
      <w:rFonts w:ascii="宋体" w:hAnsi="Times New Roman" w:eastAsia="宋体" w:cs="Times New Roman"/>
      <w:spacing w:val="-4"/>
      <w:sz w:val="18"/>
      <w:szCs w:val="20"/>
    </w:rPr>
  </w:style>
  <w:style w:type="character" w:customStyle="1" w:styleId="96">
    <w:name w:val="正文文本缩进 3 字符"/>
    <w:basedOn w:val="44"/>
    <w:link w:val="36"/>
    <w:qFormat/>
    <w:uiPriority w:val="0"/>
    <w:rPr>
      <w:rFonts w:ascii="仿宋_GB2312" w:eastAsia="仿宋_GB2312"/>
      <w:color w:val="000000"/>
      <w:kern w:val="2"/>
      <w:sz w:val="24"/>
      <w:szCs w:val="24"/>
    </w:rPr>
  </w:style>
  <w:style w:type="character" w:customStyle="1" w:styleId="97">
    <w:name w:val="日期 字符"/>
    <w:basedOn w:val="44"/>
    <w:link w:val="27"/>
    <w:qFormat/>
    <w:uiPriority w:val="0"/>
    <w:rPr>
      <w:rFonts w:ascii="Times New Roman" w:hAnsi="Times New Roman" w:eastAsia="楷体_GB2312" w:cs="Times New Roman"/>
      <w:sz w:val="32"/>
      <w:szCs w:val="20"/>
    </w:rPr>
  </w:style>
  <w:style w:type="character" w:customStyle="1" w:styleId="98">
    <w:name w:val="批注框文本 字符"/>
    <w:basedOn w:val="44"/>
    <w:link w:val="29"/>
    <w:qFormat/>
    <w:uiPriority w:val="0"/>
    <w:rPr>
      <w:rFonts w:ascii="Times New Roman" w:hAnsi="Times New Roman" w:eastAsia="宋体" w:cs="Times New Roman"/>
      <w:sz w:val="18"/>
      <w:szCs w:val="18"/>
    </w:rPr>
  </w:style>
  <w:style w:type="character" w:customStyle="1" w:styleId="99">
    <w:name w:val="正文文本 3 字符"/>
    <w:basedOn w:val="44"/>
    <w:link w:val="16"/>
    <w:qFormat/>
    <w:uiPriority w:val="0"/>
    <w:rPr>
      <w:rFonts w:ascii="Times New Roman" w:hAnsi="Times New Roman" w:eastAsia="仿宋_GB2312" w:cs="Times New Roman"/>
      <w:b/>
      <w:bCs/>
      <w:sz w:val="24"/>
      <w:szCs w:val="20"/>
    </w:rPr>
  </w:style>
  <w:style w:type="character" w:customStyle="1" w:styleId="100">
    <w:name w:val="正文文本 字符"/>
    <w:basedOn w:val="44"/>
    <w:link w:val="17"/>
    <w:qFormat/>
    <w:uiPriority w:val="0"/>
    <w:rPr>
      <w:rFonts w:ascii="Times New Roman" w:hAnsi="Times New Roman" w:eastAsia="宋体" w:cs="Times New Roman"/>
      <w:sz w:val="28"/>
      <w:szCs w:val="24"/>
    </w:rPr>
  </w:style>
  <w:style w:type="character" w:customStyle="1" w:styleId="101">
    <w:name w:val="纯文本 字符"/>
    <w:basedOn w:val="44"/>
    <w:link w:val="24"/>
    <w:qFormat/>
    <w:uiPriority w:val="0"/>
    <w:rPr>
      <w:rFonts w:ascii="宋体" w:hAnsi="Times New Roman" w:eastAsia="宋体" w:cs="Times New Roman"/>
      <w:sz w:val="24"/>
      <w:szCs w:val="24"/>
    </w:rPr>
  </w:style>
  <w:style w:type="character" w:customStyle="1" w:styleId="102">
    <w:name w:val="正文文本 2 字符"/>
    <w:basedOn w:val="44"/>
    <w:link w:val="38"/>
    <w:qFormat/>
    <w:uiPriority w:val="0"/>
    <w:rPr>
      <w:rFonts w:ascii="宋体" w:hAnsi="Times New Roman" w:eastAsia="宋体" w:cs="Times New Roman"/>
      <w:color w:val="000000"/>
      <w:sz w:val="24"/>
      <w:szCs w:val="24"/>
    </w:rPr>
  </w:style>
  <w:style w:type="character" w:customStyle="1" w:styleId="103">
    <w:name w:val="正文文本缩进 2 字符"/>
    <w:basedOn w:val="44"/>
    <w:link w:val="28"/>
    <w:qFormat/>
    <w:uiPriority w:val="0"/>
    <w:rPr>
      <w:rFonts w:ascii="仿宋_GB2312" w:hAnsi="仿宋_GB2312" w:eastAsia="宋体" w:cs="Times New Roman"/>
      <w:b/>
      <w:bCs/>
      <w:color w:val="000000"/>
      <w:sz w:val="24"/>
      <w:szCs w:val="24"/>
    </w:rPr>
  </w:style>
  <w:style w:type="character" w:customStyle="1" w:styleId="104">
    <w:name w:val="批注文字 字符"/>
    <w:basedOn w:val="44"/>
    <w:link w:val="15"/>
    <w:qFormat/>
    <w:uiPriority w:val="99"/>
    <w:rPr>
      <w:rFonts w:ascii="Times New Roman" w:hAnsi="Times New Roman" w:eastAsia="宋体" w:cs="Times New Roman"/>
      <w:szCs w:val="20"/>
    </w:rPr>
  </w:style>
  <w:style w:type="character" w:customStyle="1" w:styleId="105">
    <w:name w:val="批注主题 字符"/>
    <w:basedOn w:val="104"/>
    <w:link w:val="40"/>
    <w:qFormat/>
    <w:uiPriority w:val="0"/>
    <w:rPr>
      <w:rFonts w:ascii="Times New Roman" w:hAnsi="Times New Roman" w:eastAsia="宋体" w:cs="Times New Roman"/>
      <w:szCs w:val="20"/>
    </w:rPr>
  </w:style>
  <w:style w:type="paragraph" w:customStyle="1" w:styleId="106">
    <w:name w:val="op_mapdots_left"/>
    <w:basedOn w:val="1"/>
    <w:qFormat/>
    <w:uiPriority w:val="0"/>
    <w:pPr>
      <w:widowControl/>
      <w:jc w:val="left"/>
    </w:pPr>
    <w:rPr>
      <w:rFonts w:ascii="宋体" w:cs="宋体"/>
      <w:kern w:val="0"/>
      <w:sz w:val="24"/>
    </w:rPr>
  </w:style>
  <w:style w:type="paragraph" w:customStyle="1" w:styleId="107">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0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9">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10">
    <w:name w:val="Char3"/>
    <w:basedOn w:val="1"/>
    <w:qFormat/>
    <w:uiPriority w:val="0"/>
    <w:pPr>
      <w:ind w:firstLine="200" w:firstLineChars="200"/>
      <w:jc w:val="left"/>
    </w:pPr>
    <w:rPr>
      <w:rFonts w:ascii="幼圆" w:hAnsi="宋体" w:eastAsia="幼圆" w:cs="幼圆"/>
      <w:sz w:val="24"/>
      <w:szCs w:val="21"/>
    </w:rPr>
  </w:style>
  <w:style w:type="paragraph" w:customStyle="1" w:styleId="111">
    <w:name w:val="列出段落11"/>
    <w:basedOn w:val="1"/>
    <w:qFormat/>
    <w:uiPriority w:val="0"/>
    <w:pPr>
      <w:ind w:firstLine="200" w:firstLineChars="200"/>
      <w:jc w:val="left"/>
    </w:pPr>
    <w:rPr>
      <w:rFonts w:ascii="Calibri" w:hAnsi="Calibri" w:cs="Arial"/>
      <w:szCs w:val="22"/>
    </w:rPr>
  </w:style>
  <w:style w:type="paragraph" w:customStyle="1" w:styleId="112">
    <w:name w:val="Char21"/>
    <w:basedOn w:val="1"/>
    <w:qFormat/>
    <w:uiPriority w:val="0"/>
    <w:pPr>
      <w:jc w:val="left"/>
    </w:pPr>
    <w:rPr>
      <w:rFonts w:ascii="仿宋_GB2312" w:hAnsi="宋体" w:eastAsia="仿宋_GB2312" w:cs="Arial"/>
      <w:b/>
      <w:sz w:val="32"/>
      <w:szCs w:val="32"/>
    </w:rPr>
  </w:style>
  <w:style w:type="paragraph" w:customStyle="1" w:styleId="113">
    <w:name w:val="Char Char Char Char Char Char1"/>
    <w:basedOn w:val="1"/>
    <w:qFormat/>
    <w:uiPriority w:val="0"/>
    <w:pPr>
      <w:ind w:firstLine="200" w:firstLineChars="200"/>
      <w:jc w:val="left"/>
    </w:pPr>
    <w:rPr>
      <w:rFonts w:ascii="Tahoma" w:hAnsi="Tahoma" w:cs="Arial"/>
      <w:sz w:val="24"/>
      <w:szCs w:val="21"/>
    </w:rPr>
  </w:style>
  <w:style w:type="paragraph" w:customStyle="1" w:styleId="114">
    <w:name w:val="Char1 Char Char Char1"/>
    <w:basedOn w:val="1"/>
    <w:qFormat/>
    <w:uiPriority w:val="0"/>
    <w:pPr>
      <w:tabs>
        <w:tab w:val="left" w:pos="840"/>
      </w:tabs>
      <w:ind w:left="840" w:hanging="420"/>
      <w:jc w:val="left"/>
    </w:pPr>
    <w:rPr>
      <w:rFonts w:ascii="宋体" w:hAnsi="宋体" w:cs="Arial"/>
      <w:sz w:val="24"/>
    </w:rPr>
  </w:style>
  <w:style w:type="paragraph" w:customStyle="1" w:styleId="115">
    <w:name w:val="Char Char Char Char Char Char Char Char Char Char Char Char1 Char1"/>
    <w:basedOn w:val="14"/>
    <w:qFormat/>
    <w:uiPriority w:val="0"/>
    <w:pPr>
      <w:jc w:val="left"/>
    </w:pPr>
    <w:rPr>
      <w:rFonts w:ascii="Tahoma" w:hAnsi="Tahoma" w:cs="Arial"/>
      <w:sz w:val="24"/>
    </w:rPr>
  </w:style>
  <w:style w:type="paragraph" w:customStyle="1" w:styleId="116">
    <w:name w:val="Char Char Char Char1"/>
    <w:basedOn w:val="1"/>
    <w:qFormat/>
    <w:uiPriority w:val="0"/>
    <w:pPr>
      <w:widowControl/>
      <w:spacing w:after="160" w:line="240" w:lineRule="exact"/>
      <w:jc w:val="left"/>
    </w:pPr>
    <w:rPr>
      <w:rFonts w:ascii="宋体" w:hAnsi="宋体" w:cs="Arial"/>
      <w:szCs w:val="21"/>
    </w:rPr>
  </w:style>
  <w:style w:type="paragraph" w:customStyle="1" w:styleId="11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8">
    <w:name w:val="副标题 字符"/>
    <w:link w:val="33"/>
    <w:qFormat/>
    <w:uiPriority w:val="11"/>
    <w:rPr>
      <w:rFonts w:ascii="Cambria" w:hAnsi="Cambria"/>
      <w:b/>
      <w:bCs/>
      <w:kern w:val="28"/>
      <w:sz w:val="32"/>
      <w:szCs w:val="32"/>
    </w:rPr>
  </w:style>
  <w:style w:type="character" w:customStyle="1" w:styleId="119">
    <w:name w:val="副标题 Char1"/>
    <w:basedOn w:val="44"/>
    <w:qFormat/>
    <w:uiPriority w:val="11"/>
    <w:rPr>
      <w:rFonts w:eastAsia="宋体" w:asciiTheme="majorHAnsi" w:hAnsiTheme="majorHAnsi" w:cstheme="majorBidi"/>
      <w:b/>
      <w:bCs/>
      <w:kern w:val="28"/>
      <w:sz w:val="32"/>
      <w:szCs w:val="32"/>
    </w:rPr>
  </w:style>
  <w:style w:type="paragraph" w:customStyle="1" w:styleId="1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1">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22">
    <w:name w:val="列表段落 字符"/>
    <w:link w:val="91"/>
    <w:qFormat/>
    <w:locked/>
    <w:uiPriority w:val="34"/>
    <w:rPr>
      <w:rFonts w:ascii="Calibri" w:hAnsi="Calibri" w:eastAsia="宋体" w:cs="Times New Roman"/>
    </w:rPr>
  </w:style>
  <w:style w:type="paragraph" w:customStyle="1" w:styleId="123">
    <w:name w:val="333"/>
    <w:basedOn w:val="1"/>
    <w:qFormat/>
    <w:uiPriority w:val="0"/>
    <w:pPr>
      <w:adjustRightInd w:val="0"/>
      <w:spacing w:line="312" w:lineRule="atLeast"/>
      <w:textAlignment w:val="baseline"/>
    </w:pPr>
    <w:rPr>
      <w:kern w:val="0"/>
      <w:szCs w:val="20"/>
    </w:rPr>
  </w:style>
  <w:style w:type="paragraph" w:customStyle="1" w:styleId="1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_Style 2"/>
    <w:basedOn w:val="1"/>
    <w:qFormat/>
    <w:uiPriority w:val="34"/>
    <w:pPr>
      <w:adjustRightInd w:val="0"/>
      <w:spacing w:line="312" w:lineRule="atLeast"/>
      <w:ind w:firstLine="420" w:firstLineChars="200"/>
      <w:textAlignment w:val="baseline"/>
    </w:pPr>
    <w:rPr>
      <w:kern w:val="0"/>
    </w:rPr>
  </w:style>
  <w:style w:type="character" w:customStyle="1" w:styleId="126">
    <w:name w:val="批注文字 字符1"/>
    <w:qFormat/>
    <w:uiPriority w:val="99"/>
    <w:rPr>
      <w:kern w:val="2"/>
      <w:sz w:val="21"/>
    </w:rPr>
  </w:style>
  <w:style w:type="character" w:customStyle="1" w:styleId="127">
    <w:name w:val="纯文本 字符1"/>
    <w:qFormat/>
    <w:uiPriority w:val="0"/>
    <w:rPr>
      <w:rFonts w:ascii="宋体" w:hAnsi="Courier New"/>
      <w:kern w:val="2"/>
      <w:sz w:val="24"/>
      <w:szCs w:val="24"/>
    </w:rPr>
  </w:style>
  <w:style w:type="paragraph" w:customStyle="1" w:styleId="128">
    <w:name w:val="纯文本1"/>
    <w:basedOn w:val="1"/>
    <w:qFormat/>
    <w:uiPriority w:val="0"/>
    <w:pPr>
      <w:spacing w:beforeLines="50" w:afterLines="50" w:line="400" w:lineRule="exact"/>
    </w:pPr>
    <w:rPr>
      <w:rFonts w:ascii="宋体" w:hAnsi="Courier New"/>
      <w:sz w:val="24"/>
    </w:rPr>
  </w:style>
  <w:style w:type="character" w:customStyle="1" w:styleId="129">
    <w:name w:val="style361"/>
    <w:qFormat/>
    <w:uiPriority w:val="0"/>
    <w:rPr>
      <w:b/>
      <w:bCs/>
      <w:sz w:val="21"/>
      <w:szCs w:val="21"/>
    </w:rPr>
  </w:style>
  <w:style w:type="paragraph" w:customStyle="1" w:styleId="130">
    <w:name w:val="style31"/>
    <w:basedOn w:val="1"/>
    <w:qFormat/>
    <w:uiPriority w:val="0"/>
    <w:pPr>
      <w:widowControl/>
      <w:spacing w:before="100" w:beforeAutospacing="1" w:after="100" w:afterAutospacing="1"/>
      <w:jc w:val="left"/>
    </w:pPr>
    <w:rPr>
      <w:rFonts w:ascii="Arial" w:hAnsi="Arial" w:cs="Arial"/>
      <w:kern w:val="0"/>
      <w:szCs w:val="21"/>
    </w:rPr>
  </w:style>
  <w:style w:type="paragraph" w:customStyle="1" w:styleId="131">
    <w:name w:val="彩色列表 - 着色 11"/>
    <w:basedOn w:val="1"/>
    <w:qFormat/>
    <w:uiPriority w:val="34"/>
    <w:pPr>
      <w:adjustRightInd w:val="0"/>
      <w:spacing w:line="312" w:lineRule="atLeast"/>
      <w:ind w:firstLine="420" w:firstLineChars="200"/>
      <w:textAlignment w:val="baseline"/>
    </w:pPr>
    <w:rPr>
      <w:rFonts w:ascii="Calibri" w:hAnsi="Calibri"/>
      <w:kern w:val="0"/>
      <w:szCs w:val="22"/>
    </w:rPr>
  </w:style>
  <w:style w:type="paragraph" w:customStyle="1" w:styleId="13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3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35">
    <w:name w:val="font81"/>
    <w:basedOn w:val="44"/>
    <w:qFormat/>
    <w:uiPriority w:val="0"/>
    <w:rPr>
      <w:rFonts w:hint="default" w:ascii="CESI仿宋-GB13000" w:hAnsi="CESI仿宋-GB13000" w:eastAsia="CESI仿宋-GB13000" w:cs="CESI仿宋-GB13000"/>
      <w:color w:val="000000"/>
      <w:sz w:val="20"/>
      <w:szCs w:val="20"/>
      <w:u w:val="none"/>
    </w:rPr>
  </w:style>
  <w:style w:type="character" w:customStyle="1" w:styleId="136">
    <w:name w:val="font51"/>
    <w:basedOn w:val="44"/>
    <w:qFormat/>
    <w:uiPriority w:val="0"/>
    <w:rPr>
      <w:rFonts w:hint="default" w:ascii="CESI仿宋-GB13000" w:hAnsi="CESI仿宋-GB13000" w:eastAsia="CESI仿宋-GB13000" w:cs="CESI仿宋-GB13000"/>
      <w:color w:val="000000"/>
      <w:sz w:val="20"/>
      <w:szCs w:val="20"/>
      <w:u w:val="none"/>
    </w:rPr>
  </w:style>
  <w:style w:type="paragraph" w:customStyle="1" w:styleId="137">
    <w:name w:val="Table Paragraph"/>
    <w:basedOn w:val="1"/>
    <w:qFormat/>
    <w:uiPriority w:val="0"/>
    <w:pPr>
      <w:ind w:left="229"/>
    </w:pPr>
    <w:rPr>
      <w:rFonts w:ascii="Arial" w:hAnsi="Arial" w:eastAsia="Arial" w:cs="Arial"/>
      <w:lang w:val="zh-CN" w:bidi="zh-CN"/>
    </w:rPr>
  </w:style>
  <w:style w:type="table" w:customStyle="1" w:styleId="138">
    <w:name w:val="Table Normal"/>
    <w:unhideWhenUsed/>
    <w:qFormat/>
    <w:uiPriority w:val="0"/>
    <w:tblPr>
      <w:tblCellMar>
        <w:top w:w="0" w:type="dxa"/>
        <w:left w:w="0" w:type="dxa"/>
        <w:bottom w:w="0" w:type="dxa"/>
        <w:right w:w="0" w:type="dxa"/>
      </w:tblCellMar>
    </w:tblPr>
  </w:style>
  <w:style w:type="paragraph" w:customStyle="1" w:styleId="139">
    <w:name w:val="Table Text"/>
    <w:basedOn w:val="1"/>
    <w:semiHidden/>
    <w:qFormat/>
    <w:uiPriority w:val="0"/>
    <w:rPr>
      <w:rFonts w:ascii="Arial" w:hAnsi="Arial" w:eastAsia="Arial" w:cs="Arial"/>
      <w:szCs w:val="21"/>
      <w:lang w:eastAsia="en-US"/>
    </w:rPr>
  </w:style>
  <w:style w:type="paragraph" w:customStyle="1" w:styleId="140">
    <w:name w:val="_Style 3"/>
    <w:basedOn w:val="1"/>
    <w:qFormat/>
    <w:uiPriority w:val="0"/>
    <w:pPr>
      <w:ind w:firstLine="420" w:firstLineChars="200"/>
    </w:pPr>
    <w:rPr>
      <w:rFonts w:eastAsia="仿宋_GB2312"/>
      <w:sz w:val="28"/>
    </w:rPr>
  </w:style>
  <w:style w:type="paragraph" w:customStyle="1" w:styleId="141">
    <w:name w:val="1.1.1.1"/>
    <w:next w:val="26"/>
    <w:qFormat/>
    <w:uiPriority w:val="0"/>
    <w:pPr>
      <w:widowControl w:val="0"/>
      <w:tabs>
        <w:tab w:val="left" w:pos="26875"/>
      </w:tabs>
      <w:autoSpaceDE w:val="0"/>
      <w:autoSpaceDN w:val="0"/>
      <w:adjustRightInd w:val="0"/>
      <w:spacing w:before="60" w:after="60" w:line="360" w:lineRule="atLeast"/>
      <w:ind w:left="1134" w:hanging="1134"/>
      <w:jc w:val="both"/>
    </w:pPr>
    <w:rPr>
      <w:rFonts w:ascii="宋体" w:hAnsi="Times New Roman" w:eastAsia="宋体" w:cs="Times New Roman"/>
      <w:sz w:val="24"/>
      <w:lang w:val="en-US" w:eastAsia="zh-CN" w:bidi="ar-SA"/>
    </w:rPr>
  </w:style>
  <w:style w:type="character" w:customStyle="1" w:styleId="142">
    <w:name w:val="font11"/>
    <w:basedOn w:val="44"/>
    <w:qFormat/>
    <w:uiPriority w:val="0"/>
    <w:rPr>
      <w:rFonts w:hint="eastAsia" w:ascii="宋体" w:hAnsi="宋体" w:eastAsia="宋体" w:cs="宋体"/>
      <w:color w:val="000000"/>
      <w:sz w:val="20"/>
      <w:szCs w:val="20"/>
      <w:u w:val="none"/>
    </w:rPr>
  </w:style>
  <w:style w:type="character" w:customStyle="1" w:styleId="143">
    <w:name w:val="font61"/>
    <w:basedOn w:val="44"/>
    <w:qFormat/>
    <w:uiPriority w:val="0"/>
    <w:rPr>
      <w:rFonts w:hint="eastAsia" w:ascii="宋体" w:hAnsi="宋体" w:eastAsia="宋体" w:cs="宋体"/>
      <w:color w:val="FF0000"/>
      <w:sz w:val="20"/>
      <w:szCs w:val="20"/>
      <w:u w:val="none"/>
    </w:rPr>
  </w:style>
  <w:style w:type="paragraph" w:customStyle="1" w:styleId="144">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45267</Words>
  <Characters>47233</Characters>
  <Lines>366</Lines>
  <Paragraphs>103</Paragraphs>
  <TotalTime>27</TotalTime>
  <ScaleCrop>false</ScaleCrop>
  <LinksUpToDate>false</LinksUpToDate>
  <CharactersWithSpaces>48573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2024-09-13T05:53:00Z</dcterms:created>
  <dc:creator>章海波</dc:creator>
  <cp:lastModifiedBy>33hd</cp:lastModifiedBy>
  <cp:lastPrinted>2018-03-27T12:46:00Z</cp:lastPrinted>
  <dcterms:modified xsi:type="dcterms:W3CDTF">2024-09-14T09:25:16Z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73EA091F8C10C3578FABCA662A4DAA42_33</vt:lpwstr>
  </property>
</Properties>
</file>