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CA004">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3865A3C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08F01BA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597303F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56411CA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97CB367">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7A48937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6C1EDD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2024NBHSWCS566</w:t>
      </w:r>
    </w:p>
    <w:p w14:paraId="5CBE671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bookmarkStart w:id="2" w:name="_Toc10286"/>
      <w:r>
        <w:rPr>
          <w:rFonts w:hint="eastAsia" w:cs="仿宋_GB2312" w:asciiTheme="minorEastAsia" w:hAnsiTheme="minorEastAsia" w:eastAsiaTheme="minorEastAsia"/>
          <w:color w:val="auto"/>
          <w:sz w:val="32"/>
          <w:szCs w:val="32"/>
          <w:highlight w:val="none"/>
          <w:lang w:val="en-US" w:eastAsia="zh-CN"/>
        </w:rPr>
        <w:t>海曙区智慧民政综合服务平台</w:t>
      </w:r>
      <w:bookmarkEnd w:id="2"/>
      <w:r>
        <w:rPr>
          <w:rFonts w:hint="eastAsia" w:cs="仿宋_GB2312" w:asciiTheme="minorEastAsia" w:hAnsiTheme="minorEastAsia" w:eastAsiaTheme="minorEastAsia"/>
          <w:color w:val="auto"/>
          <w:sz w:val="32"/>
          <w:szCs w:val="32"/>
          <w:highlight w:val="none"/>
          <w:lang w:val="en-US" w:eastAsia="zh-CN"/>
        </w:rPr>
        <w:t>建设项目</w:t>
      </w:r>
    </w:p>
    <w:p w14:paraId="2C87A64F">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0439191A">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3E3BB63A">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0C6FB920">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3797A32A">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2E6778E1">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13205D4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3" w:name="_Toc24447"/>
    </w:p>
    <w:p w14:paraId="6FE796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3"/>
      <w:r>
        <w:rPr>
          <w:rFonts w:hint="eastAsia" w:cs="仿宋_GB2312" w:asciiTheme="minorEastAsia" w:hAnsiTheme="minorEastAsia" w:eastAsiaTheme="minorEastAsia"/>
          <w:color w:val="auto"/>
          <w:sz w:val="32"/>
          <w:szCs w:val="32"/>
          <w:highlight w:val="none"/>
          <w:lang w:eastAsia="zh-CN"/>
        </w:rPr>
        <w:t>宁波市海曙区民政局</w:t>
      </w:r>
    </w:p>
    <w:p w14:paraId="3503DC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4"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4"/>
    </w:p>
    <w:p w14:paraId="048A20EB">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1E124045">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十二</w:t>
      </w:r>
      <w:r>
        <w:rPr>
          <w:rFonts w:hint="eastAsia" w:cs="仿宋_GB2312" w:asciiTheme="minorEastAsia" w:hAnsiTheme="minorEastAsia" w:eastAsiaTheme="minorEastAsia"/>
          <w:bCs/>
          <w:color w:val="auto"/>
          <w:sz w:val="32"/>
          <w:szCs w:val="32"/>
          <w:highlight w:val="none"/>
        </w:rPr>
        <w:t>月</w:t>
      </w:r>
    </w:p>
    <w:p w14:paraId="6FCA15FB">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5" w:name="_Hlt67893495"/>
      <w:bookmarkEnd w:id="5"/>
    </w:p>
    <w:p w14:paraId="3352E6E8">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14:paraId="1E12A3B2">
      <w:pPr>
        <w:pStyle w:val="2"/>
        <w:numPr>
          <w:ilvl w:val="0"/>
          <w:numId w:val="0"/>
        </w:numPr>
        <w:ind w:leftChars="0"/>
        <w:rPr>
          <w:color w:val="auto"/>
          <w:highlight w:val="none"/>
        </w:rPr>
      </w:pPr>
    </w:p>
    <w:p w14:paraId="5291A22F">
      <w:pPr>
        <w:kinsoku/>
        <w:wordWrap/>
        <w:overflowPunct/>
        <w:topLinePunct w:val="0"/>
        <w:bidi w:val="0"/>
        <w:spacing w:line="360" w:lineRule="auto"/>
        <w:jc w:val="center"/>
        <w:outlineLvl w:val="9"/>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DC88A49">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4E8D338D">
      <w:pPr>
        <w:spacing w:before="0" w:beforeLines="0" w:after="0" w:afterLines="0" w:line="240" w:lineRule="auto"/>
        <w:ind w:left="0" w:leftChars="0" w:right="0" w:rightChars="0" w:firstLine="0" w:firstLineChars="0"/>
        <w:jc w:val="center"/>
        <w:rPr>
          <w:color w:val="auto"/>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14:paraId="449CF3B0">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_Toc354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_Toc354 \h </w:instrText>
      </w:r>
      <w:r>
        <w:rPr>
          <w:color w:val="auto"/>
          <w:sz w:val="32"/>
          <w:szCs w:val="40"/>
          <w:highlight w:val="none"/>
        </w:rPr>
        <w:fldChar w:fldCharType="separate"/>
      </w:r>
      <w:r>
        <w:rPr>
          <w:color w:val="auto"/>
          <w:sz w:val="32"/>
          <w:szCs w:val="40"/>
          <w:highlight w:val="none"/>
        </w:rPr>
        <w:t>2</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08C1D1BD">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_Toc2540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 xml:space="preserve">第二部分 </w:t>
      </w:r>
      <w:r>
        <w:rPr>
          <w:rFonts w:hint="eastAsia" w:cs="仿宋_GB2312" w:asciiTheme="minorEastAsia" w:hAnsiTheme="minorEastAsia" w:eastAsiaTheme="minorEastAsia"/>
          <w:color w:val="auto"/>
          <w:sz w:val="32"/>
          <w:szCs w:val="28"/>
          <w:highlight w:val="none"/>
          <w:lang w:val="en-US" w:eastAsia="zh-CN"/>
        </w:rPr>
        <w:t xml:space="preserve"> </w:t>
      </w:r>
      <w:r>
        <w:rPr>
          <w:rFonts w:hint="eastAsia" w:cs="仿宋_GB2312" w:asciiTheme="minorEastAsia" w:hAnsiTheme="minorEastAsia" w:eastAsiaTheme="minorEastAsia"/>
          <w:color w:val="auto"/>
          <w:sz w:val="32"/>
          <w:szCs w:val="28"/>
          <w:highlight w:val="none"/>
        </w:rPr>
        <w:t>竞争性磋商流程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_Toc2540 \h </w:instrText>
      </w:r>
      <w:r>
        <w:rPr>
          <w:color w:val="auto"/>
          <w:sz w:val="32"/>
          <w:szCs w:val="40"/>
          <w:highlight w:val="none"/>
        </w:rPr>
        <w:fldChar w:fldCharType="separate"/>
      </w:r>
      <w:r>
        <w:rPr>
          <w:color w:val="auto"/>
          <w:sz w:val="32"/>
          <w:szCs w:val="40"/>
          <w:highlight w:val="none"/>
        </w:rPr>
        <w:t>8</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36B369E3">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_Toc14128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_Toc14128 \h </w:instrText>
      </w:r>
      <w:r>
        <w:rPr>
          <w:color w:val="auto"/>
          <w:sz w:val="32"/>
          <w:szCs w:val="40"/>
          <w:highlight w:val="none"/>
        </w:rPr>
        <w:fldChar w:fldCharType="separate"/>
      </w:r>
      <w:r>
        <w:rPr>
          <w:color w:val="auto"/>
          <w:sz w:val="32"/>
          <w:szCs w:val="40"/>
          <w:highlight w:val="none"/>
        </w:rPr>
        <w:t>12</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3D32F55B">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_Toc31035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52"/>
          <w:highlight w:val="none"/>
        </w:rPr>
        <w:t>第四部分  采购需求</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_Toc31035 \h </w:instrText>
      </w:r>
      <w:r>
        <w:rPr>
          <w:color w:val="auto"/>
          <w:sz w:val="32"/>
          <w:szCs w:val="40"/>
          <w:highlight w:val="none"/>
        </w:rPr>
        <w:fldChar w:fldCharType="separate"/>
      </w:r>
      <w:r>
        <w:rPr>
          <w:color w:val="auto"/>
          <w:sz w:val="32"/>
          <w:szCs w:val="40"/>
          <w:highlight w:val="none"/>
        </w:rPr>
        <w:t>31</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30444CF2">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_Toc17730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52"/>
          <w:highlight w:val="none"/>
        </w:rPr>
        <w:t>第五部分  评审方法及评审标准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_Toc17730 \h </w:instrText>
      </w:r>
      <w:r>
        <w:rPr>
          <w:color w:val="auto"/>
          <w:sz w:val="32"/>
          <w:szCs w:val="40"/>
          <w:highlight w:val="none"/>
        </w:rPr>
        <w:fldChar w:fldCharType="separate"/>
      </w:r>
      <w:r>
        <w:rPr>
          <w:color w:val="auto"/>
          <w:sz w:val="32"/>
          <w:szCs w:val="40"/>
          <w:highlight w:val="none"/>
        </w:rPr>
        <w:t>97</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279ED43B">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_Toc7080 </w:instrText>
      </w:r>
      <w:r>
        <w:rPr>
          <w:rFonts w:cs="仿宋_GB2312" w:asciiTheme="minorEastAsia" w:hAnsiTheme="minorEastAsia" w:eastAsiaTheme="minorEastAsia"/>
          <w:color w:val="auto"/>
          <w:sz w:val="32"/>
          <w:szCs w:val="48"/>
          <w:highlight w:val="none"/>
        </w:rPr>
        <w:fldChar w:fldCharType="separate"/>
      </w:r>
      <w:r>
        <w:rPr>
          <w:rFonts w:hint="eastAsia" w:ascii="宋体" w:hAnsi="宋体" w:eastAsia="宋体" w:cs="仿宋_GB2312"/>
          <w:color w:val="auto"/>
          <w:sz w:val="32"/>
          <w:szCs w:val="52"/>
          <w:highlight w:val="none"/>
        </w:rPr>
        <w:t>第六部分  拟签订的合同文本</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_Toc7080 \h </w:instrText>
      </w:r>
      <w:r>
        <w:rPr>
          <w:color w:val="auto"/>
          <w:sz w:val="32"/>
          <w:szCs w:val="40"/>
          <w:highlight w:val="none"/>
        </w:rPr>
        <w:fldChar w:fldCharType="separate"/>
      </w:r>
      <w:r>
        <w:rPr>
          <w:color w:val="auto"/>
          <w:sz w:val="32"/>
          <w:szCs w:val="40"/>
          <w:highlight w:val="none"/>
        </w:rPr>
        <w:t>106</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7ADE9A28">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_Toc20617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_Toc20617 \h </w:instrText>
      </w:r>
      <w:r>
        <w:rPr>
          <w:color w:val="auto"/>
          <w:sz w:val="32"/>
          <w:szCs w:val="40"/>
          <w:highlight w:val="none"/>
        </w:rPr>
        <w:fldChar w:fldCharType="separate"/>
      </w:r>
      <w:r>
        <w:rPr>
          <w:color w:val="auto"/>
          <w:sz w:val="32"/>
          <w:szCs w:val="40"/>
          <w:highlight w:val="none"/>
        </w:rPr>
        <w:t>117</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78750563">
      <w:pPr>
        <w:pStyle w:val="41"/>
        <w:tabs>
          <w:tab w:val="right" w:leader="dot" w:pos="8958"/>
        </w:tabs>
        <w:rPr>
          <w:color w:val="auto"/>
          <w:sz w:val="32"/>
          <w:szCs w:val="40"/>
          <w:highlight w:val="none"/>
        </w:rPr>
      </w:pPr>
    </w:p>
    <w:p w14:paraId="60B0E398">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r>
        <w:rPr>
          <w:rFonts w:cs="仿宋_GB2312" w:asciiTheme="minorEastAsia" w:hAnsiTheme="minorEastAsia" w:eastAsiaTheme="minorEastAsia"/>
          <w:color w:val="auto"/>
          <w:szCs w:val="32"/>
          <w:highlight w:val="none"/>
        </w:rPr>
        <w:fldChar w:fldCharType="end"/>
      </w:r>
    </w:p>
    <w:p w14:paraId="60D872C3">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671275F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6" w:name="_Hlt91233176"/>
      <w:bookmarkEnd w:id="6"/>
      <w:bookmarkStart w:id="7" w:name="_Toc91899869"/>
    </w:p>
    <w:p w14:paraId="2640D207">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866970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94CDA4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3E952106">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15787E9">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16CA3028">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B5D6D0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26ECE0D">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2A10CD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bookmarkEnd w:id="7"/>
    <w:p w14:paraId="52861D5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pgSz w:w="11906" w:h="16838"/>
          <w:pgMar w:top="1474" w:right="1474" w:bottom="1247" w:left="1474" w:header="851" w:footer="850" w:gutter="0"/>
          <w:cols w:space="720" w:num="1"/>
          <w:docGrid w:linePitch="312" w:charSpace="0"/>
        </w:sectPr>
      </w:pPr>
      <w:bookmarkStart w:id="8" w:name="_Hlt74707423"/>
      <w:bookmarkEnd w:id="8"/>
      <w:bookmarkStart w:id="9" w:name="_Hlt74728647"/>
      <w:bookmarkEnd w:id="9"/>
      <w:bookmarkStart w:id="10" w:name="_Hlt74729822"/>
      <w:bookmarkEnd w:id="10"/>
      <w:bookmarkStart w:id="11" w:name="_Hlt74649545"/>
      <w:bookmarkEnd w:id="11"/>
      <w:bookmarkStart w:id="12" w:name="_Toc354"/>
      <w:bookmarkStart w:id="13" w:name="第二部分"/>
      <w:bookmarkStart w:id="14" w:name="_Toc91899870"/>
      <w:bookmarkStart w:id="15" w:name="_Toc91899871"/>
    </w:p>
    <w:p w14:paraId="4948C6F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2FD359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6839AB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50FA09A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24E6E47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250ECC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11A9202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2417559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292884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7C47F5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10AE315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6C8A4A1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34B699E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0ACD31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7FDB7E9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4EEA3C0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228A738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037332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0A2DA19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3CD259B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4A1E50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327188A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7B1F10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第一部分  邀请供应商</w:t>
      </w:r>
      <w:bookmarkEnd w:id="12"/>
    </w:p>
    <w:p w14:paraId="02A2E5B2">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23975843">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0C07DF3">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海曙区智慧民政综合服务平台建设项目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 xml:space="preserve">09 </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481C9BBE">
      <w:pPr>
        <w:kinsoku/>
        <w:wordWrap/>
        <w:overflowPunct/>
        <w:topLinePunct w:val="0"/>
        <w:bidi w:val="0"/>
        <w:spacing w:line="360" w:lineRule="auto"/>
        <w:outlineLvl w:val="9"/>
        <w:rPr>
          <w:rFonts w:asciiTheme="minorEastAsia" w:hAnsiTheme="minorEastAsia" w:eastAsiaTheme="minorEastAsia"/>
          <w:color w:val="auto"/>
          <w:sz w:val="24"/>
          <w:highlight w:val="none"/>
        </w:rPr>
      </w:pPr>
    </w:p>
    <w:p w14:paraId="708F724A">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16" w:name="_Toc28359012"/>
      <w:bookmarkStart w:id="17" w:name="_Toc35393798"/>
      <w:bookmarkStart w:id="18" w:name="_Toc35393629"/>
      <w:bookmarkStart w:id="19" w:name="_Toc28359089"/>
      <w:r>
        <w:rPr>
          <w:rFonts w:hint="eastAsia" w:cs="宋体" w:asciiTheme="minorEastAsia" w:hAnsiTheme="minorEastAsia" w:eastAsiaTheme="minorEastAsia"/>
          <w:color w:val="auto"/>
          <w:sz w:val="24"/>
          <w:szCs w:val="24"/>
          <w:highlight w:val="none"/>
        </w:rPr>
        <w:t>一、项目基本情况</w:t>
      </w:r>
      <w:bookmarkEnd w:id="16"/>
      <w:bookmarkEnd w:id="17"/>
      <w:bookmarkEnd w:id="18"/>
      <w:bookmarkEnd w:id="19"/>
    </w:p>
    <w:p w14:paraId="2F28180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lang w:eastAsia="zh-CN"/>
        </w:rPr>
        <w:t>2024NBHSWCS566</w:t>
      </w:r>
    </w:p>
    <w:p w14:paraId="3171CBD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eastAsia="zh-CN"/>
        </w:rPr>
        <w:t>海曙区智慧民政综合服务平台建设项目</w:t>
      </w:r>
    </w:p>
    <w:p w14:paraId="758F7C8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3933534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数量：</w:t>
      </w:r>
      <w:r>
        <w:rPr>
          <w:rFonts w:hint="eastAsia" w:asciiTheme="minorEastAsia" w:hAnsiTheme="minorEastAsia" w:eastAsiaTheme="minorEastAsia"/>
          <w:b w:val="0"/>
          <w:bCs/>
          <w:color w:val="auto"/>
          <w:sz w:val="24"/>
          <w:highlight w:val="none"/>
          <w:lang w:val="en-US" w:eastAsia="zh-CN"/>
        </w:rPr>
        <w:t>1项</w:t>
      </w:r>
    </w:p>
    <w:p w14:paraId="2AA7B0A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1502880.00</w:t>
      </w:r>
    </w:p>
    <w:p w14:paraId="129F1B5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1502880</w:t>
      </w:r>
      <w:r>
        <w:rPr>
          <w:rFonts w:hint="eastAsia" w:asciiTheme="minorEastAsia" w:hAnsiTheme="minorEastAsia" w:eastAsiaTheme="minorEastAsia"/>
          <w:b w:val="0"/>
          <w:bCs/>
          <w:color w:val="auto"/>
          <w:sz w:val="24"/>
          <w:highlight w:val="none"/>
          <w:lang w:eastAsia="zh-CN"/>
        </w:rPr>
        <w:t>.00</w:t>
      </w:r>
    </w:p>
    <w:p w14:paraId="6027430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rPr>
        <w:t>具体工作内容详见《第四部分  采购需求》。</w:t>
      </w:r>
    </w:p>
    <w:p w14:paraId="3556A17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：自合同签订之日起</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个月内完成项目的需求调研、开发建设、系统调试、</w:t>
      </w:r>
      <w:r>
        <w:rPr>
          <w:rFonts w:hint="eastAsia" w:asciiTheme="minorEastAsia" w:hAnsiTheme="minorEastAsia" w:eastAsiaTheme="minorEastAsia"/>
          <w:color w:val="auto"/>
          <w:sz w:val="24"/>
          <w:highlight w:val="none"/>
          <w:lang w:val="en-US" w:eastAsia="zh-CN"/>
        </w:rPr>
        <w:t>试运行、</w:t>
      </w:r>
      <w:r>
        <w:rPr>
          <w:rFonts w:hint="eastAsia" w:asciiTheme="minorEastAsia" w:hAnsiTheme="minorEastAsia" w:eastAsiaTheme="minorEastAsia"/>
          <w:color w:val="auto"/>
          <w:sz w:val="24"/>
          <w:highlight w:val="none"/>
        </w:rPr>
        <w:t>验收等工作</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试运行时间不少于3个月</w:t>
      </w:r>
      <w:r>
        <w:rPr>
          <w:rFonts w:hint="eastAsia" w:asciiTheme="minorEastAsia" w:hAnsiTheme="minorEastAsia" w:eastAsiaTheme="minorEastAsia"/>
          <w:color w:val="auto"/>
          <w:sz w:val="24"/>
          <w:highlight w:val="none"/>
        </w:rPr>
        <w:t>。</w:t>
      </w:r>
    </w:p>
    <w:p w14:paraId="02D1985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备注：</w:t>
      </w:r>
      <w:r>
        <w:rPr>
          <w:rFonts w:hint="eastAsia" w:hAnsi="宋体" w:cs="宋体"/>
          <w:color w:val="auto"/>
          <w:sz w:val="24"/>
          <w:szCs w:val="24"/>
          <w:highlight w:val="none"/>
          <w:lang w:val="en-US" w:eastAsia="zh-CN"/>
        </w:rPr>
        <w:t>/</w:t>
      </w:r>
    </w:p>
    <w:p w14:paraId="58028F6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7DBFFF98">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0" w:name="_Toc35393630"/>
      <w:bookmarkStart w:id="21" w:name="_Toc28359090"/>
      <w:bookmarkStart w:id="22" w:name="_Toc28359013"/>
      <w:bookmarkStart w:id="23" w:name="_Toc35393799"/>
      <w:r>
        <w:rPr>
          <w:rFonts w:hint="eastAsia" w:cs="宋体" w:asciiTheme="minorEastAsia" w:hAnsiTheme="minorEastAsia" w:eastAsiaTheme="minorEastAsia"/>
          <w:color w:val="auto"/>
          <w:sz w:val="24"/>
          <w:highlight w:val="none"/>
        </w:rPr>
        <w:t>二、申请人的资格要求：</w:t>
      </w:r>
      <w:bookmarkEnd w:id="20"/>
      <w:bookmarkEnd w:id="21"/>
      <w:bookmarkEnd w:id="22"/>
      <w:bookmarkEnd w:id="23"/>
    </w:p>
    <w:p w14:paraId="0EB83BF6">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3CEE457E">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本项目不接受联合体响应或者供应商不以联合体形式响应的，则不需要提供</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w:t>
      </w:r>
    </w:p>
    <w:p w14:paraId="266864C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6FDA86F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6E0A4FE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757228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4DD22573">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980318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3EF76B3">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977509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1BC4A61F">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8019686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4F48D3DC">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7B7E0AC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207EEA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CB80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6.本项目允许分公司参加投标：</w:t>
      </w:r>
    </w:p>
    <w:p w14:paraId="1222D3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除银行、保险、石油石化、电力、电信、邮政、铁路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以分公司名义参加投标的，响应文件所要求的法定代表人均可由其分公司负责人代替。</w:t>
      </w:r>
    </w:p>
    <w:p w14:paraId="5CF0EF5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4" w:name="_Toc28359014"/>
      <w:bookmarkStart w:id="25" w:name="_Toc35393631"/>
      <w:bookmarkStart w:id="26" w:name="_Toc35393800"/>
      <w:bookmarkStart w:id="27" w:name="_Toc28359091"/>
      <w:r>
        <w:rPr>
          <w:rFonts w:hint="eastAsia" w:cs="宋体" w:asciiTheme="minorEastAsia" w:hAnsiTheme="minorEastAsia" w:eastAsiaTheme="minorEastAsia"/>
          <w:color w:val="auto"/>
          <w:sz w:val="24"/>
          <w:highlight w:val="none"/>
        </w:rPr>
        <w:t>三、获取（下载）采购文件</w:t>
      </w:r>
      <w:bookmarkEnd w:id="24"/>
      <w:bookmarkEnd w:id="25"/>
      <w:bookmarkEnd w:id="26"/>
      <w:bookmarkEnd w:id="27"/>
    </w:p>
    <w:p w14:paraId="28841E3A">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12</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20</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12</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30</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7FA51835">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39FD275B">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24961A25">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28256DA8">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8" w:name="_Toc28359092"/>
      <w:bookmarkStart w:id="29" w:name="_Toc35393632"/>
      <w:bookmarkStart w:id="30" w:name="_Toc28359015"/>
      <w:bookmarkStart w:id="31" w:name="_Toc35393801"/>
      <w:r>
        <w:rPr>
          <w:rFonts w:hint="eastAsia" w:cs="宋体" w:asciiTheme="minorEastAsia" w:hAnsiTheme="minorEastAsia" w:eastAsiaTheme="minorEastAsia"/>
          <w:color w:val="auto"/>
          <w:sz w:val="24"/>
          <w:szCs w:val="24"/>
          <w:highlight w:val="none"/>
        </w:rPr>
        <w:t>四、响应文件提交</w:t>
      </w:r>
      <w:bookmarkEnd w:id="28"/>
      <w:bookmarkEnd w:id="29"/>
      <w:bookmarkEnd w:id="30"/>
      <w:bookmarkEnd w:id="31"/>
      <w:r>
        <w:rPr>
          <w:rFonts w:hint="eastAsia" w:cs="宋体" w:asciiTheme="minorEastAsia" w:hAnsiTheme="minorEastAsia" w:eastAsiaTheme="minorEastAsia"/>
          <w:color w:val="auto"/>
          <w:sz w:val="24"/>
          <w:szCs w:val="24"/>
          <w:highlight w:val="none"/>
        </w:rPr>
        <w:t>（上传）</w:t>
      </w:r>
    </w:p>
    <w:p w14:paraId="5BD5A8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1DF208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）[宁波市海曙区气象路58号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南门上</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]。政府采购云平台（http://www.zcygov.cn/）。</w:t>
      </w:r>
    </w:p>
    <w:p w14:paraId="1E38A7F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2" w:name="_Toc35393802"/>
      <w:bookmarkStart w:id="33" w:name="_Toc35393633"/>
      <w:bookmarkStart w:id="34" w:name="_Toc28359093"/>
      <w:bookmarkStart w:id="35" w:name="_Toc28359016"/>
      <w:r>
        <w:rPr>
          <w:rFonts w:hint="eastAsia" w:cs="宋体" w:asciiTheme="minorEastAsia" w:hAnsiTheme="minorEastAsia" w:eastAsiaTheme="minorEastAsia"/>
          <w:color w:val="auto"/>
          <w:sz w:val="24"/>
          <w:szCs w:val="24"/>
          <w:highlight w:val="none"/>
        </w:rPr>
        <w:t>五、响应文件开启</w:t>
      </w:r>
      <w:bookmarkEnd w:id="32"/>
      <w:bookmarkEnd w:id="33"/>
      <w:bookmarkEnd w:id="34"/>
      <w:bookmarkEnd w:id="35"/>
    </w:p>
    <w:p w14:paraId="641AA37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12</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31</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u w:val="single"/>
          <w:lang w:val="en-US" w:eastAsia="zh-CN"/>
        </w:rPr>
        <w:t>09</w:t>
      </w:r>
      <w:r>
        <w:rPr>
          <w:rFonts w:hint="eastAsia" w:asciiTheme="minorEastAsia" w:hAnsiTheme="minorEastAsia" w:eastAsiaTheme="minorEastAsia"/>
          <w:color w:val="auto"/>
          <w:sz w:val="24"/>
          <w:highlight w:val="none"/>
          <w:u w:val="single"/>
        </w:rPr>
        <w:t>点</w:t>
      </w:r>
      <w:r>
        <w:rPr>
          <w:rFonts w:hint="eastAsia" w:asciiTheme="minorEastAsia" w:hAnsiTheme="minorEastAsia" w:eastAsiaTheme="minorEastAsia"/>
          <w:color w:val="auto"/>
          <w:sz w:val="24"/>
          <w:highlight w:val="none"/>
          <w:u w:val="single"/>
          <w:lang w:val="en-US" w:eastAsia="zh-CN"/>
        </w:rPr>
        <w:t>00</w:t>
      </w:r>
      <w:r>
        <w:rPr>
          <w:rFonts w:hint="eastAsia"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6241E26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）[宁波市海曙区气象路58号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南门上</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]。政府采购云平台（http://www.zcygov.cn/）。</w:t>
      </w:r>
    </w:p>
    <w:p w14:paraId="5F099CB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6" w:name="_Toc28359017"/>
      <w:bookmarkStart w:id="37" w:name="_Toc35393634"/>
      <w:bookmarkStart w:id="38" w:name="_Toc28359094"/>
      <w:bookmarkStart w:id="39" w:name="_Toc35393803"/>
      <w:r>
        <w:rPr>
          <w:rFonts w:hint="eastAsia" w:cs="宋体" w:asciiTheme="minorEastAsia" w:hAnsiTheme="minorEastAsia" w:eastAsiaTheme="minorEastAsia"/>
          <w:color w:val="auto"/>
          <w:sz w:val="24"/>
          <w:szCs w:val="24"/>
          <w:highlight w:val="none"/>
        </w:rPr>
        <w:t>六、公告期限</w:t>
      </w:r>
      <w:bookmarkEnd w:id="36"/>
      <w:bookmarkEnd w:id="37"/>
      <w:bookmarkEnd w:id="38"/>
      <w:bookmarkEnd w:id="39"/>
    </w:p>
    <w:p w14:paraId="48A8FA5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466088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0" w:name="_Toc35393804"/>
      <w:bookmarkStart w:id="41" w:name="_Toc35393635"/>
      <w:r>
        <w:rPr>
          <w:rFonts w:hint="eastAsia" w:cs="宋体" w:asciiTheme="minorEastAsia" w:hAnsiTheme="minorEastAsia" w:eastAsiaTheme="minorEastAsia"/>
          <w:color w:val="auto"/>
          <w:sz w:val="24"/>
          <w:szCs w:val="24"/>
          <w:highlight w:val="none"/>
        </w:rPr>
        <w:t>七、其他补充事宜</w:t>
      </w:r>
      <w:bookmarkEnd w:id="40"/>
      <w:bookmarkEnd w:id="41"/>
    </w:p>
    <w:p w14:paraId="73FBCF7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39C90DD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w:t>
      </w:r>
      <w:r>
        <w:rPr>
          <w:rFonts w:hint="eastAsia" w:cs="宋体" w:asciiTheme="minorEastAsia" w:hAnsiTheme="minorEastAsia" w:eastAsiaTheme="minorEastAsia"/>
          <w:color w:val="auto"/>
          <w:sz w:val="24"/>
          <w:highlight w:val="none"/>
          <w:lang w:eastAsia="zh-CN"/>
        </w:rPr>
        <w:t>〔2021〕22号</w:t>
      </w:r>
      <w:r>
        <w:rPr>
          <w:rFonts w:hint="eastAsia" w:cs="宋体" w:asciiTheme="minorEastAsia" w:hAnsiTheme="minorEastAsia" w:eastAsiaTheme="minorEastAsia"/>
          <w:color w:val="auto"/>
          <w:sz w:val="24"/>
          <w:highlight w:val="none"/>
        </w:rPr>
        <w:t>）文件关于“健全行政裁决机制”要求，鼓励供应商在线提起询问，路径为：政采云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项目采购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询问质疑投诉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询问列表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鼓励供应商在线提起质疑，路径为：政采云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项目采购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询问质疑投诉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质疑列表。质疑供应商对在线质疑答复不满意的，可在线提起投诉，路径为：浙江政府服务网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政府采购投诉处理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在线办理。</w:t>
      </w:r>
    </w:p>
    <w:p w14:paraId="01894B5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3CC07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 其他事项：</w:t>
      </w:r>
    </w:p>
    <w:p w14:paraId="06F17D9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5A18E2D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w:t>
      </w:r>
      <w:r>
        <w:rPr>
          <w:rFonts w:hint="eastAsia"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rPr>
        <w:t>点击“商家入驻”，进行政府采购供应商资料填写；申领CA数字证书</w:t>
      </w:r>
      <w:r>
        <w:rPr>
          <w:rFonts w:hint="eastAsia"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rPr>
        <w:t>申领流程详见“浙江政府采购网-下载专区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电子交易客户端-CA驱动和申领流程”；安装“政采云电子交易客户端”</w:t>
      </w:r>
      <w:r>
        <w:rPr>
          <w:rFonts w:hint="eastAsia"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rPr>
        <w:t>前往“浙江政府采购网-下载专区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导入投标文件</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标书关联</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标书检查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帮助文档</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项目采购</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操作流程</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电子招投标</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政府采购项目电子交易管理操作指南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供应商”。</w:t>
      </w:r>
    </w:p>
    <w:p w14:paraId="1966A9A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250298A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231BBC4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72B5F30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本公告发布媒体：中国政府采购网（www.ccgp.gov.cn）、浙江政府采购网（www.zjzfcg.gov.cn）、浙江省公共资源交易服务平台（https://ggzy.zj.gov.cn）、宁波政府采购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www.nbzfcg.cn</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、宁波市公共资源交易电子服务系统（甬易阳光）（https://jyxt.zwb.ningbo.gov.cn:4011/website/home）、宁波中基国际招标有限公司网（www.cbbidding.com）。</w:t>
      </w:r>
    </w:p>
    <w:p w14:paraId="0D3E02AA">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42" w:name="_Toc35393805"/>
      <w:bookmarkStart w:id="43" w:name="_Toc35393636"/>
      <w:bookmarkStart w:id="44" w:name="_Toc28359018"/>
      <w:bookmarkStart w:id="45" w:name="_Toc28359095"/>
      <w:r>
        <w:rPr>
          <w:rFonts w:hint="eastAsia" w:cs="宋体" w:asciiTheme="minorEastAsia" w:hAnsiTheme="minorEastAsia" w:eastAsiaTheme="minorEastAsia"/>
          <w:color w:val="auto"/>
          <w:sz w:val="24"/>
          <w:szCs w:val="24"/>
          <w:highlight w:val="none"/>
        </w:rPr>
        <w:t>八、凡对本次采购提出询问、质疑、投诉，请按以下方式联系</w:t>
      </w:r>
      <w:bookmarkEnd w:id="42"/>
      <w:bookmarkEnd w:id="43"/>
      <w:bookmarkEnd w:id="44"/>
      <w:bookmarkEnd w:id="45"/>
    </w:p>
    <w:p w14:paraId="26DDD2F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6" w:name="_Toc28359019"/>
      <w:bookmarkStart w:id="47" w:name="_Toc35393637"/>
      <w:bookmarkStart w:id="48" w:name="_Toc35393806"/>
      <w:bookmarkStart w:id="49" w:name="_Toc28359096"/>
      <w:r>
        <w:rPr>
          <w:rFonts w:hint="eastAsia" w:cs="宋体" w:asciiTheme="minorEastAsia" w:hAnsiTheme="minorEastAsia" w:eastAsiaTheme="minorEastAsia"/>
          <w:color w:val="auto"/>
          <w:sz w:val="24"/>
          <w:szCs w:val="24"/>
          <w:highlight w:val="none"/>
        </w:rPr>
        <w:t>1.采购人信息</w:t>
      </w:r>
      <w:bookmarkEnd w:id="46"/>
      <w:bookmarkEnd w:id="47"/>
      <w:bookmarkEnd w:id="48"/>
      <w:bookmarkEnd w:id="49"/>
      <w:r>
        <w:rPr>
          <w:rFonts w:hint="eastAsia" w:cs="宋体" w:asciiTheme="minorEastAsia" w:hAnsiTheme="minorEastAsia" w:eastAsiaTheme="minorEastAsia"/>
          <w:color w:val="auto"/>
          <w:sz w:val="24"/>
          <w:szCs w:val="24"/>
          <w:highlight w:val="none"/>
        </w:rPr>
        <w:t>：</w:t>
      </w:r>
    </w:p>
    <w:p w14:paraId="2CACC65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宁波市海曙区民政局</w:t>
      </w:r>
    </w:p>
    <w:p w14:paraId="3221F01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址：宁波市海曙区中山西路298号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海光大厦5楼</w:t>
      </w:r>
      <w:r>
        <w:rPr>
          <w:rFonts w:hint="eastAsia" w:cs="Times New Roman" w:asciiTheme="minorEastAsia" w:hAnsiTheme="minorEastAsia" w:eastAsiaTheme="minorEastAsia"/>
          <w:color w:val="auto"/>
          <w:sz w:val="24"/>
          <w:highlight w:val="none"/>
          <w:lang w:eastAsia="zh-CN"/>
        </w:rPr>
        <w:t>）</w:t>
      </w:r>
    </w:p>
    <w:p w14:paraId="0892BC3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16C3A45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项目联系人（询问）：冯敏轩</w:t>
      </w:r>
    </w:p>
    <w:p w14:paraId="469FFAC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项目联系方式（询问）：0574-556807</w:t>
      </w:r>
      <w:r>
        <w:rPr>
          <w:rFonts w:hint="eastAsia" w:cs="Times New Roman" w:asciiTheme="minorEastAsia" w:hAnsiTheme="minorEastAsia" w:eastAsiaTheme="minorEastAsia"/>
          <w:color w:val="auto"/>
          <w:sz w:val="24"/>
          <w:highlight w:val="none"/>
          <w:lang w:val="en-US" w:eastAsia="zh-CN"/>
        </w:rPr>
        <w:t>22</w:t>
      </w:r>
    </w:p>
    <w:p w14:paraId="44007AA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val="en-US" w:eastAsia="zh-CN"/>
        </w:rPr>
        <w:t>章主任</w:t>
      </w:r>
    </w:p>
    <w:p w14:paraId="3F92491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质疑联系方式：0574-556807</w:t>
      </w:r>
      <w:r>
        <w:rPr>
          <w:rFonts w:hint="eastAsia" w:cs="Times New Roman" w:asciiTheme="minorEastAsia" w:hAnsiTheme="minorEastAsia" w:eastAsiaTheme="minorEastAsia"/>
          <w:color w:val="auto"/>
          <w:sz w:val="24"/>
          <w:highlight w:val="none"/>
          <w:lang w:val="en-US" w:eastAsia="zh-CN"/>
        </w:rPr>
        <w:t>11</w:t>
      </w:r>
    </w:p>
    <w:p w14:paraId="1C052B8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50" w:name="_Toc35393638"/>
      <w:bookmarkStart w:id="51" w:name="_Toc28359097"/>
      <w:bookmarkStart w:id="52" w:name="_Toc35393807"/>
      <w:bookmarkStart w:id="53" w:name="_Toc28359020"/>
      <w:r>
        <w:rPr>
          <w:rFonts w:hint="eastAsia" w:cs="宋体" w:asciiTheme="minorEastAsia" w:hAnsiTheme="minorEastAsia" w:eastAsiaTheme="minorEastAsia"/>
          <w:color w:val="auto"/>
          <w:sz w:val="24"/>
          <w:szCs w:val="24"/>
          <w:highlight w:val="none"/>
        </w:rPr>
        <w:t>2.采购代理机构信息</w:t>
      </w:r>
      <w:bookmarkEnd w:id="50"/>
      <w:bookmarkEnd w:id="51"/>
      <w:bookmarkEnd w:id="52"/>
      <w:bookmarkEnd w:id="53"/>
      <w:r>
        <w:rPr>
          <w:rFonts w:hint="eastAsia" w:cs="宋体" w:asciiTheme="minorEastAsia" w:hAnsiTheme="minorEastAsia" w:eastAsiaTheme="minorEastAsia"/>
          <w:color w:val="auto"/>
          <w:sz w:val="24"/>
          <w:szCs w:val="24"/>
          <w:highlight w:val="none"/>
        </w:rPr>
        <w:t>：</w:t>
      </w:r>
    </w:p>
    <w:p w14:paraId="691C8B8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2CA507D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4C8869B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真：0574-87425373</w:t>
      </w:r>
    </w:p>
    <w:p w14:paraId="04C501F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rPr>
        <w:t>项目联系人（询问）：</w:t>
      </w:r>
      <w:r>
        <w:rPr>
          <w:rFonts w:hint="eastAsia" w:cs="Times New Roman" w:asciiTheme="minorEastAsia" w:hAnsiTheme="minorEastAsia" w:eastAsiaTheme="minorEastAsia"/>
          <w:color w:val="auto"/>
          <w:sz w:val="24"/>
          <w:highlight w:val="none"/>
          <w:lang w:val="en-US" w:eastAsia="zh-CN"/>
        </w:rPr>
        <w:t>孔晖、王莹巧</w:t>
      </w:r>
    </w:p>
    <w:p w14:paraId="5269AAA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项目联系方式（询问）：0574-87425</w:t>
      </w:r>
      <w:r>
        <w:rPr>
          <w:rFonts w:hint="eastAsia" w:cs="Times New Roman" w:asciiTheme="minorEastAsia" w:hAnsiTheme="minorEastAsia" w:eastAsiaTheme="minorEastAsia"/>
          <w:color w:val="auto"/>
          <w:sz w:val="24"/>
          <w:highlight w:val="none"/>
          <w:lang w:val="en-US" w:eastAsia="zh-CN"/>
        </w:rPr>
        <w:t>279</w:t>
      </w:r>
    </w:p>
    <w:p w14:paraId="4D7A0EB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质疑联系人：周旭坤</w:t>
      </w:r>
    </w:p>
    <w:p w14:paraId="06A695E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质疑联系方式：0574-87426203</w:t>
      </w:r>
    </w:p>
    <w:p w14:paraId="3CD5A04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bookmarkStart w:id="54" w:name="_Toc28359021"/>
      <w:bookmarkStart w:id="55" w:name="_Toc35393639"/>
      <w:bookmarkStart w:id="56" w:name="_Toc28359098"/>
      <w:bookmarkStart w:id="57" w:name="_Toc35393808"/>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4"/>
    <w:bookmarkEnd w:id="55"/>
    <w:bookmarkEnd w:id="56"/>
    <w:bookmarkEnd w:id="57"/>
    <w:p w14:paraId="390964C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称：宁波市海曙区采购管理办公室</w:t>
      </w:r>
    </w:p>
    <w:p w14:paraId="7DBAF5A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4ED2DDC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03770DA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528480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8" w:name="_Toc13810"/>
      <w:r>
        <w:rPr>
          <w:rFonts w:hint="eastAsia" w:cs="Times New Roman" w:asciiTheme="minorEastAsia" w:hAnsiTheme="minorEastAsia" w:eastAsiaTheme="minorEastAsia"/>
          <w:color w:val="auto"/>
          <w:sz w:val="24"/>
          <w:highlight w:val="none"/>
        </w:rPr>
        <w:t>监督投诉电话：0574-</w:t>
      </w:r>
      <w:bookmarkEnd w:id="58"/>
      <w:r>
        <w:rPr>
          <w:rFonts w:hint="eastAsia" w:cs="Times New Roman" w:asciiTheme="minorEastAsia" w:hAnsiTheme="minorEastAsia" w:eastAsiaTheme="minorEastAsia"/>
          <w:color w:val="auto"/>
          <w:sz w:val="24"/>
          <w:highlight w:val="none"/>
          <w:lang w:val="en-US" w:eastAsia="zh-CN"/>
        </w:rPr>
        <w:t>87297540</w:t>
      </w:r>
    </w:p>
    <w:p w14:paraId="7891450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78ECF4E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2325F03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68AB4A7">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60C936CD">
      <w:pPr>
        <w:pStyle w:val="22"/>
        <w:rPr>
          <w:color w:val="auto"/>
          <w:highlight w:val="none"/>
        </w:rPr>
      </w:pPr>
    </w:p>
    <w:p w14:paraId="5A42160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仿宋_GB2312" w:asciiTheme="minorEastAsia" w:hAnsiTheme="minorEastAsia" w:eastAsiaTheme="minorEastAsia"/>
          <w:b/>
          <w:color w:val="auto"/>
          <w:sz w:val="36"/>
          <w:szCs w:val="20"/>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59" w:name="_Toc2540"/>
    </w:p>
    <w:p w14:paraId="04D4DBF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bookmarkEnd w:id="59"/>
    </w:p>
    <w:p w14:paraId="09F571DB">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1C8696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FBDD252">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4DFF23A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83D07B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2AFB42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72EAA6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166AA66">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Theme="minorEastAsia" w:hAnsiTheme="minorEastAsia" w:eastAsiaTheme="minorEastAsia"/>
          <w:b/>
          <w:color w:val="auto"/>
          <w:highlight w:val="none"/>
        </w:rPr>
      </w:pPr>
    </w:p>
    <w:p w14:paraId="42026C3A">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E92ED3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217A0F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)和中国政府采购网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渠道查询供应商响应截止时间当日的信用记录。</w:t>
      </w:r>
    </w:p>
    <w:p w14:paraId="4AB59797">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Theme="minorEastAsia" w:hAnsiTheme="minorEastAsia" w:eastAsiaTheme="minorEastAsia"/>
          <w:b/>
          <w:color w:val="auto"/>
          <w:highlight w:val="none"/>
        </w:rPr>
      </w:pPr>
    </w:p>
    <w:p w14:paraId="1055A3B2">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94F0328">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134DD6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0DD3486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C247BF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DF90E7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CA5E1C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5EC9BE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6C749BD">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40B3E98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7038A2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46C9E7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F7D9C3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1826E9A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313D640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D0C590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72F64DA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61E8CC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13EBA87">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Theme="minorEastAsia" w:hAnsiTheme="minorEastAsia" w:eastAsiaTheme="minorEastAsia"/>
          <w:b/>
          <w:color w:val="auto"/>
          <w:highlight w:val="none"/>
        </w:rPr>
      </w:pPr>
    </w:p>
    <w:p w14:paraId="0AA69D01">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3859CC0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2FB9990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EA970BA">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Theme="minorEastAsia" w:hAnsiTheme="minorEastAsia" w:eastAsiaTheme="minorEastAsia"/>
          <w:b/>
          <w:color w:val="auto"/>
          <w:highlight w:val="none"/>
        </w:rPr>
      </w:pPr>
    </w:p>
    <w:p w14:paraId="0E23864D">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682411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2CF5871C">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0B471C3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664700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82143CB">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Theme="minorEastAsia" w:hAnsiTheme="minorEastAsia" w:eastAsiaTheme="minorEastAsia"/>
          <w:b/>
          <w:color w:val="auto"/>
          <w:highlight w:val="none"/>
        </w:rPr>
      </w:pPr>
    </w:p>
    <w:p w14:paraId="7A809D33">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Theme="minorEastAsia" w:hAnsiTheme="minorEastAsia" w:eastAsiaTheme="minorEastAsia"/>
          <w:b/>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0898FF2">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35B8515A">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4C1FD3">
                            <w:pPr>
                              <w:rPr>
                                <w:rFonts w:asciiTheme="minorEastAsia" w:hAnsiTheme="minorEastAsia" w:eastAsiaTheme="minorEastAsia"/>
                              </w:rPr>
                            </w:pPr>
                            <w:r>
                              <w:rPr>
                                <w:rFonts w:hint="eastAsia" w:asciiTheme="minorEastAsia" w:hAnsiTheme="minorEastAsia" w:eastAsiaTheme="minorEastAsia"/>
                              </w:rPr>
                              <w:t>验收</w:t>
                            </w:r>
                          </w:p>
                          <w:p w14:paraId="02C582D1">
                            <w:pPr>
                              <w:rPr>
                                <w:rFonts w:ascii="仿宋_GB2312" w:eastAsia="仿宋_GB2312"/>
                              </w:rPr>
                            </w:pPr>
                            <w:r>
                              <w:rPr>
                                <w:rFonts w:hint="eastAsia" w:ascii="仿宋_GB2312" w:eastAsia="仿宋_GB2312"/>
                              </w:rPr>
                              <w:t>立项</w:t>
                            </w:r>
                          </w:p>
                          <w:p w14:paraId="10D648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C4C1FD3">
                      <w:pPr>
                        <w:rPr>
                          <w:rFonts w:asciiTheme="minorEastAsia" w:hAnsiTheme="minorEastAsia" w:eastAsiaTheme="minorEastAsia"/>
                        </w:rPr>
                      </w:pPr>
                      <w:r>
                        <w:rPr>
                          <w:rFonts w:hint="eastAsia" w:asciiTheme="minorEastAsia" w:hAnsiTheme="minorEastAsia" w:eastAsiaTheme="minorEastAsia"/>
                        </w:rPr>
                        <w:t>验收</w:t>
                      </w:r>
                    </w:p>
                    <w:p w14:paraId="02C582D1">
                      <w:pPr>
                        <w:rPr>
                          <w:rFonts w:ascii="仿宋_GB2312" w:eastAsia="仿宋_GB2312"/>
                        </w:rPr>
                      </w:pPr>
                      <w:r>
                        <w:rPr>
                          <w:rFonts w:hint="eastAsia" w:ascii="仿宋_GB2312" w:eastAsia="仿宋_GB2312"/>
                        </w:rPr>
                        <w:t>立项</w:t>
                      </w:r>
                    </w:p>
                    <w:p w14:paraId="10D648B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95940">
                            <w:pPr>
                              <w:rPr>
                                <w:rFonts w:asciiTheme="minorEastAsia" w:hAnsiTheme="minorEastAsia" w:eastAsiaTheme="minorEastAsia"/>
                              </w:rPr>
                            </w:pPr>
                            <w:r>
                              <w:rPr>
                                <w:rFonts w:hint="eastAsia" w:asciiTheme="minorEastAsia" w:hAnsiTheme="minorEastAsia" w:eastAsiaTheme="minorEastAsia"/>
                              </w:rPr>
                              <w:t>履约</w:t>
                            </w:r>
                          </w:p>
                          <w:p w14:paraId="51893758">
                            <w:pPr>
                              <w:rPr>
                                <w:rFonts w:ascii="仿宋_GB2312" w:eastAsia="仿宋_GB2312"/>
                              </w:rPr>
                            </w:pPr>
                            <w:r>
                              <w:rPr>
                                <w:rFonts w:hint="eastAsia" w:ascii="仿宋_GB2312" w:eastAsia="仿宋_GB2312"/>
                              </w:rPr>
                              <w:t>立项</w:t>
                            </w:r>
                          </w:p>
                          <w:p w14:paraId="4D697C7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3295940">
                      <w:pPr>
                        <w:rPr>
                          <w:rFonts w:asciiTheme="minorEastAsia" w:hAnsiTheme="minorEastAsia" w:eastAsiaTheme="minorEastAsia"/>
                        </w:rPr>
                      </w:pPr>
                      <w:r>
                        <w:rPr>
                          <w:rFonts w:hint="eastAsia" w:asciiTheme="minorEastAsia" w:hAnsiTheme="minorEastAsia" w:eastAsiaTheme="minorEastAsia"/>
                        </w:rPr>
                        <w:t>履约</w:t>
                      </w:r>
                    </w:p>
                    <w:p w14:paraId="51893758">
                      <w:pPr>
                        <w:rPr>
                          <w:rFonts w:ascii="仿宋_GB2312" w:eastAsia="仿宋_GB2312"/>
                        </w:rPr>
                      </w:pPr>
                      <w:r>
                        <w:rPr>
                          <w:rFonts w:hint="eastAsia" w:ascii="仿宋_GB2312" w:eastAsia="仿宋_GB2312"/>
                        </w:rPr>
                        <w:t>立项</w:t>
                      </w:r>
                    </w:p>
                    <w:p w14:paraId="4D697C7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81973">
                            <w:pPr>
                              <w:jc w:val="center"/>
                              <w:rPr>
                                <w:rFonts w:asciiTheme="minorEastAsia" w:hAnsiTheme="minorEastAsia" w:eastAsiaTheme="minorEastAsia"/>
                              </w:rPr>
                            </w:pPr>
                            <w:r>
                              <w:rPr>
                                <w:rFonts w:hint="eastAsia" w:asciiTheme="minorEastAsia" w:hAnsiTheme="minorEastAsia" w:eastAsiaTheme="minorEastAsia"/>
                              </w:rPr>
                              <w:t>签订合同</w:t>
                            </w:r>
                          </w:p>
                          <w:p w14:paraId="4AD114FC">
                            <w:pPr>
                              <w:rPr>
                                <w:rFonts w:ascii="仿宋_GB2312" w:eastAsia="仿宋_GB2312"/>
                              </w:rPr>
                            </w:pPr>
                            <w:r>
                              <w:rPr>
                                <w:rFonts w:hint="eastAsia" w:ascii="仿宋_GB2312" w:eastAsia="仿宋_GB2312"/>
                              </w:rPr>
                              <w:t>立项</w:t>
                            </w:r>
                          </w:p>
                          <w:p w14:paraId="0F591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2E81973">
                      <w:pPr>
                        <w:jc w:val="center"/>
                        <w:rPr>
                          <w:rFonts w:asciiTheme="minorEastAsia" w:hAnsiTheme="minorEastAsia" w:eastAsiaTheme="minorEastAsia"/>
                        </w:rPr>
                      </w:pPr>
                      <w:r>
                        <w:rPr>
                          <w:rFonts w:hint="eastAsia" w:asciiTheme="minorEastAsia" w:hAnsiTheme="minorEastAsia" w:eastAsiaTheme="minorEastAsia"/>
                        </w:rPr>
                        <w:t>签订合同</w:t>
                      </w:r>
                    </w:p>
                    <w:p w14:paraId="4AD114FC">
                      <w:pPr>
                        <w:rPr>
                          <w:rFonts w:ascii="仿宋_GB2312" w:eastAsia="仿宋_GB2312"/>
                        </w:rPr>
                      </w:pPr>
                      <w:r>
                        <w:rPr>
                          <w:rFonts w:hint="eastAsia" w:ascii="仿宋_GB2312" w:eastAsia="仿宋_GB2312"/>
                        </w:rPr>
                        <w:t>立项</w:t>
                      </w:r>
                    </w:p>
                    <w:p w14:paraId="0F591EB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B4237">
                            <w:pPr>
                              <w:rPr>
                                <w:rFonts w:asciiTheme="minorEastAsia" w:hAnsiTheme="minorEastAsia" w:eastAsiaTheme="minorEastAsia"/>
                              </w:rPr>
                            </w:pPr>
                            <w:r>
                              <w:rPr>
                                <w:rFonts w:hint="eastAsia" w:asciiTheme="minorEastAsia" w:hAnsiTheme="minorEastAsia" w:eastAsiaTheme="minorEastAsia"/>
                              </w:rPr>
                              <w:t>成交公告；成交通知书</w:t>
                            </w:r>
                          </w:p>
                          <w:p w14:paraId="292FB23B">
                            <w:pPr>
                              <w:rPr>
                                <w:rFonts w:ascii="仿宋_GB2312" w:eastAsia="仿宋_GB2312"/>
                              </w:rPr>
                            </w:pPr>
                            <w:r>
                              <w:rPr>
                                <w:rFonts w:hint="eastAsia" w:ascii="仿宋_GB2312" w:eastAsia="仿宋_GB2312"/>
                              </w:rPr>
                              <w:t>立项</w:t>
                            </w:r>
                          </w:p>
                          <w:p w14:paraId="35A9D0E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E5B4237">
                      <w:pPr>
                        <w:rPr>
                          <w:rFonts w:asciiTheme="minorEastAsia" w:hAnsiTheme="minorEastAsia" w:eastAsiaTheme="minorEastAsia"/>
                        </w:rPr>
                      </w:pPr>
                      <w:r>
                        <w:rPr>
                          <w:rFonts w:hint="eastAsia" w:asciiTheme="minorEastAsia" w:hAnsiTheme="minorEastAsia" w:eastAsiaTheme="minorEastAsia"/>
                        </w:rPr>
                        <w:t>成交公告；成交通知书</w:t>
                      </w:r>
                    </w:p>
                    <w:p w14:paraId="292FB23B">
                      <w:pPr>
                        <w:rPr>
                          <w:rFonts w:ascii="仿宋_GB2312" w:eastAsia="仿宋_GB2312"/>
                        </w:rPr>
                      </w:pPr>
                      <w:r>
                        <w:rPr>
                          <w:rFonts w:hint="eastAsia" w:ascii="仿宋_GB2312" w:eastAsia="仿宋_GB2312"/>
                        </w:rPr>
                        <w:t>立项</w:t>
                      </w:r>
                    </w:p>
                    <w:p w14:paraId="35A9D0E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6EA62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ACB3AA">
                            <w:pPr>
                              <w:rPr>
                                <w:rFonts w:ascii="仿宋_GB2312" w:eastAsia="仿宋_GB2312"/>
                              </w:rPr>
                            </w:pPr>
                            <w:r>
                              <w:rPr>
                                <w:rFonts w:hint="eastAsia" w:ascii="仿宋_GB2312" w:eastAsia="仿宋_GB2312"/>
                              </w:rPr>
                              <w:t>立项</w:t>
                            </w:r>
                          </w:p>
                          <w:p w14:paraId="4DC2EB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76EA62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ACB3AA">
                      <w:pPr>
                        <w:rPr>
                          <w:rFonts w:ascii="仿宋_GB2312" w:eastAsia="仿宋_GB2312"/>
                        </w:rPr>
                      </w:pPr>
                      <w:r>
                        <w:rPr>
                          <w:rFonts w:hint="eastAsia" w:ascii="仿宋_GB2312" w:eastAsia="仿宋_GB2312"/>
                        </w:rPr>
                        <w:t>立项</w:t>
                      </w:r>
                    </w:p>
                    <w:p w14:paraId="4DC2EBD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F405B">
                            <w:pPr>
                              <w:jc w:val="center"/>
                              <w:rPr>
                                <w:rFonts w:asciiTheme="minorEastAsia" w:hAnsiTheme="minorEastAsia" w:eastAsiaTheme="minorEastAsia"/>
                              </w:rPr>
                            </w:pPr>
                            <w:r>
                              <w:rPr>
                                <w:rFonts w:hint="eastAsia" w:asciiTheme="minorEastAsia" w:hAnsiTheme="minorEastAsia" w:eastAsiaTheme="minorEastAsia"/>
                              </w:rPr>
                              <w:t>评审打分</w:t>
                            </w:r>
                          </w:p>
                          <w:p w14:paraId="57349B21">
                            <w:pPr>
                              <w:rPr>
                                <w:rFonts w:ascii="仿宋_GB2312" w:eastAsia="仿宋_GB2312"/>
                              </w:rPr>
                            </w:pPr>
                            <w:r>
                              <w:rPr>
                                <w:rFonts w:hint="eastAsia" w:ascii="仿宋_GB2312" w:eastAsia="仿宋_GB2312"/>
                              </w:rPr>
                              <w:t>立项</w:t>
                            </w:r>
                          </w:p>
                          <w:p w14:paraId="727594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E4F405B">
                      <w:pPr>
                        <w:jc w:val="center"/>
                        <w:rPr>
                          <w:rFonts w:asciiTheme="minorEastAsia" w:hAnsiTheme="minorEastAsia" w:eastAsiaTheme="minorEastAsia"/>
                        </w:rPr>
                      </w:pPr>
                      <w:r>
                        <w:rPr>
                          <w:rFonts w:hint="eastAsia" w:asciiTheme="minorEastAsia" w:hAnsiTheme="minorEastAsia" w:eastAsiaTheme="minorEastAsia"/>
                        </w:rPr>
                        <w:t>评审打分</w:t>
                      </w:r>
                    </w:p>
                    <w:p w14:paraId="57349B21">
                      <w:pPr>
                        <w:rPr>
                          <w:rFonts w:ascii="仿宋_GB2312" w:eastAsia="仿宋_GB2312"/>
                        </w:rPr>
                      </w:pPr>
                      <w:r>
                        <w:rPr>
                          <w:rFonts w:hint="eastAsia" w:ascii="仿宋_GB2312" w:eastAsia="仿宋_GB2312"/>
                        </w:rPr>
                        <w:t>立项</w:t>
                      </w:r>
                    </w:p>
                    <w:p w14:paraId="727594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80FBC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E7E10BA">
                            <w:pPr>
                              <w:rPr>
                                <w:rFonts w:ascii="仿宋_GB2312" w:eastAsia="仿宋_GB2312"/>
                              </w:rPr>
                            </w:pPr>
                            <w:r>
                              <w:rPr>
                                <w:rFonts w:hint="eastAsia" w:ascii="仿宋_GB2312" w:eastAsia="仿宋_GB2312"/>
                              </w:rPr>
                              <w:t>立项</w:t>
                            </w:r>
                          </w:p>
                          <w:p w14:paraId="75CD217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680FBC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E7E10BA">
                      <w:pPr>
                        <w:rPr>
                          <w:rFonts w:ascii="仿宋_GB2312" w:eastAsia="仿宋_GB2312"/>
                        </w:rPr>
                      </w:pPr>
                      <w:r>
                        <w:rPr>
                          <w:rFonts w:hint="eastAsia" w:ascii="仿宋_GB2312" w:eastAsia="仿宋_GB2312"/>
                        </w:rPr>
                        <w:t>立项</w:t>
                      </w:r>
                    </w:p>
                    <w:p w14:paraId="75CD217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C826A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77C826A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779FE">
                            <w:pPr>
                              <w:jc w:val="center"/>
                              <w:rPr>
                                <w:rFonts w:asciiTheme="minorEastAsia" w:hAnsiTheme="minorEastAsia" w:eastAsiaTheme="minorEastAsia"/>
                              </w:rPr>
                            </w:pPr>
                            <w:r>
                              <w:rPr>
                                <w:rFonts w:hint="eastAsia" w:asciiTheme="minorEastAsia" w:hAnsiTheme="minorEastAsia" w:eastAsiaTheme="minorEastAsia"/>
                              </w:rPr>
                              <w:t>资格审查</w:t>
                            </w:r>
                          </w:p>
                          <w:p w14:paraId="5869FF7A">
                            <w:pPr>
                              <w:jc w:val="center"/>
                              <w:rPr>
                                <w:rFonts w:ascii="仿宋_GB2312" w:eastAsia="仿宋_GB2312"/>
                              </w:rPr>
                            </w:pPr>
                          </w:p>
                          <w:p w14:paraId="10171507">
                            <w:pPr>
                              <w:rPr>
                                <w:rFonts w:ascii="仿宋_GB2312" w:eastAsia="仿宋_GB2312"/>
                              </w:rPr>
                            </w:pPr>
                            <w:r>
                              <w:rPr>
                                <w:rFonts w:hint="eastAsia" w:ascii="仿宋_GB2312" w:eastAsia="仿宋_GB2312"/>
                              </w:rPr>
                              <w:t>立项</w:t>
                            </w:r>
                          </w:p>
                          <w:p w14:paraId="774BEB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FD779FE">
                      <w:pPr>
                        <w:jc w:val="center"/>
                        <w:rPr>
                          <w:rFonts w:asciiTheme="minorEastAsia" w:hAnsiTheme="minorEastAsia" w:eastAsiaTheme="minorEastAsia"/>
                        </w:rPr>
                      </w:pPr>
                      <w:r>
                        <w:rPr>
                          <w:rFonts w:hint="eastAsia" w:asciiTheme="minorEastAsia" w:hAnsiTheme="minorEastAsia" w:eastAsiaTheme="minorEastAsia"/>
                        </w:rPr>
                        <w:t>资格审查</w:t>
                      </w:r>
                    </w:p>
                    <w:p w14:paraId="5869FF7A">
                      <w:pPr>
                        <w:jc w:val="center"/>
                        <w:rPr>
                          <w:rFonts w:ascii="仿宋_GB2312" w:eastAsia="仿宋_GB2312"/>
                        </w:rPr>
                      </w:pPr>
                    </w:p>
                    <w:p w14:paraId="10171507">
                      <w:pPr>
                        <w:rPr>
                          <w:rFonts w:ascii="仿宋_GB2312" w:eastAsia="仿宋_GB2312"/>
                        </w:rPr>
                      </w:pPr>
                      <w:r>
                        <w:rPr>
                          <w:rFonts w:hint="eastAsia" w:ascii="仿宋_GB2312" w:eastAsia="仿宋_GB2312"/>
                        </w:rPr>
                        <w:t>立项</w:t>
                      </w:r>
                    </w:p>
                    <w:p w14:paraId="774BEB38">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8994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8D8994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682491">
                            <w:pPr>
                              <w:jc w:val="center"/>
                              <w:rPr>
                                <w:rFonts w:asciiTheme="minorEastAsia" w:hAnsiTheme="minorEastAsia" w:eastAsiaTheme="minorEastAsia"/>
                              </w:rPr>
                            </w:pPr>
                            <w:r>
                              <w:rPr>
                                <w:rFonts w:hint="eastAsia" w:asciiTheme="minorEastAsia" w:hAnsiTheme="minorEastAsia" w:eastAsiaTheme="minorEastAsia"/>
                              </w:rPr>
                              <w:t>开启响应文件</w:t>
                            </w:r>
                          </w:p>
                          <w:p w14:paraId="003ADFE9">
                            <w:pPr>
                              <w:rPr>
                                <w:rFonts w:ascii="仿宋_GB2312" w:eastAsia="仿宋_GB2312"/>
                              </w:rPr>
                            </w:pPr>
                            <w:r>
                              <w:rPr>
                                <w:rFonts w:hint="eastAsia" w:ascii="仿宋_GB2312" w:eastAsia="仿宋_GB2312"/>
                              </w:rPr>
                              <w:t>立项</w:t>
                            </w:r>
                          </w:p>
                          <w:p w14:paraId="513A54B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A682491">
                      <w:pPr>
                        <w:jc w:val="center"/>
                        <w:rPr>
                          <w:rFonts w:asciiTheme="minorEastAsia" w:hAnsiTheme="minorEastAsia" w:eastAsiaTheme="minorEastAsia"/>
                        </w:rPr>
                      </w:pPr>
                      <w:r>
                        <w:rPr>
                          <w:rFonts w:hint="eastAsia" w:asciiTheme="minorEastAsia" w:hAnsiTheme="minorEastAsia" w:eastAsiaTheme="minorEastAsia"/>
                        </w:rPr>
                        <w:t>开启响应文件</w:t>
                      </w:r>
                    </w:p>
                    <w:p w14:paraId="003ADFE9">
                      <w:pPr>
                        <w:rPr>
                          <w:rFonts w:ascii="仿宋_GB2312" w:eastAsia="仿宋_GB2312"/>
                        </w:rPr>
                      </w:pPr>
                      <w:r>
                        <w:rPr>
                          <w:rFonts w:hint="eastAsia" w:ascii="仿宋_GB2312" w:eastAsia="仿宋_GB2312"/>
                        </w:rPr>
                        <w:t>立项</w:t>
                      </w:r>
                    </w:p>
                    <w:p w14:paraId="513A54B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212DE">
                            <w:pPr>
                              <w:jc w:val="center"/>
                              <w:rPr>
                                <w:rFonts w:asciiTheme="minorEastAsia" w:hAnsiTheme="minorEastAsia" w:eastAsiaTheme="minorEastAsia"/>
                              </w:rPr>
                            </w:pPr>
                            <w:r>
                              <w:rPr>
                                <w:rFonts w:hint="eastAsia" w:asciiTheme="minorEastAsia" w:hAnsiTheme="minorEastAsia" w:eastAsiaTheme="minorEastAsia"/>
                              </w:rPr>
                              <w:t>邀请供应商</w:t>
                            </w:r>
                          </w:p>
                          <w:p w14:paraId="14FAF020">
                            <w:pPr>
                              <w:rPr>
                                <w:rFonts w:ascii="仿宋_GB2312" w:eastAsia="仿宋_GB2312"/>
                              </w:rPr>
                            </w:pPr>
                            <w:r>
                              <w:rPr>
                                <w:rFonts w:hint="eastAsia" w:ascii="仿宋_GB2312" w:eastAsia="仿宋_GB2312"/>
                              </w:rPr>
                              <w:t>立项</w:t>
                            </w:r>
                          </w:p>
                          <w:p w14:paraId="5DE3E9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19212DE">
                      <w:pPr>
                        <w:jc w:val="center"/>
                        <w:rPr>
                          <w:rFonts w:asciiTheme="minorEastAsia" w:hAnsiTheme="minorEastAsia" w:eastAsiaTheme="minorEastAsia"/>
                        </w:rPr>
                      </w:pPr>
                      <w:r>
                        <w:rPr>
                          <w:rFonts w:hint="eastAsia" w:asciiTheme="minorEastAsia" w:hAnsiTheme="minorEastAsia" w:eastAsiaTheme="minorEastAsia"/>
                        </w:rPr>
                        <w:t>邀请供应商</w:t>
                      </w:r>
                    </w:p>
                    <w:p w14:paraId="14FAF020">
                      <w:pPr>
                        <w:rPr>
                          <w:rFonts w:ascii="仿宋_GB2312" w:eastAsia="仿宋_GB2312"/>
                        </w:rPr>
                      </w:pPr>
                      <w:r>
                        <w:rPr>
                          <w:rFonts w:hint="eastAsia" w:ascii="仿宋_GB2312" w:eastAsia="仿宋_GB2312"/>
                        </w:rPr>
                        <w:t>立项</w:t>
                      </w:r>
                    </w:p>
                    <w:p w14:paraId="5DE3E9A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058241A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60" w:name="_Toc14128"/>
      <w:r>
        <w:rPr>
          <w:rFonts w:hint="eastAsia" w:cs="仿宋_GB2312" w:asciiTheme="minorEastAsia" w:hAnsiTheme="minorEastAsia" w:eastAsiaTheme="minorEastAsia"/>
          <w:b/>
          <w:color w:val="auto"/>
          <w:sz w:val="36"/>
          <w:szCs w:val="20"/>
          <w:highlight w:val="none"/>
        </w:rPr>
        <w:t>第三部分</w:t>
      </w:r>
      <w:bookmarkEnd w:id="13"/>
      <w:r>
        <w:rPr>
          <w:rFonts w:hint="eastAsia" w:cs="仿宋_GB2312" w:asciiTheme="minorEastAsia" w:hAnsiTheme="minorEastAsia" w:eastAsiaTheme="minorEastAsia"/>
          <w:b/>
          <w:color w:val="auto"/>
          <w:sz w:val="36"/>
          <w:szCs w:val="20"/>
          <w:highlight w:val="none"/>
        </w:rPr>
        <w:t xml:space="preserve">  供应商须知</w:t>
      </w:r>
      <w:bookmarkEnd w:id="14"/>
      <w:bookmarkEnd w:id="60"/>
    </w:p>
    <w:p w14:paraId="40FB431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652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E03EA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5DD17C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94" w:type="dxa"/>
            <w:vAlign w:val="center"/>
          </w:tcPr>
          <w:p w14:paraId="742952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5DB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CA614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53A8EA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94" w:type="dxa"/>
            <w:vAlign w:val="center"/>
          </w:tcPr>
          <w:p w14:paraId="64C43BDA">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9F5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F8D1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5FD8A51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94" w:type="dxa"/>
            <w:vAlign w:val="center"/>
          </w:tcPr>
          <w:p w14:paraId="7A9589FA">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（1）本项目是否专门面向中小企业：</w:t>
            </w:r>
            <w:r>
              <w:rPr>
                <w:rFonts w:hint="eastAsia" w:ascii="宋体" w:hAnsi="宋体" w:cs="宋体"/>
                <w:color w:val="auto"/>
                <w:kern w:val="0"/>
                <w:sz w:val="24"/>
                <w:highlight w:val="none"/>
                <w:u w:val="single"/>
                <w:lang w:val="en-US" w:eastAsia="zh-CN"/>
              </w:rPr>
              <w:t>是</w:t>
            </w:r>
            <w:r>
              <w:rPr>
                <w:rFonts w:hint="eastAsia" w:ascii="宋体" w:hAnsi="宋体" w:cs="宋体"/>
                <w:color w:val="auto"/>
                <w:kern w:val="0"/>
                <w:sz w:val="24"/>
                <w:highlight w:val="none"/>
                <w:u w:val="none"/>
                <w:lang w:val="en-US" w:eastAsia="zh-CN"/>
              </w:rPr>
              <w:t>。</w:t>
            </w:r>
          </w:p>
          <w:p w14:paraId="6C108D06">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海曙区智慧民政综合服务平台建设</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软件和信息技术服务业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2B51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523ED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035531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94" w:type="dxa"/>
            <w:vAlign w:val="center"/>
          </w:tcPr>
          <w:p w14:paraId="46E2792A">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98452221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3A438D7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29637956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56C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9DA3F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78C0E0DD">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94" w:type="dxa"/>
            <w:vAlign w:val="center"/>
          </w:tcPr>
          <w:p w14:paraId="00DDCC3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96997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等保测评及代码审计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5F4C6892">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8544463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6241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38967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198640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94" w:type="dxa"/>
            <w:vAlign w:val="center"/>
          </w:tcPr>
          <w:p w14:paraId="36D845C2">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735151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EAF6D03">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8811371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88A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B111B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6B7F91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94" w:type="dxa"/>
            <w:vAlign w:val="center"/>
          </w:tcPr>
          <w:p w14:paraId="6277708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9910128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17F1E9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652F10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77E324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4B5C12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A94B62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F9A237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B16465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637183A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4EEF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285B5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67A5B0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94" w:type="dxa"/>
            <w:vAlign w:val="center"/>
          </w:tcPr>
          <w:p w14:paraId="115481C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578440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74F35D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B组织。</w:t>
            </w:r>
          </w:p>
          <w:p w14:paraId="3FC4A032">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w:t>
            </w:r>
            <w:r>
              <w:rPr>
                <w:rFonts w:hint="eastAsia" w:cs="宋体" w:asciiTheme="minorEastAsia" w:hAnsiTheme="minorEastAsia" w:eastAsiaTheme="minorEastAsia"/>
                <w:color w:val="auto"/>
                <w:kern w:val="0"/>
                <w:sz w:val="24"/>
                <w:highlight w:val="none"/>
                <w:lang w:val="en-US" w:eastAsia="zh-CN"/>
              </w:rPr>
              <w:t>系统演示</w:t>
            </w:r>
            <w:r>
              <w:rPr>
                <w:rFonts w:hint="eastAsia" w:cs="宋体" w:asciiTheme="minorEastAsia" w:hAnsiTheme="minorEastAsia" w:eastAsiaTheme="minorEastAsia"/>
                <w:color w:val="auto"/>
                <w:kern w:val="0"/>
                <w:sz w:val="24"/>
                <w:highlight w:val="none"/>
              </w:rPr>
              <w:t>。每个供应商时间不超过</w:t>
            </w:r>
            <w:r>
              <w:rPr>
                <w:rFonts w:hint="eastAsia" w:cs="宋体" w:asciiTheme="minorEastAsia" w:hAnsiTheme="minorEastAsia" w:eastAsiaTheme="minorEastAsia"/>
                <w:color w:val="auto"/>
                <w:kern w:val="0"/>
                <w:sz w:val="24"/>
                <w:highlight w:val="none"/>
                <w:u w:val="single"/>
                <w:lang w:val="en-US" w:eastAsia="zh-CN"/>
              </w:rPr>
              <w:t>10</w:t>
            </w:r>
            <w:r>
              <w:rPr>
                <w:rFonts w:hint="eastAsia" w:cs="宋体" w:asciiTheme="minorEastAsia" w:hAnsiTheme="minorEastAsia" w:eastAsiaTheme="minorEastAsia"/>
                <w:color w:val="auto"/>
                <w:kern w:val="0"/>
                <w:sz w:val="24"/>
                <w:highlight w:val="none"/>
              </w:rPr>
              <w:t>分钟，讲解次序以响应文件解密时间先后次序为准，</w:t>
            </w:r>
            <w:r>
              <w:rPr>
                <w:rFonts w:hint="eastAsia" w:cs="宋体" w:asciiTheme="minorEastAsia" w:hAnsiTheme="minorEastAsia" w:eastAsiaTheme="minorEastAsia"/>
                <w:color w:val="auto"/>
                <w:kern w:val="0"/>
                <w:sz w:val="24"/>
                <w:highlight w:val="none"/>
                <w:lang w:val="en-US" w:eastAsia="zh-CN"/>
              </w:rPr>
              <w:t>现场</w:t>
            </w:r>
            <w:r>
              <w:rPr>
                <w:rFonts w:hint="eastAsia" w:cs="宋体" w:asciiTheme="minorEastAsia" w:hAnsiTheme="minorEastAsia" w:eastAsiaTheme="minorEastAsia"/>
                <w:color w:val="auto"/>
                <w:kern w:val="0"/>
                <w:sz w:val="24"/>
                <w:highlight w:val="none"/>
              </w:rPr>
              <w:t>讲解演示人员不超过</w:t>
            </w:r>
            <w:r>
              <w:rPr>
                <w:rFonts w:hint="eastAsia" w:cs="宋体" w:asciiTheme="minorEastAsia" w:hAnsiTheme="minorEastAsia" w:eastAsiaTheme="minorEastAsia"/>
                <w:color w:val="auto"/>
                <w:kern w:val="0"/>
                <w:sz w:val="24"/>
                <w:highlight w:val="none"/>
                <w:u w:val="single"/>
                <w:lang w:val="en-US" w:eastAsia="zh-CN"/>
              </w:rPr>
              <w:t>2</w:t>
            </w:r>
            <w:r>
              <w:rPr>
                <w:rFonts w:hint="eastAsia" w:cs="宋体" w:asciiTheme="minorEastAsia" w:hAnsiTheme="minorEastAsia" w:eastAsiaTheme="minorEastAsia"/>
                <w:color w:val="auto"/>
                <w:kern w:val="0"/>
                <w:sz w:val="24"/>
                <w:highlight w:val="none"/>
              </w:rPr>
              <w:t>人。</w:t>
            </w:r>
          </w:p>
          <w:p w14:paraId="083B1321">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46E3CA4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方式一：供应商</w:t>
            </w:r>
            <w:r>
              <w:rPr>
                <w:rFonts w:hint="eastAsia" w:ascii="宋体" w:hAnsi="宋体" w:eastAsia="宋体" w:cs="宋体"/>
                <w:color w:val="auto"/>
                <w:kern w:val="0"/>
                <w:sz w:val="24"/>
                <w:highlight w:val="none"/>
                <w:lang w:val="en-US" w:eastAsia="zh-CN"/>
              </w:rPr>
              <w:t>可</w:t>
            </w:r>
            <w:r>
              <w:rPr>
                <w:rFonts w:hint="eastAsia" w:ascii="宋体" w:hAnsi="宋体" w:eastAsia="宋体" w:cs="宋体"/>
                <w:color w:val="auto"/>
                <w:kern w:val="0"/>
                <w:sz w:val="24"/>
                <w:highlight w:val="none"/>
              </w:rPr>
              <w:t>将演示</w:t>
            </w:r>
            <w:r>
              <w:rPr>
                <w:rFonts w:hint="eastAsia" w:ascii="宋体" w:hAnsi="宋体" w:eastAsia="宋体" w:cs="宋体"/>
                <w:color w:val="auto"/>
                <w:kern w:val="0"/>
                <w:sz w:val="24"/>
                <w:highlight w:val="none"/>
                <w:lang w:val="en-US" w:eastAsia="zh-CN"/>
              </w:rPr>
              <w:t>内容</w:t>
            </w:r>
            <w:r>
              <w:rPr>
                <w:rFonts w:hint="eastAsia" w:ascii="宋体" w:hAnsi="宋体" w:eastAsia="宋体" w:cs="宋体"/>
                <w:color w:val="auto"/>
                <w:kern w:val="0"/>
                <w:sz w:val="24"/>
                <w:highlight w:val="none"/>
              </w:rPr>
              <w:t>单独</w:t>
            </w:r>
            <w:r>
              <w:rPr>
                <w:rFonts w:hint="eastAsia" w:ascii="宋体" w:hAnsi="宋体" w:eastAsia="宋体" w:cs="宋体"/>
                <w:color w:val="auto"/>
                <w:kern w:val="0"/>
                <w:sz w:val="24"/>
                <w:highlight w:val="none"/>
                <w:lang w:val="en-US" w:eastAsia="zh-CN"/>
              </w:rPr>
              <w:t>制作并存储</w:t>
            </w:r>
            <w:r>
              <w:rPr>
                <w:rFonts w:hint="eastAsia" w:ascii="宋体" w:hAnsi="宋体" w:eastAsia="宋体" w:cs="宋体"/>
                <w:color w:val="auto"/>
                <w:kern w:val="0"/>
                <w:sz w:val="24"/>
                <w:highlight w:val="none"/>
              </w:rPr>
              <w:t>到U盘中</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要求</w:t>
            </w:r>
            <w:r>
              <w:rPr>
                <w:rFonts w:hint="eastAsia" w:ascii="宋体" w:hAnsi="宋体" w:eastAsia="宋体" w:cs="宋体"/>
                <w:color w:val="auto"/>
                <w:kern w:val="0"/>
                <w:sz w:val="24"/>
                <w:highlight w:val="none"/>
                <w:lang w:val="en-US" w:eastAsia="zh-CN"/>
              </w:rPr>
              <w:t>演示的方式为系统演示或DEMO视频或PPT，建议采用系统演示</w:t>
            </w:r>
            <w:r>
              <w:rPr>
                <w:rFonts w:hint="eastAsia" w:ascii="宋体" w:hAnsi="宋体" w:eastAsia="宋体" w:cs="宋体"/>
                <w:color w:val="auto"/>
                <w:kern w:val="0"/>
                <w:sz w:val="24"/>
                <w:highlight w:val="none"/>
              </w:rPr>
              <w:t>。因供应商演示</w:t>
            </w:r>
            <w:r>
              <w:rPr>
                <w:rFonts w:hint="eastAsia" w:ascii="宋体" w:hAnsi="宋体" w:eastAsia="宋体" w:cs="宋体"/>
                <w:color w:val="auto"/>
                <w:kern w:val="0"/>
                <w:sz w:val="24"/>
                <w:highlight w:val="none"/>
                <w:lang w:val="en-US" w:eastAsia="zh-CN"/>
              </w:rPr>
              <w:t>内容</w:t>
            </w:r>
            <w:r>
              <w:rPr>
                <w:rFonts w:hint="eastAsia" w:ascii="宋体" w:hAnsi="宋体" w:eastAsia="宋体" w:cs="宋体"/>
                <w:color w:val="auto"/>
                <w:kern w:val="0"/>
                <w:sz w:val="24"/>
                <w:highlight w:val="none"/>
              </w:rPr>
              <w:t>无法播放或损坏的，视作未提供演示，打分时不予计分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。递交方式</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①</w:t>
            </w:r>
            <w:r>
              <w:rPr>
                <w:rFonts w:hint="eastAsia" w:ascii="宋体" w:hAnsi="宋体" w:eastAsia="宋体" w:cs="宋体"/>
                <w:color w:val="auto"/>
                <w:kern w:val="0"/>
                <w:sz w:val="24"/>
                <w:highlight w:val="none"/>
              </w:rPr>
              <w:t>邮寄送达，送达地址</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宁波中基国际招标有限公司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宁波市郸州区天童南路 666 号中基大厦19楼业务六部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孔晖，</w:t>
            </w: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0574-87425279供应商</w:t>
            </w:r>
            <w:r>
              <w:rPr>
                <w:rFonts w:hint="eastAsia" w:ascii="宋体" w:hAnsi="宋体" w:eastAsia="宋体" w:cs="宋体"/>
                <w:color w:val="auto"/>
                <w:kern w:val="0"/>
                <w:sz w:val="24"/>
                <w:highlight w:val="none"/>
              </w:rPr>
              <w:t>邮寄后可将邮件单号发送至采购代理机构电子邮箱</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电子邮箱</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24692711</w:t>
            </w:r>
            <w:r>
              <w:rPr>
                <w:rFonts w:hint="eastAsia" w:ascii="宋体" w:hAnsi="宋体" w:eastAsia="宋体" w:cs="宋体"/>
                <w:color w:val="auto"/>
                <w:kern w:val="0"/>
                <w:sz w:val="24"/>
                <w:highlight w:val="none"/>
              </w:rPr>
              <w:t>@qq.com</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以便采购代理机构查询物流记录。各供应商应当确保“演示文件”的密封包装在邮寄过程保持完好，因邮寄造成“演示文件”密封破损的或邮寄过程中导致“演示文件”未按时送达的，采购代理机构将拒绝其“演示文件”。各供应商自行考虑邮寄在途时间，“演示文件”送达时间以采购代理机构工作人员实际签收时间为准。“演示文件”邮寄送达截止时间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提交投标文件截止时间前一工作日的</w:t>
            </w:r>
            <w:r>
              <w:rPr>
                <w:rFonts w:hint="eastAsia" w:ascii="宋体" w:hAnsi="宋体" w:eastAsia="宋体" w:cs="宋体"/>
                <w:color w:val="auto"/>
                <w:kern w:val="0"/>
                <w:sz w:val="24"/>
                <w:highlight w:val="none"/>
                <w:lang w:val="en-US" w:eastAsia="zh-CN"/>
              </w:rPr>
              <w:t>16:00</w:t>
            </w:r>
            <w:r>
              <w:rPr>
                <w:rFonts w:hint="eastAsia" w:ascii="宋体" w:hAnsi="宋体" w:eastAsia="宋体" w:cs="宋体"/>
                <w:color w:val="auto"/>
                <w:kern w:val="0"/>
                <w:sz w:val="24"/>
                <w:highlight w:val="none"/>
              </w:rPr>
              <w:t>点前。</w:t>
            </w:r>
            <w:r>
              <w:rPr>
                <w:rFonts w:hint="eastAsia" w:ascii="宋体" w:hAnsi="宋体" w:eastAsia="宋体" w:cs="宋体"/>
                <w:color w:val="auto"/>
                <w:kern w:val="0"/>
                <w:sz w:val="24"/>
                <w:highlight w:val="none"/>
                <w:lang w:val="en-US" w:eastAsia="zh-CN"/>
              </w:rPr>
              <w:t>②</w:t>
            </w:r>
            <w:r>
              <w:rPr>
                <w:rFonts w:hint="eastAsia" w:ascii="宋体" w:hAnsi="宋体" w:eastAsia="宋体" w:cs="宋体"/>
                <w:color w:val="auto"/>
                <w:kern w:val="0"/>
                <w:sz w:val="24"/>
                <w:highlight w:val="none"/>
              </w:rPr>
              <w:t>现场提交</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在开标当天，提交投标文件截止时间前送达</w:t>
            </w:r>
            <w:r>
              <w:rPr>
                <w:rFonts w:hint="eastAsia" w:ascii="宋体" w:hAnsi="宋体" w:eastAsia="宋体" w:cs="宋体"/>
                <w:color w:val="auto"/>
                <w:kern w:val="0"/>
                <w:sz w:val="24"/>
                <w:highlight w:val="none"/>
                <w:lang w:val="en-US" w:eastAsia="zh-CN"/>
              </w:rPr>
              <w:t>海曙区</w:t>
            </w:r>
            <w:r>
              <w:rPr>
                <w:rFonts w:hint="eastAsia" w:ascii="宋体" w:hAnsi="宋体" w:eastAsia="宋体" w:cs="宋体"/>
                <w:color w:val="auto"/>
                <w:kern w:val="0"/>
                <w:sz w:val="24"/>
                <w:highlight w:val="none"/>
              </w:rPr>
              <w:t>公共资源交易中心二楼开标室</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南门上，宁波市海曙区气象路58号，</w:t>
            </w:r>
            <w:r>
              <w:rPr>
                <w:rFonts w:hint="eastAsia" w:ascii="宋体" w:hAnsi="宋体" w:eastAsia="宋体" w:cs="宋体"/>
                <w:color w:val="auto"/>
                <w:kern w:val="0"/>
                <w:sz w:val="24"/>
                <w:highlight w:val="none"/>
              </w:rPr>
              <w:t>具体开标室见现场电子显示屏</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54BD933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lang w:val="en-US" w:eastAsia="zh-CN"/>
              </w:rPr>
              <w:t>海曙区公共资源交易中心三楼评标室</w:t>
            </w:r>
            <w:r>
              <w:rPr>
                <w:rFonts w:hint="eastAsia" w:ascii="宋体" w:hAnsi="宋体" w:eastAsia="宋体" w:cs="宋体"/>
                <w:color w:val="auto"/>
                <w:kern w:val="0"/>
                <w:sz w:val="24"/>
                <w:highlight w:val="none"/>
              </w:rPr>
              <w:t>，讲解演示所用电脑等设备由</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自备。现场讲解演示人员</w:t>
            </w:r>
            <w:r>
              <w:rPr>
                <w:rFonts w:hint="eastAsia" w:ascii="宋体" w:hAnsi="宋体" w:eastAsia="宋体" w:cs="宋体"/>
                <w:color w:val="auto"/>
                <w:kern w:val="0"/>
                <w:sz w:val="24"/>
                <w:highlight w:val="none"/>
                <w:lang w:val="en-US" w:eastAsia="zh-CN"/>
              </w:rPr>
              <w:t>在投标截止时间前在开标室进行签到确认</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未按规定签到的</w:t>
            </w:r>
            <w:r>
              <w:rPr>
                <w:rFonts w:hint="eastAsia" w:ascii="宋体" w:hAnsi="宋体" w:eastAsia="宋体" w:cs="宋体"/>
                <w:color w:val="auto"/>
                <w:kern w:val="0"/>
                <w:sz w:val="24"/>
                <w:highlight w:val="none"/>
              </w:rPr>
              <w:t>不得讲解演示。</w:t>
            </w:r>
          </w:p>
          <w:p w14:paraId="517ABFB1">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b/>
                <w:color w:val="auto"/>
                <w:kern w:val="0"/>
                <w:sz w:val="24"/>
                <w:highlight w:val="none"/>
                <w:lang w:val="zh-CN"/>
              </w:rPr>
            </w:pPr>
            <w:r>
              <w:rPr>
                <w:rFonts w:hint="eastAsia" w:ascii="宋体" w:hAnsi="宋体" w:eastAsia="宋体" w:cs="宋体"/>
                <w:color w:val="auto"/>
                <w:kern w:val="0"/>
                <w:sz w:val="24"/>
                <w:highlight w:val="none"/>
              </w:rPr>
              <w:t>注：因</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自身原因导致无法演示或者演示效果不理想的，责任自负。</w:t>
            </w:r>
          </w:p>
        </w:tc>
      </w:tr>
      <w:tr w14:paraId="36F5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10DBF3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3DF28A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94" w:type="dxa"/>
            <w:vAlign w:val="center"/>
          </w:tcPr>
          <w:p w14:paraId="72C20903">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第三部分“六、响应文件的编制”</w:t>
            </w:r>
            <w:r>
              <w:rPr>
                <w:rFonts w:hint="eastAsia" w:cs="宋体" w:asciiTheme="minorEastAsia" w:hAnsiTheme="minorEastAsia" w:eastAsiaTheme="minorEastAsia"/>
                <w:color w:val="auto"/>
                <w:sz w:val="24"/>
                <w:highlight w:val="none"/>
              </w:rPr>
              <w:t>。</w:t>
            </w:r>
          </w:p>
          <w:p w14:paraId="35BC57D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376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46442E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787ED5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05506BA3">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1764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EA09E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3339CB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94" w:type="dxa"/>
            <w:vAlign w:val="center"/>
          </w:tcPr>
          <w:p w14:paraId="5AA66CA1">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B2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3" w:hRule="atLeast"/>
          <w:jc w:val="center"/>
        </w:trPr>
        <w:tc>
          <w:tcPr>
            <w:tcW w:w="629" w:type="dxa"/>
            <w:vAlign w:val="center"/>
          </w:tcPr>
          <w:p w14:paraId="767A81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413AE3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投标</w:t>
            </w:r>
            <w:r>
              <w:rPr>
                <w:rFonts w:hint="eastAsia" w:cs="宋体" w:asciiTheme="minorEastAsia" w:hAnsiTheme="minorEastAsia" w:eastAsiaTheme="minorEastAsia"/>
                <w:b/>
                <w:color w:val="auto"/>
                <w:sz w:val="24"/>
                <w:highlight w:val="none"/>
              </w:rPr>
              <w:t>报价要求</w:t>
            </w:r>
          </w:p>
        </w:tc>
        <w:tc>
          <w:tcPr>
            <w:tcW w:w="6694" w:type="dxa"/>
            <w:vAlign w:val="center"/>
          </w:tcPr>
          <w:p w14:paraId="68CF263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w:t>
            </w:r>
            <w:r>
              <w:rPr>
                <w:rFonts w:hint="eastAsia" w:cs="宋体" w:asciiTheme="minorEastAsia" w:hAnsiTheme="minorEastAsia" w:eastAsiaTheme="minorEastAsia"/>
                <w:color w:val="auto"/>
                <w:kern w:val="0"/>
                <w:sz w:val="24"/>
                <w:highlight w:val="none"/>
                <w:lang w:val="en-US" w:eastAsia="zh-CN"/>
              </w:rPr>
              <w:t>投标</w:t>
            </w:r>
            <w:r>
              <w:rPr>
                <w:rFonts w:hint="eastAsia" w:cs="宋体" w:asciiTheme="minorEastAsia" w:hAnsiTheme="minorEastAsia" w:eastAsiaTheme="minorEastAsia"/>
                <w:color w:val="auto"/>
                <w:kern w:val="0"/>
                <w:sz w:val="24"/>
                <w:highlight w:val="none"/>
                <w:lang w:val="zh-CN"/>
              </w:rPr>
              <w:t>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7F134D4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eastAsia="zh-CN"/>
              </w:rPr>
              <w:t>本项目投标报价应包括完成本项目所需的人工费、软件开发服务费、数据安全保护费、运行维护费、差旅费、管理费、保险费、安装费、调试费、验收、利润和税金等全部费用以及负责自合同签订之日起至项目建成投用期间维护原系统正常运行所产生的费用。</w:t>
            </w:r>
          </w:p>
          <w:p w14:paraId="7DF79888">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outlineLvl w:val="9"/>
              <w:rPr>
                <w:rFonts w:hint="eastAsia" w:cs="宋体" w:asciiTheme="minorEastAsia" w:hAnsiTheme="minorEastAsia" w:eastAsiaTheme="minorEastAsia"/>
                <w:b/>
                <w:bCs w:val="0"/>
                <w:color w:val="auto"/>
                <w:kern w:val="0"/>
                <w:sz w:val="24"/>
                <w:highlight w:val="none"/>
                <w:lang w:val="en-US" w:eastAsia="zh-CN"/>
              </w:rPr>
            </w:pPr>
            <w:r>
              <w:rPr>
                <w:rFonts w:hint="eastAsia" w:cs="宋体" w:asciiTheme="minorEastAsia" w:hAnsiTheme="minorEastAsia" w:eastAsiaTheme="minorEastAsia"/>
                <w:b/>
                <w:bCs w:val="0"/>
                <w:color w:val="auto"/>
                <w:kern w:val="0"/>
                <w:sz w:val="24"/>
                <w:highlight w:val="none"/>
                <w:lang w:val="en-US" w:eastAsia="zh-CN"/>
              </w:rPr>
              <w:t>其中应用软件最高限价（元）：1260000.00；</w:t>
            </w:r>
          </w:p>
          <w:p w14:paraId="164F12B5">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outlineLvl w:val="9"/>
              <w:rPr>
                <w:rFonts w:hint="eastAsia" w:cs="宋体" w:asciiTheme="minorEastAsia" w:hAnsiTheme="minorEastAsia" w:eastAsiaTheme="minorEastAsia"/>
                <w:b/>
                <w:bCs w:val="0"/>
                <w:color w:val="auto"/>
                <w:kern w:val="0"/>
                <w:sz w:val="24"/>
                <w:highlight w:val="none"/>
                <w:lang w:val="en-US" w:eastAsia="zh-CN"/>
              </w:rPr>
            </w:pPr>
            <w:r>
              <w:rPr>
                <w:rFonts w:hint="eastAsia" w:cs="宋体" w:asciiTheme="minorEastAsia" w:hAnsiTheme="minorEastAsia" w:eastAsiaTheme="minorEastAsia"/>
                <w:b/>
                <w:bCs w:val="0"/>
                <w:color w:val="auto"/>
                <w:kern w:val="0"/>
                <w:sz w:val="24"/>
                <w:highlight w:val="none"/>
                <w:lang w:val="en-US" w:eastAsia="zh-CN"/>
              </w:rPr>
              <w:t>软件购置最高限价（元）：114000.00；</w:t>
            </w:r>
          </w:p>
          <w:p w14:paraId="2F5B4EA8">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outlineLvl w:val="9"/>
              <w:rPr>
                <w:rFonts w:hint="eastAsia" w:cs="宋体" w:asciiTheme="minorEastAsia" w:hAnsiTheme="minorEastAsia" w:eastAsiaTheme="minorEastAsia"/>
                <w:b/>
                <w:bCs w:val="0"/>
                <w:color w:val="auto"/>
                <w:kern w:val="0"/>
                <w:sz w:val="24"/>
                <w:highlight w:val="none"/>
                <w:lang w:val="en-US" w:eastAsia="zh-CN"/>
              </w:rPr>
            </w:pPr>
            <w:r>
              <w:rPr>
                <w:rFonts w:hint="eastAsia" w:cs="宋体" w:asciiTheme="minorEastAsia" w:hAnsiTheme="minorEastAsia" w:eastAsiaTheme="minorEastAsia"/>
                <w:b/>
                <w:bCs w:val="0"/>
                <w:color w:val="auto"/>
                <w:kern w:val="0"/>
                <w:sz w:val="24"/>
                <w:highlight w:val="none"/>
                <w:lang w:val="en-US" w:eastAsia="zh-CN"/>
              </w:rPr>
              <w:t>数据安全保护最高限价（元）：70000.00；</w:t>
            </w:r>
          </w:p>
          <w:p w14:paraId="1DF74F4C">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outlineLvl w:val="9"/>
              <w:rPr>
                <w:rFonts w:hint="eastAsia" w:cs="宋体" w:asciiTheme="minorEastAsia" w:hAnsiTheme="minorEastAsia" w:eastAsiaTheme="minorEastAsia"/>
                <w:b w:val="0"/>
                <w:bCs/>
                <w:color w:val="auto"/>
                <w:kern w:val="0"/>
                <w:sz w:val="24"/>
                <w:highlight w:val="none"/>
                <w:lang w:val="en-US" w:eastAsia="zh-CN"/>
              </w:rPr>
            </w:pPr>
            <w:r>
              <w:rPr>
                <w:rFonts w:hint="eastAsia" w:cs="宋体" w:asciiTheme="minorEastAsia" w:hAnsiTheme="minorEastAsia" w:eastAsiaTheme="minorEastAsia"/>
                <w:b/>
                <w:bCs w:val="0"/>
                <w:color w:val="auto"/>
                <w:kern w:val="0"/>
                <w:sz w:val="24"/>
                <w:highlight w:val="none"/>
                <w:lang w:val="en-US" w:eastAsia="zh-CN"/>
              </w:rPr>
              <w:t>等保测评、代码检查最高限价（元）：58880.00。</w:t>
            </w:r>
          </w:p>
          <w:p w14:paraId="115B3AA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06B6724F">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62E78BB3">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7CDECD4C">
            <w:pPr>
              <w:keepNext w:val="0"/>
              <w:keepLines w:val="0"/>
              <w:pageBreakBefore w:val="0"/>
              <w:widowControl w:val="0"/>
              <w:kinsoku/>
              <w:wordWrap/>
              <w:overflowPunct/>
              <w:topLinePunct w:val="0"/>
              <w:autoSpaceDE/>
              <w:autoSpaceDN/>
              <w:bidi w:val="0"/>
              <w:adjustRightInd w:val="0"/>
              <w:spacing w:line="240" w:lineRule="auto"/>
              <w:ind w:firstLine="240" w:firstLineChars="100"/>
              <w:textAlignment w:val="auto"/>
              <w:outlineLvl w:val="9"/>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最后报价明显低于其他通过符合性审查供应商的报价</w:t>
            </w:r>
            <w:r>
              <w:rPr>
                <w:rFonts w:hint="eastAsia" w:cs="宋体" w:asciiTheme="minorEastAsia" w:hAnsiTheme="minorEastAsia" w:eastAsiaTheme="minorEastAsia"/>
                <w:b w:val="0"/>
                <w:bCs/>
                <w:color w:val="auto"/>
                <w:kern w:val="0"/>
                <w:sz w:val="24"/>
                <w:highlight w:val="none"/>
                <w:lang w:eastAsia="zh-CN"/>
              </w:rPr>
              <w:t>（</w:t>
            </w:r>
            <w:r>
              <w:rPr>
                <w:rFonts w:hint="eastAsia" w:cs="宋体" w:asciiTheme="minorEastAsia" w:hAnsiTheme="minorEastAsia" w:eastAsiaTheme="minorEastAsia"/>
                <w:b w:val="0"/>
                <w:bCs/>
                <w:color w:val="auto"/>
                <w:kern w:val="0"/>
                <w:sz w:val="24"/>
                <w:highlight w:val="none"/>
                <w:lang w:val="en-US" w:eastAsia="zh-CN"/>
              </w:rPr>
              <w:t>低于预算金额的50%的</w:t>
            </w:r>
            <w:r>
              <w:rPr>
                <w:rFonts w:hint="eastAsia" w:cs="宋体" w:asciiTheme="minorEastAsia" w:hAnsiTheme="minorEastAsia" w:eastAsiaTheme="minorEastAsia"/>
                <w:b w:val="0"/>
                <w:bCs/>
                <w:color w:val="auto"/>
                <w:kern w:val="0"/>
                <w:sz w:val="24"/>
                <w:highlight w:val="none"/>
                <w:lang w:eastAsia="zh-CN"/>
              </w:rPr>
              <w:t>）</w:t>
            </w:r>
            <w:r>
              <w:rPr>
                <w:rFonts w:hint="eastAsia" w:cs="宋体" w:asciiTheme="minorEastAsia" w:hAnsiTheme="minorEastAsia" w:eastAsiaTheme="minorEastAsia"/>
                <w:b w:val="0"/>
                <w:bCs/>
                <w:color w:val="auto"/>
                <w:kern w:val="0"/>
                <w:sz w:val="24"/>
                <w:highlight w:val="none"/>
              </w:rPr>
              <w:t>，有可能影响产品质量或者不能诚信履约的，未能按要求提供书面说明或者提交相关证明材料证明其报价合理性的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kern w:val="0"/>
                <w:sz w:val="24"/>
                <w:highlight w:val="none"/>
                <w:lang w:eastAsia="zh-CN"/>
              </w:rPr>
              <w:t>；</w:t>
            </w:r>
          </w:p>
          <w:p w14:paraId="48885AD2">
            <w:pPr>
              <w:keepNext w:val="0"/>
              <w:keepLines w:val="0"/>
              <w:pageBreakBefore w:val="0"/>
              <w:widowControl w:val="0"/>
              <w:kinsoku/>
              <w:wordWrap/>
              <w:overflowPunct/>
              <w:topLinePunct w:val="0"/>
              <w:autoSpaceDE/>
              <w:autoSpaceDN/>
              <w:bidi w:val="0"/>
              <w:adjustRightInd w:val="0"/>
              <w:spacing w:line="240"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6FDD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5E7B6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41095B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94" w:type="dxa"/>
            <w:vAlign w:val="center"/>
          </w:tcPr>
          <w:p w14:paraId="5964BCDF">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C1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63C95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3C881D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94" w:type="dxa"/>
            <w:vAlign w:val="center"/>
          </w:tcPr>
          <w:p w14:paraId="58F6BB08">
            <w:pPr>
              <w:pStyle w:val="31"/>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04854D32">
            <w:pPr>
              <w:pStyle w:val="31"/>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1F747753">
            <w:pPr>
              <w:pStyle w:val="31"/>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31083266">
            <w:pPr>
              <w:pStyle w:val="31"/>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418660B8">
            <w:pPr>
              <w:pStyle w:val="31"/>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4F5F3297">
            <w:pPr>
              <w:pStyle w:val="31"/>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孔晖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0574-87425279</w:t>
            </w:r>
          </w:p>
          <w:p w14:paraId="24D13FE0">
            <w:pPr>
              <w:pStyle w:val="31"/>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47DF7B3A">
            <w:pPr>
              <w:pStyle w:val="31"/>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125C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0CDB8A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66B33D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94" w:type="dxa"/>
            <w:vAlign w:val="center"/>
          </w:tcPr>
          <w:p w14:paraId="2B18C47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FE6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377128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0F6FEC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6ADAF17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715406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4F88B1C">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67878868"/>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56C6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F331E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528C70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694" w:type="dxa"/>
            <w:vAlign w:val="center"/>
          </w:tcPr>
          <w:p w14:paraId="01E5DF0F">
            <w:pPr>
              <w:rPr>
                <w:rFonts w:ascii="宋体" w:hAnsi="宋体" w:eastAsia="宋体" w:cs="Arial"/>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w:t>
            </w:r>
            <w:r>
              <w:rPr>
                <w:rFonts w:hint="eastAsia" w:ascii="宋体" w:hAnsi="宋体" w:eastAsia="宋体" w:cs="Arial"/>
                <w:kern w:val="0"/>
                <w:sz w:val="24"/>
                <w:highlight w:val="none"/>
              </w:rPr>
              <w:t>采购代理机构按照</w:t>
            </w:r>
            <w:r>
              <w:rPr>
                <w:rFonts w:hint="eastAsia" w:ascii="宋体" w:hAnsi="宋体" w:eastAsia="宋体" w:cs="Arial"/>
                <w:kern w:val="0"/>
                <w:sz w:val="24"/>
                <w:highlight w:val="none"/>
                <w:lang w:val="en-US" w:eastAsia="zh-CN"/>
              </w:rPr>
              <w:t>成交</w:t>
            </w:r>
            <w:r>
              <w:rPr>
                <w:rFonts w:hint="eastAsia" w:ascii="宋体" w:hAnsi="宋体" w:eastAsia="宋体" w:cs="Arial"/>
                <w:kern w:val="0"/>
                <w:sz w:val="24"/>
                <w:highlight w:val="none"/>
              </w:rPr>
              <w:t>总价，根据下表</w:t>
            </w:r>
            <w:r>
              <w:rPr>
                <w:rFonts w:hint="eastAsia" w:ascii="宋体" w:hAnsi="宋体" w:eastAsia="宋体" w:cs="Arial"/>
                <w:kern w:val="0"/>
                <w:sz w:val="24"/>
                <w:highlight w:val="none"/>
                <w:lang w:val="en-US" w:eastAsia="zh-CN"/>
              </w:rPr>
              <w:t>服务</w:t>
            </w:r>
            <w:r>
              <w:rPr>
                <w:rFonts w:hint="eastAsia" w:ascii="宋体" w:hAnsi="宋体" w:eastAsia="宋体" w:cs="Arial"/>
                <w:kern w:val="0"/>
                <w:sz w:val="24"/>
                <w:highlight w:val="none"/>
              </w:rPr>
              <w:t>招标标准</w:t>
            </w:r>
            <w:r>
              <w:rPr>
                <w:rFonts w:hint="eastAsia" w:ascii="宋体" w:hAnsi="宋体" w:eastAsia="宋体" w:cs="Arial"/>
                <w:kern w:val="0"/>
                <w:sz w:val="24"/>
                <w:highlight w:val="none"/>
                <w:lang w:val="en-US" w:eastAsia="zh-CN"/>
              </w:rPr>
              <w:t>的70%</w:t>
            </w:r>
            <w:r>
              <w:rPr>
                <w:rFonts w:hint="eastAsia" w:ascii="宋体" w:hAnsi="宋体" w:eastAsia="宋体" w:cs="Arial"/>
                <w:kern w:val="0"/>
                <w:sz w:val="24"/>
                <w:highlight w:val="none"/>
              </w:rPr>
              <w:t>向</w:t>
            </w:r>
            <w:r>
              <w:rPr>
                <w:rFonts w:hint="eastAsia" w:ascii="宋体" w:hAnsi="宋体" w:eastAsia="宋体" w:cs="Arial"/>
                <w:kern w:val="0"/>
                <w:sz w:val="24"/>
                <w:highlight w:val="none"/>
                <w:lang w:val="en-US" w:eastAsia="zh-CN"/>
              </w:rPr>
              <w:t>成交</w:t>
            </w:r>
            <w:r>
              <w:rPr>
                <w:rFonts w:hint="eastAsia" w:ascii="宋体" w:hAnsi="宋体" w:eastAsia="宋体" w:cs="Arial"/>
                <w:kern w:val="0"/>
                <w:sz w:val="24"/>
                <w:highlight w:val="none"/>
              </w:rPr>
              <w:t>人收取</w:t>
            </w:r>
            <w:r>
              <w:rPr>
                <w:rFonts w:hint="eastAsia" w:ascii="宋体" w:hAnsi="宋体" w:eastAsia="宋体" w:cs="Arial"/>
                <w:kern w:val="0"/>
                <w:sz w:val="24"/>
                <w:highlight w:val="none"/>
                <w:lang w:val="en-US" w:eastAsia="zh-CN"/>
              </w:rPr>
              <w:t>成交</w:t>
            </w:r>
            <w:r>
              <w:rPr>
                <w:rFonts w:hint="eastAsia" w:ascii="宋体" w:hAnsi="宋体" w:eastAsia="宋体" w:cs="Arial"/>
                <w:kern w:val="0"/>
                <w:sz w:val="24"/>
                <w:highlight w:val="none"/>
              </w:rPr>
              <w:t>服务费。</w:t>
            </w:r>
          </w:p>
          <w:tbl>
            <w:tblPr>
              <w:tblStyle w:val="61"/>
              <w:tblW w:w="5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58"/>
              <w:gridCol w:w="1207"/>
              <w:gridCol w:w="1207"/>
              <w:gridCol w:w="1207"/>
            </w:tblGrid>
            <w:tr w14:paraId="6C5B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1" w:hRule="atLeast"/>
                <w:jc w:val="center"/>
              </w:trPr>
              <w:tc>
                <w:tcPr>
                  <w:tcW w:w="2258" w:type="dxa"/>
                  <w:tcBorders>
                    <w:tl2br w:val="single" w:color="auto" w:sz="4" w:space="0"/>
                  </w:tcBorders>
                  <w:tcMar>
                    <w:top w:w="30" w:type="dxa"/>
                    <w:left w:w="150" w:type="dxa"/>
                    <w:bottom w:w="30" w:type="dxa"/>
                    <w:right w:w="150" w:type="dxa"/>
                  </w:tcMar>
                  <w:vAlign w:val="center"/>
                </w:tcPr>
                <w:p w14:paraId="29541ECC">
                  <w:pPr>
                    <w:adjustRightInd/>
                    <w:jc w:val="right"/>
                    <w:rPr>
                      <w:rFonts w:ascii="宋体" w:hAnsi="宋体" w:eastAsia="宋体" w:cs="宋体"/>
                      <w:szCs w:val="21"/>
                      <w:highlight w:val="none"/>
                      <w:lang w:bidi="ar"/>
                    </w:rPr>
                  </w:pPr>
                  <w:r>
                    <w:rPr>
                      <w:rFonts w:hint="eastAsia" w:ascii="宋体" w:hAnsi="宋体" w:eastAsia="宋体" w:cs="宋体"/>
                      <w:szCs w:val="21"/>
                      <w:highlight w:val="none"/>
                      <w:lang w:bidi="ar"/>
                    </w:rPr>
                    <w:t>服务类型</w:t>
                  </w:r>
                </w:p>
                <w:p w14:paraId="6BDB318C">
                  <w:pPr>
                    <w:adjustRightInd/>
                    <w:jc w:val="left"/>
                    <w:rPr>
                      <w:rFonts w:ascii="宋体" w:hAnsi="宋体" w:eastAsia="宋体" w:cs="宋体"/>
                      <w:szCs w:val="21"/>
                      <w:highlight w:val="none"/>
                      <w:lang w:bidi="ar"/>
                    </w:rPr>
                  </w:pPr>
                  <w:r>
                    <w:rPr>
                      <w:rFonts w:hint="eastAsia" w:ascii="宋体" w:hAnsi="宋体" w:eastAsia="宋体" w:cs="宋体"/>
                      <w:szCs w:val="21"/>
                      <w:highlight w:val="none"/>
                      <w:lang w:bidi="ar"/>
                    </w:rPr>
                    <w:t>金额（万元）</w:t>
                  </w:r>
                </w:p>
              </w:tc>
              <w:tc>
                <w:tcPr>
                  <w:tcW w:w="1207" w:type="dxa"/>
                  <w:tcMar>
                    <w:top w:w="30" w:type="dxa"/>
                    <w:left w:w="150" w:type="dxa"/>
                    <w:bottom w:w="30" w:type="dxa"/>
                    <w:right w:w="150" w:type="dxa"/>
                  </w:tcMar>
                  <w:vAlign w:val="center"/>
                </w:tcPr>
                <w:p w14:paraId="69EBD717">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货物招标</w:t>
                  </w:r>
                </w:p>
              </w:tc>
              <w:tc>
                <w:tcPr>
                  <w:tcW w:w="1207" w:type="dxa"/>
                  <w:tcMar>
                    <w:top w:w="30" w:type="dxa"/>
                    <w:left w:w="150" w:type="dxa"/>
                    <w:bottom w:w="30" w:type="dxa"/>
                    <w:right w:w="150" w:type="dxa"/>
                  </w:tcMar>
                  <w:vAlign w:val="center"/>
                </w:tcPr>
                <w:p w14:paraId="02DA3D4C">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服务招标</w:t>
                  </w:r>
                </w:p>
              </w:tc>
              <w:tc>
                <w:tcPr>
                  <w:tcW w:w="1207" w:type="dxa"/>
                  <w:tcMar>
                    <w:top w:w="30" w:type="dxa"/>
                    <w:left w:w="150" w:type="dxa"/>
                    <w:bottom w:w="30" w:type="dxa"/>
                    <w:right w:w="150" w:type="dxa"/>
                  </w:tcMar>
                  <w:vAlign w:val="center"/>
                </w:tcPr>
                <w:p w14:paraId="0DE1CFF9">
                  <w:pPr>
                    <w:adjustRightInd/>
                    <w:rPr>
                      <w:rFonts w:ascii="宋体" w:hAnsi="宋体" w:eastAsia="宋体" w:cs="宋体"/>
                      <w:szCs w:val="21"/>
                      <w:highlight w:val="none"/>
                      <w:lang w:bidi="ar"/>
                    </w:rPr>
                  </w:pPr>
                  <w:r>
                    <w:rPr>
                      <w:rFonts w:hint="eastAsia" w:ascii="宋体" w:hAnsi="宋体" w:eastAsia="宋体" w:cs="宋体"/>
                      <w:szCs w:val="21"/>
                      <w:highlight w:val="none"/>
                      <w:lang w:bidi="ar"/>
                    </w:rPr>
                    <w:t>工程招标</w:t>
                  </w:r>
                </w:p>
              </w:tc>
            </w:tr>
            <w:tr w14:paraId="6DDE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2258" w:type="dxa"/>
                  <w:tcMar>
                    <w:top w:w="30" w:type="dxa"/>
                    <w:left w:w="150" w:type="dxa"/>
                    <w:bottom w:w="30" w:type="dxa"/>
                    <w:right w:w="150" w:type="dxa"/>
                  </w:tcMar>
                  <w:vAlign w:val="center"/>
                </w:tcPr>
                <w:p w14:paraId="1C4DEADF">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100以下</w:t>
                  </w:r>
                </w:p>
              </w:tc>
              <w:tc>
                <w:tcPr>
                  <w:tcW w:w="1207" w:type="dxa"/>
                  <w:tcMar>
                    <w:top w:w="30" w:type="dxa"/>
                    <w:left w:w="150" w:type="dxa"/>
                    <w:bottom w:w="30" w:type="dxa"/>
                    <w:right w:w="150" w:type="dxa"/>
                  </w:tcMar>
                  <w:vAlign w:val="center"/>
                </w:tcPr>
                <w:p w14:paraId="2CCC1527">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1.5%</w:t>
                  </w:r>
                </w:p>
              </w:tc>
              <w:tc>
                <w:tcPr>
                  <w:tcW w:w="1207" w:type="dxa"/>
                  <w:tcMar>
                    <w:top w:w="30" w:type="dxa"/>
                    <w:left w:w="150" w:type="dxa"/>
                    <w:bottom w:w="30" w:type="dxa"/>
                    <w:right w:w="150" w:type="dxa"/>
                  </w:tcMar>
                  <w:vAlign w:val="center"/>
                </w:tcPr>
                <w:p w14:paraId="74DD4A49">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1.5%</w:t>
                  </w:r>
                </w:p>
              </w:tc>
              <w:tc>
                <w:tcPr>
                  <w:tcW w:w="1207" w:type="dxa"/>
                  <w:tcMar>
                    <w:top w:w="30" w:type="dxa"/>
                    <w:left w:w="150" w:type="dxa"/>
                    <w:bottom w:w="30" w:type="dxa"/>
                    <w:right w:w="150" w:type="dxa"/>
                  </w:tcMar>
                  <w:vAlign w:val="center"/>
                </w:tcPr>
                <w:p w14:paraId="6384B017">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1.0%</w:t>
                  </w:r>
                </w:p>
              </w:tc>
            </w:tr>
            <w:tr w14:paraId="4B22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2258" w:type="dxa"/>
                  <w:tcMar>
                    <w:top w:w="30" w:type="dxa"/>
                    <w:left w:w="150" w:type="dxa"/>
                    <w:bottom w:w="30" w:type="dxa"/>
                    <w:right w:w="150" w:type="dxa"/>
                  </w:tcMar>
                  <w:vAlign w:val="center"/>
                </w:tcPr>
                <w:p w14:paraId="4A9CA9BE">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100-500</w:t>
                  </w:r>
                </w:p>
              </w:tc>
              <w:tc>
                <w:tcPr>
                  <w:tcW w:w="1207" w:type="dxa"/>
                  <w:tcMar>
                    <w:top w:w="30" w:type="dxa"/>
                    <w:left w:w="150" w:type="dxa"/>
                    <w:bottom w:w="30" w:type="dxa"/>
                    <w:right w:w="150" w:type="dxa"/>
                  </w:tcMar>
                  <w:vAlign w:val="center"/>
                </w:tcPr>
                <w:p w14:paraId="2E49BFC3">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1.1%</w:t>
                  </w:r>
                </w:p>
              </w:tc>
              <w:tc>
                <w:tcPr>
                  <w:tcW w:w="1207" w:type="dxa"/>
                  <w:tcMar>
                    <w:top w:w="30" w:type="dxa"/>
                    <w:left w:w="150" w:type="dxa"/>
                    <w:bottom w:w="30" w:type="dxa"/>
                    <w:right w:w="150" w:type="dxa"/>
                  </w:tcMar>
                  <w:vAlign w:val="center"/>
                </w:tcPr>
                <w:p w14:paraId="1F9328CB">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0.8%</w:t>
                  </w:r>
                </w:p>
              </w:tc>
              <w:tc>
                <w:tcPr>
                  <w:tcW w:w="1207" w:type="dxa"/>
                  <w:tcMar>
                    <w:top w:w="30" w:type="dxa"/>
                    <w:left w:w="150" w:type="dxa"/>
                    <w:bottom w:w="30" w:type="dxa"/>
                    <w:right w:w="150" w:type="dxa"/>
                  </w:tcMar>
                  <w:vAlign w:val="center"/>
                </w:tcPr>
                <w:p w14:paraId="48E22889">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0.7%</w:t>
                  </w:r>
                </w:p>
              </w:tc>
            </w:tr>
            <w:tr w14:paraId="09FF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2258" w:type="dxa"/>
                  <w:tcMar>
                    <w:top w:w="30" w:type="dxa"/>
                    <w:left w:w="150" w:type="dxa"/>
                    <w:bottom w:w="30" w:type="dxa"/>
                    <w:right w:w="150" w:type="dxa"/>
                  </w:tcMar>
                  <w:vAlign w:val="center"/>
                </w:tcPr>
                <w:p w14:paraId="3238F2A4">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500-1000</w:t>
                  </w:r>
                </w:p>
              </w:tc>
              <w:tc>
                <w:tcPr>
                  <w:tcW w:w="1207" w:type="dxa"/>
                  <w:tcMar>
                    <w:top w:w="30" w:type="dxa"/>
                    <w:left w:w="150" w:type="dxa"/>
                    <w:bottom w:w="30" w:type="dxa"/>
                    <w:right w:w="150" w:type="dxa"/>
                  </w:tcMar>
                  <w:vAlign w:val="center"/>
                </w:tcPr>
                <w:p w14:paraId="00E7ADB8">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0.8%</w:t>
                  </w:r>
                </w:p>
              </w:tc>
              <w:tc>
                <w:tcPr>
                  <w:tcW w:w="1207" w:type="dxa"/>
                  <w:tcMar>
                    <w:top w:w="30" w:type="dxa"/>
                    <w:left w:w="150" w:type="dxa"/>
                    <w:bottom w:w="30" w:type="dxa"/>
                    <w:right w:w="150" w:type="dxa"/>
                  </w:tcMar>
                  <w:vAlign w:val="center"/>
                </w:tcPr>
                <w:p w14:paraId="77D86A9A">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0.45%</w:t>
                  </w:r>
                </w:p>
              </w:tc>
              <w:tc>
                <w:tcPr>
                  <w:tcW w:w="1207" w:type="dxa"/>
                  <w:tcMar>
                    <w:top w:w="30" w:type="dxa"/>
                    <w:left w:w="150" w:type="dxa"/>
                    <w:bottom w:w="30" w:type="dxa"/>
                    <w:right w:w="150" w:type="dxa"/>
                  </w:tcMar>
                  <w:vAlign w:val="center"/>
                </w:tcPr>
                <w:p w14:paraId="32FF6101">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0.55%</w:t>
                  </w:r>
                </w:p>
              </w:tc>
            </w:tr>
            <w:tr w14:paraId="76D5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2258" w:type="dxa"/>
                  <w:tcMar>
                    <w:top w:w="30" w:type="dxa"/>
                    <w:left w:w="150" w:type="dxa"/>
                    <w:bottom w:w="30" w:type="dxa"/>
                    <w:right w:w="150" w:type="dxa"/>
                  </w:tcMar>
                  <w:vAlign w:val="center"/>
                </w:tcPr>
                <w:p w14:paraId="5AFA415A">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1000-5000</w:t>
                  </w:r>
                </w:p>
              </w:tc>
              <w:tc>
                <w:tcPr>
                  <w:tcW w:w="1207" w:type="dxa"/>
                  <w:tcMar>
                    <w:top w:w="30" w:type="dxa"/>
                    <w:left w:w="150" w:type="dxa"/>
                    <w:bottom w:w="30" w:type="dxa"/>
                    <w:right w:w="150" w:type="dxa"/>
                  </w:tcMar>
                  <w:vAlign w:val="center"/>
                </w:tcPr>
                <w:p w14:paraId="2285A8B8">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0.5%</w:t>
                  </w:r>
                </w:p>
              </w:tc>
              <w:tc>
                <w:tcPr>
                  <w:tcW w:w="1207" w:type="dxa"/>
                  <w:tcMar>
                    <w:top w:w="30" w:type="dxa"/>
                    <w:left w:w="150" w:type="dxa"/>
                    <w:bottom w:w="30" w:type="dxa"/>
                    <w:right w:w="150" w:type="dxa"/>
                  </w:tcMar>
                  <w:vAlign w:val="center"/>
                </w:tcPr>
                <w:p w14:paraId="78973D56">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0.25%</w:t>
                  </w:r>
                </w:p>
              </w:tc>
              <w:tc>
                <w:tcPr>
                  <w:tcW w:w="1207" w:type="dxa"/>
                  <w:tcMar>
                    <w:top w:w="30" w:type="dxa"/>
                    <w:left w:w="150" w:type="dxa"/>
                    <w:bottom w:w="30" w:type="dxa"/>
                    <w:right w:w="150" w:type="dxa"/>
                  </w:tcMar>
                  <w:vAlign w:val="center"/>
                </w:tcPr>
                <w:p w14:paraId="30810F8A">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0.35%</w:t>
                  </w:r>
                </w:p>
              </w:tc>
            </w:tr>
            <w:tr w14:paraId="25B5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2258" w:type="dxa"/>
                  <w:tcMar>
                    <w:top w:w="30" w:type="dxa"/>
                    <w:left w:w="150" w:type="dxa"/>
                    <w:bottom w:w="30" w:type="dxa"/>
                    <w:right w:w="150" w:type="dxa"/>
                  </w:tcMar>
                  <w:vAlign w:val="center"/>
                </w:tcPr>
                <w:p w14:paraId="5073F608">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5000-10000</w:t>
                  </w:r>
                </w:p>
              </w:tc>
              <w:tc>
                <w:tcPr>
                  <w:tcW w:w="1207" w:type="dxa"/>
                  <w:tcMar>
                    <w:top w:w="30" w:type="dxa"/>
                    <w:left w:w="150" w:type="dxa"/>
                    <w:bottom w:w="30" w:type="dxa"/>
                    <w:right w:w="150" w:type="dxa"/>
                  </w:tcMar>
                  <w:vAlign w:val="center"/>
                </w:tcPr>
                <w:p w14:paraId="34CF01D4">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0.25%</w:t>
                  </w:r>
                </w:p>
              </w:tc>
              <w:tc>
                <w:tcPr>
                  <w:tcW w:w="1207" w:type="dxa"/>
                  <w:tcMar>
                    <w:top w:w="30" w:type="dxa"/>
                    <w:left w:w="150" w:type="dxa"/>
                    <w:bottom w:w="30" w:type="dxa"/>
                    <w:right w:w="150" w:type="dxa"/>
                  </w:tcMar>
                  <w:vAlign w:val="center"/>
                </w:tcPr>
                <w:p w14:paraId="37CD924F">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0.1%</w:t>
                  </w:r>
                </w:p>
              </w:tc>
              <w:tc>
                <w:tcPr>
                  <w:tcW w:w="1207" w:type="dxa"/>
                  <w:tcMar>
                    <w:top w:w="30" w:type="dxa"/>
                    <w:left w:w="150" w:type="dxa"/>
                    <w:bottom w:w="30" w:type="dxa"/>
                    <w:right w:w="150" w:type="dxa"/>
                  </w:tcMar>
                  <w:vAlign w:val="center"/>
                </w:tcPr>
                <w:p w14:paraId="62E76376">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0.2%</w:t>
                  </w:r>
                </w:p>
              </w:tc>
            </w:tr>
          </w:tbl>
          <w:p w14:paraId="68B39A6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备注：（1）招标代理服务费只收现金、银行票汇款、电汇款。汇入以下账户：</w:t>
            </w:r>
          </w:p>
          <w:p w14:paraId="53EF2EE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5AA6269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67430A1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1528CEB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bl>
    <w:p w14:paraId="68FB8B5A">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DB4E608">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E226ED0">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019BAB2">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w:t>
      </w:r>
      <w:r>
        <w:rPr>
          <w:rFonts w:hint="eastAsia" w:asciiTheme="minorEastAsia" w:hAnsiTheme="minorEastAsia" w:eastAsiaTheme="minorEastAsia"/>
          <w:color w:val="auto"/>
          <w:sz w:val="24"/>
          <w:highlight w:val="none"/>
          <w:lang w:eastAsia="zh-CN"/>
        </w:rPr>
        <w:t>法律法规</w:t>
      </w:r>
      <w:r>
        <w:rPr>
          <w:rFonts w:hint="eastAsia" w:asciiTheme="minorEastAsia" w:hAnsiTheme="minorEastAsia" w:eastAsiaTheme="minorEastAsia"/>
          <w:color w:val="auto"/>
          <w:sz w:val="24"/>
          <w:highlight w:val="none"/>
        </w:rPr>
        <w:t>另有规定的，从其规定）。</w:t>
      </w:r>
    </w:p>
    <w:p w14:paraId="13B091E8">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62927C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99E2C15">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7EE9FA6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6DFCDD0">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E8AF3B0">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56235A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6CB8A2D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F2F2E9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084C411B">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1F4A7394">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6C68572B">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70657626">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2B12CF45">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323B6DB7">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766515E9">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2BC6AAD">
      <w:pPr>
        <w:pStyle w:val="31"/>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B21B417">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7F1DEF9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013770B">
      <w:pPr>
        <w:pStyle w:val="394"/>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46914DE">
      <w:pPr>
        <w:pStyle w:val="31"/>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5360181">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3741DD79">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4503D3FB">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2B576799">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002E6B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74E22F7">
      <w:pPr>
        <w:pStyle w:val="31"/>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C0CF73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BED5CD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483D592">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1B87594">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17066358">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0F4893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B08DB32">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w:t>
      </w:r>
      <w:r>
        <w:rPr>
          <w:rFonts w:hint="eastAsia" w:cs="宋体" w:asciiTheme="minorEastAsia" w:hAnsiTheme="minorEastAsia" w:eastAsiaTheme="minorEastAsia"/>
          <w:color w:val="auto"/>
          <w:sz w:val="24"/>
          <w:highlight w:val="none"/>
          <w:lang w:eastAsia="zh-CN"/>
        </w:rPr>
        <w:t>〔2014〕68号</w:t>
      </w:r>
      <w:r>
        <w:rPr>
          <w:rFonts w:hint="eastAsia" w:cs="宋体" w:asciiTheme="minorEastAsia" w:hAnsiTheme="minorEastAsia" w:eastAsiaTheme="minorEastAsia"/>
          <w:color w:val="auto"/>
          <w:sz w:val="24"/>
          <w:highlight w:val="none"/>
        </w:rPr>
        <w:t>）规定的监狱企业并提供由省级以上监狱管理局、戒毒管理局（含新疆生产建设兵团）出具的属于监狱企业证明文件的，视同为小型、微型企业。</w:t>
      </w:r>
    </w:p>
    <w:p w14:paraId="5844E77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3A6E71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8E9FEDB">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0093A5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0877D81">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5170D69">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4C116A3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48E9826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692CC954">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16EFBA1">
      <w:pPr>
        <w:pStyle w:val="31"/>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7ECDA62">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w:t>
      </w:r>
      <w:r>
        <w:rPr>
          <w:rFonts w:hint="eastAsia" w:asciiTheme="minorEastAsia" w:hAnsiTheme="minorEastAsia" w:eastAsiaTheme="minorEastAsia"/>
          <w:color w:val="auto"/>
          <w:sz w:val="24"/>
          <w:highlight w:val="none"/>
          <w:lang w:eastAsia="zh-CN"/>
        </w:rPr>
        <w:t>〔2021〕22号</w:t>
      </w:r>
      <w:r>
        <w:rPr>
          <w:rFonts w:hint="eastAsia" w:asciiTheme="minorEastAsia" w:hAnsiTheme="minorEastAsia" w:eastAsiaTheme="minorEastAsia"/>
          <w:color w:val="auto"/>
          <w:sz w:val="24"/>
          <w:highlight w:val="none"/>
        </w:rPr>
        <w:t>）文件关于“健全行政裁决机制”要求，鼓励供应商在线提起询问，路径为：政采云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询问质疑投诉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询问列表；鼓励供应商在线提起质疑，路径为：政采云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询问质疑投诉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质疑列表。质疑供应商对在线质疑答复不满意的，可在线提起投诉，路径为：浙江政府服务网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政府采购投诉处理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在线办理。</w:t>
      </w:r>
    </w:p>
    <w:p w14:paraId="27CC424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3776425F">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327B63">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153E358">
      <w:pPr>
        <w:pStyle w:val="31"/>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8501557">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D5BDDD1">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42A0DDBE">
      <w:pPr>
        <w:pStyle w:val="15"/>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30A6AC7">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58F68F51">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A1FC809">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A8D8F23">
      <w:pPr>
        <w:pStyle w:val="31"/>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DDD81C0">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4A5213BD">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4154"/>
        <w:gridCol w:w="2055"/>
      </w:tblGrid>
      <w:tr w14:paraId="4724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4" w:type="dxa"/>
            <w:gridSpan w:val="2"/>
            <w:vAlign w:val="center"/>
          </w:tcPr>
          <w:p w14:paraId="71777194">
            <w:pPr>
              <w:pStyle w:val="31"/>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C271B8C">
            <w:pPr>
              <w:pStyle w:val="31"/>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575F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7AABF393">
            <w:pPr>
              <w:pStyle w:val="31"/>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1EC9ED3">
            <w:pPr>
              <w:pStyle w:val="31"/>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77FB609">
            <w:pPr>
              <w:pStyle w:val="31"/>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319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1204C831">
            <w:pPr>
              <w:pStyle w:val="31"/>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32964F14">
            <w:pPr>
              <w:pStyle w:val="31"/>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6C62AC9">
            <w:pPr>
              <w:pStyle w:val="31"/>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334E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3332170F">
            <w:pPr>
              <w:pStyle w:val="31"/>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295EBAA">
            <w:pPr>
              <w:pStyle w:val="31"/>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B789E01">
            <w:pPr>
              <w:pStyle w:val="31"/>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8F1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348DBAE0">
            <w:pPr>
              <w:pStyle w:val="31"/>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4D380EA9">
            <w:pPr>
              <w:pStyle w:val="31"/>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w:t>
            </w:r>
            <w:r>
              <w:rPr>
                <w:rFonts w:hint="eastAsia" w:asciiTheme="minorEastAsia" w:hAnsiTheme="minorEastAsia" w:eastAsiaTheme="minorEastAsia"/>
                <w:color w:val="auto"/>
                <w:sz w:val="24"/>
                <w:highlight w:val="none"/>
                <w:lang w:eastAsia="zh-CN"/>
              </w:rPr>
              <w:t>其他</w:t>
            </w:r>
            <w:r>
              <w:rPr>
                <w:rFonts w:hint="eastAsia" w:asciiTheme="minorEastAsia" w:hAnsiTheme="minorEastAsia" w:eastAsiaTheme="minorEastAsia"/>
                <w:color w:val="auto"/>
                <w:sz w:val="24"/>
                <w:highlight w:val="none"/>
              </w:rPr>
              <w:t>事项提出的质疑</w:t>
            </w:r>
          </w:p>
        </w:tc>
        <w:tc>
          <w:tcPr>
            <w:tcW w:w="2232" w:type="dxa"/>
            <w:vAlign w:val="center"/>
          </w:tcPr>
          <w:p w14:paraId="2D0C0340">
            <w:pPr>
              <w:pStyle w:val="31"/>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0582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Align w:val="center"/>
          </w:tcPr>
          <w:p w14:paraId="70CDAA6A">
            <w:pPr>
              <w:pStyle w:val="31"/>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3CC36E69">
            <w:pPr>
              <w:pStyle w:val="31"/>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3C4A1A1">
            <w:pPr>
              <w:pStyle w:val="31"/>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48959A4E">
      <w:pPr>
        <w:pStyle w:val="617"/>
        <w:shd w:val="clear" w:color="auto"/>
        <w:kinsoku/>
        <w:wordWrap/>
        <w:overflowPunct/>
        <w:topLinePunct w:val="0"/>
        <w:bidi w:val="0"/>
        <w:snapToGrid w:val="0"/>
        <w:spacing w:after="240" w:afterAutospacing="0" w:line="360" w:lineRule="auto"/>
        <w:ind w:firstLine="400"/>
        <w:contextualSpacing/>
        <w:outlineLvl w:val="9"/>
        <w:rPr>
          <w:color w:val="auto"/>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eastAsiaTheme="minor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4466E61">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3CA0FCD3">
      <w:pPr>
        <w:pStyle w:val="31"/>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FCD8163">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B2AA7EA">
      <w:pPr>
        <w:pStyle w:val="31"/>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E167DF4">
      <w:pPr>
        <w:pStyle w:val="31"/>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71A269A9">
      <w:pPr>
        <w:pStyle w:val="31"/>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2DDCEAF">
      <w:pPr>
        <w:pStyle w:val="31"/>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B425B2F">
      <w:pPr>
        <w:pStyle w:val="31"/>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1B56915">
      <w:pPr>
        <w:pStyle w:val="31"/>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D2C2BC8">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33DDA2B">
      <w:pPr>
        <w:pStyle w:val="31"/>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038B994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64EFB70">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5BE9B17">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7199CB3D">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7F2BAC4C">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200C155">
      <w:pPr>
        <w:pStyle w:val="31"/>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5</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6CE9AAF3">
      <w:pPr>
        <w:pStyle w:val="31"/>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FA3551F">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p>
    <w:p w14:paraId="34C9A541">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431FF5F">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99C2B5C">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9A40F5D">
      <w:pPr>
        <w:pStyle w:val="31"/>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351C7F4">
      <w:pPr>
        <w:pStyle w:val="31"/>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39B275A2">
      <w:pPr>
        <w:pStyle w:val="31"/>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0AD441D">
      <w:pPr>
        <w:pStyle w:val="31"/>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42E2DF60">
      <w:pPr>
        <w:pStyle w:val="31"/>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D663371">
      <w:pPr>
        <w:pStyle w:val="31"/>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7BE6D937">
      <w:pPr>
        <w:pStyle w:val="31"/>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1837A18">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4004188">
      <w:pPr>
        <w:pStyle w:val="31"/>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CB3CEA5">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11537A88">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3ACBF16">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73C43A43">
      <w:pPr>
        <w:pStyle w:val="394"/>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7B5330AC">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D6C3AC2">
      <w:pPr>
        <w:pStyle w:val="31"/>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3F04DC9">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BA00926">
      <w:pPr>
        <w:pStyle w:val="31"/>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7E54604">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AB2EBB7">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3E6178A8">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0FFC6E32">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8F3F835">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3AC4583">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w:t>
      </w:r>
    </w:p>
    <w:p w14:paraId="53475A9D">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D、符合特定资格条件要求的资质文件（如果有）。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583B0086">
      <w:pPr>
        <w:pStyle w:val="31"/>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eastAsiaTheme="minorEastAsia"/>
          <w:color w:val="auto"/>
          <w:sz w:val="24"/>
          <w:highlight w:val="none"/>
          <w:lang w:val="en-US" w:eastAsia="zh-CN"/>
        </w:rPr>
        <w:t>法人授权书（或联合体响应授权书）</w:t>
      </w:r>
      <w:r>
        <w:rPr>
          <w:rFonts w:hint="eastAsia" w:hAnsi="宋体" w:cs="宋体"/>
          <w:color w:val="auto"/>
          <w:sz w:val="24"/>
          <w:highlight w:val="none"/>
        </w:rPr>
        <w:t>或法定代表人（单位负责人、自然人本人）身份证明；</w:t>
      </w:r>
    </w:p>
    <w:p w14:paraId="1602EBCC">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宋体" w:asciiTheme="minorEastAsia" w:hAnsiTheme="minorEastAsia" w:eastAsiaTheme="minorEastAsia"/>
          <w:snapToGrid w:val="0"/>
          <w:color w:val="auto"/>
          <w:kern w:val="28"/>
          <w:sz w:val="24"/>
          <w:highlight w:val="none"/>
          <w:lang w:eastAsia="zh-CN"/>
        </w:rPr>
        <w:t>）</w:t>
      </w:r>
      <w:r>
        <w:rPr>
          <w:rFonts w:hint="eastAsia" w:cs="仿宋_GB2312" w:asciiTheme="minorEastAsia" w:hAnsiTheme="minorEastAsia" w:eastAsiaTheme="minorEastAsia"/>
          <w:color w:val="auto"/>
          <w:kern w:val="0"/>
          <w:sz w:val="24"/>
          <w:highlight w:val="none"/>
          <w:lang w:val="zh-CN"/>
        </w:rPr>
        <w:t>；</w:t>
      </w:r>
    </w:p>
    <w:p w14:paraId="3FEBEBF0">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1B7252C5">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4A7BCA67">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5507DA0">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lang w:val="zh-CN"/>
        </w:rPr>
        <w:t>）认为需要的其他商务文件或说明 （如果有） ；</w:t>
      </w:r>
    </w:p>
    <w:p w14:paraId="1E34660A">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认为需要的其他技术文件或说明（如果有）；</w:t>
      </w:r>
    </w:p>
    <w:p w14:paraId="3F367AEE">
      <w:pPr>
        <w:pStyle w:val="31"/>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3FBCAD05">
      <w:pPr>
        <w:pStyle w:val="31"/>
        <w:kinsoku/>
        <w:wordWrap/>
        <w:overflowPunct/>
        <w:topLinePunct w:val="0"/>
        <w:bidi w:val="0"/>
        <w:spacing w:line="360" w:lineRule="auto"/>
        <w:ind w:firstLine="480" w:firstLineChars="200"/>
        <w:outlineLvl w:val="9"/>
        <w:rPr>
          <w:rFonts w:hint="default"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val="0"/>
          <w:bCs/>
          <w:color w:val="auto"/>
          <w:sz w:val="24"/>
          <w:szCs w:val="24"/>
          <w:highlight w:val="none"/>
          <w:lang w:val="en-US" w:eastAsia="zh-CN"/>
        </w:rPr>
        <w:t>11</w:t>
      </w: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val="0"/>
          <w:bCs/>
          <w:color w:val="auto"/>
          <w:sz w:val="24"/>
          <w:szCs w:val="24"/>
          <w:highlight w:val="none"/>
          <w:lang w:val="en-US" w:eastAsia="zh-CN"/>
        </w:rPr>
        <w:t>报价文件</w:t>
      </w:r>
    </w:p>
    <w:p w14:paraId="11441FF6">
      <w:pPr>
        <w:pStyle w:val="31"/>
        <w:kinsoku/>
        <w:wordWrap/>
        <w:overflowPunct/>
        <w:topLinePunct w:val="0"/>
        <w:bidi w:val="0"/>
        <w:spacing w:line="360" w:lineRule="auto"/>
        <w:ind w:firstLine="480" w:firstLineChars="200"/>
        <w:outlineLvl w:val="9"/>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A、报价一览表（初次报价）；</w:t>
      </w:r>
    </w:p>
    <w:p w14:paraId="1DF6E9D0">
      <w:pPr>
        <w:pStyle w:val="31"/>
        <w:kinsoku/>
        <w:wordWrap/>
        <w:overflowPunct/>
        <w:topLinePunct w:val="0"/>
        <w:bidi w:val="0"/>
        <w:spacing w:line="360" w:lineRule="auto"/>
        <w:ind w:firstLine="480" w:firstLineChars="200"/>
        <w:outlineLvl w:val="9"/>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rPr>
        <w:t>B、报价明细表</w:t>
      </w:r>
      <w:r>
        <w:rPr>
          <w:rFonts w:hint="eastAsia" w:cs="宋体" w:asciiTheme="minorEastAsia" w:hAnsiTheme="minorEastAsia" w:eastAsiaTheme="minorEastAsia"/>
          <w:snapToGrid w:val="0"/>
          <w:color w:val="auto"/>
          <w:kern w:val="28"/>
          <w:sz w:val="24"/>
          <w:highlight w:val="none"/>
          <w:lang w:eastAsia="zh-CN"/>
        </w:rPr>
        <w:t>；</w:t>
      </w:r>
    </w:p>
    <w:p w14:paraId="1D66DF74">
      <w:pPr>
        <w:pStyle w:val="31"/>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5A47136">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8506E6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F842E28">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BA14431">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3032E16">
      <w:pPr>
        <w:pStyle w:val="394"/>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BCC6EF4">
      <w:pPr>
        <w:pStyle w:val="394"/>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4033B33">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1469C86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B20E7C4">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0BBD471">
      <w:pPr>
        <w:pStyle w:val="394"/>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B4057A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7482223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A57612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900D5C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221868EE">
      <w:pPr>
        <w:pStyle w:val="31"/>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0EB7733">
      <w:pPr>
        <w:pStyle w:val="31"/>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3EFCF85C">
      <w:pPr>
        <w:pStyle w:val="31"/>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联合体响应的，包装物封面需注明联合体响应，并注明联合体成员各方的名称和联合体协议中约定的牵头人的名称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254FFF6">
      <w:pPr>
        <w:pStyle w:val="31"/>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直接提交备份响应文件的，供应商应于响应截止时间前在磋商文件第三部分供应商须知前附表规定的备份响应文件送达地点将备份响应文件提交给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4175D484">
      <w:pPr>
        <w:pStyle w:val="31"/>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磋商文件第三部分供应商须知前附表规定的备份响应文件送达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5F197B26">
      <w:pPr>
        <w:pStyle w:val="31"/>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3C3B259">
      <w:pPr>
        <w:kinsoku/>
        <w:wordWrap/>
        <w:overflowPunct/>
        <w:topLinePunct w:val="0"/>
        <w:bidi w:val="0"/>
        <w:adjustRightInd/>
        <w:spacing w:line="360" w:lineRule="auto"/>
        <w:jc w:val="both"/>
        <w:outlineLvl w:val="9"/>
        <w:rPr>
          <w:rFonts w:hint="eastAsia" w:cs="仿宋_GB2312" w:asciiTheme="minorEastAsia" w:hAnsiTheme="minorEastAsia" w:eastAsiaTheme="minorEastAsia"/>
          <w:b/>
          <w:color w:val="auto"/>
          <w:sz w:val="32"/>
          <w:szCs w:val="20"/>
          <w:highlight w:val="none"/>
        </w:rPr>
      </w:pPr>
    </w:p>
    <w:p w14:paraId="0797AB85">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1D2CC3C">
      <w:pPr>
        <w:pStyle w:val="31"/>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26358A6">
      <w:pPr>
        <w:pStyle w:val="31"/>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64B16AAC">
      <w:pPr>
        <w:pStyle w:val="31"/>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0257174C">
      <w:pPr>
        <w:pStyle w:val="31"/>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AA6DA8B">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31886C12">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渠道查询供应商响应截止时间前的信用记录。</w:t>
      </w:r>
    </w:p>
    <w:p w14:paraId="7EA56212">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6CA1BEC">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Arial" w:asciiTheme="minorEastAsia" w:hAnsiTheme="minorEastAsia" w:eastAsiaTheme="minorEastAsia"/>
          <w:color w:val="auto"/>
          <w:kern w:val="0"/>
          <w:szCs w:val="24"/>
          <w:highlight w:val="none"/>
          <w:lang w:eastAsia="zh-CN"/>
        </w:rPr>
        <w:t>（</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color w:val="auto"/>
          <w:sz w:val="24"/>
          <w:highlight w:val="none"/>
          <w:lang w:eastAsia="zh-CN"/>
        </w:rPr>
        <w:t>）</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13FF52CC">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CB0426">
      <w:pPr>
        <w:pStyle w:val="31"/>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5D2A4B47">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F08E18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9208988">
      <w:pPr>
        <w:pStyle w:val="31"/>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5D55941A">
      <w:pPr>
        <w:pStyle w:val="31"/>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1ECA9401">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19653BB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76E58B0">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B8D4A63">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814BE6E">
      <w:pPr>
        <w:pStyle w:val="394"/>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56AB7EA4">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37DAE2B6">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F3484D5">
      <w:pPr>
        <w:pStyle w:val="31"/>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0E94E71">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50D6249">
      <w:pPr>
        <w:pStyle w:val="31"/>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3BC67E61">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7154469A">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05A7BBE">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4D79286B">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结果公告内容包括采购人及其委托的采购代理机构的名称、地址、联系方式，项目名称和项目编号，成交人名称、地址和成交金额，主要中标标的的名称、服务范围、服务要求、服务时间、服务标准，开标记录、资格审查情况、评审专家抽取规则、符合性审查情况、未成交情况说明、成交公告期限以及评审专家名单、评分汇总及明细。</w:t>
      </w:r>
    </w:p>
    <w:p w14:paraId="7D1B2868">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1FDB339">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57D0506B">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AA8C9CB">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14358C36">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43CF729">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79BFECA">
      <w:pPr>
        <w:pStyle w:val="394"/>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B4E634C">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C2E4EC4">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2073445">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5156B629">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6采购合同由采购人与成交供应商根据磋商文件、响应文件等内容签订，自动备案。（由采购人自行选择线上签订或线下签订）</w:t>
      </w:r>
    </w:p>
    <w:p w14:paraId="1ED8CB06">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1DAF4226">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49E3EE7">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F17E14B">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FBE84A0">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b w:val="0"/>
          <w:bCs w:val="0"/>
          <w:color w:val="auto"/>
          <w:sz w:val="24"/>
          <w:szCs w:val="24"/>
          <w:highlight w:val="none"/>
          <w:lang w:val="en-US" w:eastAsia="zh-CN"/>
        </w:rPr>
        <w:t>%</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b w:val="0"/>
          <w:bCs w:val="0"/>
          <w:color w:val="auto"/>
          <w:sz w:val="24"/>
          <w:szCs w:val="24"/>
          <w:highlight w:val="none"/>
          <w:lang w:val="en-US" w:eastAsia="zh-CN"/>
        </w:rPr>
        <w:t>%</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hint="eastAsia" w:ascii="宋体" w:hAnsi="宋体"/>
          <w:b w:val="0"/>
          <w:bCs w:val="0"/>
          <w:color w:val="auto"/>
          <w:sz w:val="24"/>
          <w:szCs w:val="24"/>
          <w:highlight w:val="none"/>
          <w:lang w:val="en-US" w:eastAsia="zh-CN"/>
        </w:rPr>
        <w:t>－</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0384595B">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135D9BEB">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0B5BFDF">
      <w:pPr>
        <w:pStyle w:val="23"/>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534133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F347D1">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FBED85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C5DC5F">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EF8DC0">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09389F1">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63B58CE">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3D6A0948">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6EC4BFE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3837F45">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0BEDC6BA">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3066803">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E802233">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A8ECE89">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5"/>
      <w:bookmarkStart w:id="61" w:name="_Hlt74730295"/>
      <w:bookmarkEnd w:id="61"/>
      <w:bookmarkStart w:id="62" w:name="_Hlt74707468"/>
      <w:bookmarkEnd w:id="62"/>
      <w:bookmarkStart w:id="63" w:name="_Hlt68057669"/>
      <w:bookmarkEnd w:id="63"/>
      <w:bookmarkStart w:id="64" w:name="_Hlt74729768"/>
      <w:bookmarkEnd w:id="64"/>
      <w:bookmarkStart w:id="65" w:name="_Hlt75236290"/>
      <w:bookmarkEnd w:id="65"/>
      <w:bookmarkStart w:id="66" w:name="_Hlt75236101"/>
      <w:bookmarkEnd w:id="66"/>
      <w:bookmarkStart w:id="67" w:name="_Hlt75236011"/>
      <w:bookmarkEnd w:id="67"/>
      <w:bookmarkStart w:id="68" w:name="_Hlt74714665"/>
      <w:bookmarkEnd w:id="68"/>
      <w:bookmarkStart w:id="69" w:name="_Hlt68072990"/>
      <w:bookmarkEnd w:id="69"/>
      <w:bookmarkStart w:id="70" w:name="_Toc164416483"/>
      <w:bookmarkStart w:id="71" w:name="第三部分"/>
    </w:p>
    <w:p w14:paraId="234D27E3">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B8EF5C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2" w:name="_Toc31035"/>
      <w:r>
        <w:rPr>
          <w:rFonts w:hint="eastAsia" w:cs="仿宋_GB2312" w:asciiTheme="minorEastAsia" w:hAnsiTheme="minorEastAsia" w:eastAsiaTheme="minorEastAsia"/>
          <w:b/>
          <w:color w:val="auto"/>
          <w:sz w:val="36"/>
          <w:szCs w:val="36"/>
          <w:highlight w:val="none"/>
        </w:rPr>
        <w:t>第四部分  采购需求</w:t>
      </w:r>
      <w:bookmarkEnd w:id="72"/>
    </w:p>
    <w:p w14:paraId="4642A21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1"/>
        <w:tblW w:w="94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5"/>
        <w:gridCol w:w="7578"/>
      </w:tblGrid>
      <w:tr w14:paraId="5AE5A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7EAC044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578" w:type="dxa"/>
            <w:tcBorders>
              <w:top w:val="single" w:color="auto" w:sz="4" w:space="0"/>
              <w:left w:val="single" w:color="auto" w:sz="4" w:space="0"/>
              <w:bottom w:val="single" w:color="auto" w:sz="4" w:space="0"/>
              <w:right w:val="single" w:color="auto" w:sz="4" w:space="0"/>
            </w:tcBorders>
            <w:noWrap w:val="0"/>
            <w:vAlign w:val="center"/>
          </w:tcPr>
          <w:p w14:paraId="6BA2F25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要 求</w:t>
            </w:r>
          </w:p>
        </w:tc>
      </w:tr>
      <w:tr w14:paraId="635D1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2DF970A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1、合同履行期限（服务期限）</w:t>
            </w:r>
          </w:p>
        </w:tc>
        <w:tc>
          <w:tcPr>
            <w:tcW w:w="7578" w:type="dxa"/>
            <w:tcBorders>
              <w:top w:val="single" w:color="auto" w:sz="4" w:space="0"/>
              <w:left w:val="single" w:color="auto" w:sz="4" w:space="0"/>
              <w:bottom w:val="single" w:color="auto" w:sz="4" w:space="0"/>
              <w:right w:val="single" w:color="auto" w:sz="4" w:space="0"/>
            </w:tcBorders>
            <w:noWrap w:val="0"/>
            <w:vAlign w:val="center"/>
          </w:tcPr>
          <w:p w14:paraId="5893DFF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详见“第一部分  邀请供应商”。</w:t>
            </w:r>
          </w:p>
        </w:tc>
      </w:tr>
      <w:tr w14:paraId="003AF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5CAB884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2、服务地点</w:t>
            </w:r>
          </w:p>
        </w:tc>
        <w:tc>
          <w:tcPr>
            <w:tcW w:w="7578" w:type="dxa"/>
            <w:tcBorders>
              <w:top w:val="single" w:color="auto" w:sz="4" w:space="0"/>
              <w:left w:val="single" w:color="auto" w:sz="4" w:space="0"/>
              <w:bottom w:val="single" w:color="auto" w:sz="4" w:space="0"/>
              <w:right w:val="single" w:color="auto" w:sz="4" w:space="0"/>
            </w:tcBorders>
            <w:noWrap w:val="0"/>
            <w:vAlign w:val="center"/>
          </w:tcPr>
          <w:p w14:paraId="6BF3F35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采购人指定地点。</w:t>
            </w:r>
          </w:p>
        </w:tc>
      </w:tr>
      <w:tr w14:paraId="3B442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3601357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3、付款条件</w:t>
            </w:r>
          </w:p>
        </w:tc>
        <w:tc>
          <w:tcPr>
            <w:tcW w:w="7578" w:type="dxa"/>
            <w:tcBorders>
              <w:top w:val="single" w:color="auto" w:sz="4" w:space="0"/>
              <w:left w:val="single" w:color="auto" w:sz="4" w:space="0"/>
              <w:bottom w:val="single" w:color="auto" w:sz="4" w:space="0"/>
              <w:right w:val="single" w:color="auto" w:sz="4" w:space="0"/>
            </w:tcBorders>
            <w:noWrap w:val="0"/>
            <w:vAlign w:val="center"/>
          </w:tcPr>
          <w:p w14:paraId="1D4FA8B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1）合同签订以及具备实施条件后7个工作日采购人支付合同总价的</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0%作为预付款（合同签订时</w:t>
            </w:r>
            <w:r>
              <w:rPr>
                <w:rFonts w:hint="eastAsia" w:ascii="宋体" w:hAnsi="宋体" w:cs="宋体"/>
                <w:color w:val="auto"/>
                <w:kern w:val="2"/>
                <w:sz w:val="24"/>
                <w:szCs w:val="24"/>
                <w:highlight w:val="none"/>
                <w:lang w:val="en-US" w:eastAsia="zh-CN"/>
              </w:rPr>
              <w:t>成交</w:t>
            </w:r>
            <w:r>
              <w:rPr>
                <w:rFonts w:hint="eastAsia" w:ascii="宋体" w:hAnsi="宋体" w:eastAsia="宋体" w:cs="宋体"/>
                <w:color w:val="auto"/>
                <w:kern w:val="2"/>
                <w:sz w:val="24"/>
                <w:szCs w:val="24"/>
                <w:highlight w:val="none"/>
                <w:lang w:eastAsia="zh-CN"/>
              </w:rPr>
              <w:t>人主动要求不需要预付款的采购人可以不支付）；</w:t>
            </w:r>
          </w:p>
          <w:p w14:paraId="1026BE7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lang w:val="en-US" w:eastAsia="zh-CN"/>
              </w:rPr>
              <w:t>项目建设完成并通过项目初验后</w:t>
            </w:r>
            <w:r>
              <w:rPr>
                <w:rFonts w:hint="eastAsia" w:ascii="宋体" w:hAnsi="宋体" w:eastAsia="宋体" w:cs="宋体"/>
                <w:color w:val="auto"/>
                <w:kern w:val="2"/>
                <w:sz w:val="24"/>
                <w:szCs w:val="24"/>
                <w:highlight w:val="none"/>
                <w:lang w:eastAsia="zh-CN"/>
              </w:rPr>
              <w:t>，7个工作日内，支付</w:t>
            </w:r>
            <w:r>
              <w:rPr>
                <w:rFonts w:hint="eastAsia" w:ascii="宋体" w:hAnsi="宋体" w:eastAsia="宋体" w:cs="宋体"/>
                <w:color w:val="auto"/>
                <w:kern w:val="2"/>
                <w:sz w:val="24"/>
                <w:szCs w:val="24"/>
                <w:highlight w:val="none"/>
                <w:lang w:val="en-US" w:eastAsia="zh-CN"/>
              </w:rPr>
              <w:t>至</w:t>
            </w:r>
            <w:r>
              <w:rPr>
                <w:rFonts w:hint="eastAsia" w:ascii="宋体" w:hAnsi="宋体" w:eastAsia="宋体" w:cs="宋体"/>
                <w:color w:val="auto"/>
                <w:kern w:val="2"/>
                <w:sz w:val="24"/>
                <w:szCs w:val="24"/>
                <w:highlight w:val="none"/>
                <w:lang w:eastAsia="zh-CN"/>
              </w:rPr>
              <w:t>合同金额的</w:t>
            </w:r>
            <w:r>
              <w:rPr>
                <w:rFonts w:hint="eastAsia" w:ascii="宋体" w:hAnsi="宋体" w:eastAsia="宋体" w:cs="宋体"/>
                <w:color w:val="auto"/>
                <w:kern w:val="2"/>
                <w:sz w:val="24"/>
                <w:szCs w:val="24"/>
                <w:highlight w:val="none"/>
                <w:lang w:val="en-US" w:eastAsia="zh-CN"/>
              </w:rPr>
              <w:t>70</w:t>
            </w:r>
            <w:r>
              <w:rPr>
                <w:rFonts w:hint="eastAsia" w:ascii="宋体" w:hAnsi="宋体" w:eastAsia="宋体" w:cs="宋体"/>
                <w:color w:val="auto"/>
                <w:kern w:val="2"/>
                <w:sz w:val="24"/>
                <w:szCs w:val="24"/>
                <w:highlight w:val="none"/>
                <w:lang w:eastAsia="zh-CN"/>
              </w:rPr>
              <w:t>%。</w:t>
            </w:r>
          </w:p>
          <w:p w14:paraId="72E3F98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3）项目正式验收通过后，7个工作日内，支付</w:t>
            </w:r>
            <w:r>
              <w:rPr>
                <w:rFonts w:hint="eastAsia" w:ascii="宋体" w:hAnsi="宋体" w:cs="宋体"/>
                <w:color w:val="auto"/>
                <w:kern w:val="2"/>
                <w:sz w:val="24"/>
                <w:szCs w:val="24"/>
                <w:highlight w:val="none"/>
                <w:lang w:val="en-US" w:eastAsia="zh-CN"/>
              </w:rPr>
              <w:t>至</w:t>
            </w:r>
            <w:r>
              <w:rPr>
                <w:rFonts w:hint="eastAsia" w:ascii="宋体" w:hAnsi="宋体" w:eastAsia="宋体" w:cs="宋体"/>
                <w:color w:val="auto"/>
                <w:kern w:val="2"/>
                <w:sz w:val="24"/>
                <w:szCs w:val="24"/>
                <w:highlight w:val="none"/>
                <w:lang w:eastAsia="zh-CN"/>
              </w:rPr>
              <w:t>合同金额的</w:t>
            </w:r>
            <w:r>
              <w:rPr>
                <w:rFonts w:hint="eastAsia" w:ascii="宋体" w:hAnsi="宋体" w:cs="宋体"/>
                <w:color w:val="auto"/>
                <w:kern w:val="2"/>
                <w:sz w:val="24"/>
                <w:szCs w:val="24"/>
                <w:highlight w:val="none"/>
                <w:lang w:val="en-US" w:eastAsia="zh-CN"/>
              </w:rPr>
              <w:t>100</w:t>
            </w:r>
            <w:r>
              <w:rPr>
                <w:rFonts w:hint="eastAsia" w:ascii="宋体" w:hAnsi="宋体" w:eastAsia="宋体" w:cs="宋体"/>
                <w:color w:val="auto"/>
                <w:kern w:val="2"/>
                <w:sz w:val="24"/>
                <w:szCs w:val="24"/>
                <w:highlight w:val="none"/>
                <w:lang w:eastAsia="zh-CN"/>
              </w:rPr>
              <w:t>%。</w:t>
            </w:r>
          </w:p>
          <w:p w14:paraId="221A695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采购人向</w:t>
            </w:r>
            <w:r>
              <w:rPr>
                <w:rFonts w:hint="eastAsia" w:ascii="宋体" w:hAnsi="宋体" w:cs="宋体"/>
                <w:color w:val="auto"/>
                <w:kern w:val="2"/>
                <w:sz w:val="24"/>
                <w:szCs w:val="24"/>
                <w:highlight w:val="none"/>
                <w:lang w:val="en-US" w:eastAsia="zh-CN"/>
              </w:rPr>
              <w:t>成交</w:t>
            </w:r>
            <w:r>
              <w:rPr>
                <w:rFonts w:hint="eastAsia" w:ascii="宋体" w:hAnsi="宋体" w:eastAsia="宋体" w:cs="宋体"/>
                <w:color w:val="auto"/>
                <w:kern w:val="2"/>
                <w:sz w:val="24"/>
                <w:szCs w:val="24"/>
                <w:highlight w:val="none"/>
                <w:lang w:eastAsia="zh-CN"/>
              </w:rPr>
              <w:t>人支付</w:t>
            </w:r>
            <w:r>
              <w:rPr>
                <w:rFonts w:hint="eastAsia" w:ascii="宋体" w:hAnsi="宋体" w:cs="宋体"/>
                <w:color w:val="auto"/>
                <w:kern w:val="2"/>
                <w:sz w:val="24"/>
                <w:szCs w:val="24"/>
                <w:highlight w:val="none"/>
                <w:lang w:val="en-US" w:eastAsia="zh-CN"/>
              </w:rPr>
              <w:t>款项</w:t>
            </w:r>
            <w:r>
              <w:rPr>
                <w:rFonts w:hint="eastAsia" w:ascii="宋体" w:hAnsi="宋体" w:eastAsia="宋体" w:cs="宋体"/>
                <w:color w:val="auto"/>
                <w:kern w:val="2"/>
                <w:sz w:val="24"/>
                <w:szCs w:val="24"/>
                <w:highlight w:val="none"/>
                <w:lang w:eastAsia="zh-CN"/>
              </w:rPr>
              <w:t>前，</w:t>
            </w:r>
            <w:r>
              <w:rPr>
                <w:rFonts w:hint="eastAsia" w:ascii="宋体" w:hAnsi="宋体" w:eastAsia="宋体" w:cs="宋体"/>
                <w:color w:val="auto"/>
                <w:kern w:val="2"/>
                <w:sz w:val="24"/>
                <w:szCs w:val="24"/>
                <w:highlight w:val="none"/>
                <w:lang w:val="en-US" w:eastAsia="zh-CN"/>
              </w:rPr>
              <w:t>成交</w:t>
            </w:r>
            <w:r>
              <w:rPr>
                <w:rFonts w:hint="eastAsia" w:ascii="宋体" w:hAnsi="宋体" w:eastAsia="宋体" w:cs="宋体"/>
                <w:color w:val="auto"/>
                <w:kern w:val="2"/>
                <w:sz w:val="24"/>
                <w:szCs w:val="24"/>
                <w:highlight w:val="none"/>
                <w:lang w:eastAsia="zh-CN"/>
              </w:rPr>
              <w:t>人应</w:t>
            </w:r>
            <w:r>
              <w:rPr>
                <w:rFonts w:hint="eastAsia" w:ascii="宋体" w:hAnsi="宋体" w:cs="宋体"/>
                <w:color w:val="auto"/>
                <w:kern w:val="2"/>
                <w:sz w:val="24"/>
                <w:szCs w:val="24"/>
                <w:highlight w:val="none"/>
                <w:lang w:val="en-US" w:eastAsia="zh-CN"/>
              </w:rPr>
              <w:t>按</w:t>
            </w:r>
            <w:r>
              <w:rPr>
                <w:rFonts w:hint="eastAsia" w:ascii="宋体" w:hAnsi="宋体" w:eastAsia="宋体" w:cs="宋体"/>
                <w:color w:val="auto"/>
                <w:kern w:val="2"/>
                <w:sz w:val="24"/>
                <w:szCs w:val="24"/>
                <w:highlight w:val="none"/>
                <w:lang w:eastAsia="zh-CN"/>
              </w:rPr>
              <w:t>采购人</w:t>
            </w:r>
            <w:r>
              <w:rPr>
                <w:rFonts w:hint="eastAsia" w:ascii="宋体" w:hAnsi="宋体" w:cs="宋体"/>
                <w:color w:val="auto"/>
                <w:kern w:val="2"/>
                <w:sz w:val="24"/>
                <w:szCs w:val="24"/>
                <w:highlight w:val="none"/>
                <w:lang w:val="en-US" w:eastAsia="zh-CN"/>
              </w:rPr>
              <w:t>要求</w:t>
            </w:r>
            <w:r>
              <w:rPr>
                <w:rFonts w:hint="eastAsia" w:ascii="宋体" w:hAnsi="宋体" w:eastAsia="宋体" w:cs="宋体"/>
                <w:color w:val="auto"/>
                <w:kern w:val="2"/>
                <w:sz w:val="24"/>
                <w:szCs w:val="24"/>
                <w:highlight w:val="none"/>
                <w:lang w:eastAsia="zh-CN"/>
              </w:rPr>
              <w:t>开具同等金额的发票。</w:t>
            </w:r>
          </w:p>
        </w:tc>
      </w:tr>
      <w:tr w14:paraId="664A3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5DF08B9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4、履约保证金</w:t>
            </w:r>
          </w:p>
        </w:tc>
        <w:tc>
          <w:tcPr>
            <w:tcW w:w="7578" w:type="dxa"/>
            <w:tcBorders>
              <w:top w:val="single" w:color="auto" w:sz="4" w:space="0"/>
              <w:left w:val="single" w:color="auto" w:sz="4" w:space="0"/>
              <w:bottom w:val="single" w:color="auto" w:sz="4" w:space="0"/>
              <w:right w:val="single" w:color="auto" w:sz="4" w:space="0"/>
            </w:tcBorders>
            <w:noWrap w:val="0"/>
            <w:vAlign w:val="center"/>
          </w:tcPr>
          <w:p w14:paraId="6CE4030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default"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本项目不收取履约保证金。</w:t>
            </w:r>
          </w:p>
        </w:tc>
      </w:tr>
      <w:tr w14:paraId="78158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62FF3E7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5、维护期</w:t>
            </w:r>
          </w:p>
        </w:tc>
        <w:tc>
          <w:tcPr>
            <w:tcW w:w="7578" w:type="dxa"/>
            <w:tcBorders>
              <w:top w:val="single" w:color="auto" w:sz="4" w:space="0"/>
              <w:left w:val="single" w:color="auto" w:sz="4" w:space="0"/>
              <w:bottom w:val="single" w:color="auto" w:sz="4" w:space="0"/>
              <w:right w:val="single" w:color="auto" w:sz="4" w:space="0"/>
            </w:tcBorders>
            <w:noWrap w:val="0"/>
            <w:vAlign w:val="center"/>
          </w:tcPr>
          <w:p w14:paraId="26FDFBD7">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由成交人提供</w:t>
            </w:r>
            <w:r>
              <w:rPr>
                <w:rFonts w:hint="eastAsia" w:ascii="宋体" w:hAnsi="宋体" w:cs="宋体"/>
                <w:color w:val="auto"/>
                <w:kern w:val="0"/>
                <w:sz w:val="24"/>
                <w:szCs w:val="24"/>
                <w:highlight w:val="none"/>
                <w:lang w:val="en-US" w:eastAsia="zh-CN"/>
              </w:rPr>
              <w:t>系统集成</w:t>
            </w:r>
            <w:r>
              <w:rPr>
                <w:rFonts w:hint="eastAsia" w:ascii="宋体" w:hAnsi="宋体" w:eastAsia="宋体" w:cs="宋体"/>
                <w:color w:val="auto"/>
                <w:kern w:val="0"/>
                <w:sz w:val="24"/>
                <w:szCs w:val="24"/>
                <w:highlight w:val="none"/>
                <w:lang w:val="en-US" w:eastAsia="zh-CN"/>
              </w:rPr>
              <w:t>、测试、调试、维护服务，维护期不少于</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年。免费服务内容包括但不限于技术咨询、故障排除、定期巡检、性能优化、软件升级、功能完善等。</w:t>
            </w:r>
          </w:p>
          <w:p w14:paraId="57E61165">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2、维护期从项目终验之日起计算。免费提供7×24技术服务，有任何问题和故障，</w:t>
            </w:r>
            <w:r>
              <w:rPr>
                <w:rFonts w:hint="eastAsia" w:ascii="宋体" w:hAnsi="宋体" w:cs="宋体"/>
                <w:color w:val="auto"/>
                <w:kern w:val="0"/>
                <w:sz w:val="24"/>
                <w:szCs w:val="24"/>
                <w:highlight w:val="none"/>
                <w:lang w:val="en-US" w:eastAsia="zh-CN"/>
              </w:rPr>
              <w:t>及时</w:t>
            </w:r>
            <w:r>
              <w:rPr>
                <w:rFonts w:hint="eastAsia" w:ascii="宋体" w:hAnsi="宋体" w:eastAsia="宋体" w:cs="宋体"/>
                <w:color w:val="auto"/>
                <w:kern w:val="0"/>
                <w:sz w:val="24"/>
                <w:szCs w:val="24"/>
                <w:highlight w:val="none"/>
                <w:lang w:val="en-US" w:eastAsia="zh-CN"/>
              </w:rPr>
              <w:t>响应</w:t>
            </w:r>
            <w:r>
              <w:rPr>
                <w:rFonts w:hint="eastAsia" w:ascii="宋体" w:hAnsi="宋体" w:cs="宋体"/>
                <w:color w:val="auto"/>
                <w:kern w:val="0"/>
                <w:sz w:val="24"/>
                <w:szCs w:val="24"/>
                <w:highlight w:val="none"/>
                <w:lang w:val="en-US" w:eastAsia="zh-CN"/>
              </w:rPr>
              <w:t>并</w:t>
            </w:r>
            <w:r>
              <w:rPr>
                <w:rFonts w:hint="eastAsia" w:ascii="宋体" w:hAnsi="宋体" w:eastAsia="宋体" w:cs="宋体"/>
                <w:color w:val="auto"/>
                <w:kern w:val="0"/>
                <w:sz w:val="24"/>
                <w:szCs w:val="24"/>
                <w:highlight w:val="none"/>
                <w:lang w:val="en-US" w:eastAsia="zh-CN"/>
              </w:rPr>
              <w:t>到达现场，提供不间断的服务直到系统恢复正常。</w:t>
            </w:r>
          </w:p>
          <w:p w14:paraId="471D0EBF">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3、承诺承担自合同签订之日起至项目建成投用期间维护采购人原系统正常运行工作，费用含在投标总价中，成交后不另行支付。</w:t>
            </w:r>
          </w:p>
        </w:tc>
      </w:tr>
      <w:tr w14:paraId="3665A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7B832926">
            <w:pPr>
              <w:adjustRightInd/>
              <w:spacing w:line="360" w:lineRule="auto"/>
              <w:contextualSpacing/>
              <w:jc w:val="left"/>
              <w:rPr>
                <w:rFonts w:hint="eastAsia" w:ascii="宋体" w:hAnsi="宋体" w:eastAsia="宋体" w:cs="宋体"/>
                <w:color w:val="auto"/>
                <w:kern w:val="2"/>
                <w:sz w:val="24"/>
                <w:szCs w:val="24"/>
                <w:highlight w:val="none"/>
                <w:lang w:val="en-US" w:eastAsia="zh-CN"/>
              </w:rPr>
            </w:pPr>
            <w:r>
              <w:rPr>
                <w:rFonts w:hint="eastAsia" w:ascii="宋体" w:hAnsi="宋体" w:cs="宋体"/>
                <w:sz w:val="24"/>
                <w:highlight w:val="none"/>
                <w:lang w:val="en-US" w:eastAsia="zh-CN"/>
              </w:rPr>
              <w:t>6、</w:t>
            </w:r>
            <w:r>
              <w:rPr>
                <w:rFonts w:hint="eastAsia" w:ascii="宋体" w:hAnsi="宋体" w:cs="宋体"/>
                <w:sz w:val="24"/>
                <w:highlight w:val="none"/>
              </w:rPr>
              <w:t>培训要求</w:t>
            </w:r>
          </w:p>
        </w:tc>
        <w:tc>
          <w:tcPr>
            <w:tcW w:w="7578" w:type="dxa"/>
            <w:tcBorders>
              <w:top w:val="single" w:color="auto" w:sz="4" w:space="0"/>
              <w:left w:val="single" w:color="auto" w:sz="4" w:space="0"/>
              <w:bottom w:val="single" w:color="auto" w:sz="4" w:space="0"/>
              <w:right w:val="single" w:color="auto" w:sz="4" w:space="0"/>
            </w:tcBorders>
            <w:noWrap w:val="0"/>
            <w:vAlign w:val="center"/>
          </w:tcPr>
          <w:p w14:paraId="41C75E53">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成交人需为采购人提供专业技术培训，并提供技术指导和咨询，通过多种方式解决需求，提供支持，确保采购人相关工作人员可以正确使用。</w:t>
            </w:r>
          </w:p>
        </w:tc>
      </w:tr>
      <w:tr w14:paraId="29B13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3EDBF8A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7、知识产权</w:t>
            </w:r>
          </w:p>
        </w:tc>
        <w:tc>
          <w:tcPr>
            <w:tcW w:w="7578" w:type="dxa"/>
            <w:tcBorders>
              <w:top w:val="single" w:color="auto" w:sz="4" w:space="0"/>
              <w:left w:val="single" w:color="auto" w:sz="4" w:space="0"/>
              <w:bottom w:val="single" w:color="auto" w:sz="4" w:space="0"/>
              <w:right w:val="single" w:color="auto" w:sz="4" w:space="0"/>
            </w:tcBorders>
            <w:noWrap w:val="0"/>
            <w:vAlign w:val="center"/>
          </w:tcPr>
          <w:p w14:paraId="314C3501">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项目实施过程中，成交人不得侵犯第三方的知识产权（包括但不限于著作权、专利权、商标权），同时，在交付本合同成果中也不得涉及或非法使用第三方的知识产权（包括但不限于著作权、专利权、商标权）。</w:t>
            </w:r>
          </w:p>
        </w:tc>
      </w:tr>
      <w:tr w14:paraId="40D70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6095747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8、其他说明</w:t>
            </w:r>
          </w:p>
        </w:tc>
        <w:tc>
          <w:tcPr>
            <w:tcW w:w="7578" w:type="dxa"/>
            <w:tcBorders>
              <w:top w:val="single" w:color="auto" w:sz="4" w:space="0"/>
              <w:left w:val="single" w:color="auto" w:sz="4" w:space="0"/>
              <w:bottom w:val="single" w:color="auto" w:sz="4" w:space="0"/>
              <w:right w:val="single" w:color="auto" w:sz="4" w:space="0"/>
            </w:tcBorders>
            <w:noWrap w:val="0"/>
            <w:vAlign w:val="center"/>
          </w:tcPr>
          <w:p w14:paraId="11CFA78B">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本招标所提的要求仅为主要要求，不应作为完整的详细的要求；</w:t>
            </w:r>
          </w:p>
          <w:p w14:paraId="124366D7">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供应商应对投标材料的一切专利承担责任，并负责保护采购人的利益不受损害；一切由于文字、商标和技术专利侵权引起的法律裁决、诉讼及其费用均与采购人无关。</w:t>
            </w:r>
          </w:p>
        </w:tc>
      </w:tr>
      <w:tr w14:paraId="79AED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C0FC0A">
            <w:pPr>
              <w:adjustRightInd/>
              <w:spacing w:line="360" w:lineRule="auto"/>
              <w:contextualSpacing/>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9、</w:t>
            </w:r>
            <w:r>
              <w:rPr>
                <w:rFonts w:hint="eastAsia" w:ascii="宋体" w:hAnsi="宋体" w:cs="宋体"/>
                <w:sz w:val="24"/>
                <w:highlight w:val="none"/>
              </w:rPr>
              <w:t>合同终止</w:t>
            </w:r>
          </w:p>
        </w:tc>
        <w:tc>
          <w:tcPr>
            <w:tcW w:w="75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1ACFEA">
            <w:pPr>
              <w:keepNext w:val="0"/>
              <w:keepLines w:val="0"/>
              <w:pageBreakBefore w:val="0"/>
              <w:widowControl w:val="0"/>
              <w:kinsoku/>
              <w:wordWrap/>
              <w:overflowPunct/>
              <w:topLinePunct w:val="0"/>
              <w:autoSpaceDE/>
              <w:autoSpaceDN/>
              <w:bidi w:val="0"/>
              <w:adjustRightInd/>
              <w:snapToGrid/>
              <w:spacing w:line="320" w:lineRule="exact"/>
              <w:contextualSpacing/>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成交人在合同有效期内，不得无理由终止合同，确有特殊情况的，须提前两个月向采购人提出书面申请，经采购人同意后，方可终止合同。因成交人不能保证工作质量，或发生重大差错事故的，采购人可有权终止协议，成交人承担全部责任。</w:t>
            </w:r>
          </w:p>
        </w:tc>
      </w:tr>
      <w:tr w14:paraId="6E158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5BE69E">
            <w:pPr>
              <w:adjustRightInd/>
              <w:spacing w:line="360" w:lineRule="auto"/>
              <w:contextualSpacing/>
              <w:jc w:val="left"/>
              <w:rPr>
                <w:rFonts w:hint="default" w:ascii="宋体" w:hAnsi="宋体" w:cs="宋体"/>
                <w:sz w:val="24"/>
                <w:highlight w:val="none"/>
                <w:lang w:val="en-US" w:eastAsia="zh-CN"/>
              </w:rPr>
            </w:pPr>
            <w:r>
              <w:rPr>
                <w:rFonts w:hint="eastAsia" w:ascii="宋体" w:hAnsi="宋体" w:cs="宋体"/>
                <w:sz w:val="24"/>
                <w:highlight w:val="none"/>
                <w:lang w:val="en-US" w:eastAsia="zh-CN"/>
              </w:rPr>
              <w:t>10、数据保密及脱敏要求</w:t>
            </w:r>
          </w:p>
        </w:tc>
        <w:tc>
          <w:tcPr>
            <w:tcW w:w="75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2C8B27">
            <w:pPr>
              <w:keepNext w:val="0"/>
              <w:keepLines w:val="0"/>
              <w:pageBreakBefore w:val="0"/>
              <w:widowControl w:val="0"/>
              <w:kinsoku/>
              <w:wordWrap/>
              <w:overflowPunct/>
              <w:topLinePunct w:val="0"/>
              <w:autoSpaceDE/>
              <w:autoSpaceDN/>
              <w:bidi w:val="0"/>
              <w:adjustRightInd/>
              <w:snapToGrid/>
              <w:spacing w:line="320" w:lineRule="exact"/>
              <w:contextualSpacing/>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在本项目履行期间获悉的</w:t>
            </w:r>
            <w:r>
              <w:rPr>
                <w:rFonts w:hint="eastAsia" w:ascii="宋体" w:hAnsi="宋体" w:cs="宋体"/>
                <w:color w:val="auto"/>
                <w:kern w:val="0"/>
                <w:sz w:val="24"/>
                <w:szCs w:val="24"/>
                <w:highlight w:val="none"/>
                <w:lang w:val="en-US" w:eastAsia="zh-CN"/>
              </w:rPr>
              <w:t>所有系统内</w:t>
            </w:r>
            <w:r>
              <w:rPr>
                <w:rFonts w:hint="eastAsia" w:ascii="宋体" w:hAnsi="宋体" w:eastAsia="宋体" w:cs="宋体"/>
                <w:color w:val="auto"/>
                <w:kern w:val="0"/>
                <w:sz w:val="24"/>
                <w:szCs w:val="24"/>
                <w:highlight w:val="none"/>
                <w:lang w:val="en-US" w:eastAsia="zh-CN"/>
              </w:rPr>
              <w:t>的信息、资料等，均为采购人秘密，供应商及其雇员负有严格保密义务，未经采购人书面同意不得向任何第三人泄露，且保密责任不因合同的终止或解除而失效。如采购人提出要求，供应商须无条件与采购人签订保密协议。项目完成后，供应商必须把采购人提供的所有资料、数据完整归还采购人，并不得留存任何形式的复制品，并归还所有含保密信息的文件或媒体或其复制件或摘要且不得就此要求经济补偿。所有因项目实施而获得的采购人及</w:t>
            </w:r>
            <w:r>
              <w:rPr>
                <w:rFonts w:hint="eastAsia" w:ascii="宋体" w:hAnsi="宋体" w:cs="宋体"/>
                <w:color w:val="auto"/>
                <w:kern w:val="0"/>
                <w:sz w:val="24"/>
                <w:szCs w:val="24"/>
                <w:highlight w:val="none"/>
                <w:lang w:val="en-US" w:eastAsia="zh-CN"/>
              </w:rPr>
              <w:t>系统中所有的人员</w:t>
            </w:r>
            <w:r>
              <w:rPr>
                <w:rFonts w:hint="eastAsia" w:ascii="宋体" w:hAnsi="宋体" w:eastAsia="宋体" w:cs="宋体"/>
                <w:color w:val="auto"/>
                <w:kern w:val="0"/>
                <w:sz w:val="24"/>
                <w:szCs w:val="24"/>
                <w:highlight w:val="none"/>
                <w:lang w:val="en-US" w:eastAsia="zh-CN"/>
              </w:rPr>
              <w:t>的资料及数据，未经采购人书面同意，供应商不得向第三方提供保密信息或由保密信息衍生的信息。</w:t>
            </w:r>
          </w:p>
          <w:p w14:paraId="36FF4461">
            <w:pPr>
              <w:keepNext w:val="0"/>
              <w:keepLines w:val="0"/>
              <w:pageBreakBefore w:val="0"/>
              <w:widowControl w:val="0"/>
              <w:kinsoku/>
              <w:wordWrap/>
              <w:overflowPunct/>
              <w:topLinePunct w:val="0"/>
              <w:autoSpaceDE/>
              <w:autoSpaceDN/>
              <w:bidi w:val="0"/>
              <w:adjustRightInd/>
              <w:snapToGrid/>
              <w:spacing w:line="320" w:lineRule="exact"/>
              <w:contextualSpacing/>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2）所有经系统平台导出的涉及个人隐私的数据均应进行脱敏处理，供应商及其雇员不得泄露。</w:t>
            </w:r>
          </w:p>
          <w:p w14:paraId="05A6929B">
            <w:pPr>
              <w:keepNext w:val="0"/>
              <w:keepLines w:val="0"/>
              <w:pageBreakBefore w:val="0"/>
              <w:widowControl w:val="0"/>
              <w:kinsoku/>
              <w:wordWrap/>
              <w:overflowPunct/>
              <w:topLinePunct w:val="0"/>
              <w:autoSpaceDE/>
              <w:autoSpaceDN/>
              <w:bidi w:val="0"/>
              <w:adjustRightInd/>
              <w:snapToGrid/>
              <w:spacing w:line="320" w:lineRule="exact"/>
              <w:contextualSpacing/>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3）如发生任何因供应商及其雇员原因造成的数据泄露，供应商承担全部责任。</w:t>
            </w:r>
          </w:p>
        </w:tc>
      </w:tr>
    </w:tbl>
    <w:p w14:paraId="4A7CA293">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Times New Roman"/>
          <w:b/>
          <w:color w:val="auto"/>
          <w:kern w:val="0"/>
          <w:sz w:val="24"/>
          <w:szCs w:val="24"/>
          <w:highlight w:val="none"/>
          <w:lang w:val="en-US" w:eastAsia="zh-CN"/>
        </w:rPr>
      </w:pPr>
    </w:p>
    <w:p w14:paraId="29226EF9">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t>二、</w:t>
      </w:r>
      <w:r>
        <w:rPr>
          <w:rFonts w:hint="eastAsia" w:ascii="宋体" w:hAnsi="宋体" w:cs="Times New Roman"/>
          <w:b/>
          <w:color w:val="auto"/>
          <w:kern w:val="0"/>
          <w:sz w:val="24"/>
          <w:szCs w:val="24"/>
          <w:highlight w:val="none"/>
          <w:lang w:val="en-US" w:eastAsia="zh-CN"/>
        </w:rPr>
        <w:t>建设内容</w:t>
      </w:r>
    </w:p>
    <w:p w14:paraId="23F3A7E1">
      <w:pPr>
        <w:keepNext/>
        <w:keepLines/>
        <w:pageBreakBefore w:val="0"/>
        <w:widowControl w:val="0"/>
        <w:numPr>
          <w:ilvl w:val="1"/>
          <w:numId w:val="8"/>
        </w:numPr>
        <w:kinsoku/>
        <w:wordWrap/>
        <w:overflowPunct/>
        <w:topLinePunct w:val="0"/>
        <w:autoSpaceDE/>
        <w:autoSpaceDN/>
        <w:bidi w:val="0"/>
        <w:adjustRightInd w:val="0"/>
        <w:snapToGrid w:val="0"/>
        <w:spacing w:before="0" w:beforeLines="0" w:beforeAutospacing="0" w:after="0" w:afterLines="0" w:afterAutospacing="0" w:line="320" w:lineRule="exact"/>
        <w:ind w:left="575" w:hanging="575" w:firstLineChars="0"/>
        <w:jc w:val="both"/>
        <w:textAlignment w:val="auto"/>
        <w:outlineLvl w:val="1"/>
        <w:rPr>
          <w:rFonts w:hint="eastAsia" w:ascii="宋体" w:hAnsi="宋体" w:eastAsia="宋体" w:cs="宋体"/>
          <w:kern w:val="2"/>
          <w:sz w:val="24"/>
          <w:szCs w:val="24"/>
          <w:highlight w:val="none"/>
          <w:lang w:val="en-US" w:eastAsia="zh-CN" w:bidi="ar-SA"/>
        </w:rPr>
      </w:pPr>
      <w:bookmarkStart w:id="73" w:name="_Toc27135"/>
      <w:bookmarkStart w:id="74" w:name="_Toc30987"/>
      <w:bookmarkStart w:id="75" w:name="_Toc828240301"/>
      <w:bookmarkStart w:id="76" w:name="_Toc21184"/>
      <w:bookmarkStart w:id="77" w:name="_Toc9145"/>
      <w:bookmarkStart w:id="78" w:name="_Toc4463"/>
      <w:r>
        <w:rPr>
          <w:rFonts w:hint="eastAsia" w:ascii="宋体" w:hAnsi="宋体" w:eastAsia="宋体" w:cs="宋体"/>
          <w:kern w:val="2"/>
          <w:sz w:val="24"/>
          <w:szCs w:val="24"/>
          <w:highlight w:val="none"/>
          <w:lang w:val="en-US" w:eastAsia="zh-CN" w:bidi="ar-SA"/>
        </w:rPr>
        <w:t>建设内容</w:t>
      </w:r>
      <w:bookmarkEnd w:id="73"/>
      <w:bookmarkEnd w:id="74"/>
      <w:bookmarkEnd w:id="75"/>
      <w:bookmarkEnd w:id="76"/>
    </w:p>
    <w:p w14:paraId="0F3F4135">
      <w:pPr>
        <w:pageBreakBefore w:val="0"/>
        <w:kinsoku/>
        <w:wordWrap/>
        <w:overflowPunct/>
        <w:topLinePunct w:val="0"/>
        <w:autoSpaceDE/>
        <w:autoSpaceDN/>
        <w:bidi w:val="0"/>
        <w:adjustRightInd w:val="0"/>
        <w:snapToGrid w:val="0"/>
        <w:spacing w:line="32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围绕民政事业高质量发展需要，围绕“大平台、大系统、大数据”发展路径，实现信息技术与民政业务深度融合，体系化推进民政综合服务平台建设，在更高水平上实现系统集成和协同高效。本次建设主要打造宁波市海曙区智慧民政综合服务平台，包括数据底座、业务中台和各科室业务工作台。</w:t>
      </w:r>
      <w:r>
        <w:rPr>
          <w:rFonts w:hint="eastAsia" w:ascii="宋体" w:hAnsi="宋体" w:cs="宋体"/>
          <w:sz w:val="24"/>
          <w:szCs w:val="24"/>
          <w:highlight w:val="none"/>
          <w:lang w:val="en-US" w:eastAsia="zh-CN"/>
        </w:rPr>
        <w:t>本项目所有建设内容均应符合信创化改造要求。</w:t>
      </w:r>
    </w:p>
    <w:p w14:paraId="0D9923D3">
      <w:pPr>
        <w:pageBreakBefore w:val="0"/>
        <w:kinsoku/>
        <w:wordWrap/>
        <w:overflowPunct/>
        <w:topLinePunct w:val="0"/>
        <w:autoSpaceDE/>
        <w:autoSpaceDN/>
        <w:bidi w:val="0"/>
        <w:adjustRightInd w:val="0"/>
        <w:snapToGrid w:val="0"/>
        <w:spacing w:line="320" w:lineRule="exact"/>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数据底座</w:t>
      </w:r>
    </w:p>
    <w:p w14:paraId="4A0B4F0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据底座建设主要实现数据基础管理、数据应用管理和数据应用场景等功能。数据基础管理是整个数据底座的重要基础设施，贯彻了数据生产、汇聚、标准、存储的管理生命周期，同时，通过制定统一的数据管理方法，解决当前海曙民政基础数据找不到、读不懂、不可信的问题，确保数据“入湖有依据，出湖可检索”；数据应用管理介于数据基础管理和数据应用场景之间，是让存储在数据底座的数据“活起来”的关键，通过实现业务数据的数据分析表配置、数据图表展示配置、数据下钻配置、数据预警配置、数据血缘管理等功能，明确了展示数据的结构、属性和关系，揭示数据中的模式、趋势和关联，为数据分析展示提供了基础框架，将现实世界的事物、过程、关系抽象化，转化为一种计算机能够理解和处理的形式，从而最终能在数据应用场景中被用户查看、访问；数据应用场景是数据底座功能的终端应用，也是社救、社会组织、养老、地名、婚登、殡葬、移民等不同科室工作人员访问数据底座时可直观查看和使用的数据信息。本模块是数据底座通过数据基础管理、数据应用管理而实现的对数据的聚合，从而最终形成的跨平台的标准化、集成化、标签化的价值数据信息。</w:t>
      </w:r>
    </w:p>
    <w:p w14:paraId="4E698DA4">
      <w:pPr>
        <w:pageBreakBefore w:val="0"/>
        <w:kinsoku/>
        <w:wordWrap/>
        <w:overflowPunct/>
        <w:topLinePunct w:val="0"/>
        <w:autoSpaceDE/>
        <w:autoSpaceDN/>
        <w:bidi w:val="0"/>
        <w:adjustRightInd w:val="0"/>
        <w:snapToGrid w:val="0"/>
        <w:spacing w:line="320" w:lineRule="exact"/>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val="en-US" w:eastAsia="zh-CN"/>
        </w:rPr>
        <w:t>业务中台</w:t>
      </w:r>
    </w:p>
    <w:p w14:paraId="21B8467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务中台旨在为智慧民政综合服务平台提供一个将用户、角色、权限、业务、日志等后台资源整合成前端业务访问所需的综合“中间件”，从而形成一个快速响应机制，能够快速应对前端的需求变化，避免重复建设，从而提高效率。业务中台通过整合和复用，通过整合后台资源，形成可复用的服务或能力，这些服务或能力可以被前端数据底座展示</w:t>
      </w:r>
      <w:r>
        <w:rPr>
          <w:rFonts w:hint="eastAsia" w:ascii="宋体" w:hAnsi="宋体" w:cs="宋体"/>
          <w:sz w:val="24"/>
          <w:szCs w:val="24"/>
          <w:highlight w:val="none"/>
          <w:lang w:val="en-US" w:eastAsia="zh-CN"/>
        </w:rPr>
        <w:t>，也</w:t>
      </w:r>
      <w:r>
        <w:rPr>
          <w:rFonts w:hint="eastAsia" w:ascii="宋体" w:hAnsi="宋体" w:eastAsia="宋体" w:cs="宋体"/>
          <w:sz w:val="24"/>
          <w:szCs w:val="24"/>
          <w:highlight w:val="none"/>
          <w:lang w:val="en-US" w:eastAsia="zh-CN"/>
        </w:rPr>
        <w:t>可被智慧民政工作台应用。</w:t>
      </w:r>
    </w:p>
    <w:p w14:paraId="0374C874">
      <w:pPr>
        <w:pageBreakBefore w:val="0"/>
        <w:kinsoku/>
        <w:wordWrap/>
        <w:overflowPunct/>
        <w:topLinePunct w:val="0"/>
        <w:autoSpaceDE/>
        <w:autoSpaceDN/>
        <w:bidi w:val="0"/>
        <w:adjustRightInd w:val="0"/>
        <w:snapToGrid w:val="0"/>
        <w:spacing w:line="320" w:lineRule="exact"/>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各业务工作台</w:t>
      </w:r>
    </w:p>
    <w:p w14:paraId="606C6CF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聚海曙区业务工作台焦“社救、养老、审批、社会组织、婚姻、殡葬、移民、区划地名”等民政服务场景，建设8个子业务工作台，包括社救业务工作台、行政审批业务工作台、社会组织业务工作台、智慧养老业务工作台、地名业务工作台、婚登业务工作台、殡葬业务工作台、移民业务工作台等。落实区自建民政业务系统与宁波市、浙江省业务系统之间的有效集成、无缝衔接，形成统筹集约、互联互通、共享共用、业务协同、上下联动的民政业务“大系统”。</w:t>
      </w:r>
    </w:p>
    <w:p w14:paraId="499F2629">
      <w:pPr>
        <w:keepNext/>
        <w:keepLines/>
        <w:pageBreakBefore w:val="0"/>
        <w:widowControl w:val="0"/>
        <w:numPr>
          <w:ilvl w:val="1"/>
          <w:numId w:val="8"/>
        </w:numPr>
        <w:kinsoku/>
        <w:wordWrap/>
        <w:overflowPunct/>
        <w:topLinePunct w:val="0"/>
        <w:autoSpaceDE/>
        <w:autoSpaceDN/>
        <w:bidi w:val="0"/>
        <w:adjustRightInd w:val="0"/>
        <w:snapToGrid w:val="0"/>
        <w:spacing w:before="0" w:beforeLines="0" w:beforeAutospacing="0" w:after="0" w:afterLines="0" w:afterAutospacing="0" w:line="320" w:lineRule="exact"/>
        <w:ind w:left="575" w:hanging="575" w:firstLineChars="0"/>
        <w:jc w:val="both"/>
        <w:textAlignment w:val="auto"/>
        <w:outlineLvl w:val="1"/>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建设清单：</w:t>
      </w:r>
    </w:p>
    <w:tbl>
      <w:tblPr>
        <w:tblStyle w:val="61"/>
        <w:tblW w:w="6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4400"/>
        <w:gridCol w:w="960"/>
      </w:tblGrid>
      <w:tr w14:paraId="4189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auto" w:fill="F1F1F1"/>
            <w:noWrap w:val="0"/>
            <w:vAlign w:val="center"/>
          </w:tcPr>
          <w:p w14:paraId="19A9AE7F">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400" w:type="dxa"/>
            <w:tcBorders>
              <w:top w:val="single" w:color="000000" w:sz="8" w:space="0"/>
              <w:left w:val="single" w:color="000000" w:sz="8" w:space="0"/>
              <w:bottom w:val="single" w:color="000000" w:sz="8" w:space="0"/>
              <w:right w:val="single" w:color="000000" w:sz="8" w:space="0"/>
            </w:tcBorders>
            <w:shd w:val="clear" w:color="auto" w:fill="F1F1F1"/>
            <w:noWrap w:val="0"/>
            <w:vAlign w:val="center"/>
          </w:tcPr>
          <w:p w14:paraId="21AC605F">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建设内容</w:t>
            </w:r>
          </w:p>
        </w:tc>
        <w:tc>
          <w:tcPr>
            <w:tcW w:w="960" w:type="dxa"/>
            <w:tcBorders>
              <w:top w:val="single" w:color="000000" w:sz="8" w:space="0"/>
              <w:left w:val="single" w:color="000000" w:sz="8" w:space="0"/>
              <w:bottom w:val="single" w:color="000000" w:sz="8" w:space="0"/>
              <w:right w:val="single" w:color="000000" w:sz="8" w:space="0"/>
            </w:tcBorders>
            <w:shd w:val="clear" w:color="auto" w:fill="F1F1F1"/>
            <w:noWrap w:val="0"/>
            <w:vAlign w:val="center"/>
          </w:tcPr>
          <w:p w14:paraId="5FAD3D58">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r>
      <w:tr w14:paraId="2E2E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45CBD768">
            <w:pPr>
              <w:keepNext w:val="0"/>
              <w:keepLines w:val="0"/>
              <w:widowControl/>
              <w:suppressLineNumbers w:val="0"/>
              <w:adjustRightIn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一</w:t>
            </w:r>
          </w:p>
        </w:tc>
        <w:tc>
          <w:tcPr>
            <w:tcW w:w="4400" w:type="dxa"/>
            <w:tcBorders>
              <w:top w:val="nil"/>
              <w:left w:val="single" w:color="000000" w:sz="8" w:space="0"/>
              <w:bottom w:val="single" w:color="000000" w:sz="8" w:space="0"/>
              <w:right w:val="single" w:color="000000" w:sz="8" w:space="0"/>
            </w:tcBorders>
            <w:noWrap w:val="0"/>
            <w:vAlign w:val="center"/>
          </w:tcPr>
          <w:p w14:paraId="1B36D3DC">
            <w:pPr>
              <w:keepNext w:val="0"/>
              <w:keepLines w:val="0"/>
              <w:widowControl/>
              <w:suppressLineNumbers w:val="0"/>
              <w:adjustRightIn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应用软件</w:t>
            </w:r>
          </w:p>
        </w:tc>
        <w:tc>
          <w:tcPr>
            <w:tcW w:w="960" w:type="dxa"/>
            <w:tcBorders>
              <w:top w:val="nil"/>
              <w:left w:val="single" w:color="000000" w:sz="8" w:space="0"/>
              <w:bottom w:val="single" w:color="000000" w:sz="8" w:space="0"/>
              <w:right w:val="single" w:color="000000" w:sz="8" w:space="0"/>
            </w:tcBorders>
            <w:noWrap w:val="0"/>
            <w:vAlign w:val="center"/>
          </w:tcPr>
          <w:p w14:paraId="5EACD23A">
            <w:pPr>
              <w:adjustRightInd/>
              <w:jc w:val="left"/>
              <w:rPr>
                <w:rFonts w:hint="eastAsia" w:ascii="Arial" w:hAnsi="Arial" w:eastAsia="宋体" w:cs="Arial"/>
                <w:i w:val="0"/>
                <w:iCs w:val="0"/>
                <w:color w:val="000000"/>
                <w:sz w:val="21"/>
                <w:szCs w:val="21"/>
                <w:highlight w:val="none"/>
                <w:u w:val="none"/>
              </w:rPr>
            </w:pPr>
          </w:p>
        </w:tc>
      </w:tr>
      <w:tr w14:paraId="59AF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63B171BE">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w:t>
            </w:r>
          </w:p>
        </w:tc>
        <w:tc>
          <w:tcPr>
            <w:tcW w:w="4400" w:type="dxa"/>
            <w:tcBorders>
              <w:top w:val="nil"/>
              <w:left w:val="single" w:color="000000" w:sz="8" w:space="0"/>
              <w:bottom w:val="single" w:color="000000" w:sz="8" w:space="0"/>
              <w:right w:val="single" w:color="000000" w:sz="8" w:space="0"/>
            </w:tcBorders>
            <w:noWrap w:val="0"/>
            <w:vAlign w:val="center"/>
          </w:tcPr>
          <w:p w14:paraId="2BBEC80B">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各科室业务工作台</w:t>
            </w:r>
          </w:p>
        </w:tc>
        <w:tc>
          <w:tcPr>
            <w:tcW w:w="960" w:type="dxa"/>
            <w:tcBorders>
              <w:top w:val="nil"/>
              <w:left w:val="single" w:color="000000" w:sz="8" w:space="0"/>
              <w:bottom w:val="single" w:color="000000" w:sz="8" w:space="0"/>
              <w:right w:val="single" w:color="000000" w:sz="8" w:space="0"/>
            </w:tcBorders>
            <w:noWrap w:val="0"/>
            <w:vAlign w:val="center"/>
          </w:tcPr>
          <w:p w14:paraId="1AA21151">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F7A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0421B875">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w:t>
            </w:r>
          </w:p>
        </w:tc>
        <w:tc>
          <w:tcPr>
            <w:tcW w:w="4400" w:type="dxa"/>
            <w:tcBorders>
              <w:top w:val="nil"/>
              <w:left w:val="single" w:color="000000" w:sz="8" w:space="0"/>
              <w:bottom w:val="single" w:color="000000" w:sz="8" w:space="0"/>
              <w:right w:val="single" w:color="000000" w:sz="8" w:space="0"/>
            </w:tcBorders>
            <w:noWrap w:val="0"/>
            <w:vAlign w:val="center"/>
          </w:tcPr>
          <w:p w14:paraId="4DA8F736">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数据底座</w:t>
            </w:r>
          </w:p>
        </w:tc>
        <w:tc>
          <w:tcPr>
            <w:tcW w:w="960" w:type="dxa"/>
            <w:tcBorders>
              <w:top w:val="nil"/>
              <w:left w:val="single" w:color="000000" w:sz="8" w:space="0"/>
              <w:bottom w:val="single" w:color="000000" w:sz="8" w:space="0"/>
              <w:right w:val="single" w:color="000000" w:sz="8" w:space="0"/>
            </w:tcBorders>
            <w:noWrap w:val="0"/>
            <w:vAlign w:val="center"/>
          </w:tcPr>
          <w:p w14:paraId="6E13F23F">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622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1D36E113">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w:t>
            </w:r>
          </w:p>
        </w:tc>
        <w:tc>
          <w:tcPr>
            <w:tcW w:w="4400" w:type="dxa"/>
            <w:tcBorders>
              <w:top w:val="nil"/>
              <w:left w:val="single" w:color="000000" w:sz="8" w:space="0"/>
              <w:bottom w:val="single" w:color="000000" w:sz="8" w:space="0"/>
              <w:right w:val="single" w:color="000000" w:sz="8" w:space="0"/>
            </w:tcBorders>
            <w:noWrap w:val="0"/>
            <w:vAlign w:val="center"/>
          </w:tcPr>
          <w:p w14:paraId="7B4E7628">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业务中台</w:t>
            </w:r>
          </w:p>
        </w:tc>
        <w:tc>
          <w:tcPr>
            <w:tcW w:w="960" w:type="dxa"/>
            <w:tcBorders>
              <w:top w:val="nil"/>
              <w:left w:val="single" w:color="000000" w:sz="8" w:space="0"/>
              <w:bottom w:val="single" w:color="000000" w:sz="8" w:space="0"/>
              <w:right w:val="single" w:color="000000" w:sz="8" w:space="0"/>
            </w:tcBorders>
            <w:noWrap w:val="0"/>
            <w:vAlign w:val="center"/>
          </w:tcPr>
          <w:p w14:paraId="0CC70C6D">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615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1BF163A8">
            <w:pPr>
              <w:keepNext w:val="0"/>
              <w:keepLines w:val="0"/>
              <w:widowControl/>
              <w:suppressLineNumbers w:val="0"/>
              <w:adjustRightIn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二</w:t>
            </w:r>
          </w:p>
        </w:tc>
        <w:tc>
          <w:tcPr>
            <w:tcW w:w="4400" w:type="dxa"/>
            <w:tcBorders>
              <w:top w:val="nil"/>
              <w:left w:val="single" w:color="000000" w:sz="8" w:space="0"/>
              <w:bottom w:val="single" w:color="000000" w:sz="8" w:space="0"/>
              <w:right w:val="single" w:color="000000" w:sz="8" w:space="0"/>
            </w:tcBorders>
            <w:noWrap w:val="0"/>
            <w:vAlign w:val="center"/>
          </w:tcPr>
          <w:p w14:paraId="47BC6ABA">
            <w:pPr>
              <w:keepNext w:val="0"/>
              <w:keepLines w:val="0"/>
              <w:widowControl/>
              <w:suppressLineNumbers w:val="0"/>
              <w:adjustRightIn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软件</w:t>
            </w:r>
          </w:p>
        </w:tc>
        <w:tc>
          <w:tcPr>
            <w:tcW w:w="960" w:type="dxa"/>
            <w:tcBorders>
              <w:top w:val="nil"/>
              <w:left w:val="single" w:color="000000" w:sz="8" w:space="0"/>
              <w:bottom w:val="single" w:color="000000" w:sz="8" w:space="0"/>
              <w:right w:val="single" w:color="000000" w:sz="8" w:space="0"/>
            </w:tcBorders>
            <w:noWrap w:val="0"/>
            <w:vAlign w:val="center"/>
          </w:tcPr>
          <w:p w14:paraId="26467BA1">
            <w:pPr>
              <w:adjustRightInd/>
              <w:jc w:val="left"/>
              <w:rPr>
                <w:rFonts w:hint="default" w:ascii="Arial" w:hAnsi="Arial" w:eastAsia="宋体" w:cs="Arial"/>
                <w:i w:val="0"/>
                <w:iCs w:val="0"/>
                <w:color w:val="000000"/>
                <w:sz w:val="21"/>
                <w:szCs w:val="21"/>
                <w:highlight w:val="none"/>
                <w:u w:val="none"/>
              </w:rPr>
            </w:pPr>
          </w:p>
        </w:tc>
      </w:tr>
      <w:tr w14:paraId="1C3F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254CF498">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w:t>
            </w:r>
          </w:p>
        </w:tc>
        <w:tc>
          <w:tcPr>
            <w:tcW w:w="4400" w:type="dxa"/>
            <w:tcBorders>
              <w:top w:val="nil"/>
              <w:left w:val="single" w:color="000000" w:sz="8" w:space="0"/>
              <w:bottom w:val="single" w:color="000000" w:sz="8" w:space="0"/>
              <w:right w:val="single" w:color="000000" w:sz="8" w:space="0"/>
            </w:tcBorders>
            <w:noWrap w:val="0"/>
            <w:vAlign w:val="center"/>
          </w:tcPr>
          <w:p w14:paraId="334A94F6">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国产化数据库</w:t>
            </w:r>
          </w:p>
        </w:tc>
        <w:tc>
          <w:tcPr>
            <w:tcW w:w="960" w:type="dxa"/>
            <w:tcBorders>
              <w:top w:val="nil"/>
              <w:left w:val="single" w:color="000000" w:sz="8" w:space="0"/>
              <w:bottom w:val="single" w:color="000000" w:sz="8" w:space="0"/>
              <w:right w:val="single" w:color="000000" w:sz="8" w:space="0"/>
            </w:tcBorders>
            <w:noWrap w:val="0"/>
            <w:vAlign w:val="center"/>
          </w:tcPr>
          <w:p w14:paraId="2419CC7D">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783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0F232DFC">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w:t>
            </w:r>
          </w:p>
        </w:tc>
        <w:tc>
          <w:tcPr>
            <w:tcW w:w="4400" w:type="dxa"/>
            <w:tcBorders>
              <w:top w:val="nil"/>
              <w:left w:val="single" w:color="000000" w:sz="8" w:space="0"/>
              <w:bottom w:val="single" w:color="000000" w:sz="8" w:space="0"/>
              <w:right w:val="single" w:color="000000" w:sz="8" w:space="0"/>
            </w:tcBorders>
            <w:noWrap w:val="0"/>
            <w:vAlign w:val="center"/>
          </w:tcPr>
          <w:p w14:paraId="2E2718F5">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国产化操作系统</w:t>
            </w:r>
          </w:p>
        </w:tc>
        <w:tc>
          <w:tcPr>
            <w:tcW w:w="960" w:type="dxa"/>
            <w:tcBorders>
              <w:top w:val="nil"/>
              <w:left w:val="single" w:color="000000" w:sz="8" w:space="0"/>
              <w:bottom w:val="single" w:color="000000" w:sz="8" w:space="0"/>
              <w:right w:val="single" w:color="000000" w:sz="8" w:space="0"/>
            </w:tcBorders>
            <w:noWrap w:val="0"/>
            <w:vAlign w:val="center"/>
          </w:tcPr>
          <w:p w14:paraId="5F3764DA">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14:paraId="7EE3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086622D7">
            <w:pPr>
              <w:keepNext w:val="0"/>
              <w:keepLines w:val="0"/>
              <w:widowControl/>
              <w:suppressLineNumbers w:val="0"/>
              <w:adjustRightIn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w:t>
            </w:r>
          </w:p>
        </w:tc>
        <w:tc>
          <w:tcPr>
            <w:tcW w:w="4400" w:type="dxa"/>
            <w:tcBorders>
              <w:top w:val="nil"/>
              <w:left w:val="single" w:color="000000" w:sz="8" w:space="0"/>
              <w:bottom w:val="single" w:color="000000" w:sz="8" w:space="0"/>
              <w:right w:val="single" w:color="000000" w:sz="8" w:space="0"/>
            </w:tcBorders>
            <w:noWrap w:val="0"/>
            <w:vAlign w:val="center"/>
          </w:tcPr>
          <w:p w14:paraId="2B4BF89B">
            <w:pPr>
              <w:keepNext w:val="0"/>
              <w:keepLines w:val="0"/>
              <w:widowControl/>
              <w:suppressLineNumbers w:val="0"/>
              <w:adjustRightIn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数据安全保护</w:t>
            </w:r>
          </w:p>
        </w:tc>
        <w:tc>
          <w:tcPr>
            <w:tcW w:w="960" w:type="dxa"/>
            <w:tcBorders>
              <w:top w:val="nil"/>
              <w:left w:val="single" w:color="000000" w:sz="8" w:space="0"/>
              <w:bottom w:val="single" w:color="000000" w:sz="8" w:space="0"/>
              <w:right w:val="single" w:color="000000" w:sz="8" w:space="0"/>
            </w:tcBorders>
            <w:noWrap w:val="0"/>
            <w:vAlign w:val="center"/>
          </w:tcPr>
          <w:p w14:paraId="67A14156">
            <w:pPr>
              <w:adjustRightInd/>
              <w:jc w:val="left"/>
              <w:rPr>
                <w:rFonts w:hint="default" w:ascii="Arial" w:hAnsi="Arial" w:eastAsia="宋体" w:cs="Arial"/>
                <w:i w:val="0"/>
                <w:iCs w:val="0"/>
                <w:color w:val="000000"/>
                <w:sz w:val="21"/>
                <w:szCs w:val="21"/>
                <w:highlight w:val="none"/>
                <w:u w:val="none"/>
              </w:rPr>
            </w:pPr>
          </w:p>
        </w:tc>
      </w:tr>
      <w:tr w14:paraId="4FBE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4F977F7E">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w:t>
            </w:r>
          </w:p>
        </w:tc>
        <w:tc>
          <w:tcPr>
            <w:tcW w:w="4400" w:type="dxa"/>
            <w:tcBorders>
              <w:top w:val="nil"/>
              <w:left w:val="single" w:color="000000" w:sz="8" w:space="0"/>
              <w:bottom w:val="single" w:color="000000" w:sz="8" w:space="0"/>
              <w:right w:val="single" w:color="000000" w:sz="8" w:space="0"/>
            </w:tcBorders>
            <w:noWrap w:val="0"/>
            <w:vAlign w:val="center"/>
          </w:tcPr>
          <w:p w14:paraId="714F01CB">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数据分级分类</w:t>
            </w:r>
          </w:p>
        </w:tc>
        <w:tc>
          <w:tcPr>
            <w:tcW w:w="960" w:type="dxa"/>
            <w:tcBorders>
              <w:top w:val="nil"/>
              <w:left w:val="single" w:color="000000" w:sz="8" w:space="0"/>
              <w:bottom w:val="single" w:color="000000" w:sz="8" w:space="0"/>
              <w:right w:val="single" w:color="000000" w:sz="8" w:space="0"/>
            </w:tcBorders>
            <w:noWrap w:val="0"/>
            <w:vAlign w:val="center"/>
          </w:tcPr>
          <w:p w14:paraId="06DD5D53">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FE5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1CEF2FF3">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w:t>
            </w:r>
          </w:p>
        </w:tc>
        <w:tc>
          <w:tcPr>
            <w:tcW w:w="4400" w:type="dxa"/>
            <w:tcBorders>
              <w:top w:val="nil"/>
              <w:left w:val="single" w:color="000000" w:sz="8" w:space="0"/>
              <w:bottom w:val="single" w:color="000000" w:sz="8" w:space="0"/>
              <w:right w:val="single" w:color="000000" w:sz="8" w:space="0"/>
            </w:tcBorders>
            <w:noWrap w:val="0"/>
            <w:vAlign w:val="center"/>
          </w:tcPr>
          <w:p w14:paraId="7E70AA89">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数据脱敏</w:t>
            </w:r>
          </w:p>
        </w:tc>
        <w:tc>
          <w:tcPr>
            <w:tcW w:w="960" w:type="dxa"/>
            <w:tcBorders>
              <w:top w:val="nil"/>
              <w:left w:val="single" w:color="000000" w:sz="8" w:space="0"/>
              <w:bottom w:val="single" w:color="000000" w:sz="8" w:space="0"/>
              <w:right w:val="single" w:color="000000" w:sz="8" w:space="0"/>
            </w:tcBorders>
            <w:noWrap w:val="0"/>
            <w:vAlign w:val="center"/>
          </w:tcPr>
          <w:p w14:paraId="69CFBA6A">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55A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76019D85">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w:t>
            </w:r>
          </w:p>
        </w:tc>
        <w:tc>
          <w:tcPr>
            <w:tcW w:w="4400" w:type="dxa"/>
            <w:tcBorders>
              <w:top w:val="nil"/>
              <w:left w:val="single" w:color="000000" w:sz="8" w:space="0"/>
              <w:bottom w:val="single" w:color="000000" w:sz="8" w:space="0"/>
              <w:right w:val="single" w:color="000000" w:sz="8" w:space="0"/>
            </w:tcBorders>
            <w:noWrap w:val="0"/>
            <w:vAlign w:val="center"/>
          </w:tcPr>
          <w:p w14:paraId="2E4207D3">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数据访问及备份</w:t>
            </w:r>
          </w:p>
        </w:tc>
        <w:tc>
          <w:tcPr>
            <w:tcW w:w="960" w:type="dxa"/>
            <w:tcBorders>
              <w:top w:val="nil"/>
              <w:left w:val="single" w:color="000000" w:sz="8" w:space="0"/>
              <w:bottom w:val="single" w:color="000000" w:sz="8" w:space="0"/>
              <w:right w:val="single" w:color="000000" w:sz="8" w:space="0"/>
            </w:tcBorders>
            <w:noWrap w:val="0"/>
            <w:vAlign w:val="center"/>
          </w:tcPr>
          <w:p w14:paraId="173874BD">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79D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79C4A8C9">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w:t>
            </w:r>
          </w:p>
        </w:tc>
        <w:tc>
          <w:tcPr>
            <w:tcW w:w="4400" w:type="dxa"/>
            <w:tcBorders>
              <w:top w:val="nil"/>
              <w:left w:val="single" w:color="000000" w:sz="8" w:space="0"/>
              <w:bottom w:val="single" w:color="000000" w:sz="8" w:space="0"/>
              <w:right w:val="single" w:color="000000" w:sz="8" w:space="0"/>
            </w:tcBorders>
            <w:noWrap w:val="0"/>
            <w:vAlign w:val="center"/>
          </w:tcPr>
          <w:p w14:paraId="3D0FBF6A">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数据加密</w:t>
            </w:r>
          </w:p>
        </w:tc>
        <w:tc>
          <w:tcPr>
            <w:tcW w:w="960" w:type="dxa"/>
            <w:tcBorders>
              <w:top w:val="nil"/>
              <w:left w:val="single" w:color="000000" w:sz="8" w:space="0"/>
              <w:bottom w:val="single" w:color="000000" w:sz="8" w:space="0"/>
              <w:right w:val="single" w:color="000000" w:sz="8" w:space="0"/>
            </w:tcBorders>
            <w:noWrap w:val="0"/>
            <w:vAlign w:val="center"/>
          </w:tcPr>
          <w:p w14:paraId="6448C0B6">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02A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2D57E99F">
            <w:pPr>
              <w:keepNext w:val="0"/>
              <w:keepLines w:val="0"/>
              <w:widowControl/>
              <w:suppressLineNumbers w:val="0"/>
              <w:adjustRightIn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四</w:t>
            </w:r>
          </w:p>
        </w:tc>
        <w:tc>
          <w:tcPr>
            <w:tcW w:w="4400" w:type="dxa"/>
            <w:tcBorders>
              <w:top w:val="nil"/>
              <w:left w:val="single" w:color="000000" w:sz="8" w:space="0"/>
              <w:bottom w:val="single" w:color="000000" w:sz="8" w:space="0"/>
              <w:right w:val="single" w:color="000000" w:sz="8" w:space="0"/>
            </w:tcBorders>
            <w:noWrap w:val="0"/>
            <w:vAlign w:val="center"/>
          </w:tcPr>
          <w:p w14:paraId="5C0DEE0C">
            <w:pPr>
              <w:keepNext w:val="0"/>
              <w:keepLines w:val="0"/>
              <w:widowControl/>
              <w:suppressLineNumbers w:val="0"/>
              <w:adjustRightInd/>
              <w:jc w:val="left"/>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其他内容</w:t>
            </w:r>
          </w:p>
        </w:tc>
        <w:tc>
          <w:tcPr>
            <w:tcW w:w="960" w:type="dxa"/>
            <w:tcBorders>
              <w:top w:val="nil"/>
              <w:left w:val="single" w:color="000000" w:sz="8" w:space="0"/>
              <w:bottom w:val="single" w:color="000000" w:sz="8" w:space="0"/>
              <w:right w:val="single" w:color="000000" w:sz="8" w:space="0"/>
            </w:tcBorders>
            <w:noWrap w:val="0"/>
            <w:vAlign w:val="center"/>
          </w:tcPr>
          <w:p w14:paraId="0104EE56">
            <w:pPr>
              <w:keepNext w:val="0"/>
              <w:keepLines w:val="0"/>
              <w:widowControl/>
              <w:suppressLineNumbers w:val="0"/>
              <w:adjustRightInd/>
              <w:jc w:val="left"/>
              <w:textAlignment w:val="center"/>
              <w:rPr>
                <w:rFonts w:hint="eastAsia" w:ascii="宋体" w:hAnsi="宋体" w:eastAsia="宋体" w:cs="宋体"/>
                <w:b/>
                <w:bCs/>
                <w:i w:val="0"/>
                <w:iCs w:val="0"/>
                <w:color w:val="000000"/>
                <w:sz w:val="24"/>
                <w:szCs w:val="24"/>
                <w:highlight w:val="none"/>
                <w:u w:val="none"/>
              </w:rPr>
            </w:pPr>
          </w:p>
        </w:tc>
      </w:tr>
      <w:tr w14:paraId="6906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48C232B2">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w:t>
            </w:r>
          </w:p>
        </w:tc>
        <w:tc>
          <w:tcPr>
            <w:tcW w:w="4400" w:type="dxa"/>
            <w:tcBorders>
              <w:top w:val="nil"/>
              <w:left w:val="single" w:color="000000" w:sz="8" w:space="0"/>
              <w:bottom w:val="single" w:color="000000" w:sz="8" w:space="0"/>
              <w:right w:val="single" w:color="000000" w:sz="8" w:space="0"/>
            </w:tcBorders>
            <w:noWrap w:val="0"/>
            <w:vAlign w:val="center"/>
          </w:tcPr>
          <w:p w14:paraId="6ACFD5A5">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等保测评</w:t>
            </w:r>
          </w:p>
        </w:tc>
        <w:tc>
          <w:tcPr>
            <w:tcW w:w="960" w:type="dxa"/>
            <w:tcBorders>
              <w:top w:val="nil"/>
              <w:left w:val="single" w:color="000000" w:sz="8" w:space="0"/>
              <w:bottom w:val="single" w:color="000000" w:sz="8" w:space="0"/>
              <w:right w:val="single" w:color="000000" w:sz="8" w:space="0"/>
            </w:tcBorders>
            <w:noWrap w:val="0"/>
            <w:vAlign w:val="center"/>
          </w:tcPr>
          <w:p w14:paraId="3315D15D">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D26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0" w:type="dxa"/>
            <w:tcBorders>
              <w:top w:val="nil"/>
              <w:left w:val="single" w:color="000000" w:sz="8" w:space="0"/>
              <w:bottom w:val="single" w:color="000000" w:sz="8" w:space="0"/>
              <w:right w:val="single" w:color="000000" w:sz="8" w:space="0"/>
            </w:tcBorders>
            <w:noWrap w:val="0"/>
            <w:vAlign w:val="center"/>
          </w:tcPr>
          <w:p w14:paraId="06B0E838">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w:t>
            </w:r>
          </w:p>
        </w:tc>
        <w:tc>
          <w:tcPr>
            <w:tcW w:w="4400" w:type="dxa"/>
            <w:tcBorders>
              <w:top w:val="nil"/>
              <w:left w:val="single" w:color="000000" w:sz="8" w:space="0"/>
              <w:bottom w:val="single" w:color="000000" w:sz="8" w:space="0"/>
              <w:right w:val="single" w:color="000000" w:sz="8" w:space="0"/>
            </w:tcBorders>
            <w:noWrap w:val="0"/>
            <w:vAlign w:val="center"/>
          </w:tcPr>
          <w:p w14:paraId="655444CA">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代码审计</w:t>
            </w:r>
          </w:p>
        </w:tc>
        <w:tc>
          <w:tcPr>
            <w:tcW w:w="960" w:type="dxa"/>
            <w:tcBorders>
              <w:top w:val="nil"/>
              <w:left w:val="single" w:color="000000" w:sz="8" w:space="0"/>
              <w:bottom w:val="single" w:color="000000" w:sz="8" w:space="0"/>
              <w:right w:val="single" w:color="000000" w:sz="8" w:space="0"/>
            </w:tcBorders>
            <w:noWrap w:val="0"/>
            <w:vAlign w:val="center"/>
          </w:tcPr>
          <w:p w14:paraId="01CC7DA2">
            <w:pPr>
              <w:keepNext w:val="0"/>
              <w:keepLines w:val="0"/>
              <w:widowControl/>
              <w:suppressLineNumbers w:val="0"/>
              <w:adjustRightIn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14:paraId="5B1A81F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p>
    <w:p w14:paraId="23719B6C">
      <w:pPr>
        <w:keepNext/>
        <w:keepLines/>
        <w:pageBreakBefore w:val="0"/>
        <w:widowControl w:val="0"/>
        <w:numPr>
          <w:ilvl w:val="1"/>
          <w:numId w:val="8"/>
        </w:numPr>
        <w:kinsoku/>
        <w:wordWrap/>
        <w:overflowPunct/>
        <w:topLinePunct w:val="0"/>
        <w:autoSpaceDE/>
        <w:autoSpaceDN/>
        <w:bidi w:val="0"/>
        <w:adjustRightInd w:val="0"/>
        <w:snapToGrid w:val="0"/>
        <w:spacing w:before="0" w:beforeLines="0" w:beforeAutospacing="0" w:after="0" w:afterLines="0" w:afterAutospacing="0" w:line="320" w:lineRule="exact"/>
        <w:ind w:left="575" w:hanging="575" w:firstLineChars="0"/>
        <w:jc w:val="both"/>
        <w:textAlignment w:val="auto"/>
        <w:outlineLvl w:val="1"/>
        <w:rPr>
          <w:rFonts w:hint="eastAsia" w:ascii="宋体" w:hAnsi="宋体" w:eastAsia="宋体" w:cs="宋体"/>
          <w:kern w:val="2"/>
          <w:sz w:val="24"/>
          <w:szCs w:val="24"/>
          <w:highlight w:val="none"/>
          <w:lang w:val="en-US" w:eastAsia="zh-CN" w:bidi="ar-SA"/>
        </w:rPr>
      </w:pPr>
      <w:bookmarkStart w:id="79" w:name="_Toc18532"/>
      <w:bookmarkStart w:id="80" w:name="_Toc245739053"/>
      <w:r>
        <w:rPr>
          <w:rFonts w:hint="eastAsia" w:ascii="宋体" w:hAnsi="宋体" w:eastAsia="宋体" w:cs="宋体"/>
          <w:kern w:val="2"/>
          <w:sz w:val="24"/>
          <w:szCs w:val="24"/>
          <w:highlight w:val="none"/>
          <w:lang w:val="en-US" w:eastAsia="zh-CN" w:bidi="ar-SA"/>
        </w:rPr>
        <w:t>业务应用系统设计</w:t>
      </w:r>
      <w:bookmarkEnd w:id="79"/>
      <w:bookmarkEnd w:id="80"/>
    </w:p>
    <w:p w14:paraId="1809B75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本平台着力迭代提升、智慧赋能，实现以数据底座为基础、业务中台为支撑、各科室业务工作台为展现综合性业务管理平台，促进数据共享高效有序、业务管理协同精准、决策预警科学智能、数据价值充分释放。</w:t>
      </w:r>
    </w:p>
    <w:p w14:paraId="33EB7AC2">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各科室业务工作台</w:t>
      </w:r>
    </w:p>
    <w:p w14:paraId="26AB3129">
      <w:pPr>
        <w:pageBreakBefore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聚海曙区业务工作台焦“社救、养老、审批、社会组织、婚姻、殡葬、移民、区划地名”等民政服务场景，建设8个子业务工作台，包括社救业务工作台、行政审批业务工作台、社会组织业务工作台、智慧养老业务工作台、地名业务工作台、婚登业务工作台、殡葬业务工作台、移民业务工作台等。落实区自建民政业务系统与宁波市、浙江省业务系统之间的有效集成、无缝衔接，形成统筹集约、互联互通、共享共用、业务协同、上下联动的民政业务“大系统”。</w:t>
      </w:r>
    </w:p>
    <w:p w14:paraId="15A58D0B">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社救业务工作台</w:t>
      </w:r>
    </w:p>
    <w:p w14:paraId="6224A7F1">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业务模块展示</w:t>
      </w:r>
    </w:p>
    <w:p w14:paraId="18CC297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在业务中台</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业务模块中配置的社救业务工作台，支持通过微服务架构在社救工作人员页面进行统一访问，包括平权发起、浙江省大救助信息系统、浙江省民政厅儿童信息管理系统。</w:t>
      </w:r>
    </w:p>
    <w:p w14:paraId="5AC28C29">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平权管理</w:t>
      </w:r>
    </w:p>
    <w:p w14:paraId="63BB467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社救业务工作台主要实现平权管理，平权发起主要为各民生部门、社区和街道提供困难群众线索信息提供信息展示窗口，各民生部门、社区和街道可以通过申请管理将人员线索信息填报上传，其他民生部门、社区和街道可以通过点击线索信息查看并根据政策符合情况可同时进行审核认领并填报，完成后填报信息事件情况并结束事件。</w:t>
      </w:r>
    </w:p>
    <w:p w14:paraId="7BCD2E27">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行政审批业务工作台</w:t>
      </w:r>
    </w:p>
    <w:p w14:paraId="5B2BD9D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在业务中台</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业务模块中配置的行政审批业务工作台，支持通过微服务架构在社会组织工作人员页面进行统一访问，包括浙江省社会组织业务应用系统。</w:t>
      </w:r>
    </w:p>
    <w:p w14:paraId="1B83A20D">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社会组织业务工作台</w:t>
      </w:r>
    </w:p>
    <w:p w14:paraId="79B46C1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在业务中台</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业务模块中配置的社会组织工作台，数据应用场景支持通过微服务架构在社会组织工作人员页面进行统一访问，包括浙江省社会组织业务应用系统。</w:t>
      </w:r>
    </w:p>
    <w:p w14:paraId="08CA086E">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智慧养老业务工作台</w:t>
      </w:r>
    </w:p>
    <w:p w14:paraId="4A2F6C2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智慧养老业务工作台主要面向民政、社区、街道、其他民生部门相关工作人员，通过民政端平台根据业务条线不同总体分为居家上门服务管理、高龄老人津贴发放管理，同时，支持从事养老工作</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lang w:val="en-US" w:eastAsia="zh-CN"/>
        </w:rPr>
        <w:t>服务商和服务员通过系统访问该业务工作台。</w:t>
      </w:r>
    </w:p>
    <w:p w14:paraId="0F5CC76E">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民政端</w:t>
      </w:r>
    </w:p>
    <w:p w14:paraId="6A1EA3B4">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业务模块展示</w:t>
      </w:r>
    </w:p>
    <w:p w14:paraId="14AF7DA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在业务中台</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业务模块中配置的养老工作台，数据应用场景支持通过微服务架构在养老工作人员页面进行统一访问，包括浙里康养、甬易养智慧养老服务应用、智慧养老工作台、金民系统。</w:t>
      </w:r>
    </w:p>
    <w:p w14:paraId="205D5AA2">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老人信息管理</w:t>
      </w:r>
    </w:p>
    <w:p w14:paraId="5C22230E">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全区老人档案</w:t>
      </w:r>
    </w:p>
    <w:p w14:paraId="101BD2A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全区老人档案数据来源为经数据清洗后本系统新建的海曙区全区老人档案数据库。包含信息筛选查询、信息管理功能。</w:t>
      </w:r>
    </w:p>
    <w:p w14:paraId="2F1FEC4E">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老人信息搭建</w:t>
      </w:r>
    </w:p>
    <w:p w14:paraId="3E70575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通过一数多源的方法，将大数据（一图四库）、公安、社区中的老人数据进行人工导入，再将异常老人信息进行筛除，然后将名单分配至社区，对名单上的老人信息进行人工核查。</w:t>
      </w:r>
    </w:p>
    <w:p w14:paraId="48165CA2">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老人信息综合查询</w:t>
      </w:r>
    </w:p>
    <w:p w14:paraId="225819C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展示全区老人信息清单，显示老人姓名、身份证号、年龄、所在街道、所在社区、补贴时长等信息，并可通过多种条件（姓名、身份证号、电话号码、年龄范围、补贴时长、服务状态等，支持模糊搜索）实现老人信息的筛选、查询和统计功能。</w:t>
      </w:r>
    </w:p>
    <w:p w14:paraId="110DF7B5">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标签管理</w:t>
      </w:r>
    </w:p>
    <w:p w14:paraId="32689105">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创建标签</w:t>
      </w:r>
    </w:p>
    <w:p w14:paraId="22143AE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系统创建标签体系，该体系应包含规则分类以及关键词集合，包括高龄、中度失能、服务异常等，管理员可按照政策要求或常规使用习惯进行标签创建，设置标签名称和对应标签描述，其中标签名不可重复。</w:t>
      </w:r>
    </w:p>
    <w:p w14:paraId="3B101CCB">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标签维护</w:t>
      </w:r>
    </w:p>
    <w:p w14:paraId="7E354DA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系统管理员可对标签进行管理和维护，支持增加、删除、编辑等操作。</w:t>
      </w:r>
    </w:p>
    <w:p w14:paraId="063A23F6">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添加标签</w:t>
      </w:r>
    </w:p>
    <w:p w14:paraId="12A7394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将相关信息匹配规则与标签进行关联。当管理员上传或创建新的信息匹配规则时，可以在管理界面上为该信息选择相应的标签，可以根据信息内容手动选择标签。</w:t>
      </w:r>
    </w:p>
    <w:p w14:paraId="02AEF67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提供一个标签选择器或搜索框，允许用户根据关键词或浏览标签库的方式来设定标签。用户可以从预定的标签列表中选择适合的标签，或者通过输入关键词搜索相关标签进行设定。</w:t>
      </w:r>
    </w:p>
    <w:p w14:paraId="1CD0CFFA">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老人数据统计汇总</w:t>
      </w:r>
    </w:p>
    <w:p w14:paraId="369D991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在数据库中，筛选需要的信息并导入成表单吗，同时生成数据统计表时，表内可有服务进行时每服务一小时单价，服务时长以及服务时间。可以对一定时间内（月度、季度等）某一类老人的某一个区域的服务时长、服务金额进行统计汇总。并可对数据统计表进行导出。</w:t>
      </w:r>
    </w:p>
    <w:p w14:paraId="0E946B2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在导入信息时老人补贴时长和服务时长在统计时使用去尾法，保留到小数点后一位。</w:t>
      </w:r>
    </w:p>
    <w:p w14:paraId="1BB1C5CA">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老人信息导出功能</w:t>
      </w:r>
    </w:p>
    <w:p w14:paraId="076A6EF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具备导出功能可根据勾选信息，按字段进行清单导出。</w:t>
      </w:r>
    </w:p>
    <w:p w14:paraId="53F97D8D">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老人信息导出提醒</w:t>
      </w:r>
    </w:p>
    <w:p w14:paraId="71547E8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系统老人信息导出功能提供弹窗提醒功能，提醒工作人员需要对上月老人信息进行导出。若在节假日，系统自动延后至工作日进行导出提醒。</w:t>
      </w:r>
    </w:p>
    <w:p w14:paraId="5BDC9708">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老人隐私信息遮挡功能</w:t>
      </w:r>
    </w:p>
    <w:p w14:paraId="3A30B60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清单内敏感信息（身份证号等）通过“*”进行部分遮盖，点击查看可显示详细老人档案，详细老人档案内数据无遮盖。</w:t>
      </w:r>
    </w:p>
    <w:p w14:paraId="760F8E44">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老人信息管理</w:t>
      </w:r>
    </w:p>
    <w:p w14:paraId="602F2AB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社区、街道、民政用户可通过点击详细老人档案，对可能变更的信息进行修改，居住地（省市县区、街道、社区为选框）、手机号码、子女联系方式等。</w:t>
      </w:r>
    </w:p>
    <w:p w14:paraId="2D123307">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操作记录留痕</w:t>
      </w:r>
    </w:p>
    <w:p w14:paraId="74B19A4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对老人信息调整工作，进行操作留档，记录操作时间、操作人、审批人等信息，并且记录操作及审批IP地址，防止冒名顶替操作。</w:t>
      </w:r>
    </w:p>
    <w:p w14:paraId="3428711B">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户籍调动街道变更管理</w:t>
      </w:r>
    </w:p>
    <w:p w14:paraId="4F2EA408">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申请信息</w:t>
      </w:r>
    </w:p>
    <w:p w14:paraId="0291712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显示本街道通过或未通过的申请信息，主要包含显示申请信息、申请状态、时间节点。街道、民政用户具备查看权限。</w:t>
      </w:r>
    </w:p>
    <w:p w14:paraId="3474DD10">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审批信息</w:t>
      </w:r>
    </w:p>
    <w:p w14:paraId="3E5C2EA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显示本街道接收变更申请，进行变更审批或已完成变更审批的信息。街道、民政用户具备查看权限。</w:t>
      </w:r>
    </w:p>
    <w:p w14:paraId="62FBD7E4">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变更申请审批管理</w:t>
      </w:r>
    </w:p>
    <w:p w14:paraId="290008F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老人户籍调动后由原社区所对应原街道进行新增变更申请。目标街道核对实际情况可通过或退回审批并填写退回原因，审批退回后原社区可修改审批信息并重新提交变更申请，在审批完成前原社区可删除变更申请。目标街道具有一键审批功能，能有效提高审批效率。</w:t>
      </w:r>
    </w:p>
    <w:p w14:paraId="2FFE6839">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高龄老人档案</w:t>
      </w:r>
    </w:p>
    <w:p w14:paraId="4FFD4E52">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全区高龄老人信息</w:t>
      </w:r>
    </w:p>
    <w:p w14:paraId="0B3D501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通过全区老人数据筛选年龄符合高龄的老人来展示高龄老人信息，显示老人姓名、身份证号、年龄、所在街道、所在社区、津贴金额等信息。</w:t>
      </w:r>
    </w:p>
    <w:p w14:paraId="60E66E7C">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信息筛选查询</w:t>
      </w:r>
    </w:p>
    <w:p w14:paraId="7CBAAD2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可通过多种条件（姓名、身份证号、电话号码、年龄范围、津贴金额等）实现老人信息的筛选、查询和统计功能。</w:t>
      </w:r>
    </w:p>
    <w:p w14:paraId="12D69CB5">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信息导出</w:t>
      </w:r>
    </w:p>
    <w:p w14:paraId="2D28621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导出功能可根据勾选信息，按字段进行清单导出。社区、街道、民政用户具有新增老人信息权限。</w:t>
      </w:r>
    </w:p>
    <w:p w14:paraId="436AA314">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本月高龄老人新增清单</w:t>
      </w:r>
    </w:p>
    <w:p w14:paraId="46B154F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通过预设值直接筛选出全区老人数据的年龄与出生日期月份筛选出本月新增的高龄老人列表，并根据津贴申请状态显示是否已进行津贴申请。</w:t>
      </w:r>
    </w:p>
    <w:p w14:paraId="1FCFDA2F">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百岁老人档案</w:t>
      </w:r>
    </w:p>
    <w:p w14:paraId="093DF2B2">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全区百岁老人信息</w:t>
      </w:r>
    </w:p>
    <w:p w14:paraId="01FB334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通过预设值直接筛选出全区老人数据筛选年龄符合百岁老人（年龄为99岁及以上）的老人信息进行展示，显示老人姓名、身份证号、年龄、所在街道、所在社区、津贴金额等信息。</w:t>
      </w:r>
    </w:p>
    <w:p w14:paraId="1BF9D60D">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信息筛选查询</w:t>
      </w:r>
    </w:p>
    <w:p w14:paraId="7144714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可通过多种条件（姓名、身份证号、电话号码、年龄范围、津贴金额等）实现老人信息的筛选、查询和统计功能。</w:t>
      </w:r>
    </w:p>
    <w:p w14:paraId="34098059">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信息导出</w:t>
      </w:r>
    </w:p>
    <w:p w14:paraId="7111787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导出功能可根据勾选信息，按字段进行清单导出。社区、街道、民政用户具有新增老人信息权限。</w:t>
      </w:r>
    </w:p>
    <w:p w14:paraId="021E31E6">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本月百岁老人新增清单</w:t>
      </w:r>
    </w:p>
    <w:p w14:paraId="1EBE033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通过预设值直接筛选出全区老人数据的年龄与出生日期月份筛选出本月新增的高龄老人列表。</w:t>
      </w:r>
    </w:p>
    <w:p w14:paraId="1EC4850B">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鄞州区服务的海曙户籍老人档案</w:t>
      </w:r>
    </w:p>
    <w:p w14:paraId="3D4204E1">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全区百岁老人信息</w:t>
      </w:r>
    </w:p>
    <w:p w14:paraId="4FA4E18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通过对接鄞州区养老服务平台可以显示在鄞州区接受服务的海曙户籍老人姓名、身份证号、年龄、所在街道、所在社区、补贴信息。</w:t>
      </w:r>
    </w:p>
    <w:p w14:paraId="1E9AA437">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信息筛选查询</w:t>
      </w:r>
    </w:p>
    <w:p w14:paraId="4E7C75C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可通过多种条件（姓名、身份证号、电话号码、年龄范围、补贴信息等）实现老人信息的筛选、查询和统计功能，</w:t>
      </w:r>
    </w:p>
    <w:p w14:paraId="3002C054">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信息导出</w:t>
      </w:r>
    </w:p>
    <w:p w14:paraId="2B3E2B7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导出功能可根据勾选信息，按字段进行清单导出。社区、街道、民政用户具有新增老人信息权限。</w:t>
      </w:r>
    </w:p>
    <w:p w14:paraId="3BC0AFED">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新增清单</w:t>
      </w:r>
    </w:p>
    <w:p w14:paraId="25FF475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通过预设值直接筛选出全区老人数据的年龄与出生日期月份筛选出本月新增的高龄老人列表。</w:t>
      </w:r>
    </w:p>
    <w:p w14:paraId="374D4357">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居家上门服务管理</w:t>
      </w:r>
    </w:p>
    <w:p w14:paraId="61E7AEDD">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本月新增老人清单</w:t>
      </w:r>
    </w:p>
    <w:p w14:paraId="58044286">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新增老人信息清单展示</w:t>
      </w:r>
    </w:p>
    <w:p w14:paraId="7BABB57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仅展示本月新增补贴服务老人信息清单，展示老人姓名、身份证号、年龄等信息，并可通过多种条件（姓名、身份证号等）实现老人信息的筛选、查询和统计功能。导出功能可根据勾选信息，按字段进行清单导出。</w:t>
      </w:r>
    </w:p>
    <w:p w14:paraId="3192D608">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本月服务变动老人清单</w:t>
      </w:r>
    </w:p>
    <w:p w14:paraId="600E9D7A">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服务变动老人清单展示</w:t>
      </w:r>
    </w:p>
    <w:p w14:paraId="1301CED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展示本月服务变动的老人，默认显示老人姓名、身份证号、年龄、服务变动情况、变动时间、确认情况等，工作人员可通过点击确认完成本月服务变动老人确认工作，同时可通过多种条件（姓名、身份证号、补贴类型、服务完成情况等）实现老人信息的筛选、查询和统计功能。</w:t>
      </w:r>
    </w:p>
    <w:p w14:paraId="2961A4D2">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本月服务老人清单</w:t>
      </w:r>
    </w:p>
    <w:p w14:paraId="6BA188F0">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本月服务老人清单展示</w:t>
      </w:r>
    </w:p>
    <w:p w14:paraId="08A6076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仅展示本月服务老人清单，默认显示老人姓名、身份证号、年龄、服务情况、补贴时长、服务时间等，服务时间包含已服务时间和剩余服务时间，通过对应老人的服务记录和补贴时长自动判断生成并以进度图形方式展现。</w:t>
      </w:r>
    </w:p>
    <w:p w14:paraId="509FE63D">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黑名单管理</w:t>
      </w:r>
    </w:p>
    <w:p w14:paraId="7F608F6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通过全区老人信息每日更新数据对比将因户籍、死亡、补贴冲突而不符合补贴申请的老人清单进行显示，并按照新加入名单的顺序进行排列，包含以下几种情况：</w:t>
      </w:r>
    </w:p>
    <w:p w14:paraId="21CC4C8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老人户籍变动导致户籍地信息变动，如果已经通过补贴申请，补贴状态是正常的，那么进行异常工单提醒。</w:t>
      </w:r>
    </w:p>
    <w:p w14:paraId="22EB3A4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老人信息更新为死亡，如果已经通过补贴申请，补贴状态是正常的，那么进行异常工单提醒。</w:t>
      </w:r>
    </w:p>
    <w:p w14:paraId="57D8668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老人申请了其他补助（长护/残疾人护理补助等），如果已经通过补贴申请，补贴状态是正常的，那么进行异常工单提醒。</w:t>
      </w:r>
    </w:p>
    <w:p w14:paraId="28F3B03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养老院老人，如果已经通过补贴申请，补贴状态是正常的，那么进行异常工单提醒。</w:t>
      </w:r>
    </w:p>
    <w:p w14:paraId="1066349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可基于姓名、身份证号、黑名单原因进行检索、筛选，并可将清单和信息进行导出。</w:t>
      </w:r>
    </w:p>
    <w:p w14:paraId="1B1C7770">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补贴管理</w:t>
      </w:r>
    </w:p>
    <w:p w14:paraId="77DC8C44">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宁波市补贴申请</w:t>
      </w:r>
    </w:p>
    <w:p w14:paraId="5968380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宁波市补贴申请审批分为新增补贴申请审批和补贴变动申请审批。</w:t>
      </w:r>
    </w:p>
    <w:p w14:paraId="32E42B91">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新增补贴申请</w:t>
      </w:r>
    </w:p>
    <w:p w14:paraId="1F327C6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社区申请信息</w:t>
      </w:r>
    </w:p>
    <w:p w14:paraId="0EAB9F5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显示本社区提交的申请信息，主要包含显示申请信息、申请状态、时间节点。支持信息查询和导出。</w:t>
      </w:r>
    </w:p>
    <w:p w14:paraId="1A26AE8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街道审批信息</w:t>
      </w:r>
    </w:p>
    <w:p w14:paraId="19A6FE9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显示本街道接收的申请信息，进行审批或已完成变更审批的信息。支持信息查询和导出。</w:t>
      </w:r>
    </w:p>
    <w:p w14:paraId="37E3176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民政审批信息</w:t>
      </w:r>
    </w:p>
    <w:p w14:paraId="730857C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显示民政接收变更申请，进行变更审批或已完成变更审批的信息。支持信息支持查询和导出。</w:t>
      </w:r>
    </w:p>
    <w:p w14:paraId="4BE84933">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补贴变动申请</w:t>
      </w:r>
    </w:p>
    <w:p w14:paraId="298347F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变动申请基于老人服务需求暂停/恢复/注销服务，由社区发起填写补贴变更的老人信息、变更情况后流转到街道进行审批，街道可查看申请信息并通过或退回该审批，也可一键通过所有审批。街道审批完成后将由海曙民政局进行二次审批，海曙民政局对信息进行审核后可通过或退回申请至社区，也可一键通过所有审批。申请审批信息支持查询和导出。</w:t>
      </w:r>
    </w:p>
    <w:p w14:paraId="7B8D0F7A">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海曙区补贴申请</w:t>
      </w:r>
    </w:p>
    <w:p w14:paraId="746A418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海曙区补贴申请审批分为新增补贴申请审批和补贴变动申请审批。</w:t>
      </w:r>
    </w:p>
    <w:p w14:paraId="36406AE9">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新增补贴申请</w:t>
      </w:r>
    </w:p>
    <w:p w14:paraId="3CA6AD2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社区申请信息</w:t>
      </w:r>
    </w:p>
    <w:p w14:paraId="04CD016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显示本社区提交的申请信息，主要包含显示申请信息、申请状态、时间节点。支持信息查询和导出。</w:t>
      </w:r>
    </w:p>
    <w:p w14:paraId="63C1011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街道审批信息</w:t>
      </w:r>
    </w:p>
    <w:p w14:paraId="366CDF4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显示本街道接收的申请信息，进行审批或已完成变更审批的信息，并支持信息查询和导出。</w:t>
      </w:r>
    </w:p>
    <w:p w14:paraId="23F2E45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行政审批信息</w:t>
      </w:r>
    </w:p>
    <w:p w14:paraId="3447C88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显示民政接收变更申请，进行变更审批或已完成变更审批的信息。支持信息支持查询和导出。</w:t>
      </w:r>
    </w:p>
    <w:p w14:paraId="7B09DBEE">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补贴变动申请</w:t>
      </w:r>
    </w:p>
    <w:p w14:paraId="287D111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变动申请基于老人服务需求暂停/恢复/注销服务，由社区发起填写补贴状态变更的老人信息、变更情况后流转到街道进行审批，街道可查看申请信息并通过或退回该审批，也可一键通过所有审批。街道审批完成后将由海曙民政局进行二次审批，海曙民政局对信息进行审核后可通过或退回申请至社区，也可一键通过所有审批。申请审批信息支持查询和导出。</w:t>
      </w:r>
    </w:p>
    <w:p w14:paraId="3650A0DB">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市区补贴变更申请</w:t>
      </w:r>
    </w:p>
    <w:p w14:paraId="43888F7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因市区补贴存在互斥关系，不能同时享受市级补贴与区级补贴，为方便老人进行市区补贴变更，而无需通过补贴注销后重新申请，市区补贴变更申请完成后系统取消现有市区补贴并添加变更后市区补贴。</w:t>
      </w:r>
    </w:p>
    <w:p w14:paraId="6445E9A0">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社区申请信息</w:t>
      </w:r>
    </w:p>
    <w:p w14:paraId="029C5EF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显示本社区提交的申请信息，主要包含显示申请信息、申请状态、时间节点。支持信息查询和导出。</w:t>
      </w:r>
    </w:p>
    <w:p w14:paraId="4CD978FC">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街道审批信息</w:t>
      </w:r>
    </w:p>
    <w:p w14:paraId="13A9EBE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显示本街道接收的申请信息，进行审批或已完成变更审批的信息，并支持信息查询和导出。</w:t>
      </w:r>
    </w:p>
    <w:p w14:paraId="146FCC03">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行政审批信息</w:t>
      </w:r>
    </w:p>
    <w:p w14:paraId="545C970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显示民政接收变更申请，进行变更审批或已完成变更审批的信息。支持信息支持查询和导出。</w:t>
      </w:r>
    </w:p>
    <w:p w14:paraId="686AA957">
      <w:pPr>
        <w:keepNext/>
        <w:keepLines/>
        <w:pageBreakBefore w:val="0"/>
        <w:widowControl w:val="0"/>
        <w:numPr>
          <w:ilvl w:val="8"/>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583" w:hanging="1583" w:firstLineChars="0"/>
        <w:jc w:val="both"/>
        <w:textAlignment w:val="auto"/>
        <w:outlineLvl w:val="8"/>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市区补贴变更申请审批管理</w:t>
      </w:r>
    </w:p>
    <w:p w14:paraId="3E1F125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市区补贴变更申请由社区发起，社区填写需要变更的老人信息、上传相应证明材料、原补贴层级（市/区、档位）、目标补贴层级（市/区、档位）提交时由系统进行数据校验，对以下3种情况进行自动提醒可返回修改或继续提交：</w:t>
      </w:r>
    </w:p>
    <w:p w14:paraId="05F903E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经全区老人档案校验，填写信息错误的。</w:t>
      </w:r>
    </w:p>
    <w:p w14:paraId="2608D44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申请层级的补贴状态与现补贴状态一致。</w:t>
      </w:r>
    </w:p>
    <w:p w14:paraId="15CA93D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申请提交后流转到街道进行审批，街道可查看、修改申请信息并通过或退回至上一级节点。</w:t>
      </w:r>
    </w:p>
    <w:p w14:paraId="16B7DA4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街道审批完成后将由海曙民政局进行二次审批，海曙民政局对信息进行审核后可通过或退回申请至上一级节点。</w:t>
      </w:r>
    </w:p>
    <w:p w14:paraId="4137B957">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服务商管理</w:t>
      </w:r>
    </w:p>
    <w:p w14:paraId="63CFF642">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服务商信息管理</w:t>
      </w:r>
    </w:p>
    <w:p w14:paraId="18E7BD7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分条显示现有服务商基本信息并对各服务商服务老人数量和本月服务数据进行统计展示，民政用户可新增、删除服务商，实现对服务商账号管理，并对服务商账号落实限制。</w:t>
      </w:r>
    </w:p>
    <w:p w14:paraId="640F6C6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服务商用户在服务商端进行操作。</w:t>
      </w:r>
    </w:p>
    <w:p w14:paraId="456650F6">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服务商信息录入</w:t>
      </w:r>
    </w:p>
    <w:p w14:paraId="3223DB3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服务商信息由技术人员添加，服务员数据由服务员自行录入。</w:t>
      </w:r>
    </w:p>
    <w:p w14:paraId="7B84541F">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服务员管理</w:t>
      </w:r>
    </w:p>
    <w:p w14:paraId="561E4B1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民政、社区、街道可查看服务商服务员信息。通过选择框切换服务商并分条显示对应服务商的服务员信息，并对服务员服务记录数量、服务时长进行统计展示。</w:t>
      </w:r>
    </w:p>
    <w:p w14:paraId="537C6BFE">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上门服务记录管理</w:t>
      </w:r>
    </w:p>
    <w:p w14:paraId="1BEC5371">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服务记录</w:t>
      </w:r>
    </w:p>
    <w:p w14:paraId="7DDA905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服务员端完成服务后系统自动生成服务记录，服务记录数据在本模块分条显示现有服务记录数据，支持勾选服务机构对服务记录数量统计、查询和服务记录底账导出。</w:t>
      </w:r>
    </w:p>
    <w:p w14:paraId="79FE835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时间异常（超过当晚24点或时长超过8小时）、服务老人状态异常（服务时间在老人死亡时间之后的）以红色标记置顶显示，由民政用户确认异常信息，确认后的记录取消置顶。为服务信息录入错误的由民政用户修改服务信息并标记为正常或删除服务记录，确认为正常的由民政用户修改服务记录状态为正常。</w:t>
      </w:r>
    </w:p>
    <w:p w14:paraId="7756DA8F">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服务统计分析</w:t>
      </w:r>
    </w:p>
    <w:p w14:paraId="5BCDFF3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分条显示现有服务记录数据，支持勾选服务机构对服务记录数量统计、查询和导出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并支持单月或多月合并导出。民政用户可通过一键封账功能在结账日时，禁止服务商对上月服务数据进行补录。</w:t>
      </w:r>
    </w:p>
    <w:p w14:paraId="3470DF0A">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服务回访</w:t>
      </w:r>
    </w:p>
    <w:p w14:paraId="594D97E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服务记录内同时包含服务回访管理分为服务商回访和民政/社区/街道回访的评分信息。</w:t>
      </w:r>
    </w:p>
    <w:p w14:paraId="5404590D">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居家养老管理</w:t>
      </w:r>
    </w:p>
    <w:p w14:paraId="0D779894">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居家养老服务中心管理</w:t>
      </w:r>
    </w:p>
    <w:p w14:paraId="2B5D072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分条显示现有居家养老服务中心基本信息，民政用户可新增、删除居家养老服务中心，居家养老服务中心用户可修改本中心的基本信息。</w:t>
      </w:r>
    </w:p>
    <w:p w14:paraId="00CD1B54">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居家养老服务单位信息录入</w:t>
      </w:r>
    </w:p>
    <w:p w14:paraId="7217F89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乡镇街道可手动录入服务中心和服务站点等居家养老服务单位。</w:t>
      </w:r>
    </w:p>
    <w:p w14:paraId="56C5D687">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工作人员信息管理</w:t>
      </w:r>
    </w:p>
    <w:p w14:paraId="4D1B87A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民政、村社区、乡镇街道、居家养老服务中心可查看本中心工作人员信息。通过选择框切换居家养老服务单位并分条显示该中心工作人员基本信息，居家养老服务单位用户可新增、删除、修改本居家养老服务中心工作人员信息。</w:t>
      </w:r>
    </w:p>
    <w:p w14:paraId="74CF9988">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活动信息管理</w:t>
      </w:r>
    </w:p>
    <w:p w14:paraId="44BEA86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居家养老服务单位可将单位的活动信息进行上传、删除、修改，支持信息查询和导出。</w:t>
      </w:r>
    </w:p>
    <w:p w14:paraId="169ABA49">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居家养老一键巡检</w:t>
      </w:r>
    </w:p>
    <w:p w14:paraId="63DB9D4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通过对接各个居家养老机构监控实现远程监控调取。民政用户通过点击该模块查看所有居家养老机构单位监控图像，并可根据居家养老机构单位名称进行监控点位筛选。</w:t>
      </w:r>
    </w:p>
    <w:p w14:paraId="57B82850">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养老机构管理</w:t>
      </w:r>
    </w:p>
    <w:p w14:paraId="2EF9E54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养老机构管理主要包括养老机构信息管理、养老机构老人信息管理、养老机构特困人员资金使用情况管理、养老机构一键巡检。</w:t>
      </w:r>
    </w:p>
    <w:p w14:paraId="219B9FEB">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养老机构信息管理</w:t>
      </w:r>
    </w:p>
    <w:p w14:paraId="28AFBA2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分条显示现有养老机构基本信息并对各养老机构老人数量和户籍地为海曙区的数据进行统计展示，民政用户可新增、删除养老机构，养老机构用户可修改本机构的基本信息。</w:t>
      </w:r>
    </w:p>
    <w:p w14:paraId="29E7CCE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养老机构信息由“浙里康养”养老机构信息经数据清洗保留宁波市的养老机构数据。</w:t>
      </w:r>
    </w:p>
    <w:p w14:paraId="4252D2CA">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养老机构老人信息管理</w:t>
      </w:r>
    </w:p>
    <w:p w14:paraId="2675308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民政、村社区、乡镇街道、养老机构可查看本机构老人信息。通过选择框切换养老机构并分条显示对应机构内的老人信息，经数据对比标记低保、低边、特困老人并打上标签，</w:t>
      </w:r>
    </w:p>
    <w:p w14:paraId="120AD77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养老机构人员信息由“浙里康养”养老机构老年人信息经数据清洗保留户籍为海曙区的老人数据，支持养老机构用户可新增、修改、删除本机构老人信息。</w:t>
      </w:r>
    </w:p>
    <w:p w14:paraId="0AC01798">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养老机构特困人员资金使用情况管理</w:t>
      </w:r>
    </w:p>
    <w:p w14:paraId="173EDCF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.建立养老机构特困人员资金账户管理，设定每月资金使用额度。养老机构进行实行资金使用登记，按次填写资金使用人、资金使用数额、资金使用说明、证明材料（可选）作为资金使用记录。</w:t>
      </w:r>
    </w:p>
    <w:p w14:paraId="6862636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2.养老机构、民政可以通过清单列表查看该机构特困人员该月已使用资金、剩余资金额、资金使用记录，支持对单个老人、养老机构所有老人、全区老人的资金使用情况进行统计和导出。</w:t>
      </w:r>
    </w:p>
    <w:p w14:paraId="31604B21">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养老机构一键巡检</w:t>
      </w:r>
    </w:p>
    <w:p w14:paraId="70A0FFD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通过对接各个养老机构监控实现远程监控调取。民政用户通过点击该模块查看所有养老机构监控图像，并可根据养老机构单位名称进行监控点位筛选。</w:t>
      </w:r>
    </w:p>
    <w:p w14:paraId="65795DBE">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养老机构低保老人服务补贴管理</w:t>
      </w:r>
    </w:p>
    <w:p w14:paraId="46EA043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居住在养老机构的低保老人，需要由社区、街道用户完成养老机构低保老人服务补贴信息填报，经数据比对，确认服务补贴是否正常。</w:t>
      </w:r>
    </w:p>
    <w:p w14:paraId="380EC0F6">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养老机构低保老人服务补贴信息上传</w:t>
      </w:r>
    </w:p>
    <w:p w14:paraId="6277739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由社区、街道用户通过补贴信息上传，将信息及盖章后的表单作为附件进行上传。</w:t>
      </w:r>
    </w:p>
    <w:p w14:paraId="3AA76EF9">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养老机构低保老人服务补贴信息统计</w:t>
      </w:r>
    </w:p>
    <w:p w14:paraId="4FBDFDB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民政用户可查看本月养老机构低保老人服务补贴情况和补贴发放预计。</w:t>
      </w:r>
    </w:p>
    <w:p w14:paraId="7068571E">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养老机构低保老人服务补贴信息异常清单</w:t>
      </w:r>
    </w:p>
    <w:p w14:paraId="716A56D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经信息数据对比，填报信息中的老人未在对应养老机构老人名单中将列入异常清单，并需要社区、街道进行二次确认。</w:t>
      </w:r>
    </w:p>
    <w:p w14:paraId="70F61F81">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高龄老人津贴发放管理</w:t>
      </w:r>
    </w:p>
    <w:p w14:paraId="74F9BCB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高龄老人津贴发放管理包括高龄老人、百岁老人专栏、津贴发放申请审批、津贴发放查询、对应社区街道变化确认模块。</w:t>
      </w:r>
    </w:p>
    <w:p w14:paraId="6313AA1D">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津贴发放申请审批</w:t>
      </w:r>
    </w:p>
    <w:p w14:paraId="4BA278B2">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社区核查</w:t>
      </w:r>
    </w:p>
    <w:p w14:paraId="1E8BB62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由社区对根据本月高龄老人新增清单进行核查，确认老人津贴申领对应银行账户信息、电话号码、户籍地址等。</w:t>
      </w:r>
    </w:p>
    <w:p w14:paraId="7275E664">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津贴敏感信息遮盖</w:t>
      </w:r>
    </w:p>
    <w:p w14:paraId="726AA58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新增老人需要填写银行卡账号或社保账号等账号。例如身份证号、银行卡账号、联系方式等，需要对数据进行*掩盖，但相关权限人员可以查看相关信息。</w:t>
      </w:r>
    </w:p>
    <w:p w14:paraId="7458A18B">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发放提醒</w:t>
      </w:r>
    </w:p>
    <w:p w14:paraId="69B994B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对相关人员的津贴发放时间进行标注，例如一般人员为次月发放，百岁老人为当月发放。</w:t>
      </w:r>
    </w:p>
    <w:p w14:paraId="5A409BBB">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街道审批</w:t>
      </w:r>
    </w:p>
    <w:p w14:paraId="0E60035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社区审查完成后流转到街道进行审批，街道可查看、修改社区已核查和未核查的信息，对核查过的信息可确认通过或退回至上一级节点。</w:t>
      </w:r>
    </w:p>
    <w:p w14:paraId="78D0A85A">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区审批</w:t>
      </w:r>
    </w:p>
    <w:p w14:paraId="3F2FD75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街道审批完成后将由海曙民政局进行二次审批，该街道可查看、修改社区已核查和未核查的信息，对核查过的信息可通过或退回申请至上一级节点。</w:t>
      </w:r>
    </w:p>
    <w:p w14:paraId="49B8AB03">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津贴发放查询</w:t>
      </w:r>
    </w:p>
    <w:p w14:paraId="0C25448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主要可针对申请人员进行发放数据查询、针对历史发放情况统计进行查询。</w:t>
      </w:r>
    </w:p>
    <w:p w14:paraId="563F5675">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申请人员发放数据查询</w:t>
      </w:r>
    </w:p>
    <w:p w14:paraId="3120992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通过人员姓名和身份证号进行检索查询，列出发放记录。</w:t>
      </w:r>
    </w:p>
    <w:p w14:paraId="1008C6CF">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历史发放进行数据查询</w:t>
      </w:r>
    </w:p>
    <w:p w14:paraId="137CD00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通过对历史时间进行检索查询，列出发放统计信息。</w:t>
      </w:r>
    </w:p>
    <w:p w14:paraId="7237926D">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本月应发统计</w:t>
      </w:r>
    </w:p>
    <w:p w14:paraId="2B61177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基于老人信息中的津贴金额和所在街道自动汇总计算月度津贴发放金额，支持选择预测发放年月。</w:t>
      </w:r>
    </w:p>
    <w:p w14:paraId="08423768">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对应社区街道变化确认</w:t>
      </w:r>
    </w:p>
    <w:p w14:paraId="13F445A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老人户籍调动导致的社区、街道自动匹配变化和信息展示。社区和街道能了解本社区和本街道内新增/减少人员信息。同时在进行津贴发放统计时将根据变化后的归属街道进行变化。与户籍调动街道变更管理一致。</w:t>
      </w:r>
    </w:p>
    <w:p w14:paraId="513B1455">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规则库管理</w:t>
      </w:r>
    </w:p>
    <w:p w14:paraId="4C0736C4">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规则调整</w:t>
      </w:r>
    </w:p>
    <w:p w14:paraId="04D0F97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因政策变化可能导致本系统内部分规则需进行调整，为方便维护可通过规则库管理对规则参数进行修改，主要包括宁波市补贴档位自动匹配规则、海曙区补贴档位自动匹配规则、津贴数额规则等。</w:t>
      </w:r>
    </w:p>
    <w:p w14:paraId="645F9BB2">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宁波市补贴档位自动匹配规则</w:t>
      </w:r>
    </w:p>
    <w:p w14:paraId="2C401A0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通过调整可新增、修改或删除申请宁波市补贴时对应档位所需的政策条件及参数。</w:t>
      </w:r>
    </w:p>
    <w:p w14:paraId="73B61BC2">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海曙区补贴档位自动匹配规则</w:t>
      </w:r>
    </w:p>
    <w:p w14:paraId="31286EA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通过调整可新增、修改或删除申请海曙补贴时对应档位所需的政策条件及参数。</w:t>
      </w:r>
    </w:p>
    <w:p w14:paraId="07A6A898">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回访评价指标规则</w:t>
      </w:r>
    </w:p>
    <w:p w14:paraId="4AB1E33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通过调整可新增、修改或删除服务商的评价考核指标参数。</w:t>
      </w:r>
    </w:p>
    <w:p w14:paraId="6D897264">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服务商端</w:t>
      </w:r>
    </w:p>
    <w:p w14:paraId="1609321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服务商端为PC端依托浙里办平台，主要面向居家养老中心、养老机构、养老服务单位相关工作人员，通过服务商端平台能够实现养老服务单位基本信息管理、老人管理、服务员管理、居家上门服务管理等功能。</w:t>
      </w:r>
    </w:p>
    <w:p w14:paraId="6C98005E">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服务商基本信息</w:t>
      </w:r>
    </w:p>
    <w:p w14:paraId="1ECACDE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服务商可通过服务商基本信息填报按钮进行本单位的基本信息内容的填报和修改。</w:t>
      </w:r>
    </w:p>
    <w:p w14:paraId="6CB4DA8F">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服务老人管理</w:t>
      </w:r>
    </w:p>
    <w:p w14:paraId="594E9C9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包含本月新增老人清单、本月服务变动老人、本月服务老人清单、宁波市补贴信息、海曙区补贴信息。</w:t>
      </w:r>
    </w:p>
    <w:p w14:paraId="7D234C97">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服务员管理</w:t>
      </w:r>
    </w:p>
    <w:p w14:paraId="0BAE25CF">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服务员列表</w:t>
      </w:r>
    </w:p>
    <w:p w14:paraId="0761B52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服务商可以通过服务员列表查看服务员信息和服务完成情况。</w:t>
      </w:r>
    </w:p>
    <w:p w14:paraId="6166E6EE">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服务员账户管理</w:t>
      </w:r>
    </w:p>
    <w:p w14:paraId="32EAE21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服务商可通过导入可批量录入服务员信息，并对服务员实现账户管理和信息修改。</w:t>
      </w:r>
    </w:p>
    <w:p w14:paraId="27C2923E">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居家上门服务管理</w:t>
      </w:r>
    </w:p>
    <w:p w14:paraId="71E42B62">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上门服务记录</w:t>
      </w:r>
    </w:p>
    <w:p w14:paraId="1D2A72F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显示服务商下属服务人员的上门服务记录信息，服务商可查询或导出相应服务记录。</w:t>
      </w:r>
    </w:p>
    <w:p w14:paraId="67E47C13">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服务记录补录</w:t>
      </w:r>
    </w:p>
    <w:p w14:paraId="2F01788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商具备在服务前未进行服务登记的，在民政用户开启补录权限的情况下可通过新增并提交服务补录，提交通过将记录写入服务记录中，补录权限关闭的情况下服务商仅可查看和导出，不允许新增、修改、删除补录。</w:t>
      </w:r>
    </w:p>
    <w:p w14:paraId="604DE30D">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服务汇总</w:t>
      </w:r>
    </w:p>
    <w:p w14:paraId="5E95DCED">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宁波市补贴服务</w:t>
      </w:r>
    </w:p>
    <w:p w14:paraId="2AD8BCE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服务商可查看、查询、导出属于宁波市政策补贴服务的服务记录信息，并对服务数量和服务时长进行数量汇总显示。</w:t>
      </w:r>
    </w:p>
    <w:p w14:paraId="4033EAD7">
      <w:pPr>
        <w:keepNext/>
        <w:keepLines/>
        <w:pageBreakBefore w:val="0"/>
        <w:widowControl w:val="0"/>
        <w:numPr>
          <w:ilvl w:val="7"/>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440" w:hanging="1440" w:firstLineChars="0"/>
        <w:jc w:val="both"/>
        <w:textAlignment w:val="auto"/>
        <w:outlineLvl w:val="7"/>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海曙区补贴服务</w:t>
      </w:r>
    </w:p>
    <w:p w14:paraId="112F774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服务商可查看、查询、导出属于海曙区政策补贴服务的服务记录信息，并对服务数量和服务时长进行数量汇总显示。</w:t>
      </w:r>
    </w:p>
    <w:p w14:paraId="7602D998">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服务员端</w:t>
      </w:r>
    </w:p>
    <w:p w14:paraId="509359A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服务员端为移动端依托于浙理办平台，主要面向服务商服务员，通过服务员端能够实现服务员登录、开始服务、服务记录、个人中心等功能。</w:t>
      </w:r>
    </w:p>
    <w:p w14:paraId="793BCC6C">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服务员登录</w:t>
      </w:r>
    </w:p>
    <w:p w14:paraId="3C00ED0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服务员通过账户绑定浙里办账户，实现可通过第三方扫码认证登录服务员端。</w:t>
      </w:r>
    </w:p>
    <w:p w14:paraId="2B4E38B5">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开始服务</w:t>
      </w:r>
    </w:p>
    <w:p w14:paraId="27C7DBC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员需在老人居住地定位50m范围内通过扫描老人二维码打开服务信息填写，需核对老人信息并填写相应服务类型和服务时长，同时，服务员需上传老人照片（正面或背影均可），确认服务老人情况。服务员服务完成后进行服务签退，将完成本次服务。</w:t>
      </w:r>
    </w:p>
    <w:p w14:paraId="38B4664C">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服务记录</w:t>
      </w:r>
    </w:p>
    <w:p w14:paraId="6662A9E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服务员可通过服务记录查看本人的服务记录，支持本人服务记录进行统计和信息导出。</w:t>
      </w:r>
    </w:p>
    <w:p w14:paraId="419BECE9">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个人中心</w:t>
      </w:r>
    </w:p>
    <w:p w14:paraId="1FC8472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服务员可查看和修改个人账户信息，支持账户登出。</w:t>
      </w:r>
    </w:p>
    <w:p w14:paraId="4108B2CB">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bookmarkStart w:id="81" w:name="_Toc109041915"/>
      <w:bookmarkStart w:id="82" w:name="_Toc28946"/>
      <w:r>
        <w:rPr>
          <w:rFonts w:hint="eastAsia" w:ascii="宋体" w:hAnsi="宋体" w:eastAsia="宋体" w:cs="宋体"/>
          <w:b/>
          <w:kern w:val="2"/>
          <w:sz w:val="24"/>
          <w:szCs w:val="24"/>
          <w:highlight w:val="none"/>
          <w:lang w:val="en-US" w:eastAsia="zh-CN" w:bidi="ar-SA"/>
        </w:rPr>
        <w:t>地名业务工作台</w:t>
      </w:r>
    </w:p>
    <w:p w14:paraId="1EBE606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在业务中台</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业务模块中配置的地名工作台，支持通过微服务架构在地名工作人员页面进行统一访问，包括浙江省区划地名信息管理系统、宁波市标准地名地址库应用（宁波市地名地址“一址通”）。</w:t>
      </w:r>
    </w:p>
    <w:p w14:paraId="2FB51BAD">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婚登业务工作台</w:t>
      </w:r>
    </w:p>
    <w:p w14:paraId="17D0CA2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在业务中台</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业务模块中配置的婚登工作台，支持通过微服务架构在婚登工作人员页面进行统一访问，包括浙江省婚姻登记管理信息系统。</w:t>
      </w:r>
    </w:p>
    <w:p w14:paraId="3B9E5172">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殡葬业务工作台</w:t>
      </w:r>
    </w:p>
    <w:p w14:paraId="2F90D45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在业务中台</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业务模块中配置的殡葬工作台，支持通过微服务架构在殡葬工作人员页面进行统一访问，包括浙江省民政厅殡葬管理信息系统、宁波市身后“一件事”联办系统。</w:t>
      </w:r>
    </w:p>
    <w:p w14:paraId="6B1252FD">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移民业务工作台</w:t>
      </w:r>
    </w:p>
    <w:p w14:paraId="09F0D39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在业务中台</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务模块中配置的移民工作台，支持通过微服务架构在移民工作人员页面进行统一访问，包括浙江省水库移民信息管理系统、浙江省移民后期扶持监测评估和绩效评价管理平台、浙江省福利彩票网点即开票管理信息系统。</w:t>
      </w:r>
    </w:p>
    <w:p w14:paraId="19E5E3F0">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数据底座</w:t>
      </w:r>
    </w:p>
    <w:p w14:paraId="05DBFEF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让数据更强大、让民政更智慧、让民生更殷实”的设计思路，打造海曙区民政数据底座，初步实现“全局一屏掌控、政令一键直达、执行一贯到底”。数据底座建设包括数据基础管理、数据应用管理、数据应用场景等多版块工作内容。</w:t>
      </w:r>
    </w:p>
    <w:p w14:paraId="700FF4BE">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数据应用场景</w:t>
      </w:r>
    </w:p>
    <w:p w14:paraId="74E73B4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据应用场景是数据底座功能的终端应用，也是社救、社会组织、养老、地名、婚登、殡葬、移民等不同科室工作人员访问数据底座时可直观查看和使用的数据信息。本模块是数据底座通过数据基础管理、数据应用管理而实现的对数据的聚合，从而最终形成的跨平台的标准化、集成化、标签化的价值数据信息。</w:t>
      </w:r>
    </w:p>
    <w:p w14:paraId="48115CF2">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社救数据应用</w:t>
      </w:r>
    </w:p>
    <w:p w14:paraId="1661D941">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社救应用主要实现2大功能，一是实现对社救数据的综合分析；二是对社救业务工作台使用过程中产生的待办数据在社救工作台进行综合展示。</w:t>
      </w:r>
    </w:p>
    <w:p w14:paraId="717099AC">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008" w:leftChars="0" w:hanging="1008"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平权发起待处理事件</w:t>
      </w:r>
    </w:p>
    <w:p w14:paraId="1F51C9D5">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显示当前待处理事件和数量并对新增待处理事件进行标记，并对设有期限的待处理事件显示剩余时间。</w:t>
      </w:r>
    </w:p>
    <w:p w14:paraId="05B11058">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720" w:leftChars="0" w:hanging="720"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平权发起提醒</w:t>
      </w:r>
    </w:p>
    <w:p w14:paraId="4DB3F56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通过浙政钉对接钉消息信息接口，可以发送</w:t>
      </w:r>
      <w:r>
        <w:rPr>
          <w:rFonts w:hint="eastAsia" w:ascii="宋体" w:hAnsi="宋体" w:eastAsia="宋体" w:cs="宋体"/>
          <w:sz w:val="24"/>
          <w:szCs w:val="24"/>
          <w:highlight w:val="none"/>
          <w:lang w:val="en-US" w:eastAsia="zh-CN"/>
        </w:rPr>
        <w:t>平权发起</w:t>
      </w:r>
      <w:r>
        <w:rPr>
          <w:rFonts w:hint="eastAsia" w:ascii="宋体" w:hAnsi="宋体" w:eastAsia="宋体" w:cs="宋体"/>
          <w:sz w:val="24"/>
          <w:szCs w:val="24"/>
          <w:highlight w:val="none"/>
        </w:rPr>
        <w:t>浙政钉消息通知</w:t>
      </w:r>
      <w:r>
        <w:rPr>
          <w:rFonts w:hint="eastAsia" w:ascii="宋体" w:hAnsi="宋体" w:eastAsia="宋体" w:cs="宋体"/>
          <w:sz w:val="24"/>
          <w:szCs w:val="24"/>
          <w:highlight w:val="none"/>
          <w:lang w:eastAsia="zh-CN"/>
        </w:rPr>
        <w:t>。</w:t>
      </w:r>
    </w:p>
    <w:p w14:paraId="3F3E453A">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008" w:leftChars="0" w:hanging="1008"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数据分析</w:t>
      </w:r>
    </w:p>
    <w:p w14:paraId="20AAEA15">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社救工作台数据分析包括平权分析、低保对象家庭收入分析、特困对象健康状态分析、边缘救助对象分析、临时救助对象分析、孤儿/困境儿童分析、留守儿童贫困分析等。</w:t>
      </w:r>
    </w:p>
    <w:p w14:paraId="2E87C0BF">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行政审批数据应用</w:t>
      </w:r>
    </w:p>
    <w:p w14:paraId="208B063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行政审批数据应用主要实现对当前海曙区待审批、已审批的社会组织业务进行综合数据展示，包括标准时间段</w:t>
      </w:r>
      <w:r>
        <w:rPr>
          <w:rFonts w:hint="eastAsia" w:ascii="宋体" w:hAnsi="宋体" w:cs="宋体"/>
          <w:sz w:val="24"/>
          <w:szCs w:val="24"/>
          <w:highlight w:val="none"/>
          <w:lang w:val="en-US" w:eastAsia="zh-CN"/>
        </w:rPr>
        <w:t>已</w:t>
      </w:r>
      <w:r>
        <w:rPr>
          <w:rFonts w:hint="eastAsia" w:ascii="宋体" w:hAnsi="宋体" w:eastAsia="宋体" w:cs="宋体"/>
          <w:sz w:val="24"/>
          <w:szCs w:val="24"/>
          <w:highlight w:val="none"/>
          <w:lang w:val="en-US" w:eastAsia="zh-CN"/>
        </w:rPr>
        <w:t>通过审批的社会组织数量（成立登记数量、变更登记数量、注销登记数量等）、未通过审批的社会组织数量、待通过审批的社会组织数量。</w:t>
      </w:r>
    </w:p>
    <w:p w14:paraId="04893416">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社会组织数据应用</w:t>
      </w:r>
    </w:p>
    <w:p w14:paraId="43D84626">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社会组织数据应用包括社会团体分析、民办非企业分析、基金会基本资助分析、慈善信托影响力分析等</w:t>
      </w:r>
      <w:r>
        <w:rPr>
          <w:rFonts w:hint="eastAsia" w:ascii="宋体" w:hAnsi="宋体" w:cs="宋体"/>
          <w:kern w:val="2"/>
          <w:sz w:val="24"/>
          <w:szCs w:val="24"/>
          <w:highlight w:val="none"/>
          <w:lang w:val="en-US" w:eastAsia="zh-CN" w:bidi="ar-SA"/>
        </w:rPr>
        <w:t>。</w:t>
      </w:r>
    </w:p>
    <w:p w14:paraId="6F4FBBBD">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养老数据应用</w:t>
      </w:r>
    </w:p>
    <w:p w14:paraId="56C0F8C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养老</w:t>
      </w:r>
      <w:r>
        <w:rPr>
          <w:rFonts w:hint="eastAsia" w:ascii="宋体" w:hAnsi="宋体" w:eastAsia="宋体" w:cs="宋体"/>
          <w:sz w:val="24"/>
          <w:szCs w:val="24"/>
          <w:highlight w:val="none"/>
        </w:rPr>
        <w:t>数据应用主要实现</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大功能，一是实现对</w:t>
      </w:r>
      <w:r>
        <w:rPr>
          <w:rFonts w:hint="eastAsia" w:ascii="宋体" w:hAnsi="宋体" w:eastAsia="宋体" w:cs="宋体"/>
          <w:sz w:val="24"/>
          <w:szCs w:val="24"/>
          <w:highlight w:val="none"/>
          <w:lang w:val="en-US" w:eastAsia="zh-CN"/>
        </w:rPr>
        <w:t>养老</w:t>
      </w:r>
      <w:r>
        <w:rPr>
          <w:rFonts w:hint="eastAsia" w:ascii="宋体" w:hAnsi="宋体" w:eastAsia="宋体" w:cs="宋体"/>
          <w:sz w:val="24"/>
          <w:szCs w:val="24"/>
          <w:highlight w:val="none"/>
        </w:rPr>
        <w:t>数据的综合分析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二是对智慧养老工作台业务系统使用过程中产生的预警和待办数据在养老工作台进行综合展示。</w:t>
      </w:r>
    </w:p>
    <w:p w14:paraId="3F9693C8">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008" w:leftChars="0" w:hanging="1008"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预警提醒</w:t>
      </w:r>
    </w:p>
    <w:p w14:paraId="0E7BE32B">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居家上门服务预警提醒</w:t>
      </w:r>
    </w:p>
    <w:p w14:paraId="132E9596">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预警提醒覆盖老人档案提醒、申请审批填报提醒、评估预警提醒、居家上门服务异常提醒。</w:t>
      </w:r>
    </w:p>
    <w:p w14:paraId="6E5AE71E">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养老机构管理预警提醒（特困人员资金使用数据异常提醒）</w:t>
      </w:r>
    </w:p>
    <w:p w14:paraId="6DFA1783">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对养老机构特困人员资金使用存在资金投入剩余数据、异常的数据进行提醒包括超额投入等。</w:t>
      </w:r>
    </w:p>
    <w:p w14:paraId="6AF8A46B">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高龄老人津贴发放预警提醒</w:t>
      </w:r>
    </w:p>
    <w:p w14:paraId="09261A21">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预警提醒包含应销未销数据提醒、当月新增老人提醒、高龄未申请老人提醒。</w:t>
      </w:r>
    </w:p>
    <w:p w14:paraId="6D193A66">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008" w:leftChars="0" w:hanging="1008"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待处理事件</w:t>
      </w:r>
    </w:p>
    <w:p w14:paraId="257C52B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显示居家上门服务、养老机构管理以及高龄老人津贴发放等模块的当前待处理事件和数量，并支持对新增待处理事件进行标记，并对设有期限的待处理事件显示剩余时间。</w:t>
      </w:r>
    </w:p>
    <w:p w14:paraId="5A2C7AF9">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008" w:leftChars="0" w:hanging="1008"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数据分析</w:t>
      </w:r>
    </w:p>
    <w:p w14:paraId="55565B40">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居家上门服务数据分析</w:t>
      </w:r>
    </w:p>
    <w:p w14:paraId="5C11AEB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呈现内容主要包含以下内容：</w:t>
      </w:r>
    </w:p>
    <w:p w14:paraId="6501F5D5">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服务总数量，可按照条件（补贴时长、服务商、时间段）进行筛选显示。</w:t>
      </w:r>
    </w:p>
    <w:p w14:paraId="1E6A8D01">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区域老人数量与对应服务数量，按照地理区域区块显示。</w:t>
      </w:r>
    </w:p>
    <w:p w14:paraId="3DE2BE13">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养老机构数据分析</w:t>
      </w:r>
    </w:p>
    <w:p w14:paraId="21987FA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呈现内容主要包含以下内容：</w:t>
      </w:r>
    </w:p>
    <w:p w14:paraId="059CF3C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海曙区养老机构总数量、养老机构床位数量、养老机构现有老人数量。养老机构名称按照地理区域位置显示。</w:t>
      </w:r>
    </w:p>
    <w:p w14:paraId="6A8E2E87">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高龄老人津贴数据分析</w:t>
      </w:r>
    </w:p>
    <w:p w14:paraId="2021C65F">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展示内容主要包含以下内容：</w:t>
      </w:r>
    </w:p>
    <w:p w14:paraId="35555544">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高龄老人数量统计：分别统计高龄老人、百岁老人和合计高龄老人数量。</w:t>
      </w:r>
    </w:p>
    <w:p w14:paraId="618B769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津贴发放情况：根据东西片区以地理区域区块方式显示津贴发放金额信息。</w:t>
      </w:r>
    </w:p>
    <w:p w14:paraId="4A78F8C2">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养老津贴发放提醒</w:t>
      </w:r>
    </w:p>
    <w:p w14:paraId="5BD191C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通过浙政钉对接钉消息信息接口，发送浙政钉消息通知</w:t>
      </w:r>
      <w:r>
        <w:rPr>
          <w:rFonts w:hint="eastAsia" w:ascii="宋体" w:hAnsi="宋体" w:eastAsia="宋体" w:cs="宋体"/>
          <w:sz w:val="24"/>
          <w:szCs w:val="24"/>
          <w:highlight w:val="none"/>
          <w:lang w:val="en-US" w:eastAsia="zh-CN"/>
        </w:rPr>
        <w:t>给相关用户</w:t>
      </w:r>
      <w:r>
        <w:rPr>
          <w:rFonts w:hint="eastAsia" w:ascii="宋体" w:hAnsi="宋体" w:cs="宋体"/>
          <w:sz w:val="24"/>
          <w:szCs w:val="24"/>
          <w:highlight w:val="none"/>
          <w:lang w:val="en-US" w:eastAsia="zh-CN"/>
        </w:rPr>
        <w:t>。</w:t>
      </w:r>
    </w:p>
    <w:p w14:paraId="632DCED6">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地名数据应用</w:t>
      </w:r>
    </w:p>
    <w:p w14:paraId="5F94F961">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strike w:val="0"/>
          <w:dstrike w:val="0"/>
          <w:kern w:val="2"/>
          <w:sz w:val="24"/>
          <w:szCs w:val="24"/>
          <w:highlight w:val="none"/>
          <w:lang w:val="en-US" w:eastAsia="zh-CN" w:bidi="ar-SA"/>
        </w:rPr>
      </w:pPr>
      <w:r>
        <w:rPr>
          <w:rFonts w:hint="eastAsia" w:ascii="宋体" w:hAnsi="宋体" w:eastAsia="宋体" w:cs="宋体"/>
          <w:strike w:val="0"/>
          <w:dstrike w:val="0"/>
          <w:kern w:val="2"/>
          <w:sz w:val="24"/>
          <w:szCs w:val="24"/>
          <w:highlight w:val="none"/>
          <w:lang w:val="en-US" w:eastAsia="zh-CN" w:bidi="ar-SA"/>
        </w:rPr>
        <w:t>地名数据应用支持在GIS地图上反映海曙区最新的行政区划信息，同时，支持以根据年份展示多年前海曙区行政区划调整和地名变化结果，可以为城市规划、资源管理、历史研究等提供全面的空间数据支持。</w:t>
      </w:r>
    </w:p>
    <w:p w14:paraId="34869595">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婚登数据应用</w:t>
      </w:r>
    </w:p>
    <w:p w14:paraId="4B2DB53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婚登工作台数据分析主要包括对结婚、再婚和离婚数据的分析。主要通过对婚姻登记信息、离婚登记业务信息、补发结婚证业务信息、补发离婚证业务信息、撤销婚姻登记业务信息、结婚登记业务信息、婚姻登记机构信息、中华人民共和国婚姻登记证（新国标含版式文件）等数据实现。</w:t>
      </w:r>
    </w:p>
    <w:p w14:paraId="12BCEA07">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殡葬数据应用</w:t>
      </w:r>
    </w:p>
    <w:p w14:paraId="6673BEB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lang w:val="en-US" w:eastAsia="zh-CN"/>
        </w:rPr>
        <w:t>殡葬</w:t>
      </w:r>
      <w:r>
        <w:rPr>
          <w:rFonts w:hint="eastAsia" w:ascii="宋体" w:hAnsi="宋体" w:eastAsia="宋体" w:cs="宋体"/>
          <w:sz w:val="24"/>
          <w:szCs w:val="24"/>
          <w:highlight w:val="none"/>
        </w:rPr>
        <w:t>数据应用主要实现对</w:t>
      </w:r>
      <w:r>
        <w:rPr>
          <w:rFonts w:hint="eastAsia" w:ascii="宋体" w:hAnsi="宋体" w:eastAsia="宋体" w:cs="宋体"/>
          <w:sz w:val="24"/>
          <w:szCs w:val="24"/>
          <w:highlight w:val="none"/>
          <w:lang w:val="en-US" w:eastAsia="zh-CN"/>
        </w:rPr>
        <w:t>殡葬</w:t>
      </w:r>
      <w:r>
        <w:rPr>
          <w:rFonts w:hint="eastAsia" w:ascii="宋体" w:hAnsi="宋体" w:eastAsia="宋体" w:cs="宋体"/>
          <w:sz w:val="24"/>
          <w:szCs w:val="24"/>
          <w:highlight w:val="none"/>
        </w:rPr>
        <w:t>数据的综合分析。</w:t>
      </w:r>
      <w:r>
        <w:rPr>
          <w:rFonts w:hint="eastAsia" w:ascii="宋体" w:hAnsi="宋体" w:eastAsia="宋体" w:cs="宋体"/>
          <w:color w:val="auto"/>
          <w:sz w:val="24"/>
          <w:szCs w:val="24"/>
          <w:highlight w:val="none"/>
          <w:lang w:val="en-US" w:eastAsia="zh-CN"/>
        </w:rPr>
        <w:t>展示海曙区的殡葬机构、火化人员、预约信息、火化炉等信息。</w:t>
      </w:r>
      <w:r>
        <w:rPr>
          <w:rFonts w:hint="eastAsia" w:ascii="宋体" w:hAnsi="宋体" w:eastAsia="宋体" w:cs="宋体"/>
          <w:b w:val="0"/>
          <w:bCs w:val="0"/>
          <w:color w:val="auto"/>
          <w:sz w:val="24"/>
          <w:szCs w:val="24"/>
          <w:highlight w:val="none"/>
          <w:lang w:val="en-US" w:eastAsia="zh-CN"/>
        </w:rPr>
        <w:t>采用描述性统计分析、交叉分析、对比分析等分析方法对殡葬数据进行分析。其中描述性统计分析可以帮助了解殡葬数据的基本情况，包括殡葬服务的数量、费用、满意度等；交叉分析可以揭示不同群体（不同年龄、性别、地区等）在殡葬服务使用上的差异；对比分析则可以比较不同地区、不同时间段的殡葬数据。</w:t>
      </w:r>
    </w:p>
    <w:p w14:paraId="2CC3F63B">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移民数据应用</w:t>
      </w:r>
    </w:p>
    <w:p w14:paraId="61D56D3B">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0" w:firstLineChars="200"/>
        <w:jc w:val="both"/>
        <w:textAlignment w:val="auto"/>
        <w:rPr>
          <w:rFonts w:hint="eastAsia" w:ascii="宋体" w:hAnsi="宋体" w:eastAsia="宋体" w:cs="宋体"/>
          <w:strike w:val="0"/>
          <w:dstrike w:val="0"/>
          <w:kern w:val="2"/>
          <w:sz w:val="24"/>
          <w:szCs w:val="24"/>
          <w:highlight w:val="none"/>
          <w:lang w:val="en-US" w:eastAsia="zh-CN" w:bidi="ar-SA"/>
        </w:rPr>
      </w:pPr>
      <w:r>
        <w:rPr>
          <w:rFonts w:hint="eastAsia" w:ascii="宋体" w:hAnsi="宋体" w:eastAsia="宋体" w:cs="宋体"/>
          <w:strike w:val="0"/>
          <w:dstrike w:val="0"/>
          <w:kern w:val="2"/>
          <w:sz w:val="24"/>
          <w:szCs w:val="24"/>
          <w:highlight w:val="none"/>
          <w:lang w:val="en-US" w:eastAsia="zh-CN" w:bidi="ar-SA"/>
        </w:rPr>
        <w:t>系统支持展示</w:t>
      </w:r>
      <w:r>
        <w:rPr>
          <w:rFonts w:hint="eastAsia" w:ascii="宋体" w:hAnsi="宋体" w:cs="宋体"/>
          <w:strike w:val="0"/>
          <w:dstrike w:val="0"/>
          <w:kern w:val="2"/>
          <w:sz w:val="24"/>
          <w:szCs w:val="24"/>
          <w:highlight w:val="none"/>
          <w:lang w:val="en-US" w:eastAsia="zh-CN" w:bidi="ar-SA"/>
        </w:rPr>
        <w:t>20</w:t>
      </w:r>
      <w:r>
        <w:rPr>
          <w:rFonts w:hint="eastAsia" w:ascii="宋体" w:hAnsi="宋体" w:eastAsia="宋体" w:cs="宋体"/>
          <w:strike w:val="0"/>
          <w:dstrike w:val="0"/>
          <w:kern w:val="2"/>
          <w:sz w:val="24"/>
          <w:szCs w:val="24"/>
          <w:highlight w:val="none"/>
          <w:lang w:val="en-US" w:eastAsia="zh-CN" w:bidi="ar-SA"/>
        </w:rPr>
        <w:t>06年以后的水库移民村信息可以进行社会、政策扶持、GIS信息等各维度进行数据分析。</w:t>
      </w:r>
    </w:p>
    <w:p w14:paraId="26304F7F">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数据应用管理</w:t>
      </w:r>
    </w:p>
    <w:p w14:paraId="6BCBFD7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数据应用管理介于数据基础管理和数据应用场景之间，是让存储在数据底座的数据“活起来”的关键。通过数据应用管理中对数据基础管理功能采集、清洗、存储后的业务数据的数据分析表配置、数据图表展示配置、数据下钻配置、数据预警配置、数据血缘管理等功能的实现，明确了展示数据的结构、属性和关系，揭示数据中的模式、趋势和关联，为数据分析展示提供了基础框架，将现实世界的事物、过程、关系抽象化，转化为一种计算机能够理解和处理的形式，从而最终能在数据应用场景中被用户查看、访问。</w:t>
      </w:r>
    </w:p>
    <w:p w14:paraId="7475CBA8">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数据分析表配置</w:t>
      </w:r>
    </w:p>
    <w:p w14:paraId="19D1854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sz w:val="24"/>
          <w:szCs w:val="24"/>
          <w:highlight w:val="none"/>
          <w:lang w:val="en-US" w:eastAsia="zh-CN"/>
        </w:rPr>
        <w:t>对接完数据源后，便可以将需要的多张数据表关联成一张宽表，并进行需要的数据处理（字段重命名、新建计算字段、创建层级、调整字段顺序等操作），建立数据分析表以便于进行后续的数据可视化分析工作</w:t>
      </w:r>
      <w:r>
        <w:rPr>
          <w:rFonts w:hint="eastAsia" w:ascii="宋体" w:hAnsi="宋体" w:cs="宋体"/>
          <w:sz w:val="24"/>
          <w:szCs w:val="24"/>
          <w:highlight w:val="none"/>
          <w:lang w:val="en-US" w:eastAsia="zh-CN"/>
        </w:rPr>
        <w:t>。</w:t>
      </w:r>
    </w:p>
    <w:p w14:paraId="78FE4302">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数据图表展示配置</w:t>
      </w:r>
    </w:p>
    <w:p w14:paraId="64504971">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图表类型配置</w:t>
      </w:r>
    </w:p>
    <w:p w14:paraId="16F6003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支持多种图表类型，配合各种业务需求展现数据，包括区域图、柱状图、柱状图（横）、和弦图、关系图、仪表盘、柱线图、线型图、地图、饼图、雷达图、环形图、散点图、树形图、地图。通过条件查询，在页面上生成图表，可进行转换图表、区域缩放等一系列交互设置，操作简单。</w:t>
      </w:r>
    </w:p>
    <w:p w14:paraId="623820C0">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图表样式配置</w:t>
      </w:r>
    </w:p>
    <w:p w14:paraId="5A1AEF2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维度：根据数据集提供的字段内容，选择需要的维度字段，并进行排序。</w:t>
      </w:r>
    </w:p>
    <w:p w14:paraId="31840D1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度量：根据数据集提供的字段内容，选择需要的度量字段，并进行排序。</w:t>
      </w:r>
    </w:p>
    <w:p w14:paraId="5F186B3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数值显示：系统支持对图表中的数值是否显示进行设置。</w:t>
      </w:r>
    </w:p>
    <w:p w14:paraId="02D1A0D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最值显示：系统支持对图表中数据的最大值和最小值是否显示进行设置。</w:t>
      </w:r>
    </w:p>
    <w:p w14:paraId="0406829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平均值显示：系统支持对图表中数据的平均值是否显示进行设置。</w:t>
      </w:r>
    </w:p>
    <w:p w14:paraId="3FB4A12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区域缩放比例：系统支持对图表的区域缩放比例设置范围。</w:t>
      </w:r>
    </w:p>
    <w:p w14:paraId="346CB70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数轴单位：系统支持对图表的维度、度量分别设置单位。</w:t>
      </w:r>
    </w:p>
    <w:p w14:paraId="349D0E2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文字旋转角度：系统支持对图表设置文字旋转角度。</w:t>
      </w:r>
    </w:p>
    <w:p w14:paraId="4731807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文字长度限制：系统支持对图表设置文字长度限制。</w:t>
      </w:r>
    </w:p>
    <w:p w14:paraId="79E1058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图表大小：系统支持对图表的大小进行设置。</w:t>
      </w:r>
    </w:p>
    <w:p w14:paraId="4D4849B7">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颜色主题设置</w:t>
      </w:r>
    </w:p>
    <w:p w14:paraId="2914249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数据图表展示配置可以整体设置图表的主题配色，系统内置了十多种主题配色，当然，每个图表也可以单独设置自己的自定义的配色。</w:t>
      </w:r>
    </w:p>
    <w:p w14:paraId="06A2B8EA">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智能图表推荐</w:t>
      </w:r>
    </w:p>
    <w:p w14:paraId="66DBC4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智能图表会根据用户选择的数据分析表中的数据字段自动推荐图表。每次数据字段发生变更后，图表会自动渲染最佳推荐结果，可以在控制面板中查看其他可用图表，并进行切换。对于不可用的图表，可以看到是哪些字段需求不满足。</w:t>
      </w:r>
    </w:p>
    <w:p w14:paraId="7D7F90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用户确定了要使用的图表类型，并想对图表进行样式和下钻等进一步配置，可以将图表转化为对应图表类型。</w:t>
      </w:r>
    </w:p>
    <w:p w14:paraId="6BA39628">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i w:val="0"/>
          <w:iCs w:val="0"/>
          <w:caps w:val="0"/>
          <w:color w:val="000000"/>
          <w:spacing w:val="0"/>
          <w:kern w:val="0"/>
          <w:sz w:val="24"/>
          <w:szCs w:val="24"/>
          <w:highlight w:val="none"/>
          <w:lang w:val="en-US" w:eastAsia="zh-CN" w:bidi="ar"/>
        </w:rPr>
      </w:pPr>
      <w:r>
        <w:rPr>
          <w:rFonts w:hint="eastAsia" w:ascii="宋体" w:hAnsi="宋体" w:eastAsia="宋体" w:cs="宋体"/>
          <w:b/>
          <w:i w:val="0"/>
          <w:iCs w:val="0"/>
          <w:caps w:val="0"/>
          <w:color w:val="000000"/>
          <w:spacing w:val="0"/>
          <w:kern w:val="0"/>
          <w:sz w:val="24"/>
          <w:szCs w:val="24"/>
          <w:highlight w:val="none"/>
          <w:lang w:val="en-US" w:eastAsia="zh-CN" w:bidi="ar"/>
        </w:rPr>
        <w:t>数据下钻配置</w:t>
      </w:r>
    </w:p>
    <w:p w14:paraId="4F18B4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下钻是指在点击本图表的某一部分时，可以打开一个新的图表或超链接，进而查看与图表此部分相关的详细信息。支持无限层级的下钻，只要下钻的弹出展示的图表也是支持下钻的，就可以继续配置进一步的下钻。</w:t>
      </w:r>
    </w:p>
    <w:p w14:paraId="73B1BA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每种图表触发下钻的方式不同，例如：折线图的触发方式是点击折线上的某一点，地图是点击某个区域，表格是点击某行或某列。</w:t>
      </w:r>
    </w:p>
    <w:p w14:paraId="7207BE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提供「自由下钻」和「层级下钻」两种下钻方式：</w:t>
      </w:r>
    </w:p>
    <w:p w14:paraId="231766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1、自由下钻是可以自由的配置下钻图表的任意配置项。</w:t>
      </w:r>
    </w:p>
    <w:p w14:paraId="5C7C7C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2、层级下钻是在的数据配置项中使用了具有层级关系的维度时，自动为生成所有下钻配置。</w:t>
      </w:r>
    </w:p>
    <w:p w14:paraId="7A831CF1">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层级下钻</w:t>
      </w:r>
    </w:p>
    <w:p w14:paraId="00AFD5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层级下钻是指如果图表的维度轴使用了具有层级关系的维度，那么可以通过开启层级下钻，零配置直接生成所有下钻图表的配置项。目前支持的图表如下：</w:t>
      </w:r>
    </w:p>
    <w:p w14:paraId="66F4CA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折线图（双 Y 轴折线、区域堆积图、标点折线、线柱混搭、叙事折线图）</w:t>
      </w:r>
    </w:p>
    <w:p w14:paraId="6DC9BF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柱状图（横向柱图、多系列柱图、堆积柱图、正负柱图、双向对比柱图、渐变色柱图、胶囊柱图、叙事柱图、3D 柱状图、山峰柱状图、象形柱状图、圆形柱状图）</w:t>
      </w:r>
    </w:p>
    <w:p w14:paraId="61A26C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饼图（环形饼图、玫瑰饼图、轮播饼图、圆角饼图、圆角环图、嵌套饼图）</w:t>
      </w:r>
    </w:p>
    <w:p w14:paraId="672423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地图类（区域色彩地图、3D 区域色彩地图）只有中国和省份级别地图支持</w:t>
      </w:r>
    </w:p>
    <w:p w14:paraId="0761A6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表格类（普通表格、轮播表格，排行榜）</w:t>
      </w:r>
    </w:p>
    <w:p w14:paraId="2C6BBC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瀑布图：其中，表格类与其他图表的配置稍有不同。</w:t>
      </w:r>
    </w:p>
    <w:p w14:paraId="35020B8F">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自由下钻</w:t>
      </w:r>
    </w:p>
    <w:p w14:paraId="3D0DCD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自由下钻总体来说，可以下钻的图表分为两大类：</w:t>
      </w:r>
    </w:p>
    <w:p w14:paraId="7AA1E6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单一种类下钻：这种类型的图表只能触发一种类型的下钻。比如饼图，点击饼图和每个区域下钻弹出一个柱状图，并且根据点击区域的不同让柱状图中的数据而不同，触发下钻时，饼图传递给下钻柱状图的下钻参数会自动根据点击位置的不同而不同。这类图表的下钻配置只需要选择触发的下钻图表类型即可。</w:t>
      </w:r>
    </w:p>
    <w:p w14:paraId="2DF1E3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多种类下钻：这种类型的图表可以触发多个下钻操作。比如表格，可以设置每行触发下钻，或某行中的某一列触发下钻，这样对表格就设置了两个下钻，当用户选择表格的不同区域时触发不同的下钻行为。</w:t>
      </w:r>
    </w:p>
    <w:p w14:paraId="0FCD4B79">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i w:val="0"/>
          <w:iCs w:val="0"/>
          <w:caps w:val="0"/>
          <w:color w:val="000000"/>
          <w:spacing w:val="0"/>
          <w:kern w:val="0"/>
          <w:sz w:val="24"/>
          <w:szCs w:val="24"/>
          <w:highlight w:val="none"/>
          <w:lang w:val="en-US" w:eastAsia="zh-CN" w:bidi="ar"/>
        </w:rPr>
      </w:pPr>
      <w:r>
        <w:rPr>
          <w:rFonts w:hint="eastAsia" w:ascii="宋体" w:hAnsi="宋体" w:eastAsia="宋体" w:cs="宋体"/>
          <w:b/>
          <w:i w:val="0"/>
          <w:iCs w:val="0"/>
          <w:caps w:val="0"/>
          <w:color w:val="000000"/>
          <w:spacing w:val="0"/>
          <w:kern w:val="0"/>
          <w:sz w:val="24"/>
          <w:szCs w:val="24"/>
          <w:highlight w:val="none"/>
          <w:lang w:val="en-US" w:eastAsia="zh-CN" w:bidi="ar"/>
        </w:rPr>
        <w:t>数据预警配置</w:t>
      </w:r>
    </w:p>
    <w:p w14:paraId="5935A632">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720" w:leftChars="0" w:hanging="720"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三色预警</w:t>
      </w:r>
    </w:p>
    <w:p w14:paraId="18FFDA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三色预警是基于平台建立的预警分析模型，根据居家上门服务中老人档案信息、申请审批填报、黑名单异常工单等可能会出现的服务不及时行为分析情况进行不同颜色的预警展示，对可能出现的老人信息变更情况进行预警灯的提示，为海曙区民政局及时获取相关信息，做出应对策略，方便海曙区民政局工作人员落实相关工作。</w:t>
      </w:r>
    </w:p>
    <w:p w14:paraId="72B93D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海曙区民政局数据预警配置是通过对预警触发的条件的判断，筛选可能出现海曙区民政服务工作相关预警。根据预警规则，可将预警规则进行划分：</w:t>
      </w:r>
    </w:p>
    <w:p w14:paraId="79D7D7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1.红灯状态：非常紧急的预警状态，该状态下的预警信息需要在3天内处理；</w:t>
      </w:r>
    </w:p>
    <w:p w14:paraId="386EB9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2.黄灯状态：一般紧急的预警状态，该状态下的预警信息需要在15天内处理；</w:t>
      </w:r>
    </w:p>
    <w:p w14:paraId="5D7871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3.绿灯状态：正常状态，无需处理该信息。</w:t>
      </w:r>
    </w:p>
    <w:p w14:paraId="2E827A46">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720" w:leftChars="0" w:hanging="720"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预警模型维护</w:t>
      </w:r>
    </w:p>
    <w:p w14:paraId="23FA45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三色预警模型维护即根据平台设置的预警规则进行模型的维护，其主要包括预警规则维护、预警等级颜色维护、预警分数维护。</w:t>
      </w:r>
    </w:p>
    <w:p w14:paraId="71C5FB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预警规则维护。预警规则维护即对三色预警模型的预警规则进行维护，其主要功能如下：支持新建、删除、修改预警规则，包括预警规则描述、等级、分值等的设置，帮助灵活制定预警规则；支持根据预警规则描述等条件查找预警规则。</w:t>
      </w:r>
    </w:p>
    <w:p w14:paraId="758BD5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2.预警等级颜色维护。预警等级颜色维护即对三色预警的颜色进行维护，其主要功能如下：支持新建、修改、删除预警灯的颜色，以适应现实需求的变化；支持根据预警等级等条件查找预警灯。</w:t>
      </w:r>
    </w:p>
    <w:p w14:paraId="771B65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 xml:space="preserve">3.预警分数维护。预警分数维护即对三色预警的亮灯分值进行维护，即根据三色预警灯，维护预警等级下相应的预警分数。其主要功能如下：支持新建、修改、删除企业等级、匹配预警分数设置；支持根据等级等条件查找相应预警灯情况。 </w:t>
      </w:r>
    </w:p>
    <w:p w14:paraId="49C08539">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i w:val="0"/>
          <w:iCs w:val="0"/>
          <w:caps w:val="0"/>
          <w:color w:val="000000"/>
          <w:spacing w:val="0"/>
          <w:kern w:val="0"/>
          <w:sz w:val="24"/>
          <w:szCs w:val="24"/>
          <w:highlight w:val="none"/>
          <w:lang w:val="en-US" w:eastAsia="zh-CN" w:bidi="ar"/>
        </w:rPr>
      </w:pPr>
      <w:r>
        <w:rPr>
          <w:rFonts w:hint="eastAsia" w:ascii="宋体" w:hAnsi="宋体" w:eastAsia="宋体" w:cs="宋体"/>
          <w:b/>
          <w:i w:val="0"/>
          <w:iCs w:val="0"/>
          <w:caps w:val="0"/>
          <w:color w:val="000000"/>
          <w:spacing w:val="0"/>
          <w:kern w:val="0"/>
          <w:sz w:val="24"/>
          <w:szCs w:val="24"/>
          <w:highlight w:val="none"/>
          <w:lang w:val="en-US" w:eastAsia="zh-CN" w:bidi="ar"/>
        </w:rPr>
        <w:t>数据血缘管理</w:t>
      </w:r>
    </w:p>
    <w:p w14:paraId="24E77C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数据血缘，即对系统中各资源涉及的数据流经路径进行跟踪，类似于追踪数据的血缘关系。 其可针对数据向下做影响分析或向上做溯源分析，有助于用户管理资源和排查问题。具体为：</w:t>
      </w:r>
    </w:p>
    <w:p w14:paraId="41B909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影响分析：了解资源（数据源 / 数据表 / API / 数据模型 / SQL 模型等）被下游的使⽤情况，便于在更改资源时评估影响。</w:t>
      </w:r>
    </w:p>
    <w:p w14:paraId="483EC1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溯源分析：对资源（图表 / 数据模型）的错误 / 疑问进⾏溯源，查明根因。</w:t>
      </w:r>
    </w:p>
    <w:p w14:paraId="079D6873">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数据基础管理</w:t>
      </w:r>
    </w:p>
    <w:p w14:paraId="38FF45A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据基础管理是整个数据底座的重要基础设施，贯彻了数据生产、汇聚、标准、存储的管理生命周期，同时，通过制定统一的数据管理方法，解决当前海曙民政基础数据找不到、读不懂、不可信的问题，确保数据“入湖有依据，出湖可检索”。</w:t>
      </w:r>
    </w:p>
    <w:p w14:paraId="72663F3A">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业务中台</w:t>
      </w:r>
    </w:p>
    <w:p w14:paraId="5957C36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智慧民政综合服务平台业务中台旨在为智慧民政综合服务平台提供一个将用户、角色、权限、业务、日志等后台资源整合成前端业务访问所需的综合“中间件”，从而形成一个快速响应机制，能够快速应对前端的需求变化，避免重复建设，从而提高效率。业务中台通过整合和复用，通过整合后台资源，形成可复用的服务或能力，这些服务或能力可以被前端数据底座展示</w:t>
      </w:r>
      <w:r>
        <w:rPr>
          <w:rFonts w:hint="eastAsia" w:ascii="宋体" w:hAnsi="宋体" w:cs="宋体"/>
          <w:sz w:val="24"/>
          <w:szCs w:val="24"/>
          <w:highlight w:val="none"/>
          <w:lang w:val="en-US" w:eastAsia="zh-CN"/>
        </w:rPr>
        <w:t>，也</w:t>
      </w:r>
      <w:r>
        <w:rPr>
          <w:rFonts w:hint="eastAsia" w:ascii="宋体" w:hAnsi="宋体" w:eastAsia="宋体" w:cs="宋体"/>
          <w:sz w:val="24"/>
          <w:szCs w:val="24"/>
          <w:highlight w:val="none"/>
          <w:lang w:val="en-US" w:eastAsia="zh-CN"/>
        </w:rPr>
        <w:t>可被智慧民政工作台应用。</w:t>
      </w:r>
    </w:p>
    <w:p w14:paraId="41A5678D">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用户管理</w:t>
      </w:r>
    </w:p>
    <w:p w14:paraId="274D38F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用户管理功能是用于管理系统中用户的相关信息的工具。通过用户管理功能，可以查看、新增、修改、删除用户相关信息。</w:t>
      </w:r>
    </w:p>
    <w:p w14:paraId="403F35FA">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用户信息</w:t>
      </w:r>
    </w:p>
    <w:p w14:paraId="4070179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为用户信息创建用户数据表，包括登录账号、登录密码、姓（拼音）、名（拼音）、姓名（中文）、电子邮箱、性别，办公电话（含分机）、办公传真、家庭电话、手机、所在部门及其所属角色等。</w:t>
      </w:r>
    </w:p>
    <w:p w14:paraId="79FC488B">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用户新增</w:t>
      </w:r>
    </w:p>
    <w:p w14:paraId="3D92FFC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用户新增将创建用户账户并将用户信息写入用户数据表，管理员可通过手动创建录入或批量导入方式进行用户新增操作。</w:t>
      </w:r>
    </w:p>
    <w:p w14:paraId="3074B64E">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用户修改</w:t>
      </w:r>
    </w:p>
    <w:p w14:paraId="03A0A9B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用户修改可修改用户注册时填写的基本信息。除用户名信息不可修改以外，其他信息均可修改。管理员也可通过批量导入的方式进行用户信息覆盖修改。</w:t>
      </w:r>
    </w:p>
    <w:p w14:paraId="19A11E93">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用户删除</w:t>
      </w:r>
    </w:p>
    <w:p w14:paraId="3BC7004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用户删除将删除用户所有信息，在用户删除之前，系统会进行确认操作以防止误删。</w:t>
      </w:r>
    </w:p>
    <w:p w14:paraId="302FD6AC">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用户查询</w:t>
      </w:r>
    </w:p>
    <w:p w14:paraId="3D5690D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通过关键字搜索或者其他筛选条件对用户数据表进行简单查询、模糊查询、高级查询，筛选条件可以是用户的任何属性信息。</w:t>
      </w:r>
    </w:p>
    <w:p w14:paraId="54D40458">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第三方用户绑定</w:t>
      </w:r>
    </w:p>
    <w:p w14:paraId="3B7C71A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通过对接第三方身份验证系统并进行用户绑定，可实现通过扫描第三方二维码后完成身份验证登录。</w:t>
      </w:r>
    </w:p>
    <w:p w14:paraId="3B8650ED">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角色管理</w:t>
      </w:r>
    </w:p>
    <w:p w14:paraId="574A607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角色管理功能是用于管理系统中用户的角色信息的功能。通过角色管理功能，可以查看、新增、修改、删除角色信息，为用户赋角色后可根据角色不同限制可访问功能与数据资源。</w:t>
      </w:r>
    </w:p>
    <w:p w14:paraId="0AF85E49">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角色信息</w:t>
      </w:r>
    </w:p>
    <w:p w14:paraId="6715E3D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为角色信息创建角色数据表，包括角色编号、角色名称、排序号、权限、备注等信息。所有用户默认为无任何权限的初始角色。</w:t>
      </w:r>
    </w:p>
    <w:p w14:paraId="5AD800F9">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角色新增</w:t>
      </w:r>
    </w:p>
    <w:p w14:paraId="6202EDF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角色新增将创建角色并将角色信息写入角色数据表，管理员可创建并录入角色信息，同时为其设置相应权限，也可通过批量导入方式进行。</w:t>
      </w:r>
    </w:p>
    <w:p w14:paraId="3391EC84">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角色修改</w:t>
      </w:r>
    </w:p>
    <w:p w14:paraId="1B16F0D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管理员可修改已有的角色信息。除角色编号不可修改以外，其他信息均可修改，包括角色权限。管理员可进行批量修改。</w:t>
      </w:r>
    </w:p>
    <w:p w14:paraId="749EA01C">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角色删除</w:t>
      </w:r>
    </w:p>
    <w:p w14:paraId="79942DA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管理员可以删除已有的角色，在角色删除之前，系统会进行确认操作以防止误删。</w:t>
      </w:r>
    </w:p>
    <w:p w14:paraId="2279B6BE">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角色查询</w:t>
      </w:r>
    </w:p>
    <w:p w14:paraId="57476CF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通过关键字搜索或者其他筛选条件对角色数据表进行简单查询、模糊查询、高级查询，筛选条件可以是角色的任何属性信息。</w:t>
      </w:r>
    </w:p>
    <w:p w14:paraId="1B72FABA">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统一权限管理</w:t>
      </w:r>
    </w:p>
    <w:p w14:paraId="5256A15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统一权限管理在统一用户目录和统一资源目录的基础上，实现针对不同角色的用户提供对统一的信息资源目录的灵活的授权策略。提供对统一用户目录和统一资源目录的新增、修改、删除等操作的权限，以便管理员或用户根据不同用户的需求分配适当的权限。</w:t>
      </w:r>
    </w:p>
    <w:p w14:paraId="4AA69CD5">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权限信息</w:t>
      </w:r>
    </w:p>
    <w:p w14:paraId="304A44E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为权限信息创建权限信息数据表，包括用户权限、角色权限、资源权限、授权范围、授权有效期等。</w:t>
      </w:r>
    </w:p>
    <w:p w14:paraId="3B25CD86">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用户权限授权</w:t>
      </w:r>
    </w:p>
    <w:p w14:paraId="4B2B256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通过识别用户所属的角色自动为用户进行授权，系统可同时选择多个用户或角色对其进行权限设置。</w:t>
      </w:r>
    </w:p>
    <w:p w14:paraId="6C8382A4">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资源权限授权</w:t>
      </w:r>
    </w:p>
    <w:p w14:paraId="45712D2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支持对不同类型的资源（文件、数据等）实施细粒度的访问控制。资源权限由管理员或上级用户操作授权，可以针对信息资源进行批量用户/角色授权。并可设置授权时间，授权时间到期后自动取消授权。</w:t>
      </w:r>
    </w:p>
    <w:p w14:paraId="166690D3">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数据资源授权</w:t>
      </w:r>
    </w:p>
    <w:p w14:paraId="5B144A6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支持对不同类型的资源（文件、数据、模块等）实施细粒度的访问控制。系统支持批量或为单个用户/角色设定权限。</w:t>
      </w:r>
    </w:p>
    <w:p w14:paraId="7F38E444">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数据分类授权</w:t>
      </w:r>
    </w:p>
    <w:p w14:paraId="2B70D3E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由人工识别和分类信息资源后，根据已分类信息资源，实现信息资源权限管理。可结合筛选功能，筛选出相同类数据后，批量或为单个用户/角色设定权限。</w:t>
      </w:r>
    </w:p>
    <w:p w14:paraId="5473E643">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业务模块管理</w:t>
      </w:r>
    </w:p>
    <w:p w14:paraId="625B31F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管理员可以在业务模块管理中对系统中的业务模块进行查看、上传、配置、上线、下线、修改。</w:t>
      </w:r>
    </w:p>
    <w:p w14:paraId="1D4A7E87">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业务模块配置管理</w:t>
      </w:r>
    </w:p>
    <w:p w14:paraId="6AFF369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系统列出模块列表及信息，管理员可对模块进行查询，点击相应模块可查看该模块详细信息，列表支持对模块的一键上线、下线。</w:t>
      </w:r>
    </w:p>
    <w:p w14:paraId="7B5BB172">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业务菜单配置</w:t>
      </w:r>
    </w:p>
    <w:p w14:paraId="57E8EB2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管理员可以在业务菜单配置中对系统中的业务菜单进行更新、删除、修改和查询。</w:t>
      </w:r>
    </w:p>
    <w:p w14:paraId="59E7F404">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统一日志管理</w:t>
      </w:r>
    </w:p>
    <w:p w14:paraId="791F509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统一日志管理系统，不仅帮助管理员维护系统的安全性、监控用户活动和系统状态，而且还支持合规性审计和故障排除，主要用户日志和系统日志，并且支持查找查询。</w:t>
      </w:r>
    </w:p>
    <w:p w14:paraId="1B8C6D8C">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用户访问日志</w:t>
      </w:r>
    </w:p>
    <w:p w14:paraId="044ACF9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创建提供记录用户的所有访问行为的信息表，包括登录、退出、页面访问、操作执行等。每条日志通常会包含用户的ID、访问时间、IP地址、访问的URL、操作结果（成功或失败）以及可能的错误信息。</w:t>
      </w:r>
    </w:p>
    <w:p w14:paraId="46259D9D">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查看访问日志</w:t>
      </w:r>
    </w:p>
    <w:p w14:paraId="6C7DA98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提供给系统管理员一个界面，用于查看和分析用户访问日志。管理员可以根据需要筛选日志（按日期范围、用户名、访问结果、信息关键字等），并可以对日志进行排序和搜索。这有助于快速定位特定事件或行为模式。</w:t>
      </w:r>
    </w:p>
    <w:p w14:paraId="0D77AF65">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系统运行日志</w:t>
      </w:r>
    </w:p>
    <w:p w14:paraId="14D3800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创建系统运行日志信息表，记录系统的内部操作数据，包括系统事件类型、事件时间、信息性消息以及调试信息。这些日志对于开发人员和管理员来说是诊断问题和确保系统稳定运行的重要工具。可通过系统事件类型、事件等关键字进行筛选。</w:t>
      </w:r>
    </w:p>
    <w:p w14:paraId="3F142D0B">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查看运行日志</w:t>
      </w:r>
    </w:p>
    <w:p w14:paraId="1B3CDAA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提供给系统管理员一个界面，管理员可以通过运行日志查看系统运行日志。这个界面允许管理员根据各种条件筛选（日期范围、事件类型、事件级别、信息关键字等）搜索日志条目。</w:t>
      </w:r>
    </w:p>
    <w:p w14:paraId="5DDB9BBD">
      <w:pPr>
        <w:keepNext/>
        <w:keepLines/>
        <w:pageBreakBefore w:val="0"/>
        <w:widowControl w:val="0"/>
        <w:numPr>
          <w:ilvl w:val="1"/>
          <w:numId w:val="8"/>
        </w:numPr>
        <w:kinsoku/>
        <w:wordWrap/>
        <w:overflowPunct/>
        <w:topLinePunct w:val="0"/>
        <w:autoSpaceDE/>
        <w:autoSpaceDN/>
        <w:bidi w:val="0"/>
        <w:adjustRightInd w:val="0"/>
        <w:snapToGrid w:val="0"/>
        <w:spacing w:before="0" w:beforeLines="0" w:beforeAutospacing="0" w:after="0" w:afterLines="0" w:afterAutospacing="0" w:line="320" w:lineRule="exact"/>
        <w:ind w:left="575" w:hanging="575" w:firstLineChars="0"/>
        <w:jc w:val="both"/>
        <w:textAlignment w:val="auto"/>
        <w:outlineLvl w:val="1"/>
        <w:rPr>
          <w:rFonts w:hint="eastAsia" w:ascii="宋体" w:hAnsi="宋体" w:eastAsia="宋体" w:cs="宋体"/>
          <w:kern w:val="2"/>
          <w:sz w:val="24"/>
          <w:szCs w:val="24"/>
          <w:highlight w:val="none"/>
          <w:lang w:val="en-US" w:eastAsia="zh-CN" w:bidi="ar-SA"/>
        </w:rPr>
      </w:pPr>
      <w:bookmarkStart w:id="83" w:name="_Toc525210590"/>
      <w:bookmarkStart w:id="84" w:name="_Toc17591"/>
      <w:r>
        <w:rPr>
          <w:rFonts w:hint="eastAsia" w:ascii="宋体" w:hAnsi="宋体" w:eastAsia="宋体" w:cs="宋体"/>
          <w:kern w:val="2"/>
          <w:sz w:val="24"/>
          <w:szCs w:val="24"/>
          <w:highlight w:val="none"/>
          <w:lang w:val="en-US" w:eastAsia="zh-CN" w:bidi="ar-SA"/>
        </w:rPr>
        <w:t>应用支撑系统设计</w:t>
      </w:r>
      <w:bookmarkEnd w:id="83"/>
      <w:bookmarkEnd w:id="84"/>
    </w:p>
    <w:p w14:paraId="63379CB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本项目使用宁波市智能公共数据平台的应用支撑体系和数据资源体系服务资源。</w:t>
      </w:r>
    </w:p>
    <w:p w14:paraId="6D595C88">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项目产生的组件资源</w:t>
      </w:r>
    </w:p>
    <w:p w14:paraId="0B55D91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p w14:paraId="42F55183">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项目共享使用的组件资源表</w:t>
      </w:r>
    </w:p>
    <w:p w14:paraId="7DE28FB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根据浙江省应用系统强制使用组件清单要求，本次项目采用以下组件：</w:t>
      </w:r>
    </w:p>
    <w:tbl>
      <w:tblPr>
        <w:tblStyle w:val="61"/>
        <w:tblpPr w:leftFromText="180" w:rightFromText="180" w:vertAnchor="text" w:horzAnchor="page" w:tblpX="1612" w:tblpY="32"/>
        <w:tblOverlap w:val="never"/>
        <w:tblW w:w="9100" w:type="dxa"/>
        <w:tblInd w:w="0" w:type="dxa"/>
        <w:tblLayout w:type="fixed"/>
        <w:tblCellMar>
          <w:top w:w="0" w:type="dxa"/>
          <w:left w:w="108" w:type="dxa"/>
          <w:bottom w:w="0" w:type="dxa"/>
          <w:right w:w="108" w:type="dxa"/>
        </w:tblCellMar>
      </w:tblPr>
      <w:tblGrid>
        <w:gridCol w:w="859"/>
        <w:gridCol w:w="3616"/>
        <w:gridCol w:w="1236"/>
        <w:gridCol w:w="1726"/>
        <w:gridCol w:w="1663"/>
      </w:tblGrid>
      <w:tr w14:paraId="2264F895">
        <w:tblPrEx>
          <w:tblCellMar>
            <w:top w:w="0" w:type="dxa"/>
            <w:left w:w="108" w:type="dxa"/>
            <w:bottom w:w="0" w:type="dxa"/>
            <w:right w:w="108" w:type="dxa"/>
          </w:tblCellMar>
        </w:tblPrEx>
        <w:trPr>
          <w:trHeight w:val="280" w:hRule="atLeast"/>
          <w:tblHeader/>
        </w:trPr>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D4E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rPr>
              <w:t>序号</w:t>
            </w:r>
          </w:p>
        </w:tc>
        <w:tc>
          <w:tcPr>
            <w:tcW w:w="3616" w:type="dxa"/>
            <w:tcBorders>
              <w:top w:val="single" w:color="auto" w:sz="4" w:space="0"/>
              <w:left w:val="nil"/>
              <w:bottom w:val="single" w:color="auto" w:sz="4" w:space="0"/>
              <w:right w:val="single" w:color="auto" w:sz="4" w:space="0"/>
            </w:tcBorders>
            <w:shd w:val="clear" w:color="auto" w:fill="auto"/>
            <w:noWrap/>
            <w:vAlign w:val="center"/>
          </w:tcPr>
          <w:p w14:paraId="011E9C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rPr>
              <w:t>组件名称</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43271F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rPr>
              <w:t>组件编号</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0F9B5BC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rPr>
              <w:t>组件提供单位</w:t>
            </w:r>
          </w:p>
        </w:tc>
        <w:tc>
          <w:tcPr>
            <w:tcW w:w="1663" w:type="dxa"/>
            <w:tcBorders>
              <w:top w:val="single" w:color="auto" w:sz="4" w:space="0"/>
              <w:left w:val="nil"/>
              <w:bottom w:val="single" w:color="auto" w:sz="4" w:space="0"/>
              <w:right w:val="single" w:color="auto" w:sz="4" w:space="0"/>
            </w:tcBorders>
            <w:shd w:val="clear" w:color="auto" w:fill="auto"/>
            <w:noWrap/>
            <w:vAlign w:val="center"/>
          </w:tcPr>
          <w:p w14:paraId="1F576B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rPr>
              <w:t>是否强制组件</w:t>
            </w:r>
          </w:p>
        </w:tc>
      </w:tr>
      <w:tr w14:paraId="7CDF1CD2">
        <w:tblPrEx>
          <w:tblCellMar>
            <w:top w:w="0" w:type="dxa"/>
            <w:left w:w="108" w:type="dxa"/>
            <w:bottom w:w="0" w:type="dxa"/>
            <w:right w:w="108" w:type="dxa"/>
          </w:tblCellMar>
        </w:tblPrEx>
        <w:trPr>
          <w:trHeight w:val="280" w:hRule="atLeast"/>
        </w:trPr>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5448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1</w:t>
            </w:r>
          </w:p>
        </w:tc>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BDE4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“浙里办”</w:t>
            </w:r>
            <w:r>
              <w:rPr>
                <w:rFonts w:hint="eastAsia" w:ascii="宋体" w:hAnsi="宋体" w:eastAsia="宋体" w:cs="宋体"/>
                <w:b w:val="0"/>
                <w:bCs w:val="0"/>
                <w:i w:val="0"/>
                <w:iCs w:val="0"/>
                <w:color w:val="000000"/>
                <w:sz w:val="24"/>
                <w:szCs w:val="24"/>
                <w:highlight w:val="none"/>
                <w:u w:val="none"/>
                <w:lang w:val="en-US" w:eastAsia="zh-CN"/>
              </w:rPr>
              <w:t>统一用户</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10C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DBE0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省大数据局</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C15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是</w:t>
            </w:r>
          </w:p>
        </w:tc>
      </w:tr>
      <w:tr w14:paraId="79DE30D6">
        <w:tblPrEx>
          <w:tblCellMar>
            <w:top w:w="0" w:type="dxa"/>
            <w:left w:w="108" w:type="dxa"/>
            <w:bottom w:w="0" w:type="dxa"/>
            <w:right w:w="108" w:type="dxa"/>
          </w:tblCellMar>
        </w:tblPrEx>
        <w:trPr>
          <w:trHeight w:val="280" w:hRule="atLeast"/>
        </w:trPr>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59F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2</w:t>
            </w:r>
          </w:p>
        </w:tc>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E33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组织架构和用户体系</w:t>
            </w:r>
            <w:r>
              <w:rPr>
                <w:rFonts w:hint="eastAsia" w:ascii="宋体" w:hAnsi="宋体" w:eastAsia="宋体" w:cs="宋体"/>
                <w:b w:val="0"/>
                <w:bCs w:val="0"/>
                <w:i w:val="0"/>
                <w:iCs w:val="0"/>
                <w:color w:val="000000"/>
                <w:sz w:val="24"/>
                <w:szCs w:val="24"/>
                <w:highlight w:val="none"/>
                <w:u w:val="none"/>
                <w:lang w:eastAsia="zh-CN"/>
              </w:rPr>
              <w:t>（</w:t>
            </w:r>
            <w:r>
              <w:rPr>
                <w:rFonts w:hint="eastAsia" w:ascii="宋体" w:hAnsi="宋体" w:eastAsia="宋体" w:cs="宋体"/>
                <w:b w:val="0"/>
                <w:bCs w:val="0"/>
                <w:i w:val="0"/>
                <w:iCs w:val="0"/>
                <w:color w:val="000000"/>
                <w:sz w:val="24"/>
                <w:szCs w:val="24"/>
                <w:highlight w:val="none"/>
                <w:u w:val="none"/>
                <w:lang w:val="en-US" w:eastAsia="zh-CN"/>
              </w:rPr>
              <w:t>浙政钉</w:t>
            </w:r>
            <w:r>
              <w:rPr>
                <w:rFonts w:hint="eastAsia" w:ascii="宋体" w:hAnsi="宋体" w:eastAsia="宋体" w:cs="宋体"/>
                <w:b w:val="0"/>
                <w:bCs w:val="0"/>
                <w:i w:val="0"/>
                <w:iCs w:val="0"/>
                <w:color w:val="000000"/>
                <w:sz w:val="24"/>
                <w:szCs w:val="24"/>
                <w:highlight w:val="none"/>
                <w:u w:val="none"/>
                <w:lang w:eastAsia="zh-CN"/>
              </w:rPr>
              <w:t>）</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38EF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FE89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省大数据局</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AEDC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是</w:t>
            </w:r>
          </w:p>
        </w:tc>
      </w:tr>
      <w:tr w14:paraId="52C2454E">
        <w:tblPrEx>
          <w:tblCellMar>
            <w:top w:w="0" w:type="dxa"/>
            <w:left w:w="108" w:type="dxa"/>
            <w:bottom w:w="0" w:type="dxa"/>
            <w:right w:w="108" w:type="dxa"/>
          </w:tblCellMar>
        </w:tblPrEx>
        <w:trPr>
          <w:trHeight w:val="280" w:hRule="atLeast"/>
        </w:trPr>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7289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3</w:t>
            </w:r>
          </w:p>
        </w:tc>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461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消息通知（浙政钉）</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2D93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76C3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省大数据局</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DA0D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是</w:t>
            </w:r>
          </w:p>
        </w:tc>
      </w:tr>
      <w:tr w14:paraId="588C8408">
        <w:tblPrEx>
          <w:tblCellMar>
            <w:top w:w="0" w:type="dxa"/>
            <w:left w:w="108" w:type="dxa"/>
            <w:bottom w:w="0" w:type="dxa"/>
            <w:right w:w="108" w:type="dxa"/>
          </w:tblCellMar>
        </w:tblPrEx>
        <w:trPr>
          <w:trHeight w:val="280" w:hRule="atLeast"/>
        </w:trPr>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51D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4</w:t>
            </w:r>
          </w:p>
        </w:tc>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B3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“浙里办”消息通知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AFC1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FBC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省大数据局</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3FD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是</w:t>
            </w:r>
          </w:p>
        </w:tc>
      </w:tr>
      <w:tr w14:paraId="3370A073">
        <w:tblPrEx>
          <w:tblCellMar>
            <w:top w:w="0" w:type="dxa"/>
            <w:left w:w="108" w:type="dxa"/>
            <w:bottom w:w="0" w:type="dxa"/>
            <w:right w:w="108" w:type="dxa"/>
          </w:tblCellMar>
        </w:tblPrEx>
        <w:trPr>
          <w:trHeight w:val="280" w:hRule="atLeast"/>
        </w:trPr>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7F6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lang w:val="en-US" w:eastAsia="zh-CN"/>
              </w:rPr>
              <w:t>5</w:t>
            </w:r>
          </w:p>
        </w:tc>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1DE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lang w:val="en-US" w:eastAsia="zh-CN"/>
              </w:rPr>
              <w:t>可信身份认证（本地化服务）</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AAD7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C56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省</w:t>
            </w:r>
            <w:r>
              <w:rPr>
                <w:rFonts w:hint="eastAsia" w:ascii="宋体" w:hAnsi="宋体" w:eastAsia="宋体" w:cs="宋体"/>
                <w:b w:val="0"/>
                <w:bCs w:val="0"/>
                <w:i w:val="0"/>
                <w:iCs w:val="0"/>
                <w:color w:val="000000"/>
                <w:sz w:val="24"/>
                <w:szCs w:val="24"/>
                <w:highlight w:val="none"/>
                <w:u w:val="none"/>
                <w:lang w:val="en-US" w:eastAsia="zh-CN"/>
              </w:rPr>
              <w:t>公安厅</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BBD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lang w:val="en-US" w:eastAsia="zh-CN"/>
              </w:rPr>
              <w:t>是</w:t>
            </w:r>
          </w:p>
        </w:tc>
      </w:tr>
    </w:tbl>
    <w:p w14:paraId="49A3A3CE">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表：项目共享使用组件资源</w:t>
      </w:r>
    </w:p>
    <w:p w14:paraId="783936CF">
      <w:pPr>
        <w:keepNext/>
        <w:keepLines/>
        <w:pageBreakBefore w:val="0"/>
        <w:widowControl w:val="0"/>
        <w:numPr>
          <w:ilvl w:val="1"/>
          <w:numId w:val="8"/>
        </w:numPr>
        <w:kinsoku/>
        <w:wordWrap/>
        <w:overflowPunct/>
        <w:topLinePunct w:val="0"/>
        <w:autoSpaceDE/>
        <w:autoSpaceDN/>
        <w:bidi w:val="0"/>
        <w:adjustRightInd w:val="0"/>
        <w:snapToGrid w:val="0"/>
        <w:spacing w:before="0" w:beforeLines="0" w:beforeAutospacing="0" w:after="0" w:afterLines="0" w:afterAutospacing="0" w:line="320" w:lineRule="exact"/>
        <w:ind w:left="575" w:hanging="575" w:firstLineChars="0"/>
        <w:jc w:val="both"/>
        <w:textAlignment w:val="auto"/>
        <w:outlineLvl w:val="1"/>
        <w:rPr>
          <w:rFonts w:hint="eastAsia" w:ascii="宋体" w:hAnsi="宋体" w:eastAsia="宋体" w:cs="宋体"/>
          <w:kern w:val="2"/>
          <w:sz w:val="24"/>
          <w:szCs w:val="24"/>
          <w:highlight w:val="none"/>
          <w:lang w:val="en-US" w:eastAsia="zh-CN" w:bidi="ar-SA"/>
        </w:rPr>
      </w:pPr>
      <w:bookmarkStart w:id="85" w:name="_Toc11112"/>
      <w:bookmarkStart w:id="86" w:name="_Toc1056596960"/>
      <w:r>
        <w:rPr>
          <w:rFonts w:hint="eastAsia" w:ascii="宋体" w:hAnsi="宋体" w:eastAsia="宋体" w:cs="宋体"/>
          <w:kern w:val="2"/>
          <w:sz w:val="24"/>
          <w:szCs w:val="24"/>
          <w:highlight w:val="none"/>
          <w:lang w:val="en-US" w:eastAsia="zh-CN" w:bidi="ar-SA"/>
        </w:rPr>
        <w:t>数据资源层设计</w:t>
      </w:r>
      <w:bookmarkEnd w:id="81"/>
      <w:bookmarkEnd w:id="82"/>
      <w:bookmarkEnd w:id="85"/>
      <w:bookmarkEnd w:id="86"/>
    </w:p>
    <w:p w14:paraId="474B558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为确保为上层应用运行提供稳定可靠的数据资源支持，能够对本次项目所需的数据资源进行统一汇聚，基于省、市一体化</w:t>
      </w:r>
      <w:r>
        <w:rPr>
          <w:rFonts w:hint="eastAsia" w:ascii="宋体" w:hAnsi="宋体" w:eastAsia="宋体" w:cs="宋体"/>
          <w:sz w:val="24"/>
          <w:szCs w:val="24"/>
          <w:highlight w:val="none"/>
          <w:lang w:val="en-US" w:eastAsia="zh-CN"/>
        </w:rPr>
        <w:t>数字资源系统（IRS平台）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海曙区“一图四库”统建共享系统、浙江省民政数据共享交换平台</w:t>
      </w:r>
      <w:r>
        <w:rPr>
          <w:rFonts w:hint="eastAsia" w:ascii="宋体" w:hAnsi="宋体" w:eastAsia="宋体" w:cs="宋体"/>
          <w:sz w:val="24"/>
          <w:szCs w:val="24"/>
          <w:highlight w:val="none"/>
        </w:rPr>
        <w:t>，实现</w:t>
      </w:r>
      <w:r>
        <w:rPr>
          <w:rFonts w:hint="eastAsia" w:ascii="宋体" w:hAnsi="宋体" w:eastAsia="宋体" w:cs="宋体"/>
          <w:sz w:val="24"/>
          <w:szCs w:val="24"/>
          <w:highlight w:val="none"/>
          <w:lang w:val="en-US" w:eastAsia="zh-CN"/>
        </w:rPr>
        <w:t>海曙区智慧民政综合服务平台</w:t>
      </w:r>
      <w:r>
        <w:rPr>
          <w:rFonts w:hint="eastAsia" w:ascii="宋体" w:hAnsi="宋体" w:eastAsia="宋体" w:cs="宋体"/>
          <w:sz w:val="24"/>
          <w:szCs w:val="24"/>
          <w:highlight w:val="none"/>
        </w:rPr>
        <w:t>数据资源</w:t>
      </w:r>
      <w:r>
        <w:rPr>
          <w:rFonts w:hint="eastAsia" w:ascii="宋体" w:hAnsi="宋体" w:eastAsia="宋体" w:cs="宋体"/>
          <w:sz w:val="24"/>
          <w:szCs w:val="24"/>
          <w:highlight w:val="none"/>
          <w:lang w:val="en-US" w:eastAsia="zh-CN"/>
        </w:rPr>
        <w:t>对接</w:t>
      </w:r>
      <w:r>
        <w:rPr>
          <w:rFonts w:hint="eastAsia" w:ascii="宋体" w:hAnsi="宋体" w:eastAsia="宋体" w:cs="宋体"/>
          <w:sz w:val="24"/>
          <w:szCs w:val="24"/>
          <w:highlight w:val="none"/>
          <w:lang w:eastAsia="zh-CN"/>
        </w:rPr>
        <w:t>。</w:t>
      </w:r>
    </w:p>
    <w:p w14:paraId="35B6AF4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海曙智慧民政数据基础管理中的基础数据主要来源于海曙区“一图四库”统建共享系统和浙江省民政数据共享交换平台，数据采集后按照业务分类存储在基础库的不同子库中，并通过数据清洗、比对、去重、转换后，进入业务库的标准库，流程库为系统给的业务流程需要，系统内部产生的数据，作为补充数据完善标准库数据，其中人口库、养老库、殡葬库三库数据进行老人的数据</w:t>
      </w:r>
      <w:r>
        <w:rPr>
          <w:rFonts w:hint="eastAsia" w:ascii="宋体" w:hAnsi="宋体" w:eastAsia="宋体" w:cs="宋体"/>
          <w:sz w:val="24"/>
          <w:szCs w:val="24"/>
          <w:highlight w:val="none"/>
          <w:lang w:val="en-US" w:eastAsia="zh-CN"/>
        </w:rPr>
        <w:t>对比</w:t>
      </w:r>
      <w:r>
        <w:rPr>
          <w:rFonts w:hint="eastAsia" w:ascii="宋体" w:hAnsi="宋体" w:eastAsia="宋体" w:cs="宋体"/>
          <w:sz w:val="24"/>
          <w:szCs w:val="24"/>
          <w:highlight w:val="none"/>
          <w:lang w:eastAsia="zh-CN"/>
        </w:rPr>
        <w:t>矫正，</w:t>
      </w:r>
      <w:r>
        <w:rPr>
          <w:rFonts w:hint="eastAsia" w:ascii="宋体" w:hAnsi="宋体" w:eastAsia="宋体" w:cs="宋体"/>
          <w:sz w:val="24"/>
          <w:szCs w:val="24"/>
          <w:highlight w:val="none"/>
          <w:lang w:val="en-US" w:eastAsia="zh-CN"/>
        </w:rPr>
        <w:t>通过人工审核</w:t>
      </w:r>
      <w:r>
        <w:rPr>
          <w:rFonts w:hint="eastAsia" w:ascii="宋体" w:hAnsi="宋体" w:eastAsia="宋体" w:cs="宋体"/>
          <w:sz w:val="24"/>
          <w:szCs w:val="24"/>
          <w:highlight w:val="none"/>
          <w:lang w:eastAsia="zh-CN"/>
        </w:rPr>
        <w:t>矫正数据同步共享至海曙区“一图四库”统建共享系统中。</w:t>
      </w:r>
      <w:r>
        <w:rPr>
          <w:rFonts w:hint="eastAsia" w:ascii="宋体" w:hAnsi="宋体" w:eastAsia="宋体" w:cs="宋体"/>
          <w:sz w:val="24"/>
          <w:szCs w:val="24"/>
          <w:highlight w:val="none"/>
          <w:lang w:val="en-US" w:eastAsia="zh-CN"/>
        </w:rPr>
        <w:t>业务</w:t>
      </w:r>
      <w:r>
        <w:rPr>
          <w:rFonts w:hint="eastAsia" w:ascii="宋体" w:hAnsi="宋体" w:eastAsia="宋体" w:cs="宋体"/>
          <w:sz w:val="24"/>
          <w:szCs w:val="24"/>
          <w:highlight w:val="none"/>
          <w:lang w:eastAsia="zh-CN"/>
        </w:rPr>
        <w:t>标准库内数据可通过IRS平台实现不同系统、部门之间的业务数据的共享。</w:t>
      </w:r>
      <w:r>
        <w:rPr>
          <w:rFonts w:hint="eastAsia" w:ascii="宋体" w:hAnsi="宋体" w:eastAsia="宋体" w:cs="宋体"/>
          <w:sz w:val="24"/>
          <w:szCs w:val="24"/>
          <w:highlight w:val="none"/>
          <w:lang w:val="en-US" w:eastAsia="zh-CN"/>
        </w:rPr>
        <w:t>同时，</w:t>
      </w:r>
      <w:r>
        <w:rPr>
          <w:rFonts w:hint="eastAsia" w:ascii="宋体" w:hAnsi="宋体" w:eastAsia="宋体" w:cs="宋体"/>
          <w:sz w:val="24"/>
          <w:szCs w:val="24"/>
          <w:highlight w:val="none"/>
          <w:lang w:eastAsia="zh-CN"/>
        </w:rPr>
        <w:t>业务标准库作为数据基准，通过数据分析配置得到专题库数据。日志库记录系统日志、操作日志和用户日志等日志数据。</w:t>
      </w:r>
    </w:p>
    <w:p w14:paraId="3EE501E6">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数据采集</w:t>
      </w:r>
    </w:p>
    <w:p w14:paraId="410CA96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通过数据底座</w:t>
      </w:r>
      <w:r>
        <w:rPr>
          <w:rFonts w:hint="eastAsia" w:ascii="宋体" w:hAnsi="宋体" w:eastAsia="宋体" w:cs="宋体"/>
          <w:sz w:val="24"/>
          <w:szCs w:val="24"/>
          <w:highlight w:val="none"/>
        </w:rPr>
        <w:t>与省、市一体化数字资源系统（IRS平台）、海曙区“一图四库”统建共享系统、浙江省民政数据共享交换平台全面对接，实现系统大部分数据自动抓取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另外</w:t>
      </w:r>
      <w:r>
        <w:rPr>
          <w:rFonts w:hint="eastAsia" w:ascii="宋体" w:hAnsi="宋体" w:eastAsia="宋体" w:cs="宋体"/>
          <w:sz w:val="24"/>
          <w:szCs w:val="24"/>
          <w:highlight w:val="none"/>
        </w:rPr>
        <w:t>，部分数据还来源于</w:t>
      </w:r>
      <w:r>
        <w:rPr>
          <w:rFonts w:hint="eastAsia" w:ascii="宋体" w:hAnsi="宋体" w:eastAsia="宋体" w:cs="宋体"/>
          <w:sz w:val="24"/>
          <w:szCs w:val="24"/>
          <w:highlight w:val="none"/>
          <w:lang w:val="en-US" w:eastAsia="zh-CN"/>
        </w:rPr>
        <w:t>社区、街道通过业务工作台手动</w:t>
      </w:r>
      <w:r>
        <w:rPr>
          <w:rFonts w:hint="eastAsia" w:ascii="宋体" w:hAnsi="宋体" w:eastAsia="宋体" w:cs="宋体"/>
          <w:sz w:val="24"/>
          <w:szCs w:val="24"/>
          <w:highlight w:val="none"/>
        </w:rPr>
        <w:t>录入本系统中。</w:t>
      </w:r>
    </w:p>
    <w:p w14:paraId="767CF1F5">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bookmarkStart w:id="87" w:name="_Toc82943301"/>
      <w:bookmarkStart w:id="88" w:name="_Toc8158"/>
      <w:bookmarkStart w:id="89" w:name="_Toc109041918"/>
      <w:bookmarkStart w:id="90" w:name="_Toc18313"/>
      <w:r>
        <w:rPr>
          <w:rFonts w:hint="eastAsia" w:ascii="宋体" w:hAnsi="宋体" w:eastAsia="宋体" w:cs="宋体"/>
          <w:b/>
          <w:kern w:val="2"/>
          <w:sz w:val="24"/>
          <w:szCs w:val="24"/>
          <w:highlight w:val="none"/>
          <w:lang w:val="en-US" w:eastAsia="zh-CN" w:bidi="ar-SA"/>
        </w:rPr>
        <w:t>数据治理</w:t>
      </w:r>
      <w:bookmarkEnd w:id="87"/>
      <w:bookmarkEnd w:id="88"/>
      <w:bookmarkEnd w:id="89"/>
      <w:bookmarkEnd w:id="90"/>
    </w:p>
    <w:p w14:paraId="71EC15A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本项目相关数据经采集</w:t>
      </w:r>
      <w:r>
        <w:rPr>
          <w:rFonts w:hint="eastAsia" w:ascii="宋体" w:hAnsi="宋体" w:eastAsia="宋体" w:cs="宋体"/>
          <w:sz w:val="24"/>
          <w:szCs w:val="24"/>
          <w:highlight w:val="none"/>
          <w:lang w:eastAsia="zh-CN"/>
        </w:rPr>
        <w:t>后</w:t>
      </w:r>
      <w:r>
        <w:rPr>
          <w:rFonts w:hint="eastAsia" w:ascii="宋体" w:hAnsi="宋体" w:eastAsia="宋体" w:cs="宋体"/>
          <w:sz w:val="24"/>
          <w:szCs w:val="24"/>
          <w:highlight w:val="none"/>
        </w:rPr>
        <w:t>统一存储在</w:t>
      </w:r>
      <w:r>
        <w:rPr>
          <w:rFonts w:hint="eastAsia" w:ascii="宋体" w:hAnsi="宋体" w:eastAsia="宋体" w:cs="宋体"/>
          <w:sz w:val="24"/>
          <w:szCs w:val="24"/>
          <w:highlight w:val="none"/>
          <w:lang w:val="en-US" w:eastAsia="zh-CN"/>
        </w:rPr>
        <w:t>基础库</w:t>
      </w:r>
      <w:r>
        <w:rPr>
          <w:rFonts w:hint="eastAsia" w:ascii="宋体" w:hAnsi="宋体" w:eastAsia="宋体" w:cs="宋体"/>
          <w:sz w:val="24"/>
          <w:szCs w:val="24"/>
          <w:highlight w:val="none"/>
        </w:rPr>
        <w:t>中。根据基层相关业务应用需求，结合相关数据规范标准，对采集入库的原始数据进行数据治理，主要包括数据</w:t>
      </w:r>
      <w:r>
        <w:rPr>
          <w:rFonts w:hint="eastAsia" w:ascii="宋体" w:hAnsi="宋体" w:eastAsia="宋体" w:cs="宋体"/>
          <w:sz w:val="24"/>
          <w:szCs w:val="24"/>
          <w:highlight w:val="none"/>
          <w:lang w:val="en-US" w:eastAsia="zh-CN"/>
        </w:rPr>
        <w:t>对比</w:t>
      </w:r>
      <w:r>
        <w:rPr>
          <w:rFonts w:hint="eastAsia" w:ascii="宋体" w:hAnsi="宋体" w:eastAsia="宋体" w:cs="宋体"/>
          <w:sz w:val="24"/>
          <w:szCs w:val="24"/>
          <w:highlight w:val="none"/>
        </w:rPr>
        <w:t>、数据去重、数据转换等环节。</w:t>
      </w:r>
    </w:p>
    <w:p w14:paraId="256C7543">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2"/>
        <w:rPr>
          <w:rFonts w:hint="eastAsia" w:ascii="宋体" w:hAnsi="宋体" w:eastAsia="宋体" w:cs="宋体"/>
          <w:b/>
          <w:kern w:val="2"/>
          <w:sz w:val="24"/>
          <w:szCs w:val="24"/>
          <w:highlight w:val="none"/>
          <w:lang w:val="en-US" w:eastAsia="zh-CN" w:bidi="ar-SA"/>
        </w:rPr>
      </w:pPr>
      <w:bookmarkStart w:id="91" w:name="_Toc109041919"/>
      <w:bookmarkStart w:id="92" w:name="_Toc10374"/>
      <w:r>
        <w:rPr>
          <w:rFonts w:hint="eastAsia" w:ascii="宋体" w:hAnsi="宋体" w:eastAsia="宋体" w:cs="宋体"/>
          <w:b/>
          <w:kern w:val="2"/>
          <w:sz w:val="24"/>
          <w:szCs w:val="24"/>
          <w:highlight w:val="none"/>
          <w:lang w:val="en-US" w:eastAsia="zh-CN" w:bidi="ar-SA"/>
        </w:rPr>
        <w:t>数据共享</w:t>
      </w:r>
      <w:bookmarkEnd w:id="91"/>
      <w:bookmarkEnd w:id="92"/>
    </w:p>
    <w:p w14:paraId="06DBC195">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项目产生核心业务数据</w:t>
      </w:r>
    </w:p>
    <w:p w14:paraId="64701AD7">
      <w:pPr>
        <w:pageBreakBefore w:val="0"/>
        <w:widowControl w:val="0"/>
        <w:kinsoku/>
        <w:wordWrap/>
        <w:overflowPunct/>
        <w:topLinePunct w:val="0"/>
        <w:autoSpaceDE/>
        <w:autoSpaceDN/>
        <w:bidi w:val="0"/>
        <w:adjustRightInd w:val="0"/>
        <w:snapToGrid w:val="0"/>
        <w:spacing w:before="0" w:beforeLines="0" w:after="0" w:afterLines="0" w:line="320" w:lineRule="exact"/>
        <w:ind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项目产生核心业务数据资源表</w:t>
      </w:r>
    </w:p>
    <w:tbl>
      <w:tblPr>
        <w:tblStyle w:val="61"/>
        <w:tblW w:w="9318" w:type="dxa"/>
        <w:jc w:val="center"/>
        <w:tblLayout w:type="fixed"/>
        <w:tblCellMar>
          <w:top w:w="0" w:type="dxa"/>
          <w:left w:w="108" w:type="dxa"/>
          <w:bottom w:w="0" w:type="dxa"/>
          <w:right w:w="108" w:type="dxa"/>
        </w:tblCellMar>
      </w:tblPr>
      <w:tblGrid>
        <w:gridCol w:w="765"/>
        <w:gridCol w:w="1671"/>
        <w:gridCol w:w="2983"/>
        <w:gridCol w:w="949"/>
        <w:gridCol w:w="875"/>
        <w:gridCol w:w="812"/>
        <w:gridCol w:w="1263"/>
      </w:tblGrid>
      <w:tr w14:paraId="33DB252A">
        <w:tblPrEx>
          <w:tblCellMar>
            <w:top w:w="0" w:type="dxa"/>
            <w:left w:w="108" w:type="dxa"/>
            <w:bottom w:w="0" w:type="dxa"/>
            <w:right w:w="108" w:type="dxa"/>
          </w:tblCellMar>
        </w:tblPrEx>
        <w:trPr>
          <w:trHeight w:val="280" w:hRule="atLeast"/>
          <w:tblHeader/>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273A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1F37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资源名称</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F9F9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数据项（字段名称）</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A312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共享条件</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ACD7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共享方式</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9FB3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开放属性</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7AAA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更新频度</w:t>
            </w:r>
          </w:p>
        </w:tc>
      </w:tr>
      <w:tr w14:paraId="66C497BA">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6E78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908F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海曙区老人信息表</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CE9E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老人ID、姓名、性别、出生日期、身份证、年龄、民族、户籍所在地、现居住地址、联系电话、补贴状态、津贴状态、老人标签等</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7E51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3305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7F2C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FCE3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47A98B33">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19E1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F44A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黑名单老人信息表</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C94F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老人ID、姓名、黑名单状态、黑名单原因等</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7127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59E3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90AE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D6B1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36A94C5A">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0CF8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192A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月度居家养老服务统计表</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640C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老人ID、姓名、服务商名称、服务员名称、应服务时长、已服务时长等</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92C0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1143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E7E4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B3F6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5834F0E3">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1EBD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DB1B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服务商信息记录表</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19A9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服务商ID、服务商名称、服务商名称、服务员数量、总计服务老人数量、总计应服务时长、总计已服务时长等</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6471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D621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B840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372F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51C7089F">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A7C0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0BAC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服务记录表</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C914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服务员ID、服务员姓名、老人ID、老人姓名、应服务时长、实际服务时长、服务状态、开始时间、完成时间、定位信息等</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4E7E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09E7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A038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6644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663A8621">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35FA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F80C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低保对象分析表</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73CA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操作、序号、工单号、老人姓名、性别、年龄、身份证号、迁出、乡镇/街道、迁出社区/村、迁出日期、迁入街道/乡镇、迁入社区/村、迁入日期、申请人、备注、创建时间。</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6F13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0ECC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4078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2915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238FA980">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99B6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B1D9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低保对象分析表</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A41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行政区划、家庭总人口、居住地址、是否核对、申请救助原因、家庭类别、救助方式、救助日期、救助人数、救助金额、致贫原因、单据类型、省厅区划编码、民政部区划编码、申请人、年份、月份、序号、推送时间、更新时间、入仓时间、申请身份证、对象类别、联系电话、手机号码、救助类别。</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C69E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09E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0BA7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7044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64F54C43">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895C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0E19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居家上门服务分析表</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AF43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主键、服务方式、服务日期、服务类别、年服务数、服务数、服务商数量、服务事件统计。</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012D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FDE5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1EE3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99B0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68ADC3C9">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02AF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FF9A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海曙区养老补贴申请记录信息</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D33F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子表主键、子表外键、行政区划、序号、DML_TYPE、更新时间、推送时间、入仓时间、原业务主表主键、原业务子表主键、姓名、性别、身份证号、手机号码、备注。</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CF81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BF76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EE06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ABDA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4CB29C9C">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71F6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FC08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w:t>
            </w:r>
            <w:r>
              <w:rPr>
                <w:rFonts w:hint="eastAsia" w:ascii="宋体" w:hAnsi="宋体" w:cs="宋体"/>
                <w:color w:val="auto"/>
                <w:kern w:val="2"/>
                <w:sz w:val="24"/>
                <w:szCs w:val="24"/>
                <w:highlight w:val="none"/>
                <w:lang w:val="en-US" w:eastAsia="zh-CN" w:bidi="ar-SA"/>
              </w:rPr>
              <w:t>区</w:t>
            </w:r>
            <w:r>
              <w:rPr>
                <w:rFonts w:hint="eastAsia" w:ascii="宋体" w:hAnsi="宋体" w:eastAsia="宋体" w:cs="宋体"/>
                <w:color w:val="auto"/>
                <w:kern w:val="2"/>
                <w:sz w:val="24"/>
                <w:szCs w:val="24"/>
                <w:highlight w:val="none"/>
                <w:lang w:val="en-US" w:eastAsia="zh-CN" w:bidi="ar-SA"/>
              </w:rPr>
              <w:t>居家养老站点信息</w:t>
            </w:r>
          </w:p>
        </w:tc>
        <w:tc>
          <w:tcPr>
            <w:tcW w:w="2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F624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服务类型、服务餐次、食品餐饮经营许可证、建筑面积、就餐最低费用标准、就餐最高费用标准、服务机构类型、工作人员数量。</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26FF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FBE3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7AB9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5E99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55C80BDF">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4D25D2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14:paraId="4D47BAC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海曙区养老上门服务记录信息</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14:paraId="54644FE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机构名称、所属村社、详细地址、联系人、联系电话、社会统一信用代码、场所码、营业日期、营业开始时间、营业结束时间、成立时间、开业时间、助餐点类型、高德地图、天地图。</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4F115D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0A1F87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08A4CF2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14:paraId="577EABA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4019F324">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E55905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14:paraId="4171777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区养老服务商信息</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14:paraId="0CE3832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序号、服务商名称、服务时间、登录账号、使用人、联系电话、状态、创建时间。</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2AEB54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81C23F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2CCC0BA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14:paraId="5969B34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4EF2D1CA">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B5FEA3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14:paraId="5ABBE7E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海曙区高龄老人津贴发放信息</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14:paraId="399F8C8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姓名、照片host、户口所在地、实际居住地、手机号码、联系电话、发放金额、发放方式、发放银行、开户行、银行卡号、身份证号、是否享受养老金、享受状态、享受状态描述、备注、经度、纬度、取消原因、死亡标记、死亡日期、火化日期、出生日期、死亡单位、死亡数据更新时间、行政区划ID、行政区划编码、行政区划名称、单据类型、制单人ID、制单人、制单日期、修改标记、性别、修改人ID、修改人、修改日期、删除标记、删除人ID、删除人、删除时间、审批状态、审批状态描述、审批等级、年龄、审核人ID、审核人、审核日期、单据状态、单据状态描述、部门编号、乐观锁、数据类型、数据标记、暂存状态、年龄段、数据生成时间、申报号、一窗式数据类型、申报时间、一窗式推送状态、分发码、外网提交状态、外网提交时间、校验标记、数据采集时间戳、民族、推送时间、预警时间、增量标识、数据生成/变更时间、数据加载（同步）时间、入仓时间、照片名称、照片url。</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1EE167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168C77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6A5056E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14:paraId="6FF559A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r w14:paraId="0145803B">
        <w:tblPrEx>
          <w:tblCellMar>
            <w:top w:w="0" w:type="dxa"/>
            <w:left w:w="108" w:type="dxa"/>
            <w:bottom w:w="0" w:type="dxa"/>
            <w:right w:w="108" w:type="dxa"/>
          </w:tblCellMar>
        </w:tblPrEx>
        <w:trPr>
          <w:trHeight w:val="2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4F0200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14:paraId="75B1AB6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海曙区高龄老人信息</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14:paraId="6F39C7C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主键、姓名、照片host、户口所在地、实际居住地、手机号码、联系电话、身份证号</w:t>
            </w:r>
            <w:r>
              <w:rPr>
                <w:rFonts w:hint="eastAsia" w:ascii="宋体" w:hAnsi="宋体" w:cs="宋体"/>
                <w:color w:val="auto"/>
                <w:kern w:val="2"/>
                <w:sz w:val="24"/>
                <w:szCs w:val="24"/>
                <w:highlight w:val="none"/>
                <w:lang w:val="en-US" w:eastAsia="zh-CN" w:bidi="ar-SA"/>
              </w:rPr>
              <w:t>。</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8F3A18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有条件共享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944D54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417BE2B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14:paraId="2289A3D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r>
    </w:tbl>
    <w:p w14:paraId="19C2F8A2">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项目共享外部数据资源</w:t>
      </w:r>
    </w:p>
    <w:p w14:paraId="2CEB1FCA">
      <w:pPr>
        <w:pageBreakBefore w:val="0"/>
        <w:widowControl w:val="0"/>
        <w:kinsoku/>
        <w:wordWrap/>
        <w:overflowPunct/>
        <w:topLinePunct w:val="0"/>
        <w:autoSpaceDE/>
        <w:autoSpaceDN/>
        <w:bidi w:val="0"/>
        <w:adjustRightInd w:val="0"/>
        <w:snapToGrid w:val="0"/>
        <w:spacing w:before="0" w:beforeLines="0" w:after="0" w:afterLines="0" w:line="320" w:lineRule="exact"/>
        <w:ind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项目共享外部数据资源表</w:t>
      </w:r>
    </w:p>
    <w:tbl>
      <w:tblPr>
        <w:tblStyle w:val="61"/>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22"/>
        <w:gridCol w:w="3126"/>
        <w:gridCol w:w="810"/>
        <w:gridCol w:w="870"/>
        <w:gridCol w:w="846"/>
        <w:gridCol w:w="764"/>
      </w:tblGrid>
      <w:tr w14:paraId="71C1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4" w:type="dxa"/>
            <w:shd w:val="clear" w:color="auto" w:fill="auto"/>
            <w:noWrap/>
            <w:vAlign w:val="center"/>
          </w:tcPr>
          <w:p w14:paraId="32F6BCA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1322" w:type="dxa"/>
            <w:shd w:val="clear" w:color="auto" w:fill="auto"/>
            <w:noWrap/>
            <w:vAlign w:val="center"/>
          </w:tcPr>
          <w:p w14:paraId="1CC7F6D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资源名称</w:t>
            </w:r>
          </w:p>
        </w:tc>
        <w:tc>
          <w:tcPr>
            <w:tcW w:w="3126" w:type="dxa"/>
            <w:shd w:val="clear" w:color="auto" w:fill="auto"/>
            <w:noWrap/>
            <w:vAlign w:val="center"/>
          </w:tcPr>
          <w:p w14:paraId="53A5DBD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数据项（字段名称）</w:t>
            </w:r>
          </w:p>
        </w:tc>
        <w:tc>
          <w:tcPr>
            <w:tcW w:w="810" w:type="dxa"/>
            <w:shd w:val="clear" w:color="auto" w:fill="auto"/>
            <w:noWrap/>
            <w:vAlign w:val="center"/>
          </w:tcPr>
          <w:p w14:paraId="5B09FA7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共享</w:t>
            </w:r>
          </w:p>
          <w:p w14:paraId="7A3FB8D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方式</w:t>
            </w:r>
          </w:p>
        </w:tc>
        <w:tc>
          <w:tcPr>
            <w:tcW w:w="870" w:type="dxa"/>
            <w:shd w:val="clear" w:color="auto" w:fill="auto"/>
            <w:noWrap/>
            <w:vAlign w:val="center"/>
          </w:tcPr>
          <w:p w14:paraId="06E89AB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更新</w:t>
            </w:r>
          </w:p>
          <w:p w14:paraId="2854818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频度</w:t>
            </w:r>
          </w:p>
        </w:tc>
        <w:tc>
          <w:tcPr>
            <w:tcW w:w="846" w:type="dxa"/>
            <w:shd w:val="clear" w:color="auto" w:fill="auto"/>
            <w:noWrap/>
            <w:vAlign w:val="center"/>
          </w:tcPr>
          <w:p w14:paraId="5C98D87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数源</w:t>
            </w:r>
          </w:p>
          <w:p w14:paraId="74A5C25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单位</w:t>
            </w:r>
          </w:p>
        </w:tc>
        <w:tc>
          <w:tcPr>
            <w:tcW w:w="764" w:type="dxa"/>
            <w:shd w:val="clear" w:color="auto" w:fill="auto"/>
            <w:noWrap/>
            <w:vAlign w:val="center"/>
          </w:tcPr>
          <w:p w14:paraId="2369C54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是否可用</w:t>
            </w:r>
          </w:p>
        </w:tc>
      </w:tr>
      <w:tr w14:paraId="6FC1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044F3E1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22" w:type="dxa"/>
            <w:shd w:val="clear" w:color="auto" w:fill="auto"/>
            <w:noWrap/>
            <w:vAlign w:val="center"/>
          </w:tcPr>
          <w:p w14:paraId="164EE51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人口信息表</w:t>
            </w:r>
          </w:p>
        </w:tc>
        <w:tc>
          <w:tcPr>
            <w:tcW w:w="3126" w:type="dxa"/>
            <w:shd w:val="clear" w:color="auto" w:fill="auto"/>
            <w:noWrap/>
            <w:vAlign w:val="center"/>
          </w:tcPr>
          <w:p w14:paraId="6B6D6EB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姓名、身份证、年龄、户籍街道名称、户籍社区名称、户籍地址、居住街道名称、居住社区名称、居住地址、老人手机号、老人联系电话、服务状态、补贴标准、政府补贴对象类型描述。</w:t>
            </w:r>
          </w:p>
        </w:tc>
        <w:tc>
          <w:tcPr>
            <w:tcW w:w="810" w:type="dxa"/>
            <w:shd w:val="clear" w:color="auto" w:fill="auto"/>
            <w:noWrap/>
            <w:vAlign w:val="center"/>
          </w:tcPr>
          <w:p w14:paraId="156DCC8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0583790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c>
          <w:tcPr>
            <w:tcW w:w="846" w:type="dxa"/>
            <w:shd w:val="clear" w:color="auto" w:fill="auto"/>
            <w:noWrap/>
            <w:vAlign w:val="center"/>
          </w:tcPr>
          <w:p w14:paraId="7FEB0AF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海曙区数据局</w:t>
            </w:r>
          </w:p>
        </w:tc>
        <w:tc>
          <w:tcPr>
            <w:tcW w:w="764" w:type="dxa"/>
            <w:shd w:val="clear" w:color="auto" w:fill="auto"/>
            <w:noWrap/>
            <w:vAlign w:val="center"/>
          </w:tcPr>
          <w:p w14:paraId="203CA46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1D1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60F7C1B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322" w:type="dxa"/>
            <w:shd w:val="clear" w:color="auto" w:fill="auto"/>
            <w:noWrap/>
            <w:vAlign w:val="center"/>
          </w:tcPr>
          <w:p w14:paraId="4E6AF4D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低保对象基本信息</w:t>
            </w:r>
          </w:p>
        </w:tc>
        <w:tc>
          <w:tcPr>
            <w:tcW w:w="3126" w:type="dxa"/>
            <w:shd w:val="clear" w:color="auto" w:fill="auto"/>
            <w:noWrap/>
            <w:vAlign w:val="center"/>
          </w:tcPr>
          <w:p w14:paraId="6903859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流水号、业务主键、手机号码、致贫原因、户籍地址区划编码、户籍地址门牌号、户口性质、居住地址区划编码、居住地址门牌号、家庭总人口、申请救助原因、开户银行、省厅区划编码、开户人、开户人身份证、银行账号、累计月份、累计收入、累计支出、保障标准、月人均收入、人均保障金、一般残人数、民政部区划编码、重残人数、保障总人口、一般残补差、重残补差、残疾补差金、户保障金、其他补助金、总发放金额、救助日期、救助证编号、行政区划、低保类型、是否区县调查、区县调查人、乡镇调查人、调查时间、调查结果、单据类型、代办人电话、是否申请电力减免、用电户号、申请类别、减免地址、序号、DML_TYPE、更新时间、推送时间、申请人、申请身份证、低保类别、联系电话。</w:t>
            </w:r>
          </w:p>
        </w:tc>
        <w:tc>
          <w:tcPr>
            <w:tcW w:w="810" w:type="dxa"/>
            <w:shd w:val="clear" w:color="auto" w:fill="auto"/>
            <w:noWrap/>
            <w:vAlign w:val="center"/>
          </w:tcPr>
          <w:p w14:paraId="2AB17F4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3FE4058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c>
          <w:tcPr>
            <w:tcW w:w="846" w:type="dxa"/>
            <w:shd w:val="clear" w:color="auto" w:fill="auto"/>
            <w:noWrap/>
            <w:vAlign w:val="center"/>
          </w:tcPr>
          <w:p w14:paraId="02EFCD1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13BF096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4D81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71AB6A4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22" w:type="dxa"/>
            <w:shd w:val="clear" w:color="auto" w:fill="auto"/>
            <w:noWrap/>
            <w:vAlign w:val="center"/>
          </w:tcPr>
          <w:p w14:paraId="174E9FE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特困对象基本信息</w:t>
            </w:r>
          </w:p>
        </w:tc>
        <w:tc>
          <w:tcPr>
            <w:tcW w:w="3126" w:type="dxa"/>
            <w:shd w:val="clear" w:color="auto" w:fill="auto"/>
            <w:noWrap/>
            <w:vAlign w:val="center"/>
          </w:tcPr>
          <w:p w14:paraId="30EAB00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流水号、主键、手机号码、致贫原因、户籍地址门牌号、户籍地址区划编码、居住地址门牌号、居住邮编区划编码、申请救助原因、开户银行、开户人、开户人身份证、省厅区划编码、银行账号、是否集中供养、供养方式、供养地、基本生活标准、保障总人口、家庭总人口、基本生活费、其他补助金、护理费、民政部区划编码、救助日期、总发放金额、救助证编号、是否区县调查、区县调查人、乡镇调查人、调查时间、调查结果、单据类型、序号、行政区划、DML_TYPE、更新时间、推送时间、申请类别、申请人、申请身份证、户口性质、联系电话。</w:t>
            </w:r>
          </w:p>
        </w:tc>
        <w:tc>
          <w:tcPr>
            <w:tcW w:w="810" w:type="dxa"/>
            <w:shd w:val="clear" w:color="auto" w:fill="auto"/>
            <w:noWrap/>
            <w:vAlign w:val="center"/>
          </w:tcPr>
          <w:p w14:paraId="793D4BF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5E4698A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c>
          <w:tcPr>
            <w:tcW w:w="846" w:type="dxa"/>
            <w:shd w:val="clear" w:color="auto" w:fill="auto"/>
            <w:noWrap/>
            <w:vAlign w:val="center"/>
          </w:tcPr>
          <w:p w14:paraId="706892E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40FBC91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31ED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454B112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322" w:type="dxa"/>
            <w:shd w:val="clear" w:color="auto" w:fill="auto"/>
            <w:noWrap/>
            <w:vAlign w:val="center"/>
          </w:tcPr>
          <w:p w14:paraId="571BF9D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边缘救助对象基本信息</w:t>
            </w:r>
          </w:p>
        </w:tc>
        <w:tc>
          <w:tcPr>
            <w:tcW w:w="3126" w:type="dxa"/>
            <w:shd w:val="clear" w:color="auto" w:fill="auto"/>
            <w:noWrap/>
            <w:vAlign w:val="center"/>
          </w:tcPr>
          <w:p w14:paraId="1C1356E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流水号、主键、手机号码、致贫原因、户籍地址门牌号、户籍地址区划编码、居住地址门牌号、居住邮编区划编码、申请救助原因、开户银行、开户人、开户人身份证、省厅区划编码、银行账号、是否集中供养、供养方式、供养地、基本生活标准、保障总人口、家庭总人口、基本生活费、其他补助金、护理费、民政部区划编码、救助日期、总发放金额、救助证编号、是否区县调查、区县调查人、乡镇调查人、调查时间、调查结果、单据类型、序号、行政区划、DML_TYPE、更新时间、推送时间、申请类别、申请人、申请身份证、户口性质、联系电话。</w:t>
            </w:r>
          </w:p>
        </w:tc>
        <w:tc>
          <w:tcPr>
            <w:tcW w:w="810" w:type="dxa"/>
            <w:shd w:val="clear" w:color="auto" w:fill="auto"/>
            <w:noWrap/>
            <w:vAlign w:val="center"/>
          </w:tcPr>
          <w:p w14:paraId="1A45A4D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0AC5EA8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c>
          <w:tcPr>
            <w:tcW w:w="846" w:type="dxa"/>
            <w:shd w:val="clear" w:color="auto" w:fill="auto"/>
            <w:noWrap/>
            <w:vAlign w:val="center"/>
          </w:tcPr>
          <w:p w14:paraId="76ED9B5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7A594FA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5E6A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6E2CDF9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bookmarkStart w:id="93" w:name="_Toc130933265"/>
            <w:bookmarkStart w:id="94" w:name="_Toc133266297"/>
            <w:r>
              <w:rPr>
                <w:rFonts w:hint="eastAsia" w:ascii="宋体" w:hAnsi="宋体" w:eastAsia="宋体" w:cs="宋体"/>
                <w:color w:val="auto"/>
                <w:kern w:val="2"/>
                <w:sz w:val="24"/>
                <w:szCs w:val="24"/>
                <w:highlight w:val="none"/>
                <w:lang w:val="en-US" w:eastAsia="zh-CN" w:bidi="ar-SA"/>
              </w:rPr>
              <w:t>5</w:t>
            </w:r>
          </w:p>
        </w:tc>
        <w:tc>
          <w:tcPr>
            <w:tcW w:w="1322" w:type="dxa"/>
            <w:shd w:val="clear" w:color="auto" w:fill="auto"/>
            <w:noWrap/>
            <w:vAlign w:val="center"/>
          </w:tcPr>
          <w:p w14:paraId="0BF37B4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临时救助对象基本信息</w:t>
            </w:r>
          </w:p>
        </w:tc>
        <w:tc>
          <w:tcPr>
            <w:tcW w:w="3126" w:type="dxa"/>
            <w:shd w:val="clear" w:color="auto" w:fill="auto"/>
            <w:noWrap/>
            <w:vAlign w:val="center"/>
          </w:tcPr>
          <w:p w14:paraId="5E3E0E5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行政区划、家庭总人口、居住地址、是否核对、申请救助原因、家庭类别、开户银行、开户人、开户人身份证、银行账号、受灾日期、户口性质、受损金额、救助方式、救助日期、救助人数、救助金额、是否紧急、致贫原因、单据类型、省厅区划编码、民政部区划编码、申请人、年份、月份、序号、DML_TYPE、推送时间、更新时间、入仓时间、申请身份证、对象类别、联系电话、手机号码、救助类别、户籍地址</w:t>
            </w:r>
          </w:p>
        </w:tc>
        <w:tc>
          <w:tcPr>
            <w:tcW w:w="810" w:type="dxa"/>
            <w:shd w:val="clear" w:color="auto" w:fill="auto"/>
            <w:noWrap/>
            <w:vAlign w:val="center"/>
          </w:tcPr>
          <w:p w14:paraId="392948D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54C9CC1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c>
          <w:tcPr>
            <w:tcW w:w="846" w:type="dxa"/>
            <w:shd w:val="clear" w:color="auto" w:fill="auto"/>
            <w:noWrap/>
            <w:vAlign w:val="center"/>
          </w:tcPr>
          <w:p w14:paraId="499DFF2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6E8ED78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5CD6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175F761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322" w:type="dxa"/>
            <w:shd w:val="clear" w:color="auto" w:fill="auto"/>
            <w:noWrap/>
            <w:vAlign w:val="center"/>
          </w:tcPr>
          <w:p w14:paraId="5DA1D72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孤儿、困境儿童信息</w:t>
            </w:r>
          </w:p>
        </w:tc>
        <w:tc>
          <w:tcPr>
            <w:tcW w:w="3126" w:type="dxa"/>
            <w:shd w:val="clear" w:color="auto" w:fill="auto"/>
            <w:noWrap/>
            <w:vAlign w:val="center"/>
          </w:tcPr>
          <w:p w14:paraId="058F23B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区划、姓名、户籍性质、户籍地址、现居地址、工作情况、学校名称、学业状况、健康状况、患病类型、残疾类型、残疾等级、身份证号、养育类型、家庭成员1姓名、家庭成员1身份证号、家庭成员1与儿童关系、家庭成员1当前情况、家庭成员1是否监护人、家庭成员1联系电话、家庭成员2姓名、家庭成员2身份证号、家庭成员2与儿童关系、家庭成员2当前情况、家庭成员2是否监护人、家庭成员2联系电话、所属机构名称、领取人、领取人身份证号、领取人与儿童关系、领取方式、银行账号、开户银行、儿童类型、银行开户行号、享受金额、享受日期、享受状态、儿童督导员姓名、儿童督导员身份证号、儿童督导员手机号码、儿童主任姓名、儿童主任身份证号、儿童主任手机号码、二级类别、业务主键、注销时间、注销原因、DML操作、增量标示、更新时间、推送时间、入仓时间、性别、民族、出生日期、户口分类。</w:t>
            </w:r>
          </w:p>
        </w:tc>
        <w:tc>
          <w:tcPr>
            <w:tcW w:w="810" w:type="dxa"/>
            <w:shd w:val="clear" w:color="auto" w:fill="auto"/>
            <w:noWrap/>
            <w:vAlign w:val="center"/>
          </w:tcPr>
          <w:p w14:paraId="6A9E380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489C422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c>
          <w:tcPr>
            <w:tcW w:w="846" w:type="dxa"/>
            <w:shd w:val="clear" w:color="auto" w:fill="auto"/>
            <w:noWrap/>
            <w:vAlign w:val="center"/>
          </w:tcPr>
          <w:p w14:paraId="5C908DD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582F321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2390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0BAD449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322" w:type="dxa"/>
            <w:shd w:val="clear" w:color="auto" w:fill="auto"/>
            <w:noWrap/>
            <w:vAlign w:val="center"/>
          </w:tcPr>
          <w:p w14:paraId="2EAABC4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留守儿童信息</w:t>
            </w:r>
          </w:p>
        </w:tc>
        <w:tc>
          <w:tcPr>
            <w:tcW w:w="3126" w:type="dxa"/>
            <w:shd w:val="clear" w:color="auto" w:fill="auto"/>
            <w:noWrap/>
            <w:vAlign w:val="center"/>
          </w:tcPr>
          <w:p w14:paraId="1A1C324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区划、姓名、户籍地址、现居地址、工学情况、学校名称、学业状况、健康状况、患病类型、残疾类型、残疾等级、养育类型、身份证号、家庭成员1姓名、家庭成员1身份证号、家庭成员1与儿童关系、家庭成员1当前情况、家庭成员1是否监护人、家庭成员1联系电话、家庭成员2姓名、家庭成员2身份证号、家庭成员2与儿童关系、家庭成员2当前情况、家庭成员2是否监护人、家庭成员2联系电话、儿童督导员姓名、儿童督导员身份证号、儿童督导员手机号码、儿童主任姓名、儿童主任身份证号、儿童主任手机号码、业务主键、注销时间、儿童类型、注销原因、DML操作、增量标示、更新时间、推送时间、入仓时间、性别、民族、出生日期、户口分类、户籍性质</w:t>
            </w:r>
          </w:p>
        </w:tc>
        <w:tc>
          <w:tcPr>
            <w:tcW w:w="810" w:type="dxa"/>
            <w:shd w:val="clear" w:color="auto" w:fill="auto"/>
            <w:noWrap/>
            <w:vAlign w:val="center"/>
          </w:tcPr>
          <w:p w14:paraId="29900FC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50C3504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w:t>
            </w:r>
          </w:p>
        </w:tc>
        <w:tc>
          <w:tcPr>
            <w:tcW w:w="846" w:type="dxa"/>
            <w:shd w:val="clear" w:color="auto" w:fill="auto"/>
            <w:noWrap/>
            <w:vAlign w:val="center"/>
          </w:tcPr>
          <w:p w14:paraId="36DA7C4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6A807F6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6DFE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240340D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322" w:type="dxa"/>
            <w:shd w:val="clear" w:color="auto" w:fill="auto"/>
            <w:noWrap/>
            <w:vAlign w:val="center"/>
          </w:tcPr>
          <w:p w14:paraId="73BAAB3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社会团体基本信息</w:t>
            </w:r>
          </w:p>
        </w:tc>
        <w:tc>
          <w:tcPr>
            <w:tcW w:w="3126" w:type="dxa"/>
            <w:shd w:val="clear" w:color="auto" w:fill="auto"/>
            <w:noWrap/>
            <w:vAlign w:val="center"/>
          </w:tcPr>
          <w:p w14:paraId="25A1272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织名称、证书有效日期始、证书有效日期结束、是否慈善组织、评估登记、评估年度、上上年度年检年报结论、上年度年检年报结论、信用情况、是否社区社会组织、业务类型、统一信用代码、行政区划、创建时间、更新时间、DML系统更新时间、推送时间、入仓时间、类型、住所地址、注册资金、发证机关、业务主管单位、业务范围、法定代表人</w:t>
            </w:r>
          </w:p>
        </w:tc>
        <w:tc>
          <w:tcPr>
            <w:tcW w:w="810" w:type="dxa"/>
            <w:shd w:val="clear" w:color="auto" w:fill="auto"/>
            <w:noWrap/>
            <w:vAlign w:val="center"/>
          </w:tcPr>
          <w:p w14:paraId="54FB259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24928CB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7869693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64BC557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1254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4CD013A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322" w:type="dxa"/>
            <w:shd w:val="clear" w:color="auto" w:fill="auto"/>
            <w:noWrap/>
            <w:vAlign w:val="center"/>
          </w:tcPr>
          <w:p w14:paraId="71664D1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民办非企业基本信息</w:t>
            </w:r>
          </w:p>
        </w:tc>
        <w:tc>
          <w:tcPr>
            <w:tcW w:w="3126" w:type="dxa"/>
            <w:shd w:val="clear" w:color="auto" w:fill="auto"/>
            <w:noWrap/>
            <w:vAlign w:val="center"/>
          </w:tcPr>
          <w:p w14:paraId="5462895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成立登记主键、是否直接登记、单位全称、登记证号、统一信用代码、住所、单位代码、注册资金</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万元</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注册邮编、注册电话、成立日期、经办人、预登记主键、经办人电话、评估等级、评估时间、评估有效期、慈善组织类别、慈善组织联系人、慈善组织联系人电话、从业人数、执业人数、党员人数、行政受理编号、所属二级行</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业、所属一级行</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业、所属行</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业、宗旨、业务范围、行政许可编号、反对人数、弃权人数、需说明的主要问题、备注、转登记标记、是否申请慈善组织、慈善活动领域、业务类别、基础设备设施、行政许可日期、验资单位、开办资金来源、住所产权单位、用房面积（平方米）、租</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借</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期限、业务主管单位ID、业务主管单位、业务主管单位地址、业务主管单位电话、业务主管单位邮编、行政受理日期、业务主管单位联系人、业务主管单位联系人电话、业务主管单位联系人手机、业务主管单位联系人工作单位、业务主管单位意见、审批状态、行政受理年份、行政受理序号、行政区划编码、DML_TYPE、填表日期</w:t>
            </w:r>
          </w:p>
        </w:tc>
        <w:tc>
          <w:tcPr>
            <w:tcW w:w="810" w:type="dxa"/>
            <w:shd w:val="clear" w:color="auto" w:fill="auto"/>
            <w:noWrap/>
            <w:vAlign w:val="center"/>
          </w:tcPr>
          <w:p w14:paraId="2B82B7A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6B9D5E4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74C3472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2B4D24D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4773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2385793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322" w:type="dxa"/>
            <w:shd w:val="clear" w:color="auto" w:fill="auto"/>
            <w:noWrap/>
            <w:vAlign w:val="center"/>
          </w:tcPr>
          <w:p w14:paraId="4ADE02F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基金会基本信息</w:t>
            </w:r>
          </w:p>
        </w:tc>
        <w:tc>
          <w:tcPr>
            <w:tcW w:w="3126" w:type="dxa"/>
            <w:shd w:val="clear" w:color="auto" w:fill="auto"/>
            <w:noWrap/>
            <w:vAlign w:val="center"/>
          </w:tcPr>
          <w:p w14:paraId="7A465B6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立登记主键、是否直接登记、基金会名称、缩写名、基金会英文名称、统一信用代码、登记证号、税务类别、发证机关、原始资金来源、组织机构代码证、基金会类型、预登记主键、慈善组织类别、理事人数、监事人数、原始基金数额、基金会联系人、基金会联系人电话、基金会联系人手机、住房来源、住所地址、住所电话、行政受理编号、住所邮编、所属二级行</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业、所属一级行</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业、所属行</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业、评估等级、评估时间、评估有效期、产权单位、用房面积、租</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借</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期限、行政许可编号、成立日期、宗旨、业务范围、会议名称、会议时间、表决形式、应到人数、实到人数、同意人数、反对人数、行政许可日期、弃权人数、修改说明、验资单位、验资单位类别、转登记标记、是否申请慈善组织、慈善活动领域、业务主管单位ID、业务主管单位、业务主管单位地址、行政受理日期、业务主管单位电话、业务主管单位邮编、业务主管单位联系人、业务主管单位联系人电话、业务主管单位联系人手机、业务主管单位联系人工作单位、业务主管单位意见、审批状态、备用字段、备用字段、行政受理年份、填表日期。</w:t>
            </w:r>
          </w:p>
        </w:tc>
        <w:tc>
          <w:tcPr>
            <w:tcW w:w="810" w:type="dxa"/>
            <w:shd w:val="clear" w:color="auto" w:fill="auto"/>
            <w:noWrap/>
            <w:vAlign w:val="center"/>
          </w:tcPr>
          <w:p w14:paraId="32C9422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40E2655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78B8488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46AC452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0EB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0BD1343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322" w:type="dxa"/>
            <w:shd w:val="clear" w:color="auto" w:fill="auto"/>
            <w:noWrap/>
            <w:vAlign w:val="center"/>
          </w:tcPr>
          <w:p w14:paraId="3D93EE3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社区居家养老服务照料中心信息</w:t>
            </w:r>
          </w:p>
        </w:tc>
        <w:tc>
          <w:tcPr>
            <w:tcW w:w="3126" w:type="dxa"/>
            <w:shd w:val="clear" w:color="auto" w:fill="auto"/>
            <w:noWrap/>
            <w:vAlign w:val="center"/>
          </w:tcPr>
          <w:p w14:paraId="36C04A2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主键、外键</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单位、工作人员数量、运营方式、建筑面积、日托床位数、托养床位数、服务功能、照片路径、照片名称、是否黑户、黑户编号、照料中心名称、行政区划ID、行政区划编码、行政区划名称、单据类型、制单人ID、制单人、制单日期、修改标记、修改人ID、修改人、有无信用代码、修改日期、删除标记、删除人ID、删除人、删除时间、审批状态、审批状态描述、审批等级、审核人ID、审核人、社会信用代码、审核日期、单据状态、单据状态描述、部门编号、乐观锁、数据类型、数据标记、暂存状态、数据生成时间、产品备用</w:t>
            </w:r>
            <w:r>
              <w:rPr>
                <w:rFonts w:hint="eastAsia" w:ascii="宋体" w:hAnsi="宋体" w:cs="宋体"/>
                <w:color w:val="auto"/>
                <w:kern w:val="2"/>
                <w:sz w:val="24"/>
                <w:szCs w:val="24"/>
                <w:highlight w:val="none"/>
                <w:lang w:val="en-US" w:eastAsia="zh-CN" w:bidi="ar-SA"/>
              </w:rPr>
              <w:t>字段</w:t>
            </w:r>
            <w:r>
              <w:rPr>
                <w:rFonts w:hint="eastAsia" w:ascii="宋体" w:hAnsi="宋体" w:eastAsia="宋体" w:cs="宋体"/>
                <w:color w:val="auto"/>
                <w:kern w:val="2"/>
                <w:sz w:val="24"/>
                <w:szCs w:val="24"/>
                <w:highlight w:val="none"/>
                <w:lang w:val="en-US" w:eastAsia="zh-CN" w:bidi="ar-SA"/>
              </w:rPr>
              <w:t>00、具体地址、公开电话、DML_TYPE、推送时间、更新时间、入仓时间、联系人。</w:t>
            </w:r>
          </w:p>
        </w:tc>
        <w:tc>
          <w:tcPr>
            <w:tcW w:w="810" w:type="dxa"/>
            <w:shd w:val="clear" w:color="auto" w:fill="auto"/>
            <w:noWrap/>
            <w:vAlign w:val="center"/>
          </w:tcPr>
          <w:p w14:paraId="3765498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2BB5422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每周</w:t>
            </w:r>
          </w:p>
        </w:tc>
        <w:tc>
          <w:tcPr>
            <w:tcW w:w="846" w:type="dxa"/>
            <w:shd w:val="clear" w:color="auto" w:fill="auto"/>
            <w:noWrap/>
            <w:vAlign w:val="center"/>
          </w:tcPr>
          <w:p w14:paraId="3296EA0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085CE4C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2B5B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119CB43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1322" w:type="dxa"/>
            <w:shd w:val="clear" w:color="auto" w:fill="auto"/>
            <w:noWrap/>
            <w:vAlign w:val="center"/>
          </w:tcPr>
          <w:p w14:paraId="15B5F35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养老机构信息</w:t>
            </w:r>
          </w:p>
        </w:tc>
        <w:tc>
          <w:tcPr>
            <w:tcW w:w="3126" w:type="dxa"/>
            <w:shd w:val="clear" w:color="auto" w:fill="auto"/>
            <w:noWrap/>
            <w:vAlign w:val="center"/>
          </w:tcPr>
          <w:p w14:paraId="11B0EC0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单位ID、机构地址、机构名称、机构类型、机构性质、机构归属、运营方式、成立日期、总投资、建设性质、资金来源、产权单位、产权证号、租用期限、占地面积、建筑面积、服务范围、服务项目、医疗条件、医疗机构名称、医疗机构社会信用代码、联系手机、质询电话、电子邮箱、传真、法定代表人姓名、法定代表人电话、法定代表人手机、法定代表人证件类型、法定代表人证件号码、主要负责人姓名、主要负责人电话、主要负责人手机、主要负责人证件类型、主要负责人证件号码、实际机构床位总数、实际护理床位数、实际普通床位数、总床位数、护理床位数、自理床位数、医疗床位数、内设医疗机构医师数量、康复医师数量、康复治疗师数量、护士数量、床位费、护理费、伙食费、康复室场地、康复室使用面积、康复设施设备、内设医疗机构是否具备医保定点资格、签约合作医疗机构名称、签约合作医疗机构社会信用代码、审批状态、审批状态描述、审批等级、审核人ID、审核人、审核日期、单据状态、单据状态描述、照片名称、照片url、查验人、查验时间、查验结论、乡镇街道意见、备注、</w:t>
            </w:r>
            <w:r>
              <w:rPr>
                <w:rFonts w:hint="eastAsia" w:ascii="宋体" w:hAnsi="宋体" w:cs="宋体"/>
                <w:color w:val="auto"/>
                <w:kern w:val="2"/>
                <w:sz w:val="24"/>
                <w:szCs w:val="24"/>
                <w:highlight w:val="none"/>
                <w:lang w:val="en-US" w:eastAsia="zh-CN" w:bidi="ar-SA"/>
              </w:rPr>
              <w:t>账号</w:t>
            </w:r>
            <w:r>
              <w:rPr>
                <w:rFonts w:hint="eastAsia" w:ascii="宋体" w:hAnsi="宋体" w:eastAsia="宋体" w:cs="宋体"/>
                <w:color w:val="auto"/>
                <w:kern w:val="2"/>
                <w:sz w:val="24"/>
                <w:szCs w:val="24"/>
                <w:highlight w:val="none"/>
                <w:lang w:val="en-US" w:eastAsia="zh-CN" w:bidi="ar-SA"/>
              </w:rPr>
              <w:t>状态、</w:t>
            </w:r>
            <w:r>
              <w:rPr>
                <w:rFonts w:hint="eastAsia" w:ascii="宋体" w:hAnsi="宋体" w:cs="宋体"/>
                <w:color w:val="auto"/>
                <w:kern w:val="2"/>
                <w:sz w:val="24"/>
                <w:szCs w:val="24"/>
                <w:highlight w:val="none"/>
                <w:lang w:val="en-US" w:eastAsia="zh-CN" w:bidi="ar-SA"/>
              </w:rPr>
              <w:t>账号</w:t>
            </w:r>
            <w:r>
              <w:rPr>
                <w:rFonts w:hint="eastAsia" w:ascii="宋体" w:hAnsi="宋体" w:eastAsia="宋体" w:cs="宋体"/>
                <w:color w:val="auto"/>
                <w:kern w:val="2"/>
                <w:sz w:val="24"/>
                <w:szCs w:val="24"/>
                <w:highlight w:val="none"/>
                <w:lang w:val="en-US" w:eastAsia="zh-CN" w:bidi="ar-SA"/>
              </w:rPr>
              <w:t>审核人ID、</w:t>
            </w:r>
            <w:r>
              <w:rPr>
                <w:rFonts w:hint="eastAsia" w:ascii="宋体" w:hAnsi="宋体" w:cs="宋体"/>
                <w:color w:val="auto"/>
                <w:kern w:val="2"/>
                <w:sz w:val="24"/>
                <w:szCs w:val="24"/>
                <w:highlight w:val="none"/>
                <w:lang w:val="en-US" w:eastAsia="zh-CN" w:bidi="ar-SA"/>
              </w:rPr>
              <w:t>账号</w:t>
            </w:r>
            <w:r>
              <w:rPr>
                <w:rFonts w:hint="eastAsia" w:ascii="宋体" w:hAnsi="宋体" w:eastAsia="宋体" w:cs="宋体"/>
                <w:color w:val="auto"/>
                <w:kern w:val="2"/>
                <w:sz w:val="24"/>
                <w:szCs w:val="24"/>
                <w:highlight w:val="none"/>
                <w:lang w:val="en-US" w:eastAsia="zh-CN" w:bidi="ar-SA"/>
              </w:rPr>
              <w:t>审核人、</w:t>
            </w:r>
            <w:r>
              <w:rPr>
                <w:rFonts w:hint="eastAsia" w:ascii="宋体" w:hAnsi="宋体" w:cs="宋体"/>
                <w:color w:val="auto"/>
                <w:kern w:val="2"/>
                <w:sz w:val="24"/>
                <w:szCs w:val="24"/>
                <w:highlight w:val="none"/>
                <w:lang w:val="en-US" w:eastAsia="zh-CN" w:bidi="ar-SA"/>
              </w:rPr>
              <w:t>账号</w:t>
            </w:r>
            <w:r>
              <w:rPr>
                <w:rFonts w:hint="eastAsia" w:ascii="宋体" w:hAnsi="宋体" w:eastAsia="宋体" w:cs="宋体"/>
                <w:color w:val="auto"/>
                <w:kern w:val="2"/>
                <w:sz w:val="24"/>
                <w:szCs w:val="24"/>
                <w:highlight w:val="none"/>
                <w:lang w:val="en-US" w:eastAsia="zh-CN" w:bidi="ar-SA"/>
              </w:rPr>
              <w:t>审核时间、管理机关区划ID、管理机关区划编码、管理机关名称、数据类型、数据标记、暂存状态、数据生成时间</w:t>
            </w:r>
            <w:r>
              <w:rPr>
                <w:rFonts w:hint="eastAsia" w:ascii="宋体" w:hAnsi="宋体" w:cs="宋体"/>
                <w:color w:val="auto"/>
                <w:kern w:val="2"/>
                <w:sz w:val="24"/>
                <w:szCs w:val="24"/>
                <w:highlight w:val="none"/>
                <w:lang w:val="en-US" w:eastAsia="zh-CN" w:bidi="ar-SA"/>
              </w:rPr>
              <w:t>。</w:t>
            </w:r>
          </w:p>
        </w:tc>
        <w:tc>
          <w:tcPr>
            <w:tcW w:w="810" w:type="dxa"/>
            <w:shd w:val="clear" w:color="auto" w:fill="auto"/>
            <w:noWrap/>
            <w:vAlign w:val="center"/>
          </w:tcPr>
          <w:p w14:paraId="7744E67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0227667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每周</w:t>
            </w:r>
          </w:p>
        </w:tc>
        <w:tc>
          <w:tcPr>
            <w:tcW w:w="846" w:type="dxa"/>
            <w:shd w:val="clear" w:color="auto" w:fill="auto"/>
            <w:noWrap/>
            <w:vAlign w:val="center"/>
          </w:tcPr>
          <w:p w14:paraId="40363A8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7B4F15C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1C6C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0E4973D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1322" w:type="dxa"/>
            <w:shd w:val="clear" w:color="auto" w:fill="auto"/>
            <w:noWrap/>
            <w:vAlign w:val="center"/>
          </w:tcPr>
          <w:p w14:paraId="599F9CF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养老机构护理员信息</w:t>
            </w:r>
          </w:p>
        </w:tc>
        <w:tc>
          <w:tcPr>
            <w:tcW w:w="3126" w:type="dxa"/>
            <w:shd w:val="clear" w:color="auto" w:fill="auto"/>
            <w:noWrap/>
            <w:vAlign w:val="center"/>
          </w:tcPr>
          <w:p w14:paraId="2972BD1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主键、外键</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机构id、年龄、性别、人员性质、医师类别、护理类别、职务、文化程度、现居住地址、户籍所在地、工作单位、外键</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部门id、工作单位社会信用代码、年收入、毕业院校、毕业专业、毕业证编号、专项职业能力、学位、联系电话、联系人、联系手机、机构名称、人员状态、入职时间、离职时间、政治面貌、健康状况、民族、婚姻状况、籍贯、是否内部员工、是否护理员、照片名称、是否专职、工号、用户类型、岗位职责、功能权限、楼栋id、楼栋名称、备注、人脸同步状态 0未同步 1已同步、人脸同步时间、照片url、行政区划ID、行政区划编码、行政区划名称、制单人ID、制单人、制单日期、修改标记、修改人ID、修改人、修改日期、照片host、删除标记、删除人ID、删除人、删除时间、审批状态、审批状态描述、审批等级、审核人ID、审核人、审核日期、姓名、单据状态、单据状态描述、部门编号、乐观锁、数据类型、数据标记、暂存状态、数据生成时间、岗位职责、执业证书编号、身份证号、医务职位、专业方向、专业技术级别、医护类型、专项职业能力、护理员技能等级、序号、DML_TYPE、推送时间、更新时间、出生年月、入仓时间</w:t>
            </w:r>
          </w:p>
        </w:tc>
        <w:tc>
          <w:tcPr>
            <w:tcW w:w="810" w:type="dxa"/>
            <w:shd w:val="clear" w:color="auto" w:fill="auto"/>
            <w:noWrap/>
            <w:vAlign w:val="center"/>
          </w:tcPr>
          <w:p w14:paraId="0A09287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4D3D518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每周</w:t>
            </w:r>
          </w:p>
        </w:tc>
        <w:tc>
          <w:tcPr>
            <w:tcW w:w="846" w:type="dxa"/>
            <w:shd w:val="clear" w:color="auto" w:fill="auto"/>
            <w:noWrap/>
            <w:vAlign w:val="center"/>
          </w:tcPr>
          <w:p w14:paraId="3985F90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09BDAC2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0C30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09BEC37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1322" w:type="dxa"/>
            <w:shd w:val="clear" w:color="auto" w:fill="auto"/>
            <w:noWrap/>
            <w:vAlign w:val="center"/>
          </w:tcPr>
          <w:p w14:paraId="73A735C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养老机构床位信息</w:t>
            </w:r>
          </w:p>
        </w:tc>
        <w:tc>
          <w:tcPr>
            <w:tcW w:w="3126" w:type="dxa"/>
            <w:shd w:val="clear" w:color="auto" w:fill="auto"/>
            <w:noWrap/>
            <w:vAlign w:val="center"/>
          </w:tcPr>
          <w:p w14:paraId="2625256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主键、床位外键、数据生成/变更时间、数据加载（同步）时间、入仓时间、老人外键、绑定状态标志、床位状态类型、绑定时间、解绑时间、时间标记（1：入院时间；2：换绑时间；99：离院时间）、DML type、增量标识。</w:t>
            </w:r>
          </w:p>
        </w:tc>
        <w:tc>
          <w:tcPr>
            <w:tcW w:w="810" w:type="dxa"/>
            <w:shd w:val="clear" w:color="auto" w:fill="auto"/>
            <w:noWrap/>
            <w:vAlign w:val="center"/>
          </w:tcPr>
          <w:p w14:paraId="51F5FE0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60C5F44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每周</w:t>
            </w:r>
          </w:p>
        </w:tc>
        <w:tc>
          <w:tcPr>
            <w:tcW w:w="846" w:type="dxa"/>
            <w:shd w:val="clear" w:color="auto" w:fill="auto"/>
            <w:noWrap/>
            <w:vAlign w:val="center"/>
          </w:tcPr>
          <w:p w14:paraId="68C4D20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71C3E21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0660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490E133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322" w:type="dxa"/>
            <w:shd w:val="clear" w:color="auto" w:fill="auto"/>
            <w:noWrap/>
            <w:vAlign w:val="center"/>
          </w:tcPr>
          <w:p w14:paraId="5403F88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养老机构老年人信息</w:t>
            </w:r>
          </w:p>
        </w:tc>
        <w:tc>
          <w:tcPr>
            <w:tcW w:w="3126" w:type="dxa"/>
            <w:shd w:val="clear" w:color="auto" w:fill="auto"/>
            <w:noWrap/>
            <w:vAlign w:val="center"/>
          </w:tcPr>
          <w:p w14:paraId="3BDDF75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原业务主键、家庭人数、户籍所在地、现居住地、联系电话、申请人或代理人姓名、申请人或代理人身份证、照片url、原因（评估信息）、补贴金额（审核时填写）、申请人具体类别（评估信息）、评估机构（评估信息）、评估人（评估信息）、备注、行政区划、区划名称、照片名称</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行政区划、序号、DML_TYPE、更新时间、推送时间、入仓时间、姓名、身份证号、年龄、出生年月、性别、民族。</w:t>
            </w:r>
            <w:r>
              <w:rPr>
                <w:rFonts w:hint="eastAsia" w:ascii="宋体" w:hAnsi="宋体" w:eastAsia="宋体" w:cs="宋体"/>
                <w:color w:val="auto"/>
                <w:kern w:val="2"/>
                <w:sz w:val="24"/>
                <w:szCs w:val="24"/>
                <w:highlight w:val="none"/>
                <w:lang w:val="en-US" w:eastAsia="zh-CN" w:bidi="ar-SA"/>
              </w:rPr>
              <w:tab/>
            </w:r>
          </w:p>
        </w:tc>
        <w:tc>
          <w:tcPr>
            <w:tcW w:w="810" w:type="dxa"/>
            <w:shd w:val="clear" w:color="auto" w:fill="auto"/>
            <w:noWrap/>
            <w:vAlign w:val="center"/>
          </w:tcPr>
          <w:p w14:paraId="76FFBB3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2ADA2A5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每周</w:t>
            </w:r>
          </w:p>
        </w:tc>
        <w:tc>
          <w:tcPr>
            <w:tcW w:w="846" w:type="dxa"/>
            <w:shd w:val="clear" w:color="auto" w:fill="auto"/>
            <w:noWrap/>
            <w:vAlign w:val="center"/>
          </w:tcPr>
          <w:p w14:paraId="6CA1CB4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3DCF6E0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2AC4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1A869B9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w:t>
            </w:r>
          </w:p>
        </w:tc>
        <w:tc>
          <w:tcPr>
            <w:tcW w:w="1322" w:type="dxa"/>
            <w:shd w:val="clear" w:color="auto" w:fill="auto"/>
            <w:noWrap/>
            <w:vAlign w:val="center"/>
          </w:tcPr>
          <w:p w14:paraId="44BC4CE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老年人优待证办理信息</w:t>
            </w:r>
          </w:p>
        </w:tc>
        <w:tc>
          <w:tcPr>
            <w:tcW w:w="3126" w:type="dxa"/>
            <w:shd w:val="clear" w:color="auto" w:fill="auto"/>
            <w:noWrap/>
            <w:vAlign w:val="center"/>
          </w:tcPr>
          <w:p w14:paraId="3C5F900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行政区划、姓名、证件类型、证件号码、性别、出生年月、证书类型、数据类型</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、申报号、申请时间、优待证类型、家庭住址、领取人。</w:t>
            </w:r>
          </w:p>
        </w:tc>
        <w:tc>
          <w:tcPr>
            <w:tcW w:w="810" w:type="dxa"/>
            <w:shd w:val="clear" w:color="auto" w:fill="auto"/>
            <w:noWrap/>
            <w:vAlign w:val="center"/>
          </w:tcPr>
          <w:p w14:paraId="02C06CB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6F24AF4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每周</w:t>
            </w:r>
          </w:p>
        </w:tc>
        <w:tc>
          <w:tcPr>
            <w:tcW w:w="846" w:type="dxa"/>
            <w:shd w:val="clear" w:color="auto" w:fill="auto"/>
            <w:noWrap/>
            <w:vAlign w:val="center"/>
          </w:tcPr>
          <w:p w14:paraId="263765D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18B9A5A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0C52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5739B30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w:t>
            </w:r>
          </w:p>
        </w:tc>
        <w:tc>
          <w:tcPr>
            <w:tcW w:w="1322" w:type="dxa"/>
            <w:shd w:val="clear" w:color="auto" w:fill="auto"/>
            <w:noWrap/>
            <w:vAlign w:val="center"/>
          </w:tcPr>
          <w:p w14:paraId="7DF68E7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区老年人户籍档案迁出信息/迁出审批信息</w:t>
            </w:r>
          </w:p>
        </w:tc>
        <w:tc>
          <w:tcPr>
            <w:tcW w:w="3126" w:type="dxa"/>
            <w:shd w:val="clear" w:color="auto" w:fill="auto"/>
            <w:noWrap/>
            <w:vAlign w:val="center"/>
          </w:tcPr>
          <w:p w14:paraId="0058987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操作、序号、工单号、老人姓名、性别、年龄、身份证号、迁出、乡镇/街道、迁出社区/村、迁出日期、迁入街道/乡镇、迁入社区/村、迁入日期、申请人、备注、创建时间。</w:t>
            </w:r>
          </w:p>
        </w:tc>
        <w:tc>
          <w:tcPr>
            <w:tcW w:w="810" w:type="dxa"/>
            <w:shd w:val="clear" w:color="auto" w:fill="auto"/>
            <w:noWrap/>
            <w:vAlign w:val="center"/>
          </w:tcPr>
          <w:p w14:paraId="74B1FF6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191DC9E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612D7E6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138B196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494A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2E3AE70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c>
          <w:tcPr>
            <w:tcW w:w="1322" w:type="dxa"/>
            <w:shd w:val="clear" w:color="auto" w:fill="auto"/>
            <w:noWrap/>
            <w:vAlign w:val="center"/>
          </w:tcPr>
          <w:p w14:paraId="4708B20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区养老补贴申请记录信息</w:t>
            </w:r>
          </w:p>
        </w:tc>
        <w:tc>
          <w:tcPr>
            <w:tcW w:w="3126" w:type="dxa"/>
            <w:shd w:val="clear" w:color="auto" w:fill="auto"/>
            <w:noWrap/>
            <w:vAlign w:val="center"/>
          </w:tcPr>
          <w:p w14:paraId="41E9BAA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子表主键、子表外键、行政区划、序号、DML_TYPE、更新时间、推送时间、入仓时间、原业务主表主键、原业务子表主键、姓名、性别、身份证号、手机号码、备注。</w:t>
            </w:r>
          </w:p>
        </w:tc>
        <w:tc>
          <w:tcPr>
            <w:tcW w:w="810" w:type="dxa"/>
            <w:shd w:val="clear" w:color="auto" w:fill="auto"/>
            <w:noWrap/>
            <w:vAlign w:val="center"/>
          </w:tcPr>
          <w:p w14:paraId="5208337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56C4D0D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4FAD15A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1DB7984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309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173FF33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w:t>
            </w:r>
          </w:p>
        </w:tc>
        <w:tc>
          <w:tcPr>
            <w:tcW w:w="1322" w:type="dxa"/>
            <w:shd w:val="clear" w:color="auto" w:fill="auto"/>
            <w:noWrap/>
            <w:vAlign w:val="center"/>
          </w:tcPr>
          <w:p w14:paraId="1418AB6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区居家养老站点信息</w:t>
            </w:r>
          </w:p>
        </w:tc>
        <w:tc>
          <w:tcPr>
            <w:tcW w:w="3126" w:type="dxa"/>
            <w:shd w:val="clear" w:color="auto" w:fill="auto"/>
            <w:noWrap/>
            <w:vAlign w:val="center"/>
          </w:tcPr>
          <w:p w14:paraId="5C3FC99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服务类型、服务餐次、食品餐饮经营许可证、建筑面积、就餐最低费用标准、就餐最高费用标准、服务机构类型、工作人员数量。</w:t>
            </w:r>
          </w:p>
        </w:tc>
        <w:tc>
          <w:tcPr>
            <w:tcW w:w="810" w:type="dxa"/>
            <w:shd w:val="clear" w:color="auto" w:fill="auto"/>
            <w:noWrap/>
            <w:vAlign w:val="center"/>
          </w:tcPr>
          <w:p w14:paraId="4AF262F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3C72895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308F0D7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7265AA5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4242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2FDF071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1322" w:type="dxa"/>
            <w:shd w:val="clear" w:color="auto" w:fill="auto"/>
            <w:noWrap/>
            <w:vAlign w:val="center"/>
          </w:tcPr>
          <w:p w14:paraId="2A89397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区养老上门服务记录信息</w:t>
            </w:r>
          </w:p>
        </w:tc>
        <w:tc>
          <w:tcPr>
            <w:tcW w:w="3126" w:type="dxa"/>
            <w:shd w:val="clear" w:color="auto" w:fill="auto"/>
            <w:noWrap/>
            <w:vAlign w:val="center"/>
          </w:tcPr>
          <w:p w14:paraId="7EC40EE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机构名称、所属村社、详细地址、联系人、联系电话、社会统一信用代码、场所码、营业日期、营业开始时间、营业结束时间、成立时间、开业时间、助餐点类型、高德地图、天地图。</w:t>
            </w:r>
          </w:p>
        </w:tc>
        <w:tc>
          <w:tcPr>
            <w:tcW w:w="810" w:type="dxa"/>
            <w:shd w:val="clear" w:color="auto" w:fill="auto"/>
            <w:noWrap/>
            <w:vAlign w:val="center"/>
          </w:tcPr>
          <w:p w14:paraId="42C04EA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6BBE7E1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7A2E972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2B6C550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1BE9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4DAB89D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w:t>
            </w:r>
          </w:p>
        </w:tc>
        <w:tc>
          <w:tcPr>
            <w:tcW w:w="1322" w:type="dxa"/>
            <w:shd w:val="clear" w:color="auto" w:fill="auto"/>
            <w:noWrap/>
            <w:vAlign w:val="center"/>
          </w:tcPr>
          <w:p w14:paraId="6152D31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区养老服务商信息</w:t>
            </w:r>
          </w:p>
        </w:tc>
        <w:tc>
          <w:tcPr>
            <w:tcW w:w="3126" w:type="dxa"/>
            <w:shd w:val="clear" w:color="auto" w:fill="auto"/>
            <w:noWrap/>
            <w:vAlign w:val="center"/>
          </w:tcPr>
          <w:p w14:paraId="4F3420F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序号、服务商名称、服务时间、登录账号、使用人、联系电话、状态、创建时间。</w:t>
            </w:r>
          </w:p>
        </w:tc>
        <w:tc>
          <w:tcPr>
            <w:tcW w:w="810" w:type="dxa"/>
            <w:shd w:val="clear" w:color="auto" w:fill="auto"/>
            <w:noWrap/>
            <w:vAlign w:val="center"/>
          </w:tcPr>
          <w:p w14:paraId="3A268DA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6AA1193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6284EBC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295C9A1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21C2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1E74444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w:t>
            </w:r>
          </w:p>
        </w:tc>
        <w:tc>
          <w:tcPr>
            <w:tcW w:w="1322" w:type="dxa"/>
            <w:shd w:val="clear" w:color="auto" w:fill="auto"/>
            <w:noWrap/>
            <w:vAlign w:val="center"/>
          </w:tcPr>
          <w:p w14:paraId="65FF788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海曙区高龄老人津贴发放信息</w:t>
            </w:r>
          </w:p>
        </w:tc>
        <w:tc>
          <w:tcPr>
            <w:tcW w:w="3126" w:type="dxa"/>
            <w:shd w:val="clear" w:color="auto" w:fill="auto"/>
            <w:noWrap/>
            <w:vAlign w:val="center"/>
          </w:tcPr>
          <w:p w14:paraId="487FECB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姓名、照片host、户口所在地、实际居住地、手机号码、联系电话、发放金额、发放方式、发放银行、开户行、银行卡号、身份证号、是否享受养老金、享受状态、享受状态描述、备注、经度、纬度、取消原因、死亡标记 、死亡日期、火化日期、出生日期、死亡单位、死亡数据更新时间、行政区划ID、行政区划编码、行政区划名称、单据类型、制单人ID、制单人、制单日期、修改标记、性别、修改人ID、修改人、修改日期、删除标记、删除人ID、删除人、删除时间、审批状态、审批状态描述、审批等级、年龄、审核人ID、审核人、审核日期、单据状态、单据状态描述、部门编号、乐观锁、数据类型、数据标记、暂存状态、年龄段、数据生成时间、申报号、一窗式数据类型、申报时间、一窗式推送状态、分发码、外网提交状态、外网提交时间、校验标记、数据采集时间戳、民族、推送时间、预警时间、DML type、增量标识、数据生成/变更时间、数据加载（同步）时间、入仓时间、照片名称、照片url。</w:t>
            </w:r>
          </w:p>
        </w:tc>
        <w:tc>
          <w:tcPr>
            <w:tcW w:w="810" w:type="dxa"/>
            <w:shd w:val="clear" w:color="auto" w:fill="auto"/>
            <w:noWrap/>
            <w:vAlign w:val="center"/>
          </w:tcPr>
          <w:p w14:paraId="4A320FA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6A83999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2D4FD31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03BFD03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04A9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6AFB048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w:t>
            </w:r>
          </w:p>
        </w:tc>
        <w:tc>
          <w:tcPr>
            <w:tcW w:w="1322" w:type="dxa"/>
            <w:shd w:val="clear" w:color="auto" w:fill="auto"/>
            <w:noWrap/>
            <w:vAlign w:val="center"/>
          </w:tcPr>
          <w:p w14:paraId="7BB5D50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海曙区高龄老人信息</w:t>
            </w:r>
          </w:p>
        </w:tc>
        <w:tc>
          <w:tcPr>
            <w:tcW w:w="3126" w:type="dxa"/>
            <w:shd w:val="clear" w:color="auto" w:fill="auto"/>
            <w:noWrap/>
            <w:vAlign w:val="center"/>
          </w:tcPr>
          <w:p w14:paraId="525B3D3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主键、姓名、照片host、户口所在地、实际居住地、手机号码、联系电话、身份证号</w:t>
            </w:r>
          </w:p>
        </w:tc>
        <w:tc>
          <w:tcPr>
            <w:tcW w:w="810" w:type="dxa"/>
            <w:shd w:val="clear" w:color="auto" w:fill="auto"/>
            <w:noWrap/>
            <w:vAlign w:val="center"/>
          </w:tcPr>
          <w:p w14:paraId="77150EF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45428A0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60539AD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1161869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0E1D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621109C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w:t>
            </w:r>
          </w:p>
        </w:tc>
        <w:tc>
          <w:tcPr>
            <w:tcW w:w="1322" w:type="dxa"/>
            <w:shd w:val="clear" w:color="auto" w:fill="auto"/>
            <w:noWrap/>
            <w:vAlign w:val="center"/>
          </w:tcPr>
          <w:p w14:paraId="30EFCDA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地名证明电子证照信息</w:t>
            </w:r>
          </w:p>
        </w:tc>
        <w:tc>
          <w:tcPr>
            <w:tcW w:w="3126" w:type="dxa"/>
            <w:shd w:val="clear" w:color="auto" w:fill="auto"/>
            <w:noWrap/>
            <w:vAlign w:val="center"/>
          </w:tcPr>
          <w:p w14:paraId="0BDB0F2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行政区划代码、产权人、证照路径地址、PID、时间戳、序号、DML_TYPE、推送时间、更新时间、入仓时间、证件号码、证件类型、历史地名地址、现地名地址、出证机关、出证日期、填报时间、填报用户。</w:t>
            </w:r>
          </w:p>
        </w:tc>
        <w:tc>
          <w:tcPr>
            <w:tcW w:w="810" w:type="dxa"/>
            <w:shd w:val="clear" w:color="auto" w:fill="auto"/>
            <w:noWrap/>
            <w:vAlign w:val="center"/>
          </w:tcPr>
          <w:p w14:paraId="6115489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6B498DB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3B35B00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7C5A87B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4FDC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05C8225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w:t>
            </w:r>
          </w:p>
        </w:tc>
        <w:tc>
          <w:tcPr>
            <w:tcW w:w="1322" w:type="dxa"/>
            <w:shd w:val="clear" w:color="auto" w:fill="auto"/>
            <w:noWrap/>
            <w:vAlign w:val="center"/>
          </w:tcPr>
          <w:p w14:paraId="36F0DA9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结婚/离婚登记业务信息</w:t>
            </w:r>
          </w:p>
        </w:tc>
        <w:tc>
          <w:tcPr>
            <w:tcW w:w="3126" w:type="dxa"/>
            <w:shd w:val="clear" w:color="auto" w:fill="auto"/>
            <w:noWrap/>
            <w:vAlign w:val="center"/>
          </w:tcPr>
          <w:p w14:paraId="3F250DA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主键、行政区划、户籍地址、居住地址、身份证号码、户口性质、婚姻状况、登记日期</w:t>
            </w:r>
          </w:p>
          <w:p w14:paraId="105B80A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婚姻登记机关、婚姻证书编号、联系方式、备注、主键、行政区划、申请人户籍地址、居住地址 、身份证号码、户口性质、登记日期、婚姻登记机关、婚姻证书编号、离婚证编号离婚协议书、子女安排、财产处理、联系方式、入仓时间、更新时间</w:t>
            </w:r>
          </w:p>
        </w:tc>
        <w:tc>
          <w:tcPr>
            <w:tcW w:w="810" w:type="dxa"/>
            <w:shd w:val="clear" w:color="auto" w:fill="auto"/>
            <w:noWrap/>
            <w:vAlign w:val="center"/>
          </w:tcPr>
          <w:p w14:paraId="24FF235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553B822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6731C8C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7EC0333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6A80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5CF6B24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w:t>
            </w:r>
          </w:p>
        </w:tc>
        <w:tc>
          <w:tcPr>
            <w:tcW w:w="1322" w:type="dxa"/>
            <w:shd w:val="clear" w:color="auto" w:fill="auto"/>
            <w:noWrap/>
            <w:vAlign w:val="center"/>
          </w:tcPr>
          <w:p w14:paraId="52640E7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火化信息逝者信息</w:t>
            </w:r>
          </w:p>
        </w:tc>
        <w:tc>
          <w:tcPr>
            <w:tcW w:w="3126" w:type="dxa"/>
            <w:shd w:val="clear" w:color="auto" w:fill="auto"/>
            <w:noWrap/>
            <w:vAlign w:val="center"/>
          </w:tcPr>
          <w:p w14:paraId="7B7ED85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火化编号、逝者姓名、经办家属、经办家属证件号码、死亡日期、条码值、殡字号、逝者类型、证件类型、死亡原因、死亡原因子类、详细地址、性别、行政区划、序号、DML_TYPE、更新时间、推送时间、入仓时间、出生日期、证件号码、国籍、民族、户籍所在地、所属单位、火化日期。</w:t>
            </w:r>
          </w:p>
        </w:tc>
        <w:tc>
          <w:tcPr>
            <w:tcW w:w="810" w:type="dxa"/>
            <w:shd w:val="clear" w:color="auto" w:fill="auto"/>
            <w:noWrap/>
            <w:vAlign w:val="center"/>
          </w:tcPr>
          <w:p w14:paraId="505F2AD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4C02552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p>
        </w:tc>
        <w:tc>
          <w:tcPr>
            <w:tcW w:w="846" w:type="dxa"/>
            <w:shd w:val="clear" w:color="auto" w:fill="auto"/>
            <w:noWrap/>
            <w:vAlign w:val="center"/>
          </w:tcPr>
          <w:p w14:paraId="58D41A3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0D6B4AA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r w14:paraId="6C12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4" w:type="dxa"/>
            <w:shd w:val="clear" w:color="auto" w:fill="auto"/>
            <w:noWrap/>
            <w:vAlign w:val="center"/>
          </w:tcPr>
          <w:p w14:paraId="7994617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w:t>
            </w:r>
          </w:p>
        </w:tc>
        <w:tc>
          <w:tcPr>
            <w:tcW w:w="1322" w:type="dxa"/>
            <w:shd w:val="clear" w:color="auto" w:fill="auto"/>
            <w:noWrap/>
            <w:vAlign w:val="center"/>
          </w:tcPr>
          <w:p w14:paraId="704582E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06年以后的水库移民村信息</w:t>
            </w:r>
          </w:p>
        </w:tc>
        <w:tc>
          <w:tcPr>
            <w:tcW w:w="3126" w:type="dxa"/>
            <w:shd w:val="clear" w:color="auto" w:fill="auto"/>
            <w:noWrap/>
            <w:vAlign w:val="center"/>
          </w:tcPr>
          <w:p w14:paraId="2C9E869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主键、移民村村名、移民人数、贫困人数、描述、序号、DML_TYPE、推送时间、更新时间、入仓时间、区域代码、区域名称、维度、经度、移民村类型、所属水库名称、坝址。</w:t>
            </w:r>
          </w:p>
        </w:tc>
        <w:tc>
          <w:tcPr>
            <w:tcW w:w="810" w:type="dxa"/>
            <w:shd w:val="clear" w:color="auto" w:fill="auto"/>
            <w:noWrap/>
            <w:vAlign w:val="center"/>
          </w:tcPr>
          <w:p w14:paraId="5AE2BFD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数据接口</w:t>
            </w:r>
          </w:p>
        </w:tc>
        <w:tc>
          <w:tcPr>
            <w:tcW w:w="870" w:type="dxa"/>
            <w:shd w:val="clear" w:color="auto" w:fill="auto"/>
            <w:noWrap/>
            <w:vAlign w:val="center"/>
          </w:tcPr>
          <w:p w14:paraId="203CE32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每月</w:t>
            </w:r>
          </w:p>
        </w:tc>
        <w:tc>
          <w:tcPr>
            <w:tcW w:w="846" w:type="dxa"/>
            <w:shd w:val="clear" w:color="auto" w:fill="auto"/>
            <w:noWrap/>
            <w:vAlign w:val="center"/>
          </w:tcPr>
          <w:p w14:paraId="78A7039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省民政厅</w:t>
            </w:r>
          </w:p>
        </w:tc>
        <w:tc>
          <w:tcPr>
            <w:tcW w:w="764" w:type="dxa"/>
            <w:shd w:val="clear" w:color="auto" w:fill="auto"/>
            <w:noWrap/>
            <w:vAlign w:val="center"/>
          </w:tcPr>
          <w:p w14:paraId="1FBEB42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r>
    </w:tbl>
    <w:p w14:paraId="19DDC8AE">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hanging="72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接口</w:t>
      </w:r>
      <w:bookmarkEnd w:id="93"/>
      <w:bookmarkEnd w:id="94"/>
      <w:r>
        <w:rPr>
          <w:rFonts w:hint="eastAsia" w:ascii="宋体" w:hAnsi="宋体" w:eastAsia="宋体" w:cs="宋体"/>
          <w:b/>
          <w:kern w:val="2"/>
          <w:sz w:val="24"/>
          <w:szCs w:val="24"/>
          <w:highlight w:val="none"/>
          <w:lang w:val="en-US" w:eastAsia="zh-CN" w:bidi="ar-SA"/>
        </w:rPr>
        <w:t>对接</w:t>
      </w:r>
    </w:p>
    <w:p w14:paraId="7B33BD14">
      <w:pPr>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接口对接情况如下表所示：</w:t>
      </w:r>
    </w:p>
    <w:tbl>
      <w:tblPr>
        <w:tblStyle w:val="62"/>
        <w:tblW w:w="5116" w:type="pct"/>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536"/>
        <w:gridCol w:w="2492"/>
        <w:gridCol w:w="3940"/>
      </w:tblGrid>
      <w:tr w14:paraId="2C0B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431" w:type="pct"/>
            <w:vAlign w:val="center"/>
          </w:tcPr>
          <w:p w14:paraId="55A3986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bookmarkStart w:id="95" w:name="_Hlk130800834"/>
            <w:r>
              <w:rPr>
                <w:rFonts w:hint="eastAsia" w:ascii="宋体" w:hAnsi="宋体" w:eastAsia="宋体" w:cs="宋体"/>
                <w:b/>
                <w:bCs/>
                <w:color w:val="auto"/>
                <w:kern w:val="2"/>
                <w:sz w:val="24"/>
                <w:szCs w:val="24"/>
                <w:highlight w:val="none"/>
                <w:lang w:val="en-US" w:eastAsia="zh-CN" w:bidi="ar-SA"/>
              </w:rPr>
              <w:t>序号</w:t>
            </w:r>
          </w:p>
        </w:tc>
        <w:tc>
          <w:tcPr>
            <w:tcW w:w="880" w:type="pct"/>
            <w:vAlign w:val="center"/>
          </w:tcPr>
          <w:p w14:paraId="3E24C3A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接口类型</w:t>
            </w:r>
          </w:p>
        </w:tc>
        <w:tc>
          <w:tcPr>
            <w:tcW w:w="1428" w:type="pct"/>
            <w:vAlign w:val="center"/>
          </w:tcPr>
          <w:p w14:paraId="6709275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接口名称</w:t>
            </w:r>
          </w:p>
        </w:tc>
        <w:tc>
          <w:tcPr>
            <w:tcW w:w="2258" w:type="pct"/>
            <w:vAlign w:val="center"/>
          </w:tcPr>
          <w:p w14:paraId="553686D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接口描述</w:t>
            </w:r>
          </w:p>
        </w:tc>
      </w:tr>
      <w:tr w14:paraId="66D9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073EC68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880" w:type="pct"/>
            <w:vAlign w:val="center"/>
          </w:tcPr>
          <w:p w14:paraId="0378861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0534549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人口基本信息数据查询</w:t>
            </w:r>
          </w:p>
        </w:tc>
        <w:tc>
          <w:tcPr>
            <w:tcW w:w="2258" w:type="pct"/>
            <w:vAlign w:val="center"/>
          </w:tcPr>
          <w:p w14:paraId="27F9CBF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向海曙区“一图四库”统建共享系统接口请求在海曙区的人口基本信息</w:t>
            </w:r>
          </w:p>
        </w:tc>
      </w:tr>
      <w:tr w14:paraId="6FB3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13057AC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bookmarkStart w:id="96" w:name="_Toc16893"/>
            <w:bookmarkStart w:id="97" w:name="_Toc109041920"/>
            <w:r>
              <w:rPr>
                <w:rFonts w:hint="eastAsia" w:ascii="宋体" w:hAnsi="宋体" w:eastAsia="宋体" w:cs="宋体"/>
                <w:color w:val="auto"/>
                <w:kern w:val="2"/>
                <w:sz w:val="24"/>
                <w:szCs w:val="24"/>
                <w:highlight w:val="none"/>
                <w:lang w:val="en-US" w:eastAsia="zh-CN" w:bidi="ar-SA"/>
              </w:rPr>
              <w:t>2</w:t>
            </w:r>
          </w:p>
        </w:tc>
        <w:tc>
          <w:tcPr>
            <w:tcW w:w="880" w:type="pct"/>
            <w:vAlign w:val="center"/>
          </w:tcPr>
          <w:p w14:paraId="3F21BB1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3146235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低保对象基本信息数据查询</w:t>
            </w:r>
          </w:p>
        </w:tc>
        <w:tc>
          <w:tcPr>
            <w:tcW w:w="2258" w:type="pct"/>
            <w:vAlign w:val="center"/>
          </w:tcPr>
          <w:p w14:paraId="73FCF2E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向浙江省民政数据共享交换平台接口请求在海曙区的低保对象基本信息</w:t>
            </w:r>
          </w:p>
        </w:tc>
      </w:tr>
      <w:tr w14:paraId="33B0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564494B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880" w:type="pct"/>
            <w:vAlign w:val="center"/>
          </w:tcPr>
          <w:p w14:paraId="1773D97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727DA13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特困对象基本信息数据查询</w:t>
            </w:r>
          </w:p>
        </w:tc>
        <w:tc>
          <w:tcPr>
            <w:tcW w:w="2258" w:type="pct"/>
            <w:vAlign w:val="center"/>
          </w:tcPr>
          <w:p w14:paraId="246D591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向浙江省民政数据共享交换平台接口请求在海曙区的特困对象基本信息</w:t>
            </w:r>
          </w:p>
        </w:tc>
      </w:tr>
      <w:tr w14:paraId="156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5FAE7CF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880" w:type="pct"/>
            <w:vAlign w:val="center"/>
          </w:tcPr>
          <w:p w14:paraId="40AC9C7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79E58B8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边缘救助对象基本信息数据查询</w:t>
            </w:r>
          </w:p>
        </w:tc>
        <w:tc>
          <w:tcPr>
            <w:tcW w:w="2258" w:type="pct"/>
            <w:vAlign w:val="center"/>
          </w:tcPr>
          <w:p w14:paraId="4B2EA88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向浙江省民政数据共享交换平台接口请求在海曙区的边缘救助对象基本信息</w:t>
            </w:r>
          </w:p>
        </w:tc>
      </w:tr>
      <w:tr w14:paraId="04B6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69C4018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80" w:type="pct"/>
            <w:vAlign w:val="center"/>
          </w:tcPr>
          <w:p w14:paraId="601DF74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4725389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临时救助对象基本信息数据查询</w:t>
            </w:r>
          </w:p>
        </w:tc>
        <w:tc>
          <w:tcPr>
            <w:tcW w:w="2258" w:type="pct"/>
            <w:vAlign w:val="center"/>
          </w:tcPr>
          <w:p w14:paraId="0D84684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向浙江省民政数据共享交换平台接口请求在海曙区的临时救助对象基本信息</w:t>
            </w:r>
          </w:p>
        </w:tc>
      </w:tr>
      <w:tr w14:paraId="311F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07C58B8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880" w:type="pct"/>
            <w:vAlign w:val="center"/>
          </w:tcPr>
          <w:p w14:paraId="03DCB4C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403A8DC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孤儿、困境儿童信息数据查询</w:t>
            </w:r>
          </w:p>
        </w:tc>
        <w:tc>
          <w:tcPr>
            <w:tcW w:w="2258" w:type="pct"/>
            <w:vAlign w:val="center"/>
          </w:tcPr>
          <w:p w14:paraId="36DE573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向浙江省民政数据共享交换平台接口请求在海曙区的孤儿、困境儿童基本信息</w:t>
            </w:r>
          </w:p>
        </w:tc>
      </w:tr>
      <w:tr w14:paraId="1228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6078C1E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880" w:type="pct"/>
            <w:vAlign w:val="center"/>
          </w:tcPr>
          <w:p w14:paraId="0833430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33F5752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留守儿童信息数据查询</w:t>
            </w:r>
          </w:p>
        </w:tc>
        <w:tc>
          <w:tcPr>
            <w:tcW w:w="2258" w:type="pct"/>
            <w:vAlign w:val="center"/>
          </w:tcPr>
          <w:p w14:paraId="40D50E7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向浙江省民政数据共享交换平台接口请求在海曙区的留守儿童基本信息</w:t>
            </w:r>
          </w:p>
        </w:tc>
      </w:tr>
      <w:tr w14:paraId="797C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5CC003F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880" w:type="pct"/>
            <w:vAlign w:val="center"/>
          </w:tcPr>
          <w:p w14:paraId="3F8895C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399B094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社会团体基本信息数据查询</w:t>
            </w:r>
          </w:p>
        </w:tc>
        <w:tc>
          <w:tcPr>
            <w:tcW w:w="2258" w:type="pct"/>
            <w:vAlign w:val="center"/>
          </w:tcPr>
          <w:p w14:paraId="0501F00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向浙江省民政数据共享交换平台接口请求在海曙区的社会团体基本信息</w:t>
            </w:r>
          </w:p>
        </w:tc>
      </w:tr>
      <w:tr w14:paraId="5F6D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405327F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880" w:type="pct"/>
            <w:vAlign w:val="center"/>
          </w:tcPr>
          <w:p w14:paraId="5981545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538FABB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民办非企业基本信息数据查询</w:t>
            </w:r>
          </w:p>
        </w:tc>
        <w:tc>
          <w:tcPr>
            <w:tcW w:w="2258" w:type="pct"/>
            <w:vAlign w:val="center"/>
          </w:tcPr>
          <w:p w14:paraId="380C6A9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向浙江省民政数据共享交换平台接口请求在海曙区的留守儿童基本信息</w:t>
            </w:r>
          </w:p>
        </w:tc>
      </w:tr>
      <w:tr w14:paraId="6DE8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1D6CB2C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880" w:type="pct"/>
            <w:vAlign w:val="center"/>
          </w:tcPr>
          <w:p w14:paraId="4DAA098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4230AAF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基金会基本信息数据查询</w:t>
            </w:r>
          </w:p>
        </w:tc>
        <w:tc>
          <w:tcPr>
            <w:tcW w:w="2258" w:type="pct"/>
            <w:vAlign w:val="center"/>
          </w:tcPr>
          <w:p w14:paraId="4F59BDC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向浙江省民政数据共享交换平台接口请求在海曙区的民办非企业基本信息</w:t>
            </w:r>
          </w:p>
        </w:tc>
      </w:tr>
      <w:tr w14:paraId="4BB3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6A8F404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880" w:type="pct"/>
            <w:vAlign w:val="center"/>
          </w:tcPr>
          <w:p w14:paraId="7E0F8E0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35A2A5B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社区居家养老服务照料中心信息数据查询</w:t>
            </w:r>
          </w:p>
        </w:tc>
        <w:tc>
          <w:tcPr>
            <w:tcW w:w="2258" w:type="pct"/>
            <w:vAlign w:val="center"/>
          </w:tcPr>
          <w:p w14:paraId="7A174E8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向浙江省民政数据共享交换平台接口请求在海曙区的社区居家养老服务照料中心信息</w:t>
            </w:r>
          </w:p>
        </w:tc>
      </w:tr>
      <w:tr w14:paraId="1D26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5A9EF01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880" w:type="pct"/>
            <w:vAlign w:val="center"/>
          </w:tcPr>
          <w:p w14:paraId="0A0BD81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7EB66A6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养老机构信息数据查询</w:t>
            </w:r>
          </w:p>
        </w:tc>
        <w:tc>
          <w:tcPr>
            <w:tcW w:w="2258" w:type="pct"/>
            <w:vAlign w:val="center"/>
          </w:tcPr>
          <w:p w14:paraId="345EA6D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向浙江省民政数据共享交换平台接口请求在海曙区的养老机构信息</w:t>
            </w:r>
          </w:p>
        </w:tc>
      </w:tr>
      <w:tr w14:paraId="2F63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4BD1DD8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880" w:type="pct"/>
            <w:vAlign w:val="center"/>
          </w:tcPr>
          <w:p w14:paraId="7941C97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3B56A8D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养老机构床位信息数据查询</w:t>
            </w:r>
          </w:p>
        </w:tc>
        <w:tc>
          <w:tcPr>
            <w:tcW w:w="2258" w:type="pct"/>
            <w:vAlign w:val="center"/>
          </w:tcPr>
          <w:p w14:paraId="5A6135A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向浙江省民政数据共享交换平台接口请求在海曙区的养老机构床位信息</w:t>
            </w:r>
          </w:p>
        </w:tc>
      </w:tr>
      <w:tr w14:paraId="698B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2FE7BE8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880" w:type="pct"/>
            <w:vAlign w:val="center"/>
          </w:tcPr>
          <w:p w14:paraId="3095195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094B940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养老机构护理员信息数据查询</w:t>
            </w:r>
          </w:p>
        </w:tc>
        <w:tc>
          <w:tcPr>
            <w:tcW w:w="2258" w:type="pct"/>
            <w:vAlign w:val="center"/>
          </w:tcPr>
          <w:p w14:paraId="7E3BFCA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向浙江省民政数据共享交换平台接口请求在海曙区的养老机构护理员信息</w:t>
            </w:r>
          </w:p>
        </w:tc>
      </w:tr>
      <w:tr w14:paraId="7E51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2D399F0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880" w:type="pct"/>
            <w:vAlign w:val="center"/>
          </w:tcPr>
          <w:p w14:paraId="78E9334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2CD262F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养老机构老年人信息数据查询</w:t>
            </w:r>
          </w:p>
        </w:tc>
        <w:tc>
          <w:tcPr>
            <w:tcW w:w="2258" w:type="pct"/>
            <w:vAlign w:val="center"/>
          </w:tcPr>
          <w:p w14:paraId="50F0D3E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向浙江省民政数据共享交换平台接口请求在海曙区的养老机构老年人信息</w:t>
            </w:r>
          </w:p>
        </w:tc>
      </w:tr>
      <w:tr w14:paraId="4968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6BE3E9F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w:t>
            </w:r>
          </w:p>
        </w:tc>
        <w:tc>
          <w:tcPr>
            <w:tcW w:w="880" w:type="pct"/>
            <w:vAlign w:val="center"/>
          </w:tcPr>
          <w:p w14:paraId="28502B2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041AB8D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老年人优待证办理信息数据查询</w:t>
            </w:r>
          </w:p>
        </w:tc>
        <w:tc>
          <w:tcPr>
            <w:tcW w:w="2258" w:type="pct"/>
            <w:vAlign w:val="center"/>
          </w:tcPr>
          <w:p w14:paraId="161BDDB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向浙江省民政数据共享交换平台接口请求在海曙区的老年人优待证办理信息</w:t>
            </w:r>
          </w:p>
        </w:tc>
      </w:tr>
      <w:tr w14:paraId="32C0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2BB690D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w:t>
            </w:r>
          </w:p>
        </w:tc>
        <w:tc>
          <w:tcPr>
            <w:tcW w:w="880" w:type="pct"/>
            <w:vAlign w:val="center"/>
          </w:tcPr>
          <w:p w14:paraId="4FD69C8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3575BD1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区老年人户籍档案迁出信息数据查询</w:t>
            </w:r>
          </w:p>
        </w:tc>
        <w:tc>
          <w:tcPr>
            <w:tcW w:w="2258" w:type="pct"/>
            <w:vAlign w:val="center"/>
          </w:tcPr>
          <w:p w14:paraId="2FAAD9F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向浙江省民政数据共享交换平台接口请求在海曙区的老年人户籍档案迁出信息</w:t>
            </w:r>
          </w:p>
        </w:tc>
      </w:tr>
      <w:tr w14:paraId="0C5B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6CF0789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c>
          <w:tcPr>
            <w:tcW w:w="880" w:type="pct"/>
            <w:vAlign w:val="center"/>
          </w:tcPr>
          <w:p w14:paraId="2A23386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2352553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区老年人户籍档案迁出审批信息</w:t>
            </w:r>
          </w:p>
        </w:tc>
        <w:tc>
          <w:tcPr>
            <w:tcW w:w="2258" w:type="pct"/>
            <w:vAlign w:val="center"/>
          </w:tcPr>
          <w:p w14:paraId="03C11D5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向浙江省民政数据共享交换平台接口请求在海曙区的老年人户籍档案迁出审批信息</w:t>
            </w:r>
          </w:p>
        </w:tc>
      </w:tr>
      <w:tr w14:paraId="0D99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77AD00E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w:t>
            </w:r>
          </w:p>
        </w:tc>
        <w:tc>
          <w:tcPr>
            <w:tcW w:w="880" w:type="pct"/>
            <w:vAlign w:val="center"/>
          </w:tcPr>
          <w:p w14:paraId="002AE11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2990CC3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区养老补贴申请记录信息数据查询</w:t>
            </w:r>
          </w:p>
        </w:tc>
        <w:tc>
          <w:tcPr>
            <w:tcW w:w="2258" w:type="pct"/>
            <w:vAlign w:val="center"/>
          </w:tcPr>
          <w:p w14:paraId="6CA71C6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向浙江省民政数据共享交换平台接口请求在海曙区的养老补贴申请记录信息</w:t>
            </w:r>
          </w:p>
        </w:tc>
      </w:tr>
      <w:tr w14:paraId="50B0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4353416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880" w:type="pct"/>
            <w:vAlign w:val="center"/>
          </w:tcPr>
          <w:p w14:paraId="28C0C0B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60BA7F1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区居家养老站点信息数据查询</w:t>
            </w:r>
          </w:p>
        </w:tc>
        <w:tc>
          <w:tcPr>
            <w:tcW w:w="2258" w:type="pct"/>
            <w:vAlign w:val="center"/>
          </w:tcPr>
          <w:p w14:paraId="78197FE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向浙江省民政数据共享交换平台接口请求在海曙区的居家养老站点信息</w:t>
            </w:r>
          </w:p>
        </w:tc>
      </w:tr>
      <w:tr w14:paraId="0FDB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46D33ED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w:t>
            </w:r>
          </w:p>
        </w:tc>
        <w:tc>
          <w:tcPr>
            <w:tcW w:w="880" w:type="pct"/>
            <w:vAlign w:val="center"/>
          </w:tcPr>
          <w:p w14:paraId="12DA607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292047B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区养老上门服务记录信息数据查询</w:t>
            </w:r>
          </w:p>
        </w:tc>
        <w:tc>
          <w:tcPr>
            <w:tcW w:w="2258" w:type="pct"/>
            <w:vAlign w:val="center"/>
          </w:tcPr>
          <w:p w14:paraId="3A84029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向浙江省民政数据共享交换平台接口请求在海曙区的养老上门服务记录信息</w:t>
            </w:r>
          </w:p>
        </w:tc>
      </w:tr>
      <w:tr w14:paraId="7D17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107B06B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w:t>
            </w:r>
          </w:p>
        </w:tc>
        <w:tc>
          <w:tcPr>
            <w:tcW w:w="880" w:type="pct"/>
            <w:vAlign w:val="center"/>
          </w:tcPr>
          <w:p w14:paraId="67A42BD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06F7584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区养老服务商信息数据查询</w:t>
            </w:r>
          </w:p>
        </w:tc>
        <w:tc>
          <w:tcPr>
            <w:tcW w:w="2258" w:type="pct"/>
            <w:vAlign w:val="center"/>
          </w:tcPr>
          <w:p w14:paraId="3C5828E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向浙江省民政数据共享交换平台接口请求在海曙区的养老服务商信息</w:t>
            </w:r>
          </w:p>
        </w:tc>
      </w:tr>
      <w:tr w14:paraId="074D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54B57C2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w:t>
            </w:r>
          </w:p>
        </w:tc>
        <w:tc>
          <w:tcPr>
            <w:tcW w:w="880" w:type="pct"/>
            <w:vAlign w:val="center"/>
          </w:tcPr>
          <w:p w14:paraId="5AACEF1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39FEC7A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海曙区高龄老人津贴发放信息数据查询</w:t>
            </w:r>
          </w:p>
        </w:tc>
        <w:tc>
          <w:tcPr>
            <w:tcW w:w="2258" w:type="pct"/>
            <w:vAlign w:val="center"/>
          </w:tcPr>
          <w:p w14:paraId="32216B8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向浙江省民政数据共享交换平台接口请求在海曙区的高龄老人津贴发放信息</w:t>
            </w:r>
          </w:p>
        </w:tc>
      </w:tr>
      <w:tr w14:paraId="2170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3533404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w:t>
            </w:r>
          </w:p>
        </w:tc>
        <w:tc>
          <w:tcPr>
            <w:tcW w:w="880" w:type="pct"/>
            <w:vAlign w:val="center"/>
          </w:tcPr>
          <w:p w14:paraId="5FCF41B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03532FF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海曙区高龄老人信息数据查询</w:t>
            </w:r>
          </w:p>
        </w:tc>
        <w:tc>
          <w:tcPr>
            <w:tcW w:w="2258" w:type="pct"/>
            <w:vAlign w:val="center"/>
          </w:tcPr>
          <w:p w14:paraId="032F2E8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向浙江省民政数据共享交换平台接口请求在海曙区的高龄老人基本信息</w:t>
            </w:r>
          </w:p>
        </w:tc>
      </w:tr>
      <w:tr w14:paraId="3B8B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1917294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w:t>
            </w:r>
          </w:p>
        </w:tc>
        <w:tc>
          <w:tcPr>
            <w:tcW w:w="880" w:type="pct"/>
            <w:vAlign w:val="center"/>
          </w:tcPr>
          <w:p w14:paraId="5C03DFB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30FB53D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地名核准信息数据查询</w:t>
            </w:r>
          </w:p>
        </w:tc>
        <w:tc>
          <w:tcPr>
            <w:tcW w:w="2258" w:type="pct"/>
            <w:vAlign w:val="center"/>
          </w:tcPr>
          <w:p w14:paraId="4540A3B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向浙江省民政数据共享交换平台接口请求在海曙区的地名核准基本信息</w:t>
            </w:r>
          </w:p>
        </w:tc>
      </w:tr>
      <w:tr w14:paraId="114A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4B82470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w:t>
            </w:r>
          </w:p>
        </w:tc>
        <w:tc>
          <w:tcPr>
            <w:tcW w:w="880" w:type="pct"/>
            <w:vAlign w:val="center"/>
          </w:tcPr>
          <w:p w14:paraId="6B8421C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3AFD42B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结婚/离婚登记业务信息数据查询</w:t>
            </w:r>
          </w:p>
        </w:tc>
        <w:tc>
          <w:tcPr>
            <w:tcW w:w="2258" w:type="pct"/>
            <w:vAlign w:val="center"/>
          </w:tcPr>
          <w:p w14:paraId="25E1577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向浙江省民政数据共享交换平台接口请求在海曙区的结婚/离婚登记业务信息</w:t>
            </w:r>
          </w:p>
        </w:tc>
      </w:tr>
      <w:tr w14:paraId="66EB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06748E4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w:t>
            </w:r>
          </w:p>
        </w:tc>
        <w:tc>
          <w:tcPr>
            <w:tcW w:w="880" w:type="pct"/>
            <w:vAlign w:val="center"/>
          </w:tcPr>
          <w:p w14:paraId="2118833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688EE7B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火化信息逝者信息数据查询</w:t>
            </w:r>
          </w:p>
        </w:tc>
        <w:tc>
          <w:tcPr>
            <w:tcW w:w="2258" w:type="pct"/>
            <w:vAlign w:val="center"/>
          </w:tcPr>
          <w:p w14:paraId="12110B6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向浙江省民政数据共享交换平台接口请求在海曙区的火化信息</w:t>
            </w:r>
          </w:p>
        </w:tc>
      </w:tr>
      <w:tr w14:paraId="667F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Align w:val="center"/>
          </w:tcPr>
          <w:p w14:paraId="3DB75F9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w:t>
            </w:r>
          </w:p>
        </w:tc>
        <w:tc>
          <w:tcPr>
            <w:tcW w:w="880" w:type="pct"/>
            <w:vAlign w:val="center"/>
          </w:tcPr>
          <w:p w14:paraId="1D8F088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HTTPService</w:t>
            </w:r>
          </w:p>
        </w:tc>
        <w:tc>
          <w:tcPr>
            <w:tcW w:w="1428" w:type="pct"/>
            <w:vAlign w:val="center"/>
          </w:tcPr>
          <w:p w14:paraId="1E7CFBF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06年以后的水库移民村信息数据查询</w:t>
            </w:r>
          </w:p>
        </w:tc>
        <w:tc>
          <w:tcPr>
            <w:tcW w:w="2258" w:type="pct"/>
            <w:vAlign w:val="center"/>
          </w:tcPr>
          <w:p w14:paraId="5D12D6E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向浙江省民政数据共享交换平台接口请求在海曙区的</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以后的水库移民村信息</w:t>
            </w:r>
          </w:p>
        </w:tc>
      </w:tr>
      <w:bookmarkEnd w:id="95"/>
    </w:tbl>
    <w:p w14:paraId="771E3F15">
      <w:pPr>
        <w:keepNext/>
        <w:keepLines/>
        <w:pageBreakBefore w:val="0"/>
        <w:widowControl w:val="0"/>
        <w:numPr>
          <w:ilvl w:val="1"/>
          <w:numId w:val="8"/>
        </w:numPr>
        <w:kinsoku/>
        <w:wordWrap/>
        <w:overflowPunct/>
        <w:topLinePunct w:val="0"/>
        <w:autoSpaceDE/>
        <w:autoSpaceDN/>
        <w:bidi w:val="0"/>
        <w:adjustRightInd w:val="0"/>
        <w:snapToGrid w:val="0"/>
        <w:spacing w:before="0" w:beforeLines="0" w:beforeAutospacing="0" w:after="0" w:afterLines="0" w:afterAutospacing="0" w:line="320" w:lineRule="exact"/>
        <w:ind w:left="575" w:hanging="575" w:firstLineChars="0"/>
        <w:jc w:val="both"/>
        <w:textAlignment w:val="auto"/>
        <w:outlineLvl w:val="1"/>
        <w:rPr>
          <w:rFonts w:hint="eastAsia" w:ascii="宋体" w:hAnsi="宋体" w:eastAsia="宋体" w:cs="宋体"/>
          <w:kern w:val="2"/>
          <w:sz w:val="24"/>
          <w:szCs w:val="24"/>
          <w:highlight w:val="none"/>
          <w:lang w:val="en-US" w:eastAsia="zh-CN" w:bidi="ar-SA"/>
        </w:rPr>
      </w:pPr>
      <w:bookmarkStart w:id="98" w:name="_Toc15822"/>
      <w:bookmarkStart w:id="99" w:name="_Toc682829677"/>
      <w:r>
        <w:rPr>
          <w:rFonts w:hint="eastAsia" w:ascii="宋体" w:hAnsi="宋体" w:eastAsia="宋体" w:cs="宋体"/>
          <w:kern w:val="2"/>
          <w:sz w:val="24"/>
          <w:szCs w:val="24"/>
          <w:highlight w:val="none"/>
          <w:lang w:val="en-US" w:eastAsia="zh-CN" w:bidi="ar-SA"/>
        </w:rPr>
        <w:t>基础设施层设计</w:t>
      </w:r>
      <w:bookmarkEnd w:id="96"/>
      <w:bookmarkEnd w:id="97"/>
      <w:bookmarkEnd w:id="98"/>
      <w:bookmarkEnd w:id="99"/>
    </w:p>
    <w:p w14:paraId="1050C0B8">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信创云基础设施体系</w:t>
      </w:r>
    </w:p>
    <w:p w14:paraId="3A2D999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主体应用程序将</w:t>
      </w:r>
      <w:r>
        <w:rPr>
          <w:rFonts w:hint="eastAsia" w:ascii="宋体" w:hAnsi="宋体" w:eastAsia="宋体" w:cs="宋体"/>
          <w:sz w:val="24"/>
          <w:szCs w:val="24"/>
          <w:highlight w:val="none"/>
        </w:rPr>
        <w:t>使用宁波市一体化智能化公共数据平台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信创云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的基础设施体系服务资源</w:t>
      </w: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其进行支撑。</w:t>
      </w:r>
    </w:p>
    <w:p w14:paraId="15960E9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信创云</w:t>
      </w:r>
      <w:r>
        <w:rPr>
          <w:rFonts w:hint="eastAsia" w:ascii="宋体" w:hAnsi="宋体" w:eastAsia="宋体" w:cs="宋体"/>
          <w:sz w:val="24"/>
          <w:szCs w:val="24"/>
          <w:highlight w:val="none"/>
        </w:rPr>
        <w:t>基础设施体系包含计算服务、数据库服务、存储服务、网络服务、备份服务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安全服务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包括DDoS基础防护、DDoS高防、Web应用防火墙（网络安全）、数据库审计（数据安全）、内容安全（业务安全）、云安全中心（态势感知）、堡垒机（安全管理）、云防火墙、数据备份等。</w:t>
      </w:r>
    </w:p>
    <w:p w14:paraId="49556DC8">
      <w:pPr>
        <w:pageBreakBefore w:val="0"/>
        <w:widowControl w:val="0"/>
        <w:kinsoku/>
        <w:wordWrap/>
        <w:overflowPunct/>
        <w:topLinePunct w:val="0"/>
        <w:autoSpaceDE/>
        <w:autoSpaceDN/>
        <w:bidi w:val="0"/>
        <w:adjustRightInd w:val="0"/>
        <w:snapToGrid w:val="0"/>
        <w:spacing w:before="0" w:beforeLines="0" w:after="0" w:afterLines="0" w:line="320" w:lineRule="exact"/>
        <w:ind w:firstLine="0" w:firstLineChars="0"/>
        <w:jc w:val="center"/>
        <w:textAlignment w:val="auto"/>
        <w:outlineLvl w:val="9"/>
        <w:rPr>
          <w:rFonts w:hint="eastAsia" w:ascii="宋体" w:hAnsi="宋体" w:eastAsia="宋体" w:cs="宋体"/>
          <w:kern w:val="2"/>
          <w:sz w:val="24"/>
          <w:szCs w:val="24"/>
          <w:highlight w:val="none"/>
          <w:lang w:val="en-US" w:eastAsia="zh-CN" w:bidi="ar-SA"/>
        </w:rPr>
      </w:pPr>
      <w:bookmarkStart w:id="100" w:name="_Toc109041922"/>
      <w:bookmarkStart w:id="101" w:name="_Toc4531"/>
      <w:r>
        <w:rPr>
          <w:rFonts w:hint="eastAsia" w:ascii="宋体" w:hAnsi="宋体" w:eastAsia="宋体" w:cs="宋体"/>
          <w:kern w:val="2"/>
          <w:sz w:val="24"/>
          <w:szCs w:val="24"/>
          <w:highlight w:val="none"/>
          <w:lang w:val="en-US" w:eastAsia="zh-CN" w:bidi="ar-SA"/>
        </w:rPr>
        <w:t>信创云资源申请表</w:t>
      </w:r>
    </w:p>
    <w:tbl>
      <w:tblPr>
        <w:tblStyle w:val="61"/>
        <w:tblW w:w="840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973"/>
        <w:gridCol w:w="739"/>
        <w:gridCol w:w="2850"/>
      </w:tblGrid>
      <w:tr w14:paraId="5CD0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838" w:type="dxa"/>
            <w:shd w:val="clear" w:color="auto" w:fill="auto"/>
            <w:vAlign w:val="center"/>
          </w:tcPr>
          <w:p w14:paraId="41B4116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产品名称</w:t>
            </w:r>
          </w:p>
        </w:tc>
        <w:tc>
          <w:tcPr>
            <w:tcW w:w="2973" w:type="dxa"/>
            <w:shd w:val="clear" w:color="auto" w:fill="auto"/>
            <w:vAlign w:val="center"/>
          </w:tcPr>
          <w:p w14:paraId="52F5340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配置需求</w:t>
            </w:r>
          </w:p>
        </w:tc>
        <w:tc>
          <w:tcPr>
            <w:tcW w:w="739" w:type="dxa"/>
            <w:shd w:val="clear" w:color="auto" w:fill="auto"/>
            <w:vAlign w:val="center"/>
          </w:tcPr>
          <w:p w14:paraId="7A9AF13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c>
          <w:tcPr>
            <w:tcW w:w="2850" w:type="dxa"/>
            <w:shd w:val="clear" w:color="auto" w:fill="auto"/>
            <w:vAlign w:val="center"/>
          </w:tcPr>
          <w:p w14:paraId="7321954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用途描述</w:t>
            </w:r>
          </w:p>
        </w:tc>
      </w:tr>
      <w:tr w14:paraId="2FF3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8" w:type="dxa"/>
            <w:shd w:val="clear" w:color="auto" w:fill="auto"/>
            <w:vAlign w:val="center"/>
          </w:tcPr>
          <w:p w14:paraId="7306197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应用服务器</w:t>
            </w:r>
          </w:p>
        </w:tc>
        <w:tc>
          <w:tcPr>
            <w:tcW w:w="2973" w:type="dxa"/>
            <w:shd w:val="clear" w:color="auto" w:fill="auto"/>
            <w:vAlign w:val="center"/>
          </w:tcPr>
          <w:p w14:paraId="17F78E9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8核16G内存、系统盘100G</w:t>
            </w:r>
          </w:p>
        </w:tc>
        <w:tc>
          <w:tcPr>
            <w:tcW w:w="739" w:type="dxa"/>
            <w:shd w:val="clear" w:color="auto" w:fill="auto"/>
            <w:vAlign w:val="center"/>
          </w:tcPr>
          <w:p w14:paraId="127D91D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2850" w:type="dxa"/>
            <w:shd w:val="clear" w:color="auto" w:fill="auto"/>
            <w:vAlign w:val="center"/>
          </w:tcPr>
          <w:p w14:paraId="715FF4D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移动端服务器</w:t>
            </w:r>
          </w:p>
        </w:tc>
      </w:tr>
      <w:tr w14:paraId="02FD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8" w:type="dxa"/>
            <w:shd w:val="clear" w:color="auto" w:fill="auto"/>
            <w:vAlign w:val="center"/>
          </w:tcPr>
          <w:p w14:paraId="322838C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应用服务器</w:t>
            </w:r>
          </w:p>
        </w:tc>
        <w:tc>
          <w:tcPr>
            <w:tcW w:w="2973" w:type="dxa"/>
            <w:shd w:val="clear" w:color="auto" w:fill="auto"/>
            <w:vAlign w:val="center"/>
          </w:tcPr>
          <w:p w14:paraId="4D53EC0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8核16G内存、系统盘100G</w:t>
            </w:r>
          </w:p>
        </w:tc>
        <w:tc>
          <w:tcPr>
            <w:tcW w:w="739" w:type="dxa"/>
            <w:shd w:val="clear" w:color="auto" w:fill="auto"/>
            <w:vAlign w:val="center"/>
          </w:tcPr>
          <w:p w14:paraId="12F64D5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2850" w:type="dxa"/>
            <w:shd w:val="clear" w:color="auto" w:fill="auto"/>
            <w:vAlign w:val="center"/>
          </w:tcPr>
          <w:p w14:paraId="5D6BB2A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PC端服务器</w:t>
            </w:r>
          </w:p>
        </w:tc>
      </w:tr>
      <w:tr w14:paraId="0FF3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8" w:type="dxa"/>
            <w:shd w:val="clear" w:color="auto" w:fill="auto"/>
            <w:vAlign w:val="center"/>
          </w:tcPr>
          <w:p w14:paraId="19F6072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应用服务器</w:t>
            </w:r>
          </w:p>
        </w:tc>
        <w:tc>
          <w:tcPr>
            <w:tcW w:w="2973" w:type="dxa"/>
            <w:shd w:val="clear" w:color="auto" w:fill="auto"/>
            <w:vAlign w:val="center"/>
          </w:tcPr>
          <w:p w14:paraId="418F827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8核16G内存、系统盘100G</w:t>
            </w:r>
          </w:p>
        </w:tc>
        <w:tc>
          <w:tcPr>
            <w:tcW w:w="739" w:type="dxa"/>
            <w:shd w:val="clear" w:color="auto" w:fill="auto"/>
            <w:vAlign w:val="center"/>
          </w:tcPr>
          <w:p w14:paraId="30461C9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2850" w:type="dxa"/>
            <w:shd w:val="clear" w:color="auto" w:fill="auto"/>
            <w:vAlign w:val="center"/>
          </w:tcPr>
          <w:p w14:paraId="5641FAF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数据底座应用服务器</w:t>
            </w:r>
          </w:p>
        </w:tc>
      </w:tr>
      <w:tr w14:paraId="6E7E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8" w:type="dxa"/>
            <w:shd w:val="clear" w:color="auto" w:fill="auto"/>
            <w:vAlign w:val="center"/>
          </w:tcPr>
          <w:p w14:paraId="3059D89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数据库服务器</w:t>
            </w:r>
          </w:p>
        </w:tc>
        <w:tc>
          <w:tcPr>
            <w:tcW w:w="2973" w:type="dxa"/>
            <w:shd w:val="clear" w:color="auto" w:fill="auto"/>
            <w:vAlign w:val="center"/>
          </w:tcPr>
          <w:p w14:paraId="59AF7F4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8核16G内存、系统盘100G、数据盘1.1T</w:t>
            </w:r>
          </w:p>
        </w:tc>
        <w:tc>
          <w:tcPr>
            <w:tcW w:w="739" w:type="dxa"/>
            <w:shd w:val="clear" w:color="auto" w:fill="auto"/>
            <w:vAlign w:val="center"/>
          </w:tcPr>
          <w:p w14:paraId="4E21145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2850" w:type="dxa"/>
            <w:shd w:val="clear" w:color="auto" w:fill="auto"/>
            <w:vAlign w:val="center"/>
          </w:tcPr>
          <w:p w14:paraId="1BFBF78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数据库服务器</w:t>
            </w:r>
          </w:p>
        </w:tc>
      </w:tr>
    </w:tbl>
    <w:p w14:paraId="36269291">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国产化软件采购</w:t>
      </w:r>
      <w:bookmarkEnd w:id="100"/>
      <w:bookmarkEnd w:id="101"/>
    </w:p>
    <w:p w14:paraId="4C45543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由于本项目拟部署在宁波市信创云，宁波市信创云是基于国产化环境，但不提供国产化软件，故本项目需新增采购</w:t>
      </w:r>
      <w:r>
        <w:rPr>
          <w:rFonts w:hint="eastAsia" w:ascii="宋体" w:hAnsi="宋体" w:eastAsia="宋体" w:cs="宋体"/>
          <w:sz w:val="24"/>
          <w:szCs w:val="24"/>
          <w:highlight w:val="none"/>
          <w:lang w:val="en-US" w:eastAsia="zh-CN"/>
        </w:rPr>
        <w:t>国产化</w:t>
      </w:r>
      <w:r>
        <w:rPr>
          <w:rFonts w:hint="eastAsia" w:ascii="宋体" w:hAnsi="宋体" w:eastAsia="宋体" w:cs="宋体"/>
          <w:sz w:val="24"/>
          <w:szCs w:val="24"/>
          <w:highlight w:val="none"/>
        </w:rPr>
        <w:t>服务器操作系统</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套、数据库软件1套。</w:t>
      </w:r>
    </w:p>
    <w:p w14:paraId="10C78FAC">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国产化服务器操作系统</w:t>
      </w:r>
    </w:p>
    <w:p w14:paraId="1ECEA00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国产化服务器操作系统突出高安全性、高可用性、实时性、兼容性等关键应用指标；兼容主流CPU、整机、存储、数据库、中间件等。</w:t>
      </w:r>
    </w:p>
    <w:p w14:paraId="5E1C1A6E">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国产化数据库软件</w:t>
      </w:r>
    </w:p>
    <w:p w14:paraId="7A16340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产数据库软件具备数据存储、访问控制、身份鉴别、安全审计和数据备份恢复等功能。国产数据库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p w14:paraId="3595166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国产数据库主要实现以下功能：</w:t>
      </w:r>
    </w:p>
    <w:p w14:paraId="0E907FE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1、实现数据共享：数据共享包含所有用户可同时存取数据库中的数据，也包括用户可以用各种方式通过接口使用数据库，并提供数据共享。</w:t>
      </w:r>
    </w:p>
    <w:p w14:paraId="189C200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2、减少数据的冗余度：同文件系统相比，由于数据库实现了数据共享，从而避免了用户各自建立应用文件。减少了大量重复数据，减少了数据冗余，维护了数据的一致性。</w:t>
      </w:r>
    </w:p>
    <w:p w14:paraId="4E6B32E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3、保持数据的独立性：数据的独立性包括逻辑独立性（数据库中数据库的逻辑结构和应用程序相互独立）和物理独立性（数据物理结构的变化不影响数据的逻辑结构）。</w:t>
      </w:r>
    </w:p>
    <w:p w14:paraId="1923FF5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数据实现集中控制：文件管理方式中，数据处于一种分散的状态，不同的用户或同一用户在不同处理中其文件之间毫无关系。利用数据库可对数据进行集中控制和管理，并通过数据模型表示各种数据的组织以及数据间的联系。</w:t>
      </w:r>
    </w:p>
    <w:p w14:paraId="1682468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5、数据一致性和可维护性，以确保数据的安全性和可靠性：主要包括：安全性控制、完整性控制、并发控制，使在同一时间周期内，允许对数据实现多路存取，又能防止用户之间的不正常交互作用。</w:t>
      </w:r>
    </w:p>
    <w:p w14:paraId="689FB2F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6、故障恢复：由数据库管理系统提供</w:t>
      </w:r>
      <w:r>
        <w:rPr>
          <w:rFonts w:hint="eastAsia" w:ascii="宋体" w:hAnsi="宋体" w:eastAsia="宋体" w:cs="宋体"/>
          <w:sz w:val="24"/>
          <w:szCs w:val="24"/>
          <w:highlight w:val="none"/>
          <w:lang w:eastAsia="zh-CN"/>
        </w:rPr>
        <w:t>一种</w:t>
      </w:r>
      <w:r>
        <w:rPr>
          <w:rFonts w:hint="eastAsia" w:ascii="宋体" w:hAnsi="宋体" w:eastAsia="宋体" w:cs="宋体"/>
          <w:sz w:val="24"/>
          <w:szCs w:val="24"/>
          <w:highlight w:val="none"/>
        </w:rPr>
        <w:t>方法，可及时发现故障和修复故障，从而防止数据被破坏。数据库系统能尽快恢复数据库系统运行时出现的故障，可能是物理上</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逻辑上的错误。比如对系统的误操作造成的数据错误等。</w:t>
      </w:r>
    </w:p>
    <w:p w14:paraId="4DD651B6">
      <w:pPr>
        <w:keepNext/>
        <w:keepLines/>
        <w:pageBreakBefore w:val="0"/>
        <w:widowControl w:val="0"/>
        <w:numPr>
          <w:ilvl w:val="1"/>
          <w:numId w:val="8"/>
        </w:numPr>
        <w:kinsoku/>
        <w:wordWrap/>
        <w:overflowPunct/>
        <w:topLinePunct w:val="0"/>
        <w:autoSpaceDE/>
        <w:autoSpaceDN/>
        <w:bidi w:val="0"/>
        <w:adjustRightInd w:val="0"/>
        <w:snapToGrid w:val="0"/>
        <w:spacing w:before="0" w:beforeLines="0" w:beforeAutospacing="0" w:after="0" w:afterLines="0" w:afterAutospacing="0" w:line="320" w:lineRule="exact"/>
        <w:ind w:left="575" w:hanging="575" w:firstLineChars="0"/>
        <w:jc w:val="both"/>
        <w:textAlignment w:val="auto"/>
        <w:outlineLvl w:val="1"/>
        <w:rPr>
          <w:rFonts w:hint="eastAsia" w:ascii="宋体" w:hAnsi="宋体" w:eastAsia="宋体" w:cs="宋体"/>
          <w:kern w:val="2"/>
          <w:sz w:val="24"/>
          <w:szCs w:val="24"/>
          <w:highlight w:val="none"/>
          <w:lang w:val="en-US" w:eastAsia="zh-CN" w:bidi="ar-SA"/>
        </w:rPr>
      </w:pPr>
      <w:bookmarkStart w:id="102" w:name="_Toc165771771"/>
      <w:bookmarkStart w:id="103" w:name="_Toc1224816960"/>
      <w:bookmarkStart w:id="104" w:name="_Toc26336"/>
      <w:bookmarkStart w:id="105" w:name="_Toc31248"/>
      <w:r>
        <w:rPr>
          <w:rFonts w:hint="eastAsia" w:ascii="宋体" w:hAnsi="宋体" w:eastAsia="宋体" w:cs="宋体"/>
          <w:kern w:val="2"/>
          <w:sz w:val="24"/>
          <w:szCs w:val="24"/>
          <w:highlight w:val="none"/>
          <w:lang w:val="en-US" w:eastAsia="zh-CN" w:bidi="ar-SA"/>
        </w:rPr>
        <w:t>信息安全保障体系设计</w:t>
      </w:r>
      <w:bookmarkEnd w:id="102"/>
      <w:bookmarkEnd w:id="103"/>
      <w:bookmarkEnd w:id="104"/>
      <w:bookmarkEnd w:id="105"/>
    </w:p>
    <w:p w14:paraId="184D910B">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bookmarkStart w:id="106" w:name="_Toc1867890225"/>
      <w:bookmarkStart w:id="107" w:name="_Toc27118"/>
      <w:r>
        <w:rPr>
          <w:rFonts w:hint="eastAsia" w:ascii="宋体" w:hAnsi="宋体" w:eastAsia="宋体" w:cs="宋体"/>
          <w:b/>
          <w:kern w:val="2"/>
          <w:sz w:val="24"/>
          <w:szCs w:val="24"/>
          <w:highlight w:val="none"/>
          <w:lang w:val="en-US" w:eastAsia="zh-CN" w:bidi="ar-SA"/>
        </w:rPr>
        <w:t>安全保障目标及对象</w:t>
      </w:r>
      <w:bookmarkEnd w:id="106"/>
      <w:bookmarkEnd w:id="107"/>
    </w:p>
    <w:p w14:paraId="139D4A65">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安全保障目标</w:t>
      </w:r>
    </w:p>
    <w:p w14:paraId="2131320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合本次项目的实际情况，进一步加强网络安全保护建设，从物理、网络、数据、应用和管理等方面保证业务应用的安全、高效、可靠运行，为单位和用户的业务数据采集、传输、使用、交换、存储等提供完善的数据安全防护服务，形成有效的安全保护能力、隐患发现能力、应急反应能力和系统恢复能力，避免和减少数据安全事件造成的损失。</w:t>
      </w:r>
    </w:p>
    <w:p w14:paraId="1666319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本项目拟对完成适配改造的</w:t>
      </w:r>
      <w:r>
        <w:rPr>
          <w:rFonts w:hint="eastAsia" w:ascii="宋体" w:hAnsi="宋体" w:eastAsia="宋体" w:cs="宋体"/>
          <w:sz w:val="24"/>
          <w:szCs w:val="24"/>
          <w:highlight w:val="none"/>
          <w:lang w:val="en-US" w:eastAsia="zh-CN"/>
        </w:rPr>
        <w:t>海曙区智慧民政综合服务平台</w:t>
      </w:r>
      <w:r>
        <w:rPr>
          <w:rFonts w:hint="eastAsia" w:ascii="宋体" w:hAnsi="宋体" w:eastAsia="宋体" w:cs="宋体"/>
          <w:sz w:val="24"/>
          <w:szCs w:val="24"/>
          <w:highlight w:val="none"/>
        </w:rPr>
        <w:t>开展二级等保工作</w:t>
      </w:r>
      <w:r>
        <w:rPr>
          <w:rFonts w:hint="eastAsia" w:ascii="宋体" w:hAnsi="宋体" w:eastAsia="宋体" w:cs="宋体"/>
          <w:sz w:val="24"/>
          <w:szCs w:val="24"/>
          <w:highlight w:val="none"/>
          <w:lang w:eastAsia="zh-CN"/>
        </w:rPr>
        <w:t>。</w:t>
      </w:r>
    </w:p>
    <w:p w14:paraId="29828C7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信息安全保障的</w:t>
      </w:r>
      <w:r>
        <w:rPr>
          <w:rFonts w:hint="eastAsia" w:ascii="宋体" w:hAnsi="宋体" w:eastAsia="宋体" w:cs="宋体"/>
          <w:sz w:val="24"/>
          <w:szCs w:val="24"/>
          <w:highlight w:val="none"/>
          <w:lang w:val="en-US" w:eastAsia="zh-CN"/>
        </w:rPr>
        <w:t>核心</w:t>
      </w:r>
      <w:r>
        <w:rPr>
          <w:rFonts w:hint="eastAsia" w:ascii="宋体" w:hAnsi="宋体" w:eastAsia="宋体" w:cs="宋体"/>
          <w:sz w:val="24"/>
          <w:szCs w:val="24"/>
          <w:highlight w:val="none"/>
        </w:rPr>
        <w:t>目标是保护和维护信息系统的机密性、完整性和可用性。具体来说，信息安全的目标包括以下几个方面：</w:t>
      </w:r>
    </w:p>
    <w:p w14:paraId="281E712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1.保密性：确保只有授权的用户可以访问信息，并防止未经授权的访问或泄露信息。</w:t>
      </w:r>
    </w:p>
    <w:p w14:paraId="3ED43E2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2.完整性：确保信息在传输、处理和存储过程中不被非法篡改或损坏，保证信息的准确性和可信度。</w:t>
      </w:r>
    </w:p>
    <w:p w14:paraId="672942F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3.可用性：确保信息系统和数据在需要时能够及时、可靠地提供给授权用户使用，防止信息系统遭受破坏、故障或拒绝服务攻击而无法正常运行。</w:t>
      </w:r>
    </w:p>
    <w:p w14:paraId="592E13D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4.可控性：确保对信息系统的使用和操作有明确的责任分配和追踪机制，使不当操作或滥用行为可以被发现并追究责任。</w:t>
      </w:r>
    </w:p>
    <w:p w14:paraId="71171A1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5.可靠性：确保信息系统的稳定性和可靠性，防止系统发生故障或中断造成信息丢失或不可用。</w:t>
      </w:r>
    </w:p>
    <w:p w14:paraId="61AC5FF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6.合规性：确保信息系统的运行符合适用的法律法规、标准和规范要求，以及相关组织内部的政策和规定。</w:t>
      </w:r>
    </w:p>
    <w:p w14:paraId="2FCABBA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以上为本项目的信息安全保障的目标。在项目建设过程中，信息安全的实施需要综合考虑以上目标，采取适当的技术、管理和人员方面的措施来保护信息系统和数据的安全。</w:t>
      </w:r>
    </w:p>
    <w:p w14:paraId="259C00BC">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安全保障对象</w:t>
      </w:r>
    </w:p>
    <w:p w14:paraId="2D4052F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本项目安全保障的对象主要包括</w:t>
      </w:r>
      <w:r>
        <w:rPr>
          <w:rFonts w:hint="eastAsia" w:ascii="宋体" w:hAnsi="宋体" w:eastAsia="宋体" w:cs="宋体"/>
          <w:sz w:val="24"/>
          <w:szCs w:val="24"/>
          <w:highlight w:val="none"/>
          <w:lang w:val="en-US" w:eastAsia="zh-CN"/>
        </w:rPr>
        <w:t>海曙区智慧民政综合服务平台</w:t>
      </w:r>
      <w:r>
        <w:rPr>
          <w:rFonts w:hint="eastAsia" w:ascii="宋体" w:hAnsi="宋体" w:eastAsia="宋体" w:cs="宋体"/>
          <w:sz w:val="24"/>
          <w:szCs w:val="24"/>
          <w:highlight w:val="none"/>
        </w:rPr>
        <w:t>及其用户、应用支撑组件、数据资源等。</w:t>
      </w:r>
    </w:p>
    <w:p w14:paraId="7D35B9A7">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bookmarkStart w:id="108" w:name="_Toc1715059729"/>
      <w:bookmarkStart w:id="109" w:name="_Toc21298"/>
      <w:r>
        <w:rPr>
          <w:rFonts w:hint="eastAsia" w:ascii="宋体" w:hAnsi="宋体" w:eastAsia="宋体" w:cs="宋体"/>
          <w:b/>
          <w:kern w:val="2"/>
          <w:sz w:val="24"/>
          <w:szCs w:val="24"/>
          <w:highlight w:val="none"/>
          <w:lang w:val="en-US" w:eastAsia="zh-CN" w:bidi="ar-SA"/>
        </w:rPr>
        <w:t>网络安全等级保护方案及测评计划</w:t>
      </w:r>
      <w:bookmarkEnd w:id="108"/>
      <w:bookmarkEnd w:id="109"/>
    </w:p>
    <w:p w14:paraId="2C6CCB4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按照《信息安全技术网络安全等级保护定级指南》（GB/T22240-2020），等级保护对象的定级要素包含受侵害的客体和对客体的侵害程度。</w:t>
      </w:r>
    </w:p>
    <w:p w14:paraId="624DC9A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等级保护对象在国家安全、经济建设、社会生活中的重要程度，以及一旦遭到破坏、丧失功能或者数据被篡改、泄露、丢失、损毁后，对国家安全、社会秩序、公共利益及公民、法人和其他组织的合法权益的侵害程度等因素，等级保护对象的安全保护等级分为以下五级：</w:t>
      </w:r>
    </w:p>
    <w:p w14:paraId="5E00E6C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第一级，等级保护对象受到破坏后，会对相关公民、法人和其他组织的权益造成一般损害，但不危害国家安全、社会秩序和公共利益；</w:t>
      </w:r>
    </w:p>
    <w:p w14:paraId="2BC19DA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第二级，等级保护对象受到破坏后，会对相关公民、法人和其他组织的权益造成严重损害或特别严重损害，或者对社会秩序和公共利益造成危害，但不危害国家安全；</w:t>
      </w:r>
    </w:p>
    <w:p w14:paraId="2C529A1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第三级，等级保护对象受到破坏后，会对社会秩序和公共利益造成严重危害，或者对国家安全造成危害；</w:t>
      </w:r>
    </w:p>
    <w:p w14:paraId="4771648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第四级，等级保护对象受到破坏后，会对社会秩序和公共利益造成特别严重危害，或者对国家安全造成严重危害；</w:t>
      </w:r>
    </w:p>
    <w:p w14:paraId="23E5B2E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第五级，等级保护对象受到破坏后，会对国家安全造成特别严重危害。</w:t>
      </w:r>
    </w:p>
    <w:p w14:paraId="183E48E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定级对象的安全主要包含业务信息安全和系统服务安全，与之相关的受侵害客体和对客体的侵害程度可能不同，因此安全保护等级由业务信息安全和系统服务安全两方面确定，从业务信息安全角度</w:t>
      </w:r>
      <w:r>
        <w:rPr>
          <w:rFonts w:hint="eastAsia" w:ascii="宋体" w:hAnsi="宋体" w:eastAsia="宋体" w:cs="宋体"/>
          <w:sz w:val="24"/>
          <w:szCs w:val="24"/>
          <w:highlight w:val="none"/>
          <w:lang w:eastAsia="zh-CN"/>
        </w:rPr>
        <w:t>反映</w:t>
      </w:r>
      <w:r>
        <w:rPr>
          <w:rFonts w:hint="eastAsia" w:ascii="宋体" w:hAnsi="宋体" w:eastAsia="宋体" w:cs="宋体"/>
          <w:sz w:val="24"/>
          <w:szCs w:val="24"/>
          <w:highlight w:val="none"/>
        </w:rPr>
        <w:t>的定级对象安全保护等级称为业务信息安全保护等级；从系统服务安全角度</w:t>
      </w:r>
      <w:r>
        <w:rPr>
          <w:rFonts w:hint="eastAsia" w:ascii="宋体" w:hAnsi="宋体" w:eastAsia="宋体" w:cs="宋体"/>
          <w:sz w:val="24"/>
          <w:szCs w:val="24"/>
          <w:highlight w:val="none"/>
          <w:lang w:eastAsia="zh-CN"/>
        </w:rPr>
        <w:t>反映</w:t>
      </w:r>
      <w:r>
        <w:rPr>
          <w:rFonts w:hint="eastAsia" w:ascii="宋体" w:hAnsi="宋体" w:eastAsia="宋体" w:cs="宋体"/>
          <w:sz w:val="24"/>
          <w:szCs w:val="24"/>
          <w:highlight w:val="none"/>
        </w:rPr>
        <w:t>的定级对象安全保护等级称为系统服务安全保护等级。将业务信息安全保护等级和系统服务安全保护等级的较高者确定为定级对象的安全保护等级。</w:t>
      </w:r>
    </w:p>
    <w:p w14:paraId="75392EE2">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网络安全等级保护现状</w:t>
      </w:r>
    </w:p>
    <w:p w14:paraId="45A8989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海曙区智慧民政综合服务平台</w:t>
      </w:r>
      <w:r>
        <w:rPr>
          <w:rFonts w:hint="eastAsia" w:ascii="宋体" w:hAnsi="宋体" w:eastAsia="宋体" w:cs="宋体"/>
          <w:sz w:val="24"/>
          <w:szCs w:val="24"/>
          <w:highlight w:val="none"/>
          <w:lang w:val="en-US" w:eastAsia="zh-CN"/>
        </w:rPr>
        <w:t>依</w:t>
      </w:r>
      <w:r>
        <w:rPr>
          <w:rFonts w:hint="eastAsia" w:ascii="宋体" w:hAnsi="宋体" w:eastAsia="宋体" w:cs="宋体"/>
          <w:sz w:val="24"/>
          <w:szCs w:val="24"/>
          <w:highlight w:val="none"/>
        </w:rPr>
        <w:t>托</w:t>
      </w:r>
      <w:r>
        <w:rPr>
          <w:rFonts w:hint="eastAsia" w:ascii="宋体" w:hAnsi="宋体" w:eastAsia="宋体" w:cs="宋体"/>
          <w:sz w:val="24"/>
          <w:szCs w:val="24"/>
          <w:highlight w:val="none"/>
          <w:lang w:val="en-US" w:eastAsia="zh-CN"/>
        </w:rPr>
        <w:t>宁波市</w:t>
      </w:r>
      <w:r>
        <w:rPr>
          <w:rFonts w:hint="eastAsia" w:ascii="宋体" w:hAnsi="宋体" w:eastAsia="宋体" w:cs="宋体"/>
          <w:sz w:val="24"/>
          <w:szCs w:val="24"/>
          <w:highlight w:val="none"/>
        </w:rPr>
        <w:t>信创云，宁波市信创云在场所安全、网络安全、主机安全、应用安全、数据安全和制度管理等方面已有一定的基础。</w:t>
      </w:r>
      <w:r>
        <w:rPr>
          <w:rFonts w:hint="eastAsia" w:ascii="宋体" w:hAnsi="宋体" w:eastAsia="宋体" w:cs="宋体"/>
          <w:sz w:val="24"/>
          <w:szCs w:val="24"/>
          <w:highlight w:val="none"/>
          <w:lang w:eastAsia="zh-CN"/>
        </w:rPr>
        <w:t>海曙区智慧民政综合服务平台</w:t>
      </w:r>
      <w:r>
        <w:rPr>
          <w:rFonts w:hint="eastAsia" w:ascii="宋体" w:hAnsi="宋体" w:eastAsia="宋体" w:cs="宋体"/>
          <w:sz w:val="24"/>
          <w:szCs w:val="24"/>
          <w:highlight w:val="none"/>
        </w:rPr>
        <w:t>根据目标分析，拟定为网络安全等保二级，要求完成边界防护、访问控制、入侵防范、恶意代码和垃圾邮件防范、安全审计、可信验证等相关工作，并通过身份鉴别、安全审计、访问控制、数据保密等方式保障数据安全。</w:t>
      </w:r>
    </w:p>
    <w:p w14:paraId="1F273102">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业务信息安全保护等级的确定</w:t>
      </w:r>
    </w:p>
    <w:p w14:paraId="3CAB5542">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1.业务信息描述</w:t>
      </w:r>
    </w:p>
    <w:p w14:paraId="25DA1B2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海曙区智慧民政综合服务平台</w:t>
      </w:r>
      <w:r>
        <w:rPr>
          <w:rFonts w:hint="eastAsia" w:ascii="宋体" w:hAnsi="宋体" w:eastAsia="宋体" w:cs="宋体"/>
          <w:sz w:val="24"/>
          <w:szCs w:val="24"/>
          <w:highlight w:val="none"/>
          <w:lang w:val="en-US" w:eastAsia="zh-CN"/>
        </w:rPr>
        <w:t>业务信息主要包括数据底座、业务中台、业务功能等。</w:t>
      </w:r>
    </w:p>
    <w:p w14:paraId="2852F28F">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2.业务信息受到破坏时所侵害客体的确定</w:t>
      </w:r>
    </w:p>
    <w:p w14:paraId="293C5FB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当应用系统的数据信息受到破坏时侵害的客体是公民、法人和其他组织的合法权益。</w:t>
      </w:r>
    </w:p>
    <w:p w14:paraId="09566169">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3.信息受到破坏后对侵害客体的侵害程度的确定</w:t>
      </w:r>
    </w:p>
    <w:p w14:paraId="1BC03B3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信息受到破坏后，会对侵害客体造成</w:t>
      </w:r>
      <w:r>
        <w:rPr>
          <w:rFonts w:hint="eastAsia" w:ascii="宋体" w:hAnsi="宋体" w:eastAsia="宋体" w:cs="宋体"/>
          <w:sz w:val="24"/>
          <w:szCs w:val="24"/>
          <w:highlight w:val="none"/>
          <w:lang w:val="en-US" w:eastAsia="zh-CN"/>
        </w:rPr>
        <w:t>严重</w:t>
      </w:r>
      <w:r>
        <w:rPr>
          <w:rFonts w:hint="eastAsia" w:ascii="宋体" w:hAnsi="宋体" w:eastAsia="宋体" w:cs="宋体"/>
          <w:sz w:val="24"/>
          <w:szCs w:val="24"/>
          <w:highlight w:val="none"/>
        </w:rPr>
        <w:t>损害。</w:t>
      </w:r>
    </w:p>
    <w:p w14:paraId="1493BFA7">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4.业务信息安全等级的确定</w:t>
      </w:r>
    </w:p>
    <w:p w14:paraId="06E857C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业务信息安全是指把定级对象中信息的保密性、完整性和可用性等，根据业务信息安全被破坏时所侵害的客体以及对应客体的侵害程度。依据下表可得到业务信息安全保护等级为第二级。</w:t>
      </w:r>
    </w:p>
    <w:p w14:paraId="2DD48B9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业务信息安全保护等级矩阵表</w:t>
      </w:r>
    </w:p>
    <w:tbl>
      <w:tblPr>
        <w:tblStyle w:val="61"/>
        <w:tblW w:w="0" w:type="auto"/>
        <w:tblInd w:w="113" w:type="dxa"/>
        <w:tblLayout w:type="autofit"/>
        <w:tblCellMar>
          <w:top w:w="0" w:type="dxa"/>
          <w:left w:w="108" w:type="dxa"/>
          <w:bottom w:w="0" w:type="dxa"/>
          <w:right w:w="108" w:type="dxa"/>
        </w:tblCellMar>
      </w:tblPr>
      <w:tblGrid>
        <w:gridCol w:w="3681"/>
        <w:gridCol w:w="1559"/>
        <w:gridCol w:w="1436"/>
        <w:gridCol w:w="1684"/>
      </w:tblGrid>
      <w:tr w14:paraId="501F1B87">
        <w:tblPrEx>
          <w:tblCellMar>
            <w:top w:w="0" w:type="dxa"/>
            <w:left w:w="108" w:type="dxa"/>
            <w:bottom w:w="0" w:type="dxa"/>
            <w:right w:w="108" w:type="dxa"/>
          </w:tblCellMar>
        </w:tblPrEx>
        <w:trPr>
          <w:trHeight w:val="340" w:hRule="atLeast"/>
        </w:trPr>
        <w:tc>
          <w:tcPr>
            <w:tcW w:w="3681" w:type="dxa"/>
            <w:vMerge w:val="restart"/>
            <w:tcBorders>
              <w:top w:val="single" w:color="auto" w:sz="4" w:space="0"/>
              <w:left w:val="single" w:color="auto" w:sz="4" w:space="0"/>
              <w:bottom w:val="nil"/>
              <w:right w:val="single" w:color="auto" w:sz="4" w:space="0"/>
            </w:tcBorders>
            <w:shd w:val="clear" w:color="auto" w:fill="F1F1F1"/>
            <w:vAlign w:val="center"/>
          </w:tcPr>
          <w:p w14:paraId="7C5D710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业务信息安全被破坏时所侵害的客体</w:t>
            </w:r>
          </w:p>
        </w:tc>
        <w:tc>
          <w:tcPr>
            <w:tcW w:w="4679" w:type="dxa"/>
            <w:gridSpan w:val="3"/>
            <w:tcBorders>
              <w:top w:val="single" w:color="auto" w:sz="4" w:space="0"/>
              <w:left w:val="nil"/>
              <w:bottom w:val="single" w:color="auto" w:sz="4" w:space="0"/>
              <w:right w:val="single" w:color="auto" w:sz="4" w:space="0"/>
            </w:tcBorders>
            <w:shd w:val="clear" w:color="auto" w:fill="F1F1F1"/>
            <w:vAlign w:val="center"/>
          </w:tcPr>
          <w:p w14:paraId="0437300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对相应客体的侵害程度</w:t>
            </w:r>
          </w:p>
        </w:tc>
      </w:tr>
      <w:tr w14:paraId="6A0AE595">
        <w:tblPrEx>
          <w:tblCellMar>
            <w:top w:w="0" w:type="dxa"/>
            <w:left w:w="108" w:type="dxa"/>
            <w:bottom w:w="0" w:type="dxa"/>
            <w:right w:w="108" w:type="dxa"/>
          </w:tblCellMar>
        </w:tblPrEx>
        <w:trPr>
          <w:trHeight w:val="340" w:hRule="atLeast"/>
        </w:trPr>
        <w:tc>
          <w:tcPr>
            <w:tcW w:w="3681" w:type="dxa"/>
            <w:vMerge w:val="continue"/>
            <w:tcBorders>
              <w:top w:val="single" w:color="auto" w:sz="4" w:space="0"/>
              <w:left w:val="single" w:color="auto" w:sz="4" w:space="0"/>
              <w:bottom w:val="nil"/>
              <w:right w:val="single" w:color="auto" w:sz="4" w:space="0"/>
            </w:tcBorders>
            <w:shd w:val="clear" w:color="auto" w:fill="F1F1F1"/>
            <w:vAlign w:val="center"/>
          </w:tcPr>
          <w:p w14:paraId="3D6B5A97">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left"/>
              <w:textAlignment w:val="auto"/>
              <w:rPr>
                <w:rFonts w:hint="eastAsia" w:ascii="宋体" w:hAnsi="宋体" w:eastAsia="宋体" w:cs="宋体"/>
                <w:b/>
                <w:sz w:val="24"/>
                <w:szCs w:val="24"/>
                <w:highlight w:val="none"/>
              </w:rPr>
            </w:pPr>
          </w:p>
        </w:tc>
        <w:tc>
          <w:tcPr>
            <w:tcW w:w="1559" w:type="dxa"/>
            <w:tcBorders>
              <w:top w:val="single" w:color="auto" w:sz="4" w:space="0"/>
              <w:left w:val="nil"/>
              <w:bottom w:val="single" w:color="auto" w:sz="4" w:space="0"/>
              <w:right w:val="single" w:color="auto" w:sz="4" w:space="0"/>
            </w:tcBorders>
            <w:shd w:val="clear" w:color="auto" w:fill="F1F1F1"/>
            <w:vAlign w:val="center"/>
          </w:tcPr>
          <w:p w14:paraId="277319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一般损害</w:t>
            </w:r>
          </w:p>
        </w:tc>
        <w:tc>
          <w:tcPr>
            <w:tcW w:w="1436" w:type="dxa"/>
            <w:tcBorders>
              <w:top w:val="single" w:color="auto" w:sz="4" w:space="0"/>
              <w:left w:val="nil"/>
              <w:bottom w:val="single" w:color="auto" w:sz="4" w:space="0"/>
              <w:right w:val="single" w:color="auto" w:sz="4" w:space="0"/>
            </w:tcBorders>
            <w:shd w:val="clear" w:color="auto" w:fill="F1F1F1"/>
            <w:vAlign w:val="center"/>
          </w:tcPr>
          <w:p w14:paraId="4571CE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严重损害</w:t>
            </w:r>
          </w:p>
        </w:tc>
        <w:tc>
          <w:tcPr>
            <w:tcW w:w="1684" w:type="dxa"/>
            <w:tcBorders>
              <w:top w:val="single" w:color="auto" w:sz="4" w:space="0"/>
              <w:left w:val="nil"/>
              <w:bottom w:val="single" w:color="auto" w:sz="4" w:space="0"/>
              <w:right w:val="single" w:color="auto" w:sz="4" w:space="0"/>
            </w:tcBorders>
            <w:shd w:val="clear" w:color="auto" w:fill="F1F1F1"/>
            <w:vAlign w:val="center"/>
          </w:tcPr>
          <w:p w14:paraId="7761365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特别严重损害</w:t>
            </w:r>
          </w:p>
        </w:tc>
      </w:tr>
      <w:tr w14:paraId="01A74914">
        <w:tblPrEx>
          <w:tblCellMar>
            <w:top w:w="0" w:type="dxa"/>
            <w:left w:w="108" w:type="dxa"/>
            <w:bottom w:w="0" w:type="dxa"/>
            <w:right w:w="108" w:type="dxa"/>
          </w:tblCellMar>
        </w:tblPrEx>
        <w:trPr>
          <w:trHeight w:val="340" w:hRule="atLeast"/>
        </w:trPr>
        <w:tc>
          <w:tcPr>
            <w:tcW w:w="3681" w:type="dxa"/>
            <w:tcBorders>
              <w:top w:val="single" w:color="auto" w:sz="4" w:space="0"/>
              <w:left w:val="single" w:color="auto" w:sz="4" w:space="0"/>
              <w:bottom w:val="single" w:color="auto" w:sz="4" w:space="0"/>
              <w:right w:val="single" w:color="auto" w:sz="4" w:space="0"/>
            </w:tcBorders>
            <w:vAlign w:val="center"/>
          </w:tcPr>
          <w:p w14:paraId="3B2ECD8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公民、法人和其他组织的合法权益</w:t>
            </w:r>
          </w:p>
        </w:tc>
        <w:tc>
          <w:tcPr>
            <w:tcW w:w="1559" w:type="dxa"/>
            <w:tcBorders>
              <w:top w:val="single" w:color="auto" w:sz="4" w:space="0"/>
              <w:left w:val="nil"/>
              <w:bottom w:val="single" w:color="auto" w:sz="4" w:space="0"/>
              <w:right w:val="single" w:color="auto" w:sz="4" w:space="0"/>
            </w:tcBorders>
            <w:vAlign w:val="center"/>
          </w:tcPr>
          <w:p w14:paraId="07FFAB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第一级</w:t>
            </w:r>
          </w:p>
        </w:tc>
        <w:tc>
          <w:tcPr>
            <w:tcW w:w="1436" w:type="dxa"/>
            <w:tcBorders>
              <w:top w:val="single" w:color="auto" w:sz="4" w:space="0"/>
              <w:left w:val="nil"/>
              <w:bottom w:val="single" w:color="auto" w:sz="4" w:space="0"/>
              <w:right w:val="single" w:color="auto" w:sz="4" w:space="0"/>
            </w:tcBorders>
            <w:vAlign w:val="center"/>
          </w:tcPr>
          <w:p w14:paraId="577A0E4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第二级</w:t>
            </w:r>
          </w:p>
        </w:tc>
        <w:tc>
          <w:tcPr>
            <w:tcW w:w="1684" w:type="dxa"/>
            <w:tcBorders>
              <w:top w:val="single" w:color="auto" w:sz="4" w:space="0"/>
              <w:left w:val="nil"/>
              <w:bottom w:val="single" w:color="auto" w:sz="4" w:space="0"/>
              <w:right w:val="single" w:color="auto" w:sz="4" w:space="0"/>
            </w:tcBorders>
            <w:vAlign w:val="center"/>
          </w:tcPr>
          <w:p w14:paraId="385C864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第二级</w:t>
            </w:r>
          </w:p>
        </w:tc>
      </w:tr>
      <w:tr w14:paraId="474FF54C">
        <w:tblPrEx>
          <w:tblCellMar>
            <w:top w:w="0" w:type="dxa"/>
            <w:left w:w="108" w:type="dxa"/>
            <w:bottom w:w="0" w:type="dxa"/>
            <w:right w:w="108" w:type="dxa"/>
          </w:tblCellMar>
        </w:tblPrEx>
        <w:trPr>
          <w:trHeight w:val="340" w:hRule="atLeast"/>
        </w:trPr>
        <w:tc>
          <w:tcPr>
            <w:tcW w:w="3681" w:type="dxa"/>
            <w:tcBorders>
              <w:top w:val="single" w:color="auto" w:sz="4" w:space="0"/>
              <w:left w:val="single" w:color="auto" w:sz="4" w:space="0"/>
              <w:bottom w:val="single" w:color="auto" w:sz="4" w:space="0"/>
              <w:right w:val="single" w:color="auto" w:sz="4" w:space="0"/>
            </w:tcBorders>
            <w:vAlign w:val="center"/>
          </w:tcPr>
          <w:p w14:paraId="1C27A09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社会秩序、公共利益</w:t>
            </w:r>
          </w:p>
        </w:tc>
        <w:tc>
          <w:tcPr>
            <w:tcW w:w="1559" w:type="dxa"/>
            <w:tcBorders>
              <w:top w:val="single" w:color="auto" w:sz="4" w:space="0"/>
              <w:left w:val="nil"/>
              <w:bottom w:val="single" w:color="auto" w:sz="4" w:space="0"/>
              <w:right w:val="single" w:color="auto" w:sz="4" w:space="0"/>
            </w:tcBorders>
            <w:vAlign w:val="center"/>
          </w:tcPr>
          <w:p w14:paraId="1B9A12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第二级</w:t>
            </w:r>
          </w:p>
        </w:tc>
        <w:tc>
          <w:tcPr>
            <w:tcW w:w="1436" w:type="dxa"/>
            <w:tcBorders>
              <w:top w:val="single" w:color="auto" w:sz="4" w:space="0"/>
              <w:left w:val="nil"/>
              <w:bottom w:val="single" w:color="auto" w:sz="4" w:space="0"/>
              <w:right w:val="single" w:color="auto" w:sz="4" w:space="0"/>
            </w:tcBorders>
            <w:vAlign w:val="center"/>
          </w:tcPr>
          <w:p w14:paraId="15CFDE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第三级</w:t>
            </w:r>
          </w:p>
        </w:tc>
        <w:tc>
          <w:tcPr>
            <w:tcW w:w="1684" w:type="dxa"/>
            <w:tcBorders>
              <w:top w:val="single" w:color="auto" w:sz="4" w:space="0"/>
              <w:left w:val="nil"/>
              <w:bottom w:val="single" w:color="auto" w:sz="4" w:space="0"/>
              <w:right w:val="single" w:color="auto" w:sz="4" w:space="0"/>
            </w:tcBorders>
            <w:vAlign w:val="center"/>
          </w:tcPr>
          <w:p w14:paraId="23F76C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第四级</w:t>
            </w:r>
          </w:p>
        </w:tc>
      </w:tr>
    </w:tbl>
    <w:p w14:paraId="5546A52C">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系统服务安全保护等级的确定</w:t>
      </w:r>
    </w:p>
    <w:p w14:paraId="517A645A">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1.应用服务描述</w:t>
      </w:r>
    </w:p>
    <w:p w14:paraId="51E758A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主要包含</w:t>
      </w:r>
      <w:r>
        <w:rPr>
          <w:rFonts w:hint="eastAsia" w:ascii="宋体" w:hAnsi="宋体" w:eastAsia="宋体" w:cs="宋体"/>
          <w:sz w:val="24"/>
          <w:szCs w:val="24"/>
          <w:highlight w:val="none"/>
          <w:lang w:val="en-US" w:eastAsia="zh-CN"/>
        </w:rPr>
        <w:t>数据底座、业务中台、业务功能</w:t>
      </w:r>
      <w:r>
        <w:rPr>
          <w:rFonts w:hint="eastAsia" w:ascii="宋体" w:hAnsi="宋体" w:eastAsia="宋体" w:cs="宋体"/>
          <w:sz w:val="24"/>
          <w:szCs w:val="24"/>
          <w:highlight w:val="none"/>
        </w:rPr>
        <w:t>3大模块，搭配个人工作台和数据</w:t>
      </w:r>
      <w:r>
        <w:rPr>
          <w:rFonts w:hint="eastAsia" w:ascii="宋体" w:hAnsi="宋体" w:eastAsia="宋体" w:cs="宋体"/>
          <w:sz w:val="24"/>
          <w:szCs w:val="24"/>
          <w:highlight w:val="none"/>
          <w:lang w:val="en-US" w:eastAsia="zh-CN"/>
        </w:rPr>
        <w:t>中台</w:t>
      </w:r>
      <w:r>
        <w:rPr>
          <w:rFonts w:hint="eastAsia" w:ascii="宋体" w:hAnsi="宋体" w:eastAsia="宋体" w:cs="宋体"/>
          <w:sz w:val="24"/>
          <w:szCs w:val="24"/>
          <w:highlight w:val="none"/>
        </w:rPr>
        <w:t>，并通过数据底座提供</w:t>
      </w:r>
      <w:r>
        <w:rPr>
          <w:rFonts w:hint="eastAsia" w:ascii="宋体" w:hAnsi="宋体" w:eastAsia="宋体" w:cs="宋体"/>
          <w:sz w:val="24"/>
          <w:szCs w:val="24"/>
          <w:highlight w:val="none"/>
          <w:lang w:val="en-US" w:eastAsia="zh-CN"/>
        </w:rPr>
        <w:t>数据对接和数据支撑实现</w:t>
      </w:r>
      <w:r>
        <w:rPr>
          <w:rFonts w:hint="eastAsia" w:ascii="宋体" w:hAnsi="宋体" w:eastAsia="宋体" w:cs="宋体"/>
          <w:sz w:val="24"/>
          <w:szCs w:val="24"/>
          <w:highlight w:val="none"/>
        </w:rPr>
        <w:t>高效的民政业务管理。</w:t>
      </w:r>
    </w:p>
    <w:p w14:paraId="70DEE4F5">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2.应用服务受到破坏时所侵害客体的确定</w:t>
      </w:r>
    </w:p>
    <w:p w14:paraId="620671A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受到破坏时侵害的客体是</w:t>
      </w:r>
      <w:r>
        <w:rPr>
          <w:rFonts w:hint="eastAsia" w:ascii="宋体" w:hAnsi="宋体" w:eastAsia="宋体" w:cs="宋体"/>
          <w:sz w:val="24"/>
          <w:szCs w:val="24"/>
          <w:highlight w:val="none"/>
          <w:lang w:val="en-US" w:eastAsia="zh-CN"/>
        </w:rPr>
        <w:t>社会秩序、公共利益</w:t>
      </w:r>
    </w:p>
    <w:p w14:paraId="6EB29E8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侵害的客观表现为：</w:t>
      </w:r>
      <w:r>
        <w:rPr>
          <w:rFonts w:hint="eastAsia" w:ascii="宋体" w:hAnsi="宋体" w:eastAsia="宋体" w:cs="宋体"/>
          <w:sz w:val="24"/>
          <w:szCs w:val="24"/>
          <w:highlight w:val="none"/>
          <w:lang w:val="en-US" w:eastAsia="zh-CN"/>
        </w:rPr>
        <w:t>社区、街道、服务商无法通过本系统进行相关业务操作，但可通过人工线下方式开展相关业务，并在服务恢复后进行补录。</w:t>
      </w:r>
    </w:p>
    <w:p w14:paraId="69EE6738">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3.应用服务受到破坏后对侵害客体的侵害程度的确定</w:t>
      </w:r>
    </w:p>
    <w:p w14:paraId="3B0E552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上述结果的</w:t>
      </w:r>
      <w:r>
        <w:rPr>
          <w:rFonts w:hint="eastAsia" w:ascii="宋体" w:hAnsi="宋体" w:eastAsia="宋体" w:cs="宋体"/>
          <w:sz w:val="24"/>
          <w:szCs w:val="24"/>
          <w:highlight w:val="none"/>
          <w:lang w:val="en-US" w:eastAsia="zh-CN"/>
        </w:rPr>
        <w:t>对客体的侵害程度</w:t>
      </w:r>
      <w:r>
        <w:rPr>
          <w:rFonts w:hint="eastAsia" w:ascii="宋体" w:hAnsi="宋体" w:eastAsia="宋体" w:cs="宋体"/>
          <w:sz w:val="24"/>
          <w:szCs w:val="24"/>
          <w:highlight w:val="none"/>
        </w:rPr>
        <w:t>表现为</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损害。</w:t>
      </w:r>
    </w:p>
    <w:p w14:paraId="6D70EE42">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4.应用服务安全等级的确定</w:t>
      </w:r>
    </w:p>
    <w:p w14:paraId="0F92047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系统服务安全是指确保定级安全可以及时、有效地提供服务，以完成预定的业务目标。根据信息服务安全被破坏时所侵害的客体以及对应客体的侵害程度，依据下表可得到信息服务安全保护等级为第二级。</w:t>
      </w:r>
    </w:p>
    <w:p w14:paraId="122E1A3E">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系统服务安全保护等级矩阵表</w:t>
      </w:r>
    </w:p>
    <w:tbl>
      <w:tblPr>
        <w:tblStyle w:val="61"/>
        <w:tblW w:w="8850" w:type="dxa"/>
        <w:tblInd w:w="-302" w:type="dxa"/>
        <w:tblLayout w:type="autofit"/>
        <w:tblCellMar>
          <w:top w:w="0" w:type="dxa"/>
          <w:left w:w="108" w:type="dxa"/>
          <w:bottom w:w="0" w:type="dxa"/>
          <w:right w:w="108" w:type="dxa"/>
        </w:tblCellMar>
      </w:tblPr>
      <w:tblGrid>
        <w:gridCol w:w="4096"/>
        <w:gridCol w:w="1559"/>
        <w:gridCol w:w="1436"/>
        <w:gridCol w:w="1759"/>
      </w:tblGrid>
      <w:tr w14:paraId="06232838">
        <w:tblPrEx>
          <w:tblCellMar>
            <w:top w:w="0" w:type="dxa"/>
            <w:left w:w="108" w:type="dxa"/>
            <w:bottom w:w="0" w:type="dxa"/>
            <w:right w:w="108" w:type="dxa"/>
          </w:tblCellMar>
        </w:tblPrEx>
        <w:trPr>
          <w:trHeight w:val="340" w:hRule="atLeast"/>
        </w:trPr>
        <w:tc>
          <w:tcPr>
            <w:tcW w:w="4096" w:type="dxa"/>
            <w:vMerge w:val="restart"/>
            <w:tcBorders>
              <w:top w:val="single" w:color="auto" w:sz="4" w:space="0"/>
              <w:left w:val="single" w:color="auto" w:sz="4" w:space="0"/>
              <w:bottom w:val="nil"/>
              <w:right w:val="single" w:color="auto" w:sz="4" w:space="0"/>
            </w:tcBorders>
            <w:shd w:val="clear" w:color="auto" w:fill="F1F1F1"/>
            <w:vAlign w:val="center"/>
          </w:tcPr>
          <w:p w14:paraId="6F49AE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系统服务安全被破坏时所侵害的客体</w:t>
            </w:r>
          </w:p>
        </w:tc>
        <w:tc>
          <w:tcPr>
            <w:tcW w:w="4754" w:type="dxa"/>
            <w:gridSpan w:val="3"/>
            <w:tcBorders>
              <w:top w:val="single" w:color="auto" w:sz="4" w:space="0"/>
              <w:left w:val="nil"/>
              <w:bottom w:val="single" w:color="auto" w:sz="4" w:space="0"/>
              <w:right w:val="single" w:color="auto" w:sz="4" w:space="0"/>
            </w:tcBorders>
            <w:shd w:val="clear" w:color="auto" w:fill="F1F1F1"/>
            <w:vAlign w:val="center"/>
          </w:tcPr>
          <w:p w14:paraId="1A6DC87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对相应客体的侵害程度</w:t>
            </w:r>
          </w:p>
        </w:tc>
      </w:tr>
      <w:tr w14:paraId="08DBB44B">
        <w:tblPrEx>
          <w:tblCellMar>
            <w:top w:w="0" w:type="dxa"/>
            <w:left w:w="108" w:type="dxa"/>
            <w:bottom w:w="0" w:type="dxa"/>
            <w:right w:w="108" w:type="dxa"/>
          </w:tblCellMar>
        </w:tblPrEx>
        <w:trPr>
          <w:trHeight w:val="340" w:hRule="atLeast"/>
        </w:trPr>
        <w:tc>
          <w:tcPr>
            <w:tcW w:w="4096" w:type="dxa"/>
            <w:vMerge w:val="continue"/>
            <w:tcBorders>
              <w:top w:val="single" w:color="auto" w:sz="4" w:space="0"/>
              <w:left w:val="single" w:color="auto" w:sz="4" w:space="0"/>
              <w:bottom w:val="nil"/>
              <w:right w:val="single" w:color="auto" w:sz="4" w:space="0"/>
            </w:tcBorders>
            <w:shd w:val="clear" w:color="auto" w:fill="F1F1F1"/>
            <w:vAlign w:val="center"/>
          </w:tcPr>
          <w:p w14:paraId="1B5D37DC">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left"/>
              <w:textAlignment w:val="auto"/>
              <w:rPr>
                <w:rFonts w:hint="eastAsia" w:ascii="宋体" w:hAnsi="宋体" w:eastAsia="宋体" w:cs="宋体"/>
                <w:b/>
                <w:sz w:val="24"/>
                <w:szCs w:val="24"/>
                <w:highlight w:val="none"/>
              </w:rPr>
            </w:pPr>
          </w:p>
        </w:tc>
        <w:tc>
          <w:tcPr>
            <w:tcW w:w="1559" w:type="dxa"/>
            <w:tcBorders>
              <w:top w:val="single" w:color="auto" w:sz="4" w:space="0"/>
              <w:left w:val="nil"/>
              <w:bottom w:val="single" w:color="auto" w:sz="4" w:space="0"/>
              <w:right w:val="single" w:color="auto" w:sz="4" w:space="0"/>
            </w:tcBorders>
            <w:shd w:val="clear" w:color="auto" w:fill="F1F1F1"/>
            <w:vAlign w:val="center"/>
          </w:tcPr>
          <w:p w14:paraId="1EBCAD6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一般损害</w:t>
            </w:r>
          </w:p>
        </w:tc>
        <w:tc>
          <w:tcPr>
            <w:tcW w:w="1436" w:type="dxa"/>
            <w:tcBorders>
              <w:top w:val="single" w:color="auto" w:sz="4" w:space="0"/>
              <w:left w:val="nil"/>
              <w:bottom w:val="single" w:color="auto" w:sz="4" w:space="0"/>
              <w:right w:val="single" w:color="auto" w:sz="4" w:space="0"/>
            </w:tcBorders>
            <w:shd w:val="clear" w:color="auto" w:fill="F1F1F1"/>
            <w:vAlign w:val="center"/>
          </w:tcPr>
          <w:p w14:paraId="190AFC2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严重损害</w:t>
            </w:r>
          </w:p>
        </w:tc>
        <w:tc>
          <w:tcPr>
            <w:tcW w:w="1759" w:type="dxa"/>
            <w:tcBorders>
              <w:top w:val="single" w:color="auto" w:sz="4" w:space="0"/>
              <w:left w:val="nil"/>
              <w:bottom w:val="single" w:color="auto" w:sz="4" w:space="0"/>
              <w:right w:val="single" w:color="auto" w:sz="4" w:space="0"/>
            </w:tcBorders>
            <w:shd w:val="clear" w:color="auto" w:fill="F1F1F1"/>
            <w:vAlign w:val="center"/>
          </w:tcPr>
          <w:p w14:paraId="425143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特别严重损害</w:t>
            </w:r>
          </w:p>
        </w:tc>
      </w:tr>
      <w:tr w14:paraId="26244327">
        <w:tblPrEx>
          <w:tblCellMar>
            <w:top w:w="0" w:type="dxa"/>
            <w:left w:w="108" w:type="dxa"/>
            <w:bottom w:w="0" w:type="dxa"/>
            <w:right w:w="108" w:type="dxa"/>
          </w:tblCellMar>
        </w:tblPrEx>
        <w:trPr>
          <w:trHeight w:val="340" w:hRule="atLeast"/>
        </w:trPr>
        <w:tc>
          <w:tcPr>
            <w:tcW w:w="4096" w:type="dxa"/>
            <w:tcBorders>
              <w:top w:val="single" w:color="auto" w:sz="4" w:space="0"/>
              <w:left w:val="single" w:color="auto" w:sz="4" w:space="0"/>
              <w:bottom w:val="single" w:color="auto" w:sz="4" w:space="0"/>
              <w:right w:val="single" w:color="auto" w:sz="4" w:space="0"/>
            </w:tcBorders>
            <w:vAlign w:val="center"/>
          </w:tcPr>
          <w:p w14:paraId="41D4903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公民、法人和其他组织的合法权益</w:t>
            </w:r>
          </w:p>
        </w:tc>
        <w:tc>
          <w:tcPr>
            <w:tcW w:w="1559" w:type="dxa"/>
            <w:tcBorders>
              <w:top w:val="single" w:color="auto" w:sz="4" w:space="0"/>
              <w:left w:val="nil"/>
              <w:bottom w:val="single" w:color="auto" w:sz="4" w:space="0"/>
              <w:right w:val="single" w:color="auto" w:sz="4" w:space="0"/>
            </w:tcBorders>
            <w:vAlign w:val="center"/>
          </w:tcPr>
          <w:p w14:paraId="2EFC4A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第一级</w:t>
            </w:r>
          </w:p>
        </w:tc>
        <w:tc>
          <w:tcPr>
            <w:tcW w:w="1436" w:type="dxa"/>
            <w:tcBorders>
              <w:top w:val="single" w:color="auto" w:sz="4" w:space="0"/>
              <w:left w:val="nil"/>
              <w:bottom w:val="single" w:color="auto" w:sz="4" w:space="0"/>
              <w:right w:val="single" w:color="auto" w:sz="4" w:space="0"/>
            </w:tcBorders>
            <w:vAlign w:val="center"/>
          </w:tcPr>
          <w:p w14:paraId="599026F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第二级</w:t>
            </w:r>
          </w:p>
        </w:tc>
        <w:tc>
          <w:tcPr>
            <w:tcW w:w="1759" w:type="dxa"/>
            <w:tcBorders>
              <w:top w:val="single" w:color="auto" w:sz="4" w:space="0"/>
              <w:left w:val="nil"/>
              <w:bottom w:val="single" w:color="auto" w:sz="4" w:space="0"/>
              <w:right w:val="single" w:color="auto" w:sz="4" w:space="0"/>
            </w:tcBorders>
            <w:vAlign w:val="center"/>
          </w:tcPr>
          <w:p w14:paraId="0B6204A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第二级</w:t>
            </w:r>
          </w:p>
        </w:tc>
      </w:tr>
      <w:tr w14:paraId="5B6AFBD1">
        <w:tblPrEx>
          <w:tblCellMar>
            <w:top w:w="0" w:type="dxa"/>
            <w:left w:w="108" w:type="dxa"/>
            <w:bottom w:w="0" w:type="dxa"/>
            <w:right w:w="108" w:type="dxa"/>
          </w:tblCellMar>
        </w:tblPrEx>
        <w:trPr>
          <w:trHeight w:val="340" w:hRule="atLeast"/>
        </w:trPr>
        <w:tc>
          <w:tcPr>
            <w:tcW w:w="4096" w:type="dxa"/>
            <w:tcBorders>
              <w:top w:val="single" w:color="auto" w:sz="4" w:space="0"/>
              <w:left w:val="single" w:color="auto" w:sz="4" w:space="0"/>
              <w:bottom w:val="single" w:color="auto" w:sz="4" w:space="0"/>
              <w:right w:val="single" w:color="auto" w:sz="4" w:space="0"/>
            </w:tcBorders>
            <w:vAlign w:val="center"/>
          </w:tcPr>
          <w:p w14:paraId="04A336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社会秩序、公共利益</w:t>
            </w:r>
          </w:p>
        </w:tc>
        <w:tc>
          <w:tcPr>
            <w:tcW w:w="1559" w:type="dxa"/>
            <w:tcBorders>
              <w:top w:val="single" w:color="auto" w:sz="4" w:space="0"/>
              <w:left w:val="nil"/>
              <w:bottom w:val="single" w:color="auto" w:sz="4" w:space="0"/>
              <w:right w:val="single" w:color="auto" w:sz="4" w:space="0"/>
            </w:tcBorders>
            <w:vAlign w:val="center"/>
          </w:tcPr>
          <w:p w14:paraId="6391B5F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第二级</w:t>
            </w:r>
          </w:p>
        </w:tc>
        <w:tc>
          <w:tcPr>
            <w:tcW w:w="1436" w:type="dxa"/>
            <w:tcBorders>
              <w:top w:val="single" w:color="auto" w:sz="4" w:space="0"/>
              <w:left w:val="nil"/>
              <w:bottom w:val="single" w:color="auto" w:sz="4" w:space="0"/>
              <w:right w:val="single" w:color="auto" w:sz="4" w:space="0"/>
            </w:tcBorders>
            <w:vAlign w:val="center"/>
          </w:tcPr>
          <w:p w14:paraId="1F9963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第三级</w:t>
            </w:r>
          </w:p>
        </w:tc>
        <w:tc>
          <w:tcPr>
            <w:tcW w:w="1759" w:type="dxa"/>
            <w:tcBorders>
              <w:top w:val="single" w:color="auto" w:sz="4" w:space="0"/>
              <w:left w:val="nil"/>
              <w:bottom w:val="single" w:color="auto" w:sz="4" w:space="0"/>
              <w:right w:val="single" w:color="auto" w:sz="4" w:space="0"/>
            </w:tcBorders>
            <w:vAlign w:val="center"/>
          </w:tcPr>
          <w:p w14:paraId="5B13CE3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第四级</w:t>
            </w:r>
          </w:p>
        </w:tc>
      </w:tr>
    </w:tbl>
    <w:p w14:paraId="1D4B7D55">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安全等保定级情况</w:t>
      </w:r>
    </w:p>
    <w:p w14:paraId="593BEB6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信息应用的安全保护等级由业务信息安全等级和应用服务安全等级较高者决定，</w:t>
      </w:r>
      <w:r>
        <w:rPr>
          <w:rFonts w:hint="eastAsia" w:ascii="宋体" w:hAnsi="宋体" w:eastAsia="宋体" w:cs="宋体"/>
          <w:sz w:val="24"/>
          <w:szCs w:val="24"/>
          <w:highlight w:val="none"/>
          <w:lang w:eastAsia="zh-CN"/>
        </w:rPr>
        <w:t>最终</w:t>
      </w:r>
      <w:r>
        <w:rPr>
          <w:rFonts w:hint="eastAsia" w:ascii="宋体" w:hAnsi="宋体" w:eastAsia="宋体" w:cs="宋体"/>
          <w:sz w:val="24"/>
          <w:szCs w:val="24"/>
          <w:highlight w:val="none"/>
        </w:rPr>
        <w:t>评定</w:t>
      </w:r>
      <w:r>
        <w:rPr>
          <w:rFonts w:hint="eastAsia" w:ascii="宋体" w:hAnsi="宋体" w:eastAsia="宋体" w:cs="宋体"/>
          <w:sz w:val="24"/>
          <w:szCs w:val="24"/>
          <w:highlight w:val="none"/>
          <w:lang w:eastAsia="zh-CN"/>
        </w:rPr>
        <w:t>海曙区智慧民政综合服务平台</w:t>
      </w:r>
      <w:r>
        <w:rPr>
          <w:rFonts w:hint="eastAsia" w:ascii="宋体" w:hAnsi="宋体" w:eastAsia="宋体" w:cs="宋体"/>
          <w:sz w:val="24"/>
          <w:szCs w:val="24"/>
          <w:highlight w:val="none"/>
        </w:rPr>
        <w:t>安全保护等级为第二级。</w:t>
      </w:r>
    </w:p>
    <w:p w14:paraId="6EB8A8FF">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系统安全保护等级</w:t>
      </w:r>
      <w:r>
        <w:rPr>
          <w:rFonts w:hint="eastAsia" w:ascii="宋体" w:hAnsi="宋体" w:eastAsia="宋体" w:cs="宋体"/>
          <w:sz w:val="24"/>
          <w:szCs w:val="24"/>
          <w:highlight w:val="none"/>
          <w:lang w:val="en-US" w:eastAsia="zh-CN"/>
        </w:rPr>
        <w:t>标表</w:t>
      </w:r>
    </w:p>
    <w:tbl>
      <w:tblPr>
        <w:tblStyle w:val="6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820"/>
        <w:gridCol w:w="2185"/>
        <w:gridCol w:w="2245"/>
      </w:tblGrid>
      <w:tr w14:paraId="645A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368" w:type="dxa"/>
            <w:shd w:val="clear" w:color="auto" w:fill="F1F1F1"/>
            <w:vAlign w:val="center"/>
          </w:tcPr>
          <w:p w14:paraId="630B247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信息应用名称</w:t>
            </w:r>
          </w:p>
        </w:tc>
        <w:tc>
          <w:tcPr>
            <w:tcW w:w="1820" w:type="dxa"/>
            <w:shd w:val="clear" w:color="auto" w:fill="F1F1F1"/>
            <w:vAlign w:val="center"/>
          </w:tcPr>
          <w:p w14:paraId="05FFBBA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安全保护等级</w:t>
            </w:r>
          </w:p>
        </w:tc>
        <w:tc>
          <w:tcPr>
            <w:tcW w:w="2185" w:type="dxa"/>
            <w:shd w:val="clear" w:color="auto" w:fill="F1F1F1"/>
            <w:vAlign w:val="center"/>
          </w:tcPr>
          <w:p w14:paraId="62545CA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业务信息安全等级</w:t>
            </w:r>
          </w:p>
        </w:tc>
        <w:tc>
          <w:tcPr>
            <w:tcW w:w="2245" w:type="dxa"/>
            <w:shd w:val="clear" w:color="auto" w:fill="F1F1F1"/>
            <w:vAlign w:val="center"/>
          </w:tcPr>
          <w:p w14:paraId="452DBCD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应用服务安全等级</w:t>
            </w:r>
          </w:p>
        </w:tc>
      </w:tr>
      <w:tr w14:paraId="69C5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8" w:type="dxa"/>
            <w:vAlign w:val="center"/>
          </w:tcPr>
          <w:p w14:paraId="0ED3541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海曙区智慧民政综合服务平台</w:t>
            </w:r>
          </w:p>
        </w:tc>
        <w:tc>
          <w:tcPr>
            <w:tcW w:w="1820" w:type="dxa"/>
            <w:vAlign w:val="center"/>
          </w:tcPr>
          <w:p w14:paraId="7896001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二级</w:t>
            </w:r>
          </w:p>
        </w:tc>
        <w:tc>
          <w:tcPr>
            <w:tcW w:w="2185" w:type="dxa"/>
            <w:vAlign w:val="center"/>
          </w:tcPr>
          <w:p w14:paraId="3A1BC6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二级</w:t>
            </w:r>
          </w:p>
        </w:tc>
        <w:tc>
          <w:tcPr>
            <w:tcW w:w="2245" w:type="dxa"/>
            <w:vAlign w:val="center"/>
          </w:tcPr>
          <w:p w14:paraId="2DA9C9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二级</w:t>
            </w:r>
          </w:p>
        </w:tc>
      </w:tr>
    </w:tbl>
    <w:p w14:paraId="034DE3F6">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等保测评计划</w:t>
      </w:r>
    </w:p>
    <w:p w14:paraId="37EABF7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等保测评主要分为四个阶段：测评准备阶段、方案编制阶段、现场测评阶段以及分析与报告编制阶段，测评双方之间的沟通与洽谈将贯穿整个等级测评的过程。在方案编制活动中，测评对象确定和测评指标确定两个任务将会并行。在分析与报告编制活动中，先进行</w:t>
      </w:r>
      <w:r>
        <w:rPr>
          <w:rFonts w:hint="eastAsia" w:ascii="宋体" w:hAnsi="宋体" w:eastAsia="宋体" w:cs="宋体"/>
          <w:sz w:val="24"/>
          <w:szCs w:val="24"/>
          <w:highlight w:val="none"/>
          <w:lang w:eastAsia="zh-CN"/>
        </w:rPr>
        <w:t>单项</w:t>
      </w:r>
      <w:r>
        <w:rPr>
          <w:rFonts w:hint="eastAsia" w:ascii="宋体" w:hAnsi="宋体" w:eastAsia="宋体" w:cs="宋体"/>
          <w:sz w:val="24"/>
          <w:szCs w:val="24"/>
          <w:highlight w:val="none"/>
        </w:rPr>
        <w:t>测评再进行整体测评，并对风险进行分析，形成等级测评结论，最终形成测评报告。</w:t>
      </w:r>
    </w:p>
    <w:p w14:paraId="25A47586">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bookmarkStart w:id="110" w:name="_Toc1483355269"/>
      <w:bookmarkStart w:id="111" w:name="_Toc11715"/>
      <w:r>
        <w:rPr>
          <w:rFonts w:hint="eastAsia" w:ascii="宋体" w:hAnsi="宋体" w:eastAsia="宋体" w:cs="宋体"/>
          <w:b/>
          <w:kern w:val="2"/>
          <w:sz w:val="24"/>
          <w:szCs w:val="24"/>
          <w:highlight w:val="none"/>
          <w:lang w:val="en-US" w:eastAsia="zh-CN" w:bidi="ar-SA"/>
        </w:rPr>
        <w:t>信息系统安全技术方案</w:t>
      </w:r>
      <w:bookmarkEnd w:id="110"/>
      <w:bookmarkEnd w:id="111"/>
    </w:p>
    <w:p w14:paraId="4DF84BB7">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物理安全</w:t>
      </w:r>
    </w:p>
    <w:p w14:paraId="6D2447E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海曙区智慧民政综合服务平台</w:t>
      </w:r>
      <w:r>
        <w:rPr>
          <w:rFonts w:hint="eastAsia" w:ascii="宋体" w:hAnsi="宋体" w:eastAsia="宋体" w:cs="宋体"/>
          <w:sz w:val="24"/>
          <w:szCs w:val="24"/>
          <w:highlight w:val="none"/>
        </w:rPr>
        <w:t>部署在</w:t>
      </w:r>
      <w:r>
        <w:rPr>
          <w:rFonts w:hint="eastAsia" w:ascii="宋体" w:hAnsi="宋体" w:eastAsia="宋体" w:cs="宋体"/>
          <w:sz w:val="24"/>
          <w:szCs w:val="24"/>
          <w:highlight w:val="none"/>
          <w:lang w:val="en-US" w:eastAsia="zh-CN"/>
        </w:rPr>
        <w:t>宁波市</w:t>
      </w:r>
      <w:r>
        <w:rPr>
          <w:rFonts w:hint="eastAsia" w:ascii="宋体" w:hAnsi="宋体" w:eastAsia="宋体" w:cs="宋体"/>
          <w:sz w:val="24"/>
          <w:szCs w:val="24"/>
          <w:highlight w:val="none"/>
        </w:rPr>
        <w:t>信创云环境，宁波市政务云计算中心为</w:t>
      </w:r>
      <w:r>
        <w:rPr>
          <w:rFonts w:hint="eastAsia" w:ascii="宋体" w:hAnsi="宋体" w:eastAsia="宋体" w:cs="宋体"/>
          <w:sz w:val="24"/>
          <w:szCs w:val="24"/>
          <w:highlight w:val="none"/>
          <w:lang w:val="en-US" w:eastAsia="zh-CN"/>
        </w:rPr>
        <w:t>宁波市</w:t>
      </w:r>
      <w:r>
        <w:rPr>
          <w:rFonts w:hint="eastAsia" w:ascii="宋体" w:hAnsi="宋体" w:eastAsia="宋体" w:cs="宋体"/>
          <w:sz w:val="24"/>
          <w:szCs w:val="24"/>
          <w:highlight w:val="none"/>
        </w:rPr>
        <w:t>信创云平台提供物理环境安全，宁波市政务云计算中心机房系统严格按照《电子信息系统机房设计规范》（GB50174-2008）B类机房标准建设，已达到《信息安全技术网络安全等级保护基本要求》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GB/T22239-2019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网络安全三级等保要求，满足本项目物理安全标准。本项目系统物理环境满足安全等级保护的二级要求，物理环境可以做到防雷击、防火、防水防潮、防静电、防盗窃等相关安全措施，并配备了稳压器和过电压防护保护设备，电源线和通信线按要求进行了相互隔离铺设，并按规定在机房出入口配备专人进行值守和进出记录，确保物理环境安全。</w:t>
      </w:r>
    </w:p>
    <w:p w14:paraId="34FBA335">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网络安全</w:t>
      </w:r>
    </w:p>
    <w:p w14:paraId="7586EE1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平台</w:t>
      </w:r>
      <w:r>
        <w:rPr>
          <w:rFonts w:hint="eastAsia" w:ascii="宋体" w:hAnsi="宋体" w:eastAsia="宋体" w:cs="宋体"/>
          <w:sz w:val="24"/>
          <w:szCs w:val="24"/>
          <w:highlight w:val="none"/>
        </w:rPr>
        <w:t>主要部署在</w:t>
      </w:r>
      <w:r>
        <w:rPr>
          <w:rFonts w:hint="eastAsia" w:ascii="宋体" w:hAnsi="宋体" w:eastAsia="宋体" w:cs="宋体"/>
          <w:sz w:val="24"/>
          <w:szCs w:val="24"/>
          <w:highlight w:val="none"/>
          <w:lang w:val="en-US" w:eastAsia="zh-CN"/>
        </w:rPr>
        <w:t>宁波市</w:t>
      </w:r>
      <w:r>
        <w:rPr>
          <w:rFonts w:hint="eastAsia" w:ascii="宋体" w:hAnsi="宋体" w:eastAsia="宋体" w:cs="宋体"/>
          <w:sz w:val="24"/>
          <w:szCs w:val="24"/>
          <w:highlight w:val="none"/>
        </w:rPr>
        <w:t>信创云环境，宁波市政务云计算中心为</w:t>
      </w:r>
      <w:r>
        <w:rPr>
          <w:rFonts w:hint="eastAsia" w:ascii="宋体" w:hAnsi="宋体" w:eastAsia="宋体" w:cs="宋体"/>
          <w:sz w:val="24"/>
          <w:szCs w:val="24"/>
          <w:highlight w:val="none"/>
          <w:lang w:val="en-US" w:eastAsia="zh-CN"/>
        </w:rPr>
        <w:t>宁波市</w:t>
      </w:r>
      <w:r>
        <w:rPr>
          <w:rFonts w:hint="eastAsia" w:ascii="宋体" w:hAnsi="宋体" w:eastAsia="宋体" w:cs="宋体"/>
          <w:sz w:val="24"/>
          <w:szCs w:val="24"/>
          <w:highlight w:val="none"/>
        </w:rPr>
        <w:t>信创云平台提供现有的网络及安全设备。已达到《信息安全技术网络安全等级保护基本要求》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GB/T22239-2019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网络安全三级等保要求，满足本项目安全标准。</w:t>
      </w:r>
    </w:p>
    <w:p w14:paraId="69449A2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宁波市信创云环境包括硬件防火墙、云平台安全审计、流量安全监控、Web应用防火墙、流量安全监控、DDos防护、主机安全、漏洞扫描、堡垒机、安全态势感知、数据库审计等，针对网络内部不同的业务部门及应用系统安全需求，应对其进行安全域划分，并按照这些安全功能需求设计和实现相应的安全隔离与保护措施，实现对区域网络的边界保护、区域划分、身份认证、访问控制、安全审计、入侵防范、恶意代码防范等。</w:t>
      </w:r>
    </w:p>
    <w:p w14:paraId="08B0E5CA">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系统安全</w:t>
      </w:r>
    </w:p>
    <w:p w14:paraId="2753640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平台</w:t>
      </w:r>
      <w:r>
        <w:rPr>
          <w:rFonts w:hint="eastAsia" w:ascii="宋体" w:hAnsi="宋体" w:eastAsia="宋体" w:cs="宋体"/>
          <w:sz w:val="24"/>
          <w:szCs w:val="24"/>
          <w:highlight w:val="none"/>
        </w:rPr>
        <w:t>系统安全包括系统运行安全、权限管理设计、系统备份与恢复、安全事件管理等内容，从各个层次来保证系统的安全性。</w:t>
      </w:r>
    </w:p>
    <w:p w14:paraId="13A0ED05">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1.系统运行安全</w:t>
      </w:r>
    </w:p>
    <w:p w14:paraId="25C8284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平台可通过</w:t>
      </w:r>
      <w:r>
        <w:rPr>
          <w:rFonts w:hint="eastAsia" w:ascii="宋体" w:hAnsi="宋体" w:eastAsia="宋体" w:cs="宋体"/>
          <w:sz w:val="24"/>
          <w:szCs w:val="24"/>
          <w:highlight w:val="none"/>
        </w:rPr>
        <w:t>负载均衡和容错，为系统提供更好的访问质量；提高服务器响应速度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提高服务器及其他资源的利用效率；避免了网络关键部位出现单点故障。</w:t>
      </w:r>
    </w:p>
    <w:p w14:paraId="20B7B2AE">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2.权限管理设计</w:t>
      </w:r>
    </w:p>
    <w:p w14:paraId="7948D05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权限管理上，系统要支持数据特权、部门权限、客户端权限、流程权限、模块使用特权等全面的权限定义，并且可以根据IP地址和时间段控制系统的访问。各种权限可以组合为角色，角色可以嵌套。通过权限管理工具，用户可以方便的进行用户权限配置。</w:t>
      </w:r>
    </w:p>
    <w:p w14:paraId="6799B32F">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3.系统备份与恢复</w:t>
      </w:r>
    </w:p>
    <w:p w14:paraId="3E59585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可对系统中重要的业务数据、操作日志、关键数据、数据库以及操作系统进行备份，通过定义备份策略，</w:t>
      </w:r>
      <w:r>
        <w:rPr>
          <w:rFonts w:hint="eastAsia" w:ascii="宋体" w:hAnsi="宋体" w:eastAsia="宋体" w:cs="宋体"/>
          <w:sz w:val="24"/>
          <w:szCs w:val="24"/>
          <w:highlight w:val="none"/>
          <w:lang w:val="en-US" w:eastAsia="zh-CN"/>
        </w:rPr>
        <w:t>包括</w:t>
      </w:r>
      <w:r>
        <w:rPr>
          <w:rFonts w:hint="eastAsia" w:ascii="宋体" w:hAnsi="宋体" w:eastAsia="宋体" w:cs="宋体"/>
          <w:sz w:val="24"/>
          <w:szCs w:val="24"/>
          <w:highlight w:val="none"/>
        </w:rPr>
        <w:t>全备份、增量备份、差异备份等，定时通过在线方式将系统中的数据备份到备份介质，以防止系统出现故障后（数据误删除、病毒感染、自然灾害等）能够及时地恢复数据，保证系统运行。</w:t>
      </w:r>
    </w:p>
    <w:p w14:paraId="15321816">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4.安全事件管理</w:t>
      </w:r>
    </w:p>
    <w:p w14:paraId="71CA3BC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信息安全技术网络安全事件分类分级指南》（GB/T20986-2023），网络安全事件包括恶意程序事件、网络攻击事件、数据安全事件、信息内容安全事件、设备设施故障事件、违规操作事件、安全隐患事件、异常行为事件、不可抗力事件和其他事件等基本类型。本项目可能存在的安全事件主要为违规操作事件、安全隐患事件、异常行为事件等，安全事件管理提供相关安全事件收集、分析、预警、响应和故障处理，全过程进行监督和合规比对。</w:t>
      </w:r>
    </w:p>
    <w:p w14:paraId="24EEE00E">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应用安全</w:t>
      </w:r>
    </w:p>
    <w:p w14:paraId="5E76AE2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本项目根据系统的重要程度，结合系统面临的风险等因素，针对</w:t>
      </w:r>
      <w:r>
        <w:rPr>
          <w:rFonts w:hint="eastAsia" w:ascii="宋体" w:hAnsi="宋体" w:eastAsia="宋体" w:cs="宋体"/>
          <w:sz w:val="24"/>
          <w:szCs w:val="24"/>
          <w:highlight w:val="none"/>
          <w:lang w:eastAsia="zh-CN"/>
        </w:rPr>
        <w:t>海曙区智慧民政综合服务平台</w:t>
      </w:r>
      <w:r>
        <w:rPr>
          <w:rFonts w:hint="eastAsia" w:ascii="宋体" w:hAnsi="宋体" w:eastAsia="宋体" w:cs="宋体"/>
          <w:sz w:val="24"/>
          <w:szCs w:val="24"/>
          <w:highlight w:val="none"/>
        </w:rPr>
        <w:t>确定相应的网络安全等级，并依照安全等级对业务系统进行评测整改。业务应用安全包括身份鉴别管理、访问控制防护、安全审计、个人信息保护、软件容错措施等内容。</w:t>
      </w:r>
    </w:p>
    <w:p w14:paraId="2B16C43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身份鉴别</w:t>
      </w:r>
    </w:p>
    <w:p w14:paraId="512FF5D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本项要求对登录的用户进行身份标识和鉴别，并让身份具有唯一性，要求身份鉴别信息具有复杂度和定期更换等要求，通过设计安全的用户名和密码、双因素认证和单点登录等功能实现相关的身份鉴别安全保护。</w:t>
      </w:r>
    </w:p>
    <w:p w14:paraId="13AA80A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用户名和密码鉴别：用户在登录时输入用户名和对应的密码进行鉴别。系统将用户提供的密码与事先存储的密码进行比对，匹配则认证通过。</w:t>
      </w:r>
    </w:p>
    <w:p w14:paraId="15597C3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双因素认证：除了用户名和密码外，还要求用户提供第二个认证因素，</w:t>
      </w:r>
      <w:r>
        <w:rPr>
          <w:rFonts w:hint="eastAsia" w:ascii="宋体" w:hAnsi="宋体" w:eastAsia="宋体" w:cs="宋体"/>
          <w:sz w:val="24"/>
          <w:szCs w:val="24"/>
          <w:highlight w:val="none"/>
          <w:lang w:val="en-US" w:eastAsia="zh-CN"/>
        </w:rPr>
        <w:t>例</w:t>
      </w:r>
      <w:r>
        <w:rPr>
          <w:rFonts w:hint="eastAsia" w:ascii="宋体" w:hAnsi="宋体" w:eastAsia="宋体" w:cs="宋体"/>
          <w:sz w:val="24"/>
          <w:szCs w:val="24"/>
          <w:highlight w:val="none"/>
        </w:rPr>
        <w:t>如手机短信验证码、硬件令牌生成的一次性密码等。这样可以提高身份认证的安全性。</w:t>
      </w:r>
    </w:p>
    <w:p w14:paraId="1F0DA48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单点登录（SSO）：通过一次登录就可以访问多个应用系统，用户只需提供一次身份验证，然后可以无需再次输入用户名和密码即可访问其他系统。</w:t>
      </w:r>
    </w:p>
    <w:p w14:paraId="71C4271A">
      <w:pPr>
        <w:pageBreakBefore w:val="0"/>
        <w:kinsoku/>
        <w:wordWrap/>
        <w:overflowPunct/>
        <w:topLinePunct w:val="0"/>
        <w:autoSpaceDE/>
        <w:autoSpaceDN/>
        <w:bidi w:val="0"/>
        <w:adjustRightInd w:val="0"/>
        <w:snapToGrid w:val="0"/>
        <w:spacing w:line="3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访问控制防护</w:t>
      </w:r>
    </w:p>
    <w:p w14:paraId="47F7E6C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要求对登录的用户分配合理的账号权限并能修改默认的口令，删除多余的共享账号及最小权限管理实现管理用户的权限分离，对于以上要求，本项目会进行如下操作手段进行控制。</w:t>
      </w:r>
    </w:p>
    <w:p w14:paraId="5C47A65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强密码策略：要求用户设置强密码，包括密码长度、大小写字母、数字和特殊字符的要求。推荐定期要求用户更改密码，并禁止使用过于简单或常见的密码。</w:t>
      </w:r>
    </w:p>
    <w:p w14:paraId="063A185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口令锁定策略：设置</w:t>
      </w:r>
      <w:r>
        <w:rPr>
          <w:rFonts w:hint="eastAsia" w:ascii="宋体" w:hAnsi="宋体" w:eastAsia="宋体" w:cs="宋体"/>
          <w:sz w:val="24"/>
          <w:szCs w:val="24"/>
          <w:highlight w:val="none"/>
          <w:lang w:eastAsia="zh-CN"/>
        </w:rPr>
        <w:t>登录</w:t>
      </w:r>
      <w:r>
        <w:rPr>
          <w:rFonts w:hint="eastAsia" w:ascii="宋体" w:hAnsi="宋体" w:eastAsia="宋体" w:cs="宋体"/>
          <w:sz w:val="24"/>
          <w:szCs w:val="24"/>
          <w:highlight w:val="none"/>
        </w:rPr>
        <w:t>失败的次数限制，并设定锁定时间，以防止恶意尝试猜测密码。合理的设置可以防范密码破解攻击。</w:t>
      </w:r>
    </w:p>
    <w:p w14:paraId="0020EBE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权限管理：根据职责和需要，为不同的用户或用户组分配适当的权限。使用最小权限原则，确保用户只能访问他们工作所需的资源，避免信息泄露和滥用。</w:t>
      </w:r>
    </w:p>
    <w:p w14:paraId="1ACADD9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超级用户访问限制：严格限制超级用户（管理员账户）的使用，仅在必要时才使用。确保超级用户账户受到额外的保护和监控。</w:t>
      </w:r>
    </w:p>
    <w:p w14:paraId="62FF70D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定期账户复审：定期审查账户，及时禁用或删除不再需要的账户。这样可以减少系统中存在的风险。</w:t>
      </w:r>
    </w:p>
    <w:p w14:paraId="7D8FF65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账户锁定和解锁机制：允许管理员手动锁定和解锁账户，以应对丢失或被盗的账户、用户离职等情况。</w:t>
      </w:r>
    </w:p>
    <w:p w14:paraId="517C86F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终端管理地址限制：将对允许进行远程终端管理的IP地址或IP地址范围，通过设置防火墙的规则信息，只允许来自指定IP地址或IP地址范围的流量通过。来阻止其他非授权的IP地址进行连接，根据具体环境和需求进行配置和组合相关工具，可以及时检测异常行为并采取必要措施。</w:t>
      </w:r>
    </w:p>
    <w:p w14:paraId="11DA6B0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安全审计</w:t>
      </w:r>
    </w:p>
    <w:p w14:paraId="5E26951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托安全审计设备，实现在不同网络环境中对网络设备、终端、数据资源等进行监控和管理，在必要时通过多种途径向管理员发出警告或自动采取排错措施，并且能够对历史审计数据进行分析、处理和追踪。需要审计的内容如下：</w:t>
      </w:r>
    </w:p>
    <w:p w14:paraId="247E1AD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网络通信系统网络流量中典型协议分析、识别、判断和记录，Telnet、HTTP、Email、FTP、网上聊天、文件共享等的检测，流量监测以及对异常流量的识别和报警、网络设备运行的监测等。</w:t>
      </w:r>
    </w:p>
    <w:p w14:paraId="3498F94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要服务器主机操作系统系统启动、运行情况，管理员登录、操作情况，系统配置更改（注册表、配置文件、用户系统等）以及病毒或蠕虫感染、资源消耗情况的审计，硬盘、CPU、内存、网络负载、进程、操作系统安全日志、系统内部事件、对重要文件的访问等。</w:t>
      </w:r>
    </w:p>
    <w:p w14:paraId="435307F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重要服务器主机应用平台软件重要应用平台进程的运行WebServer、MailServer、中间件系统、健康状况（响应时间等）等。</w:t>
      </w:r>
    </w:p>
    <w:p w14:paraId="458B666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重要数据库操作数据库进程运转情况、绕过应用软件直接操作数据库的违规访问行为、对数据库配置的更改、数据备份操作和其他维护管理操作、对重要数据的访问和更改、数据完整性等的审计。</w:t>
      </w:r>
    </w:p>
    <w:p w14:paraId="4089554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重要网络区域的客户机病毒感染情况、通过网络进行的文件共享操作、文件拷贝/打印操作、擅自连接外网的情况、非业务异常软件的安装和运行等的审计。</w:t>
      </w:r>
    </w:p>
    <w:p w14:paraId="202B326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个人信息保护</w:t>
      </w:r>
    </w:p>
    <w:p w14:paraId="506B126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仅采集和保存业务必需的用户个人信息；禁止未授权访问和非法使用用户个人信息。个人信息保护方面，数据库收集用户的姓名、联系方式、性别、身份证号、年龄、学历、居住地址等信息，且限制管理员和业务管理单位可查看。</w:t>
      </w:r>
    </w:p>
    <w:p w14:paraId="5F0E3DEA">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数据安全</w:t>
      </w:r>
    </w:p>
    <w:p w14:paraId="16BF790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在本系统对需要部署在</w:t>
      </w:r>
      <w:r>
        <w:rPr>
          <w:rFonts w:hint="eastAsia" w:ascii="宋体" w:hAnsi="宋体" w:eastAsia="宋体" w:cs="宋体"/>
          <w:sz w:val="24"/>
          <w:szCs w:val="24"/>
          <w:highlight w:val="none"/>
          <w:lang w:val="en-US" w:eastAsia="zh-CN"/>
        </w:rPr>
        <w:t>宁波市</w:t>
      </w:r>
      <w:r>
        <w:rPr>
          <w:rFonts w:hint="eastAsia" w:ascii="宋体" w:hAnsi="宋体" w:eastAsia="宋体" w:cs="宋体"/>
          <w:sz w:val="24"/>
          <w:szCs w:val="24"/>
          <w:highlight w:val="none"/>
        </w:rPr>
        <w:t>信创云中的数据资源享有申请云计算资源和存储资源的使用权，对所申请的计算资源和存储资源上部署的应用系统和数据具有排他使用权。</w:t>
      </w:r>
    </w:p>
    <w:p w14:paraId="25FBA2CD">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数据安全保障体系</w:t>
      </w:r>
    </w:p>
    <w:p w14:paraId="46EE2A87">
      <w:pPr>
        <w:keepNext w:val="0"/>
        <w:keepLines w:val="0"/>
        <w:pageBreakBefore w:val="0"/>
        <w:widowControl/>
        <w:numPr>
          <w:ilvl w:val="5"/>
          <w:numId w:val="8"/>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Lines="0" w:beforeAutospacing="0" w:after="0" w:afterLines="0" w:afterAutospacing="0" w:line="320" w:lineRule="exact"/>
        <w:ind w:left="1151" w:right="0" w:hanging="1151" w:firstLineChars="0"/>
        <w:jc w:val="both"/>
        <w:textAlignment w:val="auto"/>
        <w:outlineLvl w:val="5"/>
        <w:rPr>
          <w:rFonts w:hint="eastAsia" w:ascii="宋体" w:hAnsi="宋体" w:eastAsia="宋体" w:cs="宋体"/>
          <w:b/>
          <w:i w:val="0"/>
          <w:iCs w:val="0"/>
          <w:caps w:val="0"/>
          <w:spacing w:val="0"/>
          <w:kern w:val="2"/>
          <w:sz w:val="24"/>
          <w:szCs w:val="24"/>
          <w:highlight w:val="none"/>
          <w:lang w:val="en-US" w:eastAsia="zh-CN" w:bidi="ar-SA"/>
        </w:rPr>
      </w:pPr>
      <w:r>
        <w:rPr>
          <w:rFonts w:hint="eastAsia" w:ascii="宋体" w:hAnsi="宋体" w:eastAsia="宋体" w:cs="宋体"/>
          <w:b/>
          <w:i w:val="0"/>
          <w:iCs w:val="0"/>
          <w:caps w:val="0"/>
          <w:spacing w:val="0"/>
          <w:kern w:val="2"/>
          <w:sz w:val="24"/>
          <w:szCs w:val="24"/>
          <w:highlight w:val="none"/>
          <w:shd w:val="clear"/>
          <w:lang w:val="en-US" w:eastAsia="zh-CN" w:bidi="ar-SA"/>
        </w:rPr>
        <w:t>数据安全面临的主要风险</w:t>
      </w:r>
    </w:p>
    <w:p w14:paraId="1A847AFC">
      <w:pPr>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lang w:val="en-US" w:eastAsia="zh-CN"/>
        </w:rPr>
        <w:t>本</w:t>
      </w:r>
      <w:r>
        <w:rPr>
          <w:rFonts w:hint="eastAsia" w:ascii="宋体" w:hAnsi="宋体" w:eastAsia="宋体" w:cs="宋体"/>
          <w:i w:val="0"/>
          <w:iCs w:val="0"/>
          <w:caps w:val="0"/>
          <w:spacing w:val="0"/>
          <w:sz w:val="24"/>
          <w:szCs w:val="24"/>
          <w:highlight w:val="none"/>
          <w:shd w:val="clear"/>
        </w:rPr>
        <w:t>系统保存的数据</w:t>
      </w:r>
      <w:r>
        <w:rPr>
          <w:rFonts w:hint="eastAsia" w:ascii="宋体" w:hAnsi="宋体" w:eastAsia="宋体" w:cs="宋体"/>
          <w:i w:val="0"/>
          <w:iCs w:val="0"/>
          <w:caps w:val="0"/>
          <w:spacing w:val="0"/>
          <w:sz w:val="24"/>
          <w:szCs w:val="24"/>
          <w:highlight w:val="none"/>
          <w:shd w:val="clear"/>
          <w:lang w:val="en-US" w:eastAsia="zh-CN"/>
        </w:rPr>
        <w:t>主要</w:t>
      </w:r>
      <w:r>
        <w:rPr>
          <w:rFonts w:hint="eastAsia" w:ascii="宋体" w:hAnsi="宋体" w:eastAsia="宋体" w:cs="宋体"/>
          <w:i w:val="0"/>
          <w:iCs w:val="0"/>
          <w:caps w:val="0"/>
          <w:spacing w:val="0"/>
          <w:sz w:val="24"/>
          <w:szCs w:val="24"/>
          <w:highlight w:val="none"/>
          <w:shd w:val="clear"/>
        </w:rPr>
        <w:t>为</w:t>
      </w:r>
      <w:r>
        <w:rPr>
          <w:rFonts w:hint="eastAsia" w:ascii="宋体" w:hAnsi="宋体" w:eastAsia="宋体" w:cs="宋体"/>
          <w:i w:val="0"/>
          <w:iCs w:val="0"/>
          <w:caps w:val="0"/>
          <w:spacing w:val="0"/>
          <w:sz w:val="24"/>
          <w:szCs w:val="24"/>
          <w:highlight w:val="none"/>
          <w:shd w:val="clear"/>
          <w:lang w:val="en-US" w:eastAsia="zh-CN"/>
        </w:rPr>
        <w:t>养老、社会救助等信息</w:t>
      </w:r>
      <w:r>
        <w:rPr>
          <w:rFonts w:hint="eastAsia" w:ascii="宋体" w:hAnsi="宋体" w:eastAsia="宋体" w:cs="宋体"/>
          <w:i w:val="0"/>
          <w:iCs w:val="0"/>
          <w:caps w:val="0"/>
          <w:spacing w:val="0"/>
          <w:sz w:val="24"/>
          <w:szCs w:val="24"/>
          <w:highlight w:val="none"/>
          <w:shd w:val="clear"/>
        </w:rPr>
        <w:t>数据</w:t>
      </w:r>
      <w:r>
        <w:rPr>
          <w:rFonts w:hint="eastAsia" w:ascii="宋体" w:hAnsi="宋体" w:eastAsia="宋体" w:cs="宋体"/>
          <w:i w:val="0"/>
          <w:iCs w:val="0"/>
          <w:caps w:val="0"/>
          <w:spacing w:val="0"/>
          <w:sz w:val="24"/>
          <w:szCs w:val="24"/>
          <w:highlight w:val="none"/>
          <w:shd w:val="clear"/>
          <w:lang w:eastAsia="zh-CN"/>
        </w:rPr>
        <w:t>。</w:t>
      </w:r>
      <w:r>
        <w:rPr>
          <w:rFonts w:hint="eastAsia" w:ascii="宋体" w:hAnsi="宋体" w:eastAsia="宋体" w:cs="宋体"/>
          <w:i w:val="0"/>
          <w:iCs w:val="0"/>
          <w:caps w:val="0"/>
          <w:spacing w:val="0"/>
          <w:sz w:val="24"/>
          <w:szCs w:val="24"/>
          <w:highlight w:val="none"/>
          <w:shd w:val="clear"/>
        </w:rPr>
        <w:t>经过分析评估，</w:t>
      </w:r>
      <w:r>
        <w:rPr>
          <w:rFonts w:hint="eastAsia" w:ascii="宋体" w:hAnsi="宋体" w:eastAsia="宋体" w:cs="宋体"/>
          <w:i w:val="0"/>
          <w:iCs w:val="0"/>
          <w:caps w:val="0"/>
          <w:spacing w:val="0"/>
          <w:sz w:val="24"/>
          <w:szCs w:val="24"/>
          <w:highlight w:val="none"/>
          <w:shd w:val="clear"/>
          <w:lang w:val="en-US" w:eastAsia="zh-CN"/>
        </w:rPr>
        <w:t>本</w:t>
      </w:r>
      <w:r>
        <w:rPr>
          <w:rFonts w:hint="eastAsia" w:ascii="宋体" w:hAnsi="宋体" w:eastAsia="宋体" w:cs="宋体"/>
          <w:i w:val="0"/>
          <w:iCs w:val="0"/>
          <w:caps w:val="0"/>
          <w:spacing w:val="0"/>
          <w:sz w:val="24"/>
          <w:szCs w:val="24"/>
          <w:highlight w:val="none"/>
          <w:shd w:val="clear"/>
        </w:rPr>
        <w:t>系统数据安全的风险主要包括以下几个方面：</w:t>
      </w:r>
    </w:p>
    <w:p w14:paraId="2978BFE0">
      <w:pPr>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rPr>
        <w:t>（一）数据泄露，主要包括数据被非法获取。就会大范围泄露。</w:t>
      </w:r>
    </w:p>
    <w:p w14:paraId="1FC27BAE">
      <w:pPr>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rPr>
        <w:t>（二）数据篡改，主要包括对数据的非法修改。</w:t>
      </w:r>
    </w:p>
    <w:p w14:paraId="694AF15E">
      <w:pPr>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rPr>
        <w:t>（三）数据滥用，即使是授权的合法用户，也应对其使用数据的权限做出限制，超出范围的使用，均属于数据滥用。</w:t>
      </w:r>
    </w:p>
    <w:p w14:paraId="788884DF">
      <w:pPr>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rPr>
        <w:t>（四）违规传输，无论是授权获得或是非授权获得的数据，都要将传输范围限制在合理范围，超出范围的传输，都是违规传输。违规传输，不仅包括传输的对象，还包括传输方式，例如通过微信传输数据就是违规传输。</w:t>
      </w:r>
    </w:p>
    <w:p w14:paraId="637B38D5">
      <w:pPr>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rPr>
        <w:t>（五）非法访问，是指未经授权的访问。例如未经授权的维护人员登录了业务系统。</w:t>
      </w:r>
    </w:p>
    <w:p w14:paraId="3AD5EAD8">
      <w:pPr>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rPr>
        <w:t>（六）流量异常，流量异常是指超出正常范围。流量异常往往意味着非法使用，也可能是DDOS攻击等。</w:t>
      </w:r>
    </w:p>
    <w:p w14:paraId="3E5D0B00">
      <w:pPr>
        <w:keepNext w:val="0"/>
        <w:keepLines w:val="0"/>
        <w:pageBreakBefore w:val="0"/>
        <w:widowControl/>
        <w:numPr>
          <w:ilvl w:val="5"/>
          <w:numId w:val="8"/>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Lines="0" w:beforeAutospacing="0" w:after="0" w:afterLines="0" w:afterAutospacing="0" w:line="320" w:lineRule="exact"/>
        <w:ind w:left="1151" w:right="0" w:hanging="1151" w:firstLineChars="0"/>
        <w:jc w:val="both"/>
        <w:textAlignment w:val="auto"/>
        <w:outlineLvl w:val="5"/>
        <w:rPr>
          <w:rFonts w:hint="eastAsia" w:ascii="宋体" w:hAnsi="宋体" w:eastAsia="宋体" w:cs="宋体"/>
          <w:b/>
          <w:i w:val="0"/>
          <w:iCs w:val="0"/>
          <w:caps w:val="0"/>
          <w:spacing w:val="0"/>
          <w:kern w:val="2"/>
          <w:sz w:val="24"/>
          <w:szCs w:val="24"/>
          <w:highlight w:val="none"/>
          <w:lang w:val="en-US" w:eastAsia="zh-CN" w:bidi="ar-SA"/>
        </w:rPr>
      </w:pPr>
      <w:r>
        <w:rPr>
          <w:rFonts w:hint="eastAsia" w:ascii="宋体" w:hAnsi="宋体" w:eastAsia="宋体" w:cs="宋体"/>
          <w:b/>
          <w:i w:val="0"/>
          <w:iCs w:val="0"/>
          <w:caps w:val="0"/>
          <w:spacing w:val="0"/>
          <w:kern w:val="2"/>
          <w:sz w:val="24"/>
          <w:szCs w:val="24"/>
          <w:highlight w:val="none"/>
          <w:shd w:val="clear"/>
          <w:lang w:val="en-US" w:eastAsia="zh-CN" w:bidi="ar-SA"/>
        </w:rPr>
        <w:t>数据安全管理体系</w:t>
      </w:r>
    </w:p>
    <w:p w14:paraId="69891B3B">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lang w:val="en-US" w:eastAsia="zh-CN"/>
        </w:rPr>
        <w:t>本系统</w:t>
      </w:r>
      <w:r>
        <w:rPr>
          <w:rFonts w:hint="eastAsia" w:ascii="宋体" w:hAnsi="宋体" w:eastAsia="宋体" w:cs="宋体"/>
          <w:i w:val="0"/>
          <w:iCs w:val="0"/>
          <w:caps w:val="0"/>
          <w:spacing w:val="0"/>
          <w:sz w:val="24"/>
          <w:szCs w:val="24"/>
          <w:highlight w:val="none"/>
          <w:shd w:val="clear" w:fill="auto"/>
        </w:rPr>
        <w:t>从“数据安全法律责任落实、数据安全标准化流程、数据分级分类、人员数据安全能力、数字化平台支撑”五个方面构建数据</w:t>
      </w:r>
      <w:r>
        <w:rPr>
          <w:rFonts w:hint="eastAsia" w:ascii="宋体" w:hAnsi="宋体" w:eastAsia="宋体" w:cs="宋体"/>
          <w:i w:val="0"/>
          <w:iCs w:val="0"/>
          <w:caps w:val="0"/>
          <w:spacing w:val="0"/>
          <w:sz w:val="24"/>
          <w:szCs w:val="24"/>
          <w:highlight w:val="none"/>
          <w:shd w:val="clear"/>
          <w:lang w:val="en-US" w:eastAsia="zh-CN"/>
        </w:rPr>
        <w:t>运维</w:t>
      </w:r>
      <w:r>
        <w:rPr>
          <w:rFonts w:hint="eastAsia" w:ascii="宋体" w:hAnsi="宋体" w:eastAsia="宋体" w:cs="宋体"/>
          <w:i w:val="0"/>
          <w:iCs w:val="0"/>
          <w:caps w:val="0"/>
          <w:spacing w:val="0"/>
          <w:sz w:val="24"/>
          <w:szCs w:val="24"/>
          <w:highlight w:val="none"/>
          <w:shd w:val="clear" w:fill="auto"/>
        </w:rPr>
        <w:t>安全管理体系。</w:t>
      </w:r>
    </w:p>
    <w:p w14:paraId="367C469A">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fill="auto"/>
        </w:rPr>
        <w:t>（一）数据安全责任落实</w:t>
      </w:r>
    </w:p>
    <w:p w14:paraId="09E2F720">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fill="auto"/>
        </w:rPr>
        <w:t>数据安全是管理逻辑，要求合规、合法。方便工作是业务逻辑，讲究时效性和经济性。</w:t>
      </w:r>
      <w:r>
        <w:rPr>
          <w:rFonts w:hint="eastAsia" w:ascii="宋体" w:hAnsi="宋体" w:eastAsia="宋体" w:cs="宋体"/>
          <w:i w:val="0"/>
          <w:iCs w:val="0"/>
          <w:caps w:val="0"/>
          <w:spacing w:val="0"/>
          <w:sz w:val="24"/>
          <w:szCs w:val="24"/>
          <w:highlight w:val="none"/>
          <w:shd w:val="clear"/>
          <w:lang w:val="en-US" w:eastAsia="zh-CN"/>
        </w:rPr>
        <w:t>系统按照</w:t>
      </w:r>
      <w:r>
        <w:rPr>
          <w:rFonts w:hint="eastAsia" w:ascii="宋体" w:hAnsi="宋体" w:eastAsia="宋体" w:cs="宋体"/>
          <w:i w:val="0"/>
          <w:iCs w:val="0"/>
          <w:caps w:val="0"/>
          <w:spacing w:val="0"/>
          <w:sz w:val="24"/>
          <w:szCs w:val="24"/>
          <w:highlight w:val="none"/>
          <w:shd w:val="clear" w:fill="auto"/>
        </w:rPr>
        <w:t>“最小必要”原则使用数据，落实法律责任，自觉地收缩数据权限、谨慎对待数据使用行为。对照国家有关法律，通过签订数据安全责任协议、数据安全承诺书等方式，将数据安全的精细度细致到账号、具体到权限。法律责任的落实，使得“数据安全”操作端的数据安全风险大大降低。</w:t>
      </w:r>
    </w:p>
    <w:p w14:paraId="02170286">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fill="auto"/>
        </w:rPr>
        <w:t>（二）数据安全标准化流程</w:t>
      </w:r>
    </w:p>
    <w:p w14:paraId="36ACACC9">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fill="auto"/>
        </w:rPr>
        <w:t>由于</w:t>
      </w:r>
      <w:r>
        <w:rPr>
          <w:rFonts w:hint="eastAsia" w:ascii="宋体" w:hAnsi="宋体" w:eastAsia="宋体" w:cs="宋体"/>
          <w:i w:val="0"/>
          <w:iCs w:val="0"/>
          <w:caps w:val="0"/>
          <w:spacing w:val="0"/>
          <w:sz w:val="24"/>
          <w:szCs w:val="24"/>
          <w:highlight w:val="none"/>
          <w:shd w:val="clear"/>
          <w:lang w:val="en-US" w:eastAsia="zh-CN"/>
        </w:rPr>
        <w:t>本系统</w:t>
      </w:r>
      <w:r>
        <w:rPr>
          <w:rFonts w:hint="eastAsia" w:ascii="宋体" w:hAnsi="宋体" w:eastAsia="宋体" w:cs="宋体"/>
          <w:i w:val="0"/>
          <w:iCs w:val="0"/>
          <w:caps w:val="0"/>
          <w:spacing w:val="0"/>
          <w:sz w:val="24"/>
          <w:szCs w:val="24"/>
          <w:highlight w:val="none"/>
          <w:shd w:val="clear" w:fill="auto"/>
        </w:rPr>
        <w:t>业务复杂，</w:t>
      </w:r>
      <w:r>
        <w:rPr>
          <w:rFonts w:hint="eastAsia" w:ascii="宋体" w:hAnsi="宋体" w:eastAsia="宋体" w:cs="宋体"/>
          <w:i w:val="0"/>
          <w:iCs w:val="0"/>
          <w:caps w:val="0"/>
          <w:spacing w:val="0"/>
          <w:sz w:val="24"/>
          <w:szCs w:val="24"/>
          <w:highlight w:val="none"/>
          <w:shd w:val="clear"/>
          <w:lang w:val="en-US" w:eastAsia="zh-CN"/>
        </w:rPr>
        <w:t>数据量大，</w:t>
      </w:r>
      <w:r>
        <w:rPr>
          <w:rFonts w:hint="eastAsia" w:ascii="宋体" w:hAnsi="宋体" w:eastAsia="宋体" w:cs="宋体"/>
          <w:i w:val="0"/>
          <w:iCs w:val="0"/>
          <w:caps w:val="0"/>
          <w:spacing w:val="0"/>
          <w:sz w:val="24"/>
          <w:szCs w:val="24"/>
          <w:highlight w:val="none"/>
          <w:shd w:val="clear" w:fill="auto"/>
        </w:rPr>
        <w:t>操作人员多，可导出数据的环节多。因此，</w:t>
      </w:r>
      <w:r>
        <w:rPr>
          <w:rFonts w:hint="eastAsia" w:ascii="宋体" w:hAnsi="宋体" w:eastAsia="宋体" w:cs="宋体"/>
          <w:i w:val="0"/>
          <w:iCs w:val="0"/>
          <w:caps w:val="0"/>
          <w:spacing w:val="0"/>
          <w:sz w:val="24"/>
          <w:szCs w:val="24"/>
          <w:highlight w:val="none"/>
          <w:shd w:val="clear"/>
          <w:lang w:val="en-US" w:eastAsia="zh-CN"/>
        </w:rPr>
        <w:t>通过</w:t>
      </w:r>
      <w:r>
        <w:rPr>
          <w:rFonts w:hint="eastAsia" w:ascii="宋体" w:hAnsi="宋体" w:eastAsia="宋体" w:cs="宋体"/>
          <w:i w:val="0"/>
          <w:iCs w:val="0"/>
          <w:caps w:val="0"/>
          <w:spacing w:val="0"/>
          <w:sz w:val="24"/>
          <w:szCs w:val="24"/>
          <w:highlight w:val="none"/>
          <w:shd w:val="clear" w:fill="auto"/>
        </w:rPr>
        <w:t>制定统一的、标准化的流程是减少人为操作、降低数据安全风险的重要途径。此外，</w:t>
      </w:r>
      <w:r>
        <w:rPr>
          <w:rFonts w:hint="eastAsia" w:ascii="宋体" w:hAnsi="宋体" w:eastAsia="宋体" w:cs="宋体"/>
          <w:i w:val="0"/>
          <w:iCs w:val="0"/>
          <w:caps w:val="0"/>
          <w:spacing w:val="0"/>
          <w:sz w:val="24"/>
          <w:szCs w:val="24"/>
          <w:highlight w:val="none"/>
          <w:shd w:val="clear"/>
          <w:lang w:val="en-US" w:eastAsia="zh-CN"/>
        </w:rPr>
        <w:t>本系统有数据校验和数据对比机制，能确保数据准确性和完整性。</w:t>
      </w:r>
    </w:p>
    <w:p w14:paraId="23D39503">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fill="auto"/>
        </w:rPr>
        <w:t>（三）数据分级分类</w:t>
      </w:r>
    </w:p>
    <w:p w14:paraId="4BE563C5">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lang w:val="en-US" w:eastAsia="zh-CN"/>
        </w:rPr>
        <w:t>智慧养老相关</w:t>
      </w:r>
      <w:r>
        <w:rPr>
          <w:rFonts w:hint="eastAsia" w:ascii="宋体" w:hAnsi="宋体" w:eastAsia="宋体" w:cs="宋体"/>
          <w:i w:val="0"/>
          <w:iCs w:val="0"/>
          <w:caps w:val="0"/>
          <w:spacing w:val="0"/>
          <w:sz w:val="24"/>
          <w:szCs w:val="24"/>
          <w:highlight w:val="none"/>
          <w:shd w:val="clear" w:fill="auto"/>
        </w:rPr>
        <w:t>数据量大、复杂，使用场景多，安全风险高。数据分级分类对提升数据安全水平、发挥数据价值有着重要意义。在数据量庞大的情况下</w:t>
      </w:r>
      <w:r>
        <w:rPr>
          <w:rFonts w:hint="eastAsia" w:ascii="宋体" w:hAnsi="宋体" w:cs="宋体"/>
          <w:i w:val="0"/>
          <w:iCs w:val="0"/>
          <w:caps w:val="0"/>
          <w:spacing w:val="0"/>
          <w:sz w:val="24"/>
          <w:szCs w:val="24"/>
          <w:highlight w:val="none"/>
          <w:shd w:val="clear" w:fill="auto"/>
          <w:lang w:eastAsia="zh-CN"/>
        </w:rPr>
        <w:t>，</w:t>
      </w:r>
      <w:r>
        <w:rPr>
          <w:rFonts w:hint="eastAsia" w:ascii="宋体" w:hAnsi="宋体" w:eastAsia="宋体" w:cs="宋体"/>
          <w:i w:val="0"/>
          <w:iCs w:val="0"/>
          <w:caps w:val="0"/>
          <w:spacing w:val="0"/>
          <w:sz w:val="24"/>
          <w:szCs w:val="24"/>
          <w:highlight w:val="none"/>
          <w:shd w:val="clear" w:fill="auto"/>
        </w:rPr>
        <w:t>对数据进行分类分级，加强对数据的整理，有助于保护数据的安全性和个人信息。</w:t>
      </w:r>
      <w:r>
        <w:rPr>
          <w:rFonts w:hint="eastAsia" w:ascii="宋体" w:hAnsi="宋体" w:eastAsia="宋体" w:cs="宋体"/>
          <w:i w:val="0"/>
          <w:iCs w:val="0"/>
          <w:caps w:val="0"/>
          <w:spacing w:val="0"/>
          <w:sz w:val="24"/>
          <w:szCs w:val="24"/>
          <w:highlight w:val="none"/>
          <w:shd w:val="clear"/>
          <w:lang w:val="en-US" w:eastAsia="zh-CN"/>
        </w:rPr>
        <w:t>具体划分详见数据分级及保护措施章节。</w:t>
      </w:r>
    </w:p>
    <w:p w14:paraId="20CE59F9">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fill="auto"/>
        </w:rPr>
        <w:t>（四）人员数据安全能力</w:t>
      </w:r>
    </w:p>
    <w:p w14:paraId="4C042DE7">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fill="auto"/>
        </w:rPr>
        <w:t>人员数据安全能力是保障数据安全的重要基础。要加强培训，定期开展数据安全能力学习</w:t>
      </w:r>
      <w:r>
        <w:rPr>
          <w:rFonts w:hint="eastAsia" w:ascii="宋体" w:hAnsi="宋体" w:eastAsia="宋体" w:cs="宋体"/>
          <w:i w:val="0"/>
          <w:iCs w:val="0"/>
          <w:caps w:val="0"/>
          <w:spacing w:val="0"/>
          <w:sz w:val="24"/>
          <w:szCs w:val="24"/>
          <w:highlight w:val="none"/>
          <w:shd w:val="clear"/>
          <w:lang w:eastAsia="zh-CN"/>
        </w:rPr>
        <w:t>，</w:t>
      </w:r>
      <w:r>
        <w:rPr>
          <w:rFonts w:hint="eastAsia" w:ascii="宋体" w:hAnsi="宋体" w:eastAsia="宋体" w:cs="宋体"/>
          <w:i w:val="0"/>
          <w:iCs w:val="0"/>
          <w:caps w:val="0"/>
          <w:spacing w:val="0"/>
          <w:sz w:val="24"/>
          <w:szCs w:val="24"/>
          <w:highlight w:val="none"/>
          <w:shd w:val="clear" w:fill="auto"/>
        </w:rPr>
        <w:t>提升意识，筑牢数据安全思想防线。</w:t>
      </w:r>
      <w:r>
        <w:rPr>
          <w:rFonts w:hint="eastAsia" w:ascii="宋体" w:hAnsi="宋体" w:eastAsia="宋体" w:cs="宋体"/>
          <w:i w:val="0"/>
          <w:iCs w:val="0"/>
          <w:caps w:val="0"/>
          <w:spacing w:val="0"/>
          <w:sz w:val="24"/>
          <w:szCs w:val="24"/>
          <w:highlight w:val="none"/>
          <w:shd w:val="clear"/>
          <w:lang w:val="en-US" w:eastAsia="zh-CN"/>
        </w:rPr>
        <w:t>各类</w:t>
      </w:r>
      <w:r>
        <w:rPr>
          <w:rFonts w:hint="eastAsia" w:ascii="宋体" w:hAnsi="宋体" w:eastAsia="宋体" w:cs="宋体"/>
          <w:i w:val="0"/>
          <w:iCs w:val="0"/>
          <w:caps w:val="0"/>
          <w:spacing w:val="0"/>
          <w:sz w:val="24"/>
          <w:szCs w:val="24"/>
          <w:highlight w:val="none"/>
          <w:shd w:val="clear" w:fill="auto"/>
        </w:rPr>
        <w:t>人员登录</w:t>
      </w:r>
      <w:r>
        <w:rPr>
          <w:rFonts w:hint="eastAsia" w:ascii="宋体" w:hAnsi="宋体" w:eastAsia="宋体" w:cs="宋体"/>
          <w:i w:val="0"/>
          <w:iCs w:val="0"/>
          <w:caps w:val="0"/>
          <w:spacing w:val="0"/>
          <w:sz w:val="24"/>
          <w:szCs w:val="24"/>
          <w:highlight w:val="none"/>
          <w:shd w:val="clear"/>
          <w:lang w:val="en-US" w:eastAsia="zh-CN"/>
        </w:rPr>
        <w:t>系统</w:t>
      </w:r>
      <w:r>
        <w:rPr>
          <w:rFonts w:hint="eastAsia" w:ascii="宋体" w:hAnsi="宋体" w:eastAsia="宋体" w:cs="宋体"/>
          <w:i w:val="0"/>
          <w:iCs w:val="0"/>
          <w:caps w:val="0"/>
          <w:spacing w:val="0"/>
          <w:sz w:val="24"/>
          <w:szCs w:val="24"/>
          <w:highlight w:val="none"/>
          <w:shd w:val="clear" w:fill="auto"/>
        </w:rPr>
        <w:t>要全部使用双因素登录，避免非法访问。强化数据安全教育和技术手段并行，是提升人员数据安全能力的有力措施。</w:t>
      </w:r>
    </w:p>
    <w:p w14:paraId="28D09912">
      <w:pPr>
        <w:keepNext w:val="0"/>
        <w:keepLines w:val="0"/>
        <w:pageBreakBefore w:val="0"/>
        <w:widowControl/>
        <w:suppressLineNumbers w:val="0"/>
        <w:pBdr>
          <w:top w:val="none" w:color="auto" w:sz="0" w:space="0"/>
          <w:left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320" w:lineRule="exact"/>
        <w:ind w:left="0" w:right="0" w:firstLine="480" w:firstLineChars="200"/>
        <w:jc w:val="left"/>
        <w:textAlignment w:val="auto"/>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fill="auto"/>
        </w:rPr>
        <w:t>（五）数字化平台支撑</w:t>
      </w:r>
    </w:p>
    <w:p w14:paraId="1E5D0029">
      <w:pPr>
        <w:pageBreakBefore w:val="0"/>
        <w:widowControl/>
        <w:pBdr>
          <w:top w:val="none" w:color="auto" w:sz="0" w:space="0"/>
          <w:left w:val="none" w:color="auto" w:sz="0" w:space="0"/>
          <w:right w:val="none" w:color="auto" w:sz="0" w:space="0"/>
        </w:pBdr>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通过打造数据底座，实现统一的“数字化平台”</w:t>
      </w:r>
      <w:r>
        <w:rPr>
          <w:rFonts w:hint="eastAsia" w:ascii="宋体" w:hAnsi="宋体" w:eastAsia="宋体" w:cs="宋体"/>
          <w:sz w:val="24"/>
          <w:szCs w:val="24"/>
          <w:highlight w:val="none"/>
          <w:lang w:eastAsia="zh-CN"/>
        </w:rPr>
        <w:t>。</w:t>
      </w:r>
      <w:r>
        <w:rPr>
          <w:rFonts w:hint="eastAsia" w:ascii="宋体" w:hAnsi="宋体" w:eastAsia="宋体" w:cs="宋体"/>
          <w:i w:val="0"/>
          <w:iCs w:val="0"/>
          <w:caps w:val="0"/>
          <w:spacing w:val="0"/>
          <w:sz w:val="24"/>
          <w:szCs w:val="24"/>
          <w:highlight w:val="none"/>
          <w:shd w:val="clear" w:fill="auto"/>
        </w:rPr>
        <w:t>通过</w:t>
      </w:r>
      <w:r>
        <w:rPr>
          <w:rFonts w:hint="eastAsia" w:ascii="宋体" w:hAnsi="宋体" w:eastAsia="宋体" w:cs="宋体"/>
          <w:i w:val="0"/>
          <w:iCs w:val="0"/>
          <w:caps w:val="0"/>
          <w:spacing w:val="0"/>
          <w:sz w:val="24"/>
          <w:szCs w:val="24"/>
          <w:highlight w:val="none"/>
          <w:shd w:val="clear"/>
          <w:lang w:val="en-US" w:eastAsia="zh-CN"/>
        </w:rPr>
        <w:t>基于分级分类数据标准化设计与标准库建设，基于数据平面统一管理，对数据的传输、存储过程进行有效保护，以便于整体数据安全管理</w:t>
      </w:r>
      <w:r>
        <w:rPr>
          <w:rFonts w:hint="eastAsia" w:ascii="宋体" w:hAnsi="宋体" w:eastAsia="宋体" w:cs="宋体"/>
          <w:i w:val="0"/>
          <w:iCs w:val="0"/>
          <w:caps w:val="0"/>
          <w:spacing w:val="0"/>
          <w:sz w:val="24"/>
          <w:szCs w:val="24"/>
          <w:highlight w:val="none"/>
          <w:shd w:val="clear" w:fill="auto"/>
        </w:rPr>
        <w:t>。</w:t>
      </w:r>
    </w:p>
    <w:p w14:paraId="66DFD13F">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数据安全保护</w:t>
      </w:r>
    </w:p>
    <w:p w14:paraId="077EF67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本项目提供对业务系统数据采取数据操作风险管控、数据完整性、数据有效性验证、数据脱敏、数据审计、数据溯源、数据销毁等数据保护措施。</w:t>
      </w:r>
    </w:p>
    <w:p w14:paraId="096FA54F">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数据操作风险管控</w:t>
      </w:r>
    </w:p>
    <w:p w14:paraId="5EE8B0FB">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高危操作管控</w:t>
      </w:r>
    </w:p>
    <w:p w14:paraId="5369288C">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对于数据库、敏感数据表、列等对象，监测高危操作，将基于访问者的身份、使用的工具、用户权限等要素发现未经授权的危险操作，并及时阻断异常操作。针对高危操作执行改操作，特别是针对系统运维人员以及第三方人员，通过工单申请流程，审批通过后才能执行。</w:t>
      </w:r>
    </w:p>
    <w:p w14:paraId="7AFBA71E">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访问频次限制</w:t>
      </w:r>
    </w:p>
    <w:p w14:paraId="79EDD182">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本项目将针对一定时间内频繁访问数据的行为进行访问频次控制，有效保证数据安全，具体措施如下：</w:t>
      </w:r>
    </w:p>
    <w:p w14:paraId="6FE45709">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IP地址限制：可以根据每个IP地址的访问频次进行限制。设置一个阈值，如果某个IP地址在一定时间内的请求超过该阈值，系统可以拒绝进一步的访问或采取其他处理措施。</w:t>
      </w:r>
    </w:p>
    <w:p w14:paraId="66AF1EC5">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用户账号限制：对于使用账号登录的系统，可以设置用户账号的访问频次限制。如果某个账号在一定时间内的请求超过限制，可以暂时禁止该账号继续访问或采取其他处理措施。</w:t>
      </w:r>
    </w:p>
    <w:p w14:paraId="774C8315">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验证码机制：为了确认访问者的真实身份并减少机器人或恶意攻击的访问，可以引入验证码机制。在用户登录、重置密码等操作中要求用户输入验证码。</w:t>
      </w:r>
    </w:p>
    <w:p w14:paraId="3C539F2A">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接口调用限制：对于API接口的调用，可以设置每个用户或应用程序在一定时间内允许的最大调用次数。超过限制的请求可以被拒绝或采取其他处理措施。</w:t>
      </w:r>
    </w:p>
    <w:p w14:paraId="15E0446C">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延迟策略：可以引入延迟策略，即在每次请求之间引入一定的时间延迟。这样可以减缓高频次请求对系统的冲击。</w:t>
      </w:r>
    </w:p>
    <w:p w14:paraId="571155DE">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数据访问控制</w:t>
      </w:r>
    </w:p>
    <w:p w14:paraId="1685077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本项目中所</w:t>
      </w:r>
      <w:r>
        <w:rPr>
          <w:rFonts w:hint="eastAsia" w:ascii="宋体" w:hAnsi="宋体" w:eastAsia="宋体" w:cs="宋体"/>
          <w:sz w:val="24"/>
          <w:szCs w:val="24"/>
          <w:highlight w:val="none"/>
          <w:lang w:eastAsia="zh-CN"/>
        </w:rPr>
        <w:t>涉及的</w:t>
      </w:r>
      <w:r>
        <w:rPr>
          <w:rFonts w:hint="eastAsia" w:ascii="宋体" w:hAnsi="宋体" w:eastAsia="宋体" w:cs="宋体"/>
          <w:sz w:val="24"/>
          <w:szCs w:val="24"/>
          <w:highlight w:val="none"/>
        </w:rPr>
        <w:t>系统针对系统开发人员，包括数据建模分析人员和数据库管理人员在内，直接访问数据库或者通过数据接口访问本项目相关存储数据的场景，对不同权限的不同角色的访问行为进行控制，也能防止非法攻击。通过数据访问控制策略，实现数据库的访问行为的控制、危险操作的阻断。通过协议分析，根据预定义的禁止和许可策略让合法的数据库操作通过，阻断非法违规操作，形成数据库的外围防御圈，实现数据库危险操作的主动预防。</w:t>
      </w:r>
    </w:p>
    <w:p w14:paraId="61A16F83">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数据完整性保护</w:t>
      </w:r>
    </w:p>
    <w:p w14:paraId="268B4D7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本项目采用校验技术或密码技术保证重要数据传输和存储的完整性，包括但不限于鉴别数据、重要业务数据、重要审计数据、重要配置数据、重要视频数据和重要个人信息等。</w:t>
      </w:r>
    </w:p>
    <w:p w14:paraId="7AB2118A">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数据有效性验证</w:t>
      </w:r>
    </w:p>
    <w:p w14:paraId="6373E08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本项目提供数据有效性检验功能，保证通过人机接口输入或通过通信接口输入的内容符合系统设定要求。</w:t>
      </w:r>
    </w:p>
    <w:p w14:paraId="2429EE5A">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数据审计</w:t>
      </w:r>
    </w:p>
    <w:p w14:paraId="73556AC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实现对数据库系统安全状况的全面审计，及时发现数据库非法访问行为并产生告警，对数据库的非法或越权操作进行追溯和定位，为事后找出非法或越权用户，提供快捷方法和证据。</w:t>
      </w:r>
    </w:p>
    <w:p w14:paraId="7D89815E">
      <w:pPr>
        <w:keepNext/>
        <w:keepLines/>
        <w:pageBreakBefore w:val="0"/>
        <w:widowControl w:val="0"/>
        <w:numPr>
          <w:ilvl w:val="6"/>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296" w:hanging="1296" w:firstLineChars="0"/>
        <w:jc w:val="both"/>
        <w:textAlignment w:val="auto"/>
        <w:outlineLvl w:val="6"/>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数据溯源</w:t>
      </w:r>
    </w:p>
    <w:p w14:paraId="03129CD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保证数据安全，实现数据在被非授权扩散时的溯源追踪，在不改变现有数据任何结构前提下，对关键数据中加入标识因子，能够通过数据溯源追踪机制有效查找出数据泄露源头，实现数据的非授权扩散监管。</w:t>
      </w:r>
    </w:p>
    <w:p w14:paraId="59ED7AE1">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数据分级及保护措施</w:t>
      </w:r>
    </w:p>
    <w:p w14:paraId="2CF78A3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中华人民共和国数据安全法》要求，根据数据一旦遭到篡改、破坏、泄露或者非法获取、非法利用，对国家安全、公共利益或者个人、组织合法权益造成的危害程度，将数据从低到高分成一般数据、重要数据、核心数据共三个级别。在基本框架定级的基础上，结合信息化领域的行业数据分类分级规则或组织生产经营需求，对一般数据进行细化分级。根据《</w:t>
      </w:r>
      <w:r>
        <w:rPr>
          <w:rFonts w:hint="eastAsia" w:ascii="宋体" w:hAnsi="宋体" w:cs="宋体"/>
          <w:sz w:val="24"/>
          <w:szCs w:val="24"/>
          <w:highlight w:val="none"/>
          <w:lang w:eastAsia="zh-CN"/>
        </w:rPr>
        <w:t>中华人民共和国数据安全法</w:t>
      </w:r>
      <w:r>
        <w:rPr>
          <w:rFonts w:hint="eastAsia" w:ascii="宋体" w:hAnsi="宋体" w:eastAsia="宋体" w:cs="宋体"/>
          <w:sz w:val="24"/>
          <w:szCs w:val="24"/>
          <w:highlight w:val="none"/>
        </w:rPr>
        <w:t>》和《</w:t>
      </w:r>
      <w:r>
        <w:rPr>
          <w:rFonts w:hint="eastAsia" w:ascii="宋体" w:hAnsi="宋体" w:cs="宋体"/>
          <w:sz w:val="24"/>
          <w:szCs w:val="24"/>
          <w:highlight w:val="none"/>
          <w:lang w:eastAsia="zh-CN"/>
        </w:rPr>
        <w:t>中华人民共和国个人信息保护法</w:t>
      </w:r>
      <w:r>
        <w:rPr>
          <w:rFonts w:hint="eastAsia" w:ascii="宋体" w:hAnsi="宋体" w:eastAsia="宋体" w:cs="宋体"/>
          <w:sz w:val="24"/>
          <w:szCs w:val="24"/>
          <w:highlight w:val="none"/>
        </w:rPr>
        <w:t>》等法律法规以及相应的数据安全监管要求，催生了政府部门对重要数据、个人敏感信息的保护需求，敏感数据的发现与分类分级是数据保护工作的首要步骤。</w:t>
      </w:r>
    </w:p>
    <w:p w14:paraId="300A0884">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数据分级分类</w:t>
      </w:r>
    </w:p>
    <w:p w14:paraId="2E5FDEE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参考《DB33T2351-2021数字化改革公共数据分类分级指南》，</w:t>
      </w:r>
      <w:r>
        <w:rPr>
          <w:rFonts w:hint="eastAsia" w:ascii="宋体" w:hAnsi="宋体" w:eastAsia="宋体" w:cs="宋体"/>
          <w:sz w:val="24"/>
          <w:szCs w:val="24"/>
          <w:highlight w:val="none"/>
          <w:lang w:val="en-US" w:eastAsia="zh-CN"/>
        </w:rPr>
        <w:t>海曙区智慧民政综合服务平台</w:t>
      </w:r>
      <w:r>
        <w:rPr>
          <w:rFonts w:hint="eastAsia" w:ascii="宋体" w:hAnsi="宋体" w:eastAsia="宋体" w:cs="宋体"/>
          <w:sz w:val="24"/>
          <w:szCs w:val="24"/>
          <w:highlight w:val="none"/>
        </w:rPr>
        <w:t>数据根据开放等级不同对应数据级别为：不敏感数据（L1级）、低敏感数据（L2级）、较敏感数据（L3级）、敏感数据（L4级）。</w:t>
      </w:r>
      <w:r>
        <w:rPr>
          <w:rFonts w:hint="eastAsia" w:ascii="宋体" w:hAnsi="宋体" w:eastAsia="宋体" w:cs="宋体"/>
          <w:sz w:val="24"/>
          <w:szCs w:val="24"/>
          <w:highlight w:val="none"/>
          <w:lang w:val="en-US" w:eastAsia="zh-CN"/>
        </w:rPr>
        <w:t>海曙区智慧民政综合服务平台</w:t>
      </w:r>
      <w:r>
        <w:rPr>
          <w:rFonts w:hint="eastAsia" w:ascii="宋体" w:hAnsi="宋体" w:eastAsia="宋体" w:cs="宋体"/>
          <w:sz w:val="24"/>
          <w:szCs w:val="24"/>
          <w:highlight w:val="none"/>
        </w:rPr>
        <w:t>信息数据分类分级情况如下。</w:t>
      </w:r>
    </w:p>
    <w:p w14:paraId="279DD3D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海曙区智慧民政综合服务平台</w:t>
      </w:r>
      <w:r>
        <w:rPr>
          <w:rFonts w:hint="eastAsia" w:ascii="宋体" w:hAnsi="宋体" w:eastAsia="宋体" w:cs="宋体"/>
          <w:sz w:val="24"/>
          <w:szCs w:val="24"/>
          <w:highlight w:val="none"/>
        </w:rPr>
        <w:t>数据分类分级</w:t>
      </w:r>
    </w:p>
    <w:tbl>
      <w:tblPr>
        <w:tblStyle w:val="61"/>
        <w:tblW w:w="51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6"/>
        <w:gridCol w:w="1156"/>
        <w:gridCol w:w="2605"/>
        <w:gridCol w:w="1360"/>
        <w:gridCol w:w="1367"/>
        <w:gridCol w:w="1109"/>
      </w:tblGrid>
      <w:tr w14:paraId="31B6B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1300" w:type="pct"/>
            <w:gridSpan w:val="2"/>
            <w:vMerge w:val="restart"/>
            <w:shd w:val="clear" w:color="auto" w:fill="F1F1F1"/>
            <w:vAlign w:val="center"/>
          </w:tcPr>
          <w:p w14:paraId="63788C62">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系统名称</w:t>
            </w:r>
          </w:p>
        </w:tc>
        <w:tc>
          <w:tcPr>
            <w:tcW w:w="3699" w:type="pct"/>
            <w:gridSpan w:val="4"/>
            <w:shd w:val="clear" w:color="auto" w:fill="F1F1F1"/>
            <w:vAlign w:val="center"/>
          </w:tcPr>
          <w:p w14:paraId="11233B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数据级别</w:t>
            </w:r>
          </w:p>
        </w:tc>
      </w:tr>
      <w:tr w14:paraId="7ABFC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1300" w:type="pct"/>
            <w:gridSpan w:val="2"/>
            <w:vMerge w:val="continue"/>
            <w:tcBorders>
              <w:bottom w:val="single" w:color="auto" w:sz="4" w:space="0"/>
            </w:tcBorders>
            <w:shd w:val="clear" w:color="auto" w:fill="F1F1F1"/>
            <w:vAlign w:val="center"/>
          </w:tcPr>
          <w:p w14:paraId="4FD93E4B">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rPr>
            </w:pPr>
          </w:p>
        </w:tc>
        <w:tc>
          <w:tcPr>
            <w:tcW w:w="1496" w:type="pct"/>
            <w:tcBorders>
              <w:bottom w:val="single" w:color="auto" w:sz="4" w:space="0"/>
            </w:tcBorders>
            <w:shd w:val="clear" w:color="auto" w:fill="F1F1F1"/>
            <w:vAlign w:val="center"/>
          </w:tcPr>
          <w:p w14:paraId="2C30EC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L1（不敏感）</w:t>
            </w:r>
          </w:p>
        </w:tc>
        <w:tc>
          <w:tcPr>
            <w:tcW w:w="781" w:type="pct"/>
            <w:tcBorders>
              <w:bottom w:val="single" w:color="auto" w:sz="4" w:space="0"/>
            </w:tcBorders>
            <w:shd w:val="clear" w:color="auto" w:fill="F1F1F1"/>
            <w:vAlign w:val="center"/>
          </w:tcPr>
          <w:p w14:paraId="76E162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L2</w:t>
            </w:r>
          </w:p>
          <w:p w14:paraId="0FF3D8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（低敏感）</w:t>
            </w:r>
          </w:p>
        </w:tc>
        <w:tc>
          <w:tcPr>
            <w:tcW w:w="785" w:type="pct"/>
            <w:tcBorders>
              <w:bottom w:val="single" w:color="auto" w:sz="4" w:space="0"/>
            </w:tcBorders>
            <w:shd w:val="clear" w:color="auto" w:fill="F1F1F1"/>
            <w:vAlign w:val="center"/>
          </w:tcPr>
          <w:p w14:paraId="30899C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L3</w:t>
            </w:r>
          </w:p>
          <w:p w14:paraId="7AF1DAA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（较敏感）</w:t>
            </w:r>
          </w:p>
        </w:tc>
        <w:tc>
          <w:tcPr>
            <w:tcW w:w="635" w:type="pct"/>
            <w:tcBorders>
              <w:bottom w:val="single" w:color="auto" w:sz="4" w:space="0"/>
            </w:tcBorders>
            <w:shd w:val="clear" w:color="auto" w:fill="F1F1F1"/>
            <w:vAlign w:val="center"/>
          </w:tcPr>
          <w:p w14:paraId="4BD8ADA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L4</w:t>
            </w:r>
          </w:p>
          <w:p w14:paraId="7229C8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（敏感）</w:t>
            </w:r>
          </w:p>
        </w:tc>
      </w:tr>
      <w:tr w14:paraId="54448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restart"/>
            <w:tcBorders>
              <w:top w:val="single" w:color="auto" w:sz="4" w:space="0"/>
              <w:left w:val="single" w:color="auto" w:sz="4" w:space="0"/>
            </w:tcBorders>
            <w:shd w:val="clear" w:color="auto" w:fill="auto"/>
            <w:vAlign w:val="center"/>
          </w:tcPr>
          <w:p w14:paraId="1F542CF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海曙区智慧民政综合服务平台</w:t>
            </w:r>
          </w:p>
        </w:tc>
        <w:tc>
          <w:tcPr>
            <w:tcW w:w="664" w:type="pct"/>
            <w:tcBorders>
              <w:top w:val="single" w:color="auto" w:sz="4" w:space="0"/>
              <w:bottom w:val="single" w:color="auto" w:sz="4" w:space="0"/>
            </w:tcBorders>
            <w:shd w:val="clear" w:color="auto" w:fill="auto"/>
            <w:vAlign w:val="center"/>
          </w:tcPr>
          <w:p w14:paraId="4EEAA34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人口信息表</w:t>
            </w:r>
          </w:p>
        </w:tc>
        <w:tc>
          <w:tcPr>
            <w:tcW w:w="1496" w:type="pct"/>
            <w:tcBorders>
              <w:top w:val="single" w:color="auto" w:sz="4" w:space="0"/>
              <w:bottom w:val="single" w:color="auto" w:sz="4" w:space="0"/>
            </w:tcBorders>
            <w:shd w:val="clear" w:color="auto" w:fill="auto"/>
            <w:vAlign w:val="center"/>
          </w:tcPr>
          <w:p w14:paraId="50A3887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户籍街道名称、户籍社区名称、户籍地址、居住街道名称、居住社区名称、服务状态、补贴标准、政府补贴对象类型描述</w:t>
            </w:r>
          </w:p>
        </w:tc>
        <w:tc>
          <w:tcPr>
            <w:tcW w:w="781" w:type="pct"/>
            <w:tcBorders>
              <w:top w:val="single" w:color="auto" w:sz="4" w:space="0"/>
              <w:bottom w:val="single" w:color="auto" w:sz="4" w:space="0"/>
            </w:tcBorders>
            <w:shd w:val="clear" w:color="auto" w:fill="auto"/>
            <w:vAlign w:val="center"/>
          </w:tcPr>
          <w:p w14:paraId="50841A5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20" w:lineRule="exact"/>
              <w:ind w:left="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姓名、身份证、年龄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居住地址、老人手机号、老人联系电话</w:t>
            </w:r>
          </w:p>
        </w:tc>
        <w:tc>
          <w:tcPr>
            <w:tcW w:w="785" w:type="pct"/>
            <w:tcBorders>
              <w:top w:val="single" w:color="auto" w:sz="4" w:space="0"/>
              <w:bottom w:val="single" w:color="auto" w:sz="4" w:space="0"/>
            </w:tcBorders>
            <w:shd w:val="clear" w:color="auto" w:fill="auto"/>
            <w:vAlign w:val="center"/>
          </w:tcPr>
          <w:p w14:paraId="41353AB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Borders>
              <w:top w:val="single" w:color="auto" w:sz="4" w:space="0"/>
              <w:bottom w:val="single" w:color="auto" w:sz="4" w:space="0"/>
              <w:right w:val="single" w:color="auto" w:sz="4" w:space="0"/>
            </w:tcBorders>
            <w:shd w:val="clear" w:color="auto" w:fill="auto"/>
            <w:vAlign w:val="center"/>
          </w:tcPr>
          <w:p w14:paraId="22C1BA08">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5714F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0E5147F9">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7D5AA6A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低保对象基本信息</w:t>
            </w:r>
          </w:p>
        </w:tc>
        <w:tc>
          <w:tcPr>
            <w:tcW w:w="1496" w:type="pct"/>
            <w:vAlign w:val="center"/>
          </w:tcPr>
          <w:p w14:paraId="0EB552C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流水号、业务主键、手机号码、致贫原因、户籍地址区划编码、户籍地址门牌号、户口性质、居住地址区划编码、居住地址门牌号、家庭总人口、申请救助原因、开户银行、省厅区划编码、累计月份、累计收入、累计支出、保障标准、月人均收入、人均保障金、一般残人数、民政部区划编码、重残人数、保障总人口、一般残补差、重残补差、残疾补差金、户保障金、其他补助金、总发放金额、救助日期、救助证编号、行政区划、低保类型、是否区县调查、区县调查人、乡镇调查人、调查时间、调查结果、单据类型、默认</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 db_jz、代办人电话、是否申请电力减免、用电户号、申请类别、减免地址、序号、DML_TYPE、更新时间、推送时间</w:t>
            </w:r>
          </w:p>
        </w:tc>
        <w:tc>
          <w:tcPr>
            <w:tcW w:w="781" w:type="pct"/>
          </w:tcPr>
          <w:p w14:paraId="297D31CE">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开户人、开户人身份证、银行账号、申请人、申请身份证、低保类别、联系电话</w:t>
            </w:r>
          </w:p>
        </w:tc>
        <w:tc>
          <w:tcPr>
            <w:tcW w:w="785" w:type="pct"/>
          </w:tcPr>
          <w:p w14:paraId="4AA4528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3814F98F">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01873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0A9C397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03DDAC9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特困对象基本信息</w:t>
            </w:r>
          </w:p>
        </w:tc>
        <w:tc>
          <w:tcPr>
            <w:tcW w:w="1496" w:type="pct"/>
            <w:vAlign w:val="center"/>
          </w:tcPr>
          <w:p w14:paraId="4973573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流水号、主键、手机号码、致贫原因、户籍地址门牌号、户籍地址区划编码、居住地址门牌号、居住邮编区划编码、申请救助原因、省厅区划编码、银行账号、是否集中供养、供养方式、供养地、基本生活标准、保障总人口、家庭总人口、基本生活费、其他补助金、护理费、民政部区划编码、救助日期、总发放金额、救助证编号、是否区县调查、区县调查人、乡镇调查人、调查时间、调查结果、单据类型、默认：wb_jz、序号、行政区划、DML_TYPE、更新时间、推送时间、申请类别</w:t>
            </w:r>
          </w:p>
        </w:tc>
        <w:tc>
          <w:tcPr>
            <w:tcW w:w="781" w:type="pct"/>
          </w:tcPr>
          <w:p w14:paraId="579EE319">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开户银行、开户人、开户人身份证、申请人、申请身份证、户口性质、联系电话</w:t>
            </w:r>
          </w:p>
        </w:tc>
        <w:tc>
          <w:tcPr>
            <w:tcW w:w="785" w:type="pct"/>
          </w:tcPr>
          <w:p w14:paraId="75D8C2D8">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1BA64F8C">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333F6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17F24CC6">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462CB3A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边缘救助对象基本信息</w:t>
            </w:r>
          </w:p>
        </w:tc>
        <w:tc>
          <w:tcPr>
            <w:tcW w:w="1496" w:type="pct"/>
            <w:vAlign w:val="center"/>
          </w:tcPr>
          <w:p w14:paraId="03FFD5D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流水号、主键、手机号码、致贫原因、户籍地址门牌号、户籍地址区划编码、居住地址门牌号、居住邮编区划编码、申请救助原因、开户银行、省厅区划编码、是否集中供养、供养方式、供养地、基本生活标准、保障总人口、家庭总人口、基本生活费、其他补助金、护理费、民政部区划编码、救助日期、总发放金额、救助证编号、是否区县调查、区县调查人、乡镇调查人、调查时间、调查结果、单据类型、默认：wb_jz、序号、行政区划、DML_TYPE、更新时间、推送时间、申请类别、户口性质、联系电话</w:t>
            </w:r>
          </w:p>
        </w:tc>
        <w:tc>
          <w:tcPr>
            <w:tcW w:w="781" w:type="pct"/>
          </w:tcPr>
          <w:p w14:paraId="187C6CF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开户人、开户人身份证、银行账号、申请人、申请身份证</w:t>
            </w:r>
          </w:p>
        </w:tc>
        <w:tc>
          <w:tcPr>
            <w:tcW w:w="785" w:type="pct"/>
          </w:tcPr>
          <w:p w14:paraId="7BBC412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390A4EB5">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4BA4A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68CBA128">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522B3D3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临时救助对象基本信息</w:t>
            </w:r>
          </w:p>
        </w:tc>
        <w:tc>
          <w:tcPr>
            <w:tcW w:w="1496" w:type="pct"/>
            <w:vAlign w:val="center"/>
          </w:tcPr>
          <w:p w14:paraId="53493D1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行政区划、家庭总人口、居住地址、是否核对、申请救助原因、家庭类别、受灾日期、户口性质、受损金额、救助方式、救助日期、救助人数、救助金额、是否紧急、致贫原因、单据类型、省厅区划编码、民政部区划编码、年份、月份、序号、DML_TYPE、推送时间、更新时间、入仓时间、对象类别、救助类别、户籍地址</w:t>
            </w:r>
          </w:p>
        </w:tc>
        <w:tc>
          <w:tcPr>
            <w:tcW w:w="781" w:type="pct"/>
          </w:tcPr>
          <w:p w14:paraId="00DFDC8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开户银行、开户人、开户人身份证、银行账号、申请人、申请身份证、联系电话、手机号码</w:t>
            </w:r>
          </w:p>
        </w:tc>
        <w:tc>
          <w:tcPr>
            <w:tcW w:w="785" w:type="pct"/>
          </w:tcPr>
          <w:p w14:paraId="6748A277">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3E1C0FCD">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59AC8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3EE69252">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1F25C9B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孤儿、困境儿童信息</w:t>
            </w:r>
          </w:p>
        </w:tc>
        <w:tc>
          <w:tcPr>
            <w:tcW w:w="1496" w:type="pct"/>
            <w:vAlign w:val="center"/>
          </w:tcPr>
          <w:p w14:paraId="1F515F9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区划、姓名、户籍性质、户籍地址、现居地址、工作情况、学校名称、学业状况、健康状况、患病类型、残疾类型、残疾等级、养育类型、所属机构名称、领取人、领取人身份证号、领取人与儿童关系、领取方式、银行账号、开户银行、儿童类型、银行开户行号、享受金额、享受日期、享受状态、二级类别、业务主键、注销时间、注销原因、DML操作insert、update、delete、增量标示、更新时间、推送时间、入仓时间、性别、民族、出生日期、户口分类</w:t>
            </w:r>
          </w:p>
        </w:tc>
        <w:tc>
          <w:tcPr>
            <w:tcW w:w="781" w:type="pct"/>
          </w:tcPr>
          <w:p w14:paraId="3D0504F5">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份证号、家庭成员1姓名、家庭成员1身份证号、家庭成员1与儿童关系、家庭成员1当前情况、家庭成员1联系电话、家庭成员2姓名、家庭成员2身份证号、家庭成员2与儿童关系、家庭成员2当前情况、家庭成员2是否监护人、家庭成员2联系电话、儿童督导员姓名、儿童督导员身份证号、儿童督导员手机号码、儿童主任姓名、儿童主任身份证号、儿童主任手机号码、</w:t>
            </w:r>
          </w:p>
        </w:tc>
        <w:tc>
          <w:tcPr>
            <w:tcW w:w="785" w:type="pct"/>
          </w:tcPr>
          <w:p w14:paraId="4852B525">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6F44FA0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5F52A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1CA58B99">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00DCC83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留守儿童信息</w:t>
            </w:r>
          </w:p>
        </w:tc>
        <w:tc>
          <w:tcPr>
            <w:tcW w:w="1496" w:type="pct"/>
            <w:vAlign w:val="center"/>
          </w:tcPr>
          <w:p w14:paraId="4A72C85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区划、户籍地址、现居地址、工学情况、学校名称、学业状况、健康状况、患病类型、残疾类型、残疾等级、养育类型、务主键、注销时间、儿童类型、注销原因、DML操作、增量标示、更新时间、推送时间、入仓时间、性别、民族、出生日期、户口分类、户籍性质</w:t>
            </w:r>
          </w:p>
        </w:tc>
        <w:tc>
          <w:tcPr>
            <w:tcW w:w="781" w:type="pct"/>
          </w:tcPr>
          <w:p w14:paraId="3E665EAE">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名、身份证号、家庭成员1姓名、家庭成员1身份证号、家庭成员1与儿童关系、家庭成员1当前情况、家庭成员1是否监护人、家庭成员1联系电话、家庭成员2姓名、家庭成员2身份证号、家庭成员2与儿童关系、家庭成员2当前情况、家庭成员2是否监护人、家庭成员2联系电话、儿童督导员姓名、儿童督导员身份证号、儿童督导员手机号码、儿童主任姓名、儿童主任身份证号、儿童主任手机号码</w:t>
            </w:r>
          </w:p>
        </w:tc>
        <w:tc>
          <w:tcPr>
            <w:tcW w:w="785" w:type="pct"/>
          </w:tcPr>
          <w:p w14:paraId="54E60D25">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26A1D4B0">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5A02B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58A5B24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0F0973F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社会团体基本信息</w:t>
            </w:r>
          </w:p>
        </w:tc>
        <w:tc>
          <w:tcPr>
            <w:tcW w:w="1496" w:type="pct"/>
            <w:vAlign w:val="center"/>
          </w:tcPr>
          <w:p w14:paraId="66D8DB4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组织名称、证书有效日期始、证书有效日期结束、是否慈善组织、评估登记、评估年度、上上年度年检年报结论、上年度年检年报结论、信用情况</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红/黑/灰名单</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、是否社区社会组织、业务类型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1正常</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2注销</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3撤销</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、统一信用代码、行政区划、创建时间、更新时间、DML系统更新时间、推送时间、入仓时间、类型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20社团</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21民非</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22基金会</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、住所地址、注册资金、发证机关、业务主管单位、业务范围、法定代表人</w:t>
            </w:r>
          </w:p>
        </w:tc>
        <w:tc>
          <w:tcPr>
            <w:tcW w:w="781" w:type="pct"/>
          </w:tcPr>
          <w:p w14:paraId="11895260">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c>
          <w:tcPr>
            <w:tcW w:w="785" w:type="pct"/>
          </w:tcPr>
          <w:p w14:paraId="708C7610">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48BBA9C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0DCC4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36" w:type="pct"/>
            <w:vMerge w:val="continue"/>
            <w:tcBorders>
              <w:left w:val="single" w:color="auto" w:sz="4" w:space="0"/>
            </w:tcBorders>
          </w:tcPr>
          <w:p w14:paraId="79D978D9">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3C02ED0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民办非企业基本信息</w:t>
            </w:r>
          </w:p>
        </w:tc>
        <w:tc>
          <w:tcPr>
            <w:tcW w:w="1496" w:type="pct"/>
            <w:vAlign w:val="center"/>
          </w:tcPr>
          <w:p w14:paraId="736E3BF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18"/>
                <w:szCs w:val="18"/>
                <w:highlight w:val="none"/>
                <w:shd w:val="clear" w:color="auto" w:fill="auto"/>
                <w:lang w:val="en-US" w:eastAsia="zh-CN" w:bidi="ar-SA"/>
              </w:rPr>
              <w:t>成立登记主键、是否直接登记0 否 1 是、单位全称、登记证号、统一信用代码、住所、单位代码、注册资金</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万元</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、注册邮编、注册电话、成立日期、经办人、预登记主键、经办人电话、评估等级、评估时间、评估有效期、慈善组织类别1行业协会商会类 2科技类 3公益慈善类 4城乡社区服务类、慈善组织联系人、慈善组织联系人电话、从业人数、执业人数、党员人数、行政受理编号、所属二级行</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事</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业、所属一级行</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事</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业</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所属行</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事</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业1科学研究 2文化 3教育 4卫生 5体育 6民政 7劳动 8社会服务 9法律 10 工商服务业 12农业及农村发展 13环境保护 14宗教 15职业及从业组织 99其他、宗旨、业务范围、行政许可编号、反对人数、弃权人数、需说明的主要问题、备注、转登记标记0</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未转入</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1</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转登记、是否申请慈善组织0 否 1 是、慈善活动领域1扶贫、济困 2扶老、救孤、恤病、助残、优抚 3救助自然灾害、事故灾难和公共卫生事件等突发事件造成的损害 4促进教育、科学、文化、卫生、体育等事业的发展 5防治污染和其他公害＼保护和改善生态环境 6符合《中华人民共和国慈善法》规定的其他公益活动、业务类别1行业协会商会类 2科技类 3公益慈善类 4城乡社区服务类、承办方式1租赁 2出借 3划拨 4转让、基础设备设施、行政许可日期、验资单位、开办资金来源、住所产权单位、用房面积（平方米）、租</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借</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期限、业务主管单位ID、业务主管单位、业务主管单位地址、业务主管单位电话、业务主管单位邮编、行政受理日期、业务主管单位联系人、业务主管单位联系人电话、业务主管单位联系人手机、业务主管单位联系人工作单位、业务主管单位意见、审批状态、行政受理年份、行政受理序号、行政区划编码、DML_TYPE、填表日期</w:t>
            </w:r>
          </w:p>
        </w:tc>
        <w:tc>
          <w:tcPr>
            <w:tcW w:w="781" w:type="pct"/>
          </w:tcPr>
          <w:p w14:paraId="7CC9FFAB">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c>
          <w:tcPr>
            <w:tcW w:w="785" w:type="pct"/>
          </w:tcPr>
          <w:p w14:paraId="1552D317">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4941E25E">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37ED6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995" w:hRule="atLeast"/>
          <w:tblHeader/>
          <w:jc w:val="center"/>
        </w:trPr>
        <w:tc>
          <w:tcPr>
            <w:tcW w:w="636" w:type="pct"/>
            <w:vMerge w:val="continue"/>
            <w:tcBorders>
              <w:left w:val="single" w:color="auto" w:sz="4" w:space="0"/>
            </w:tcBorders>
          </w:tcPr>
          <w:p w14:paraId="2BB7AC3D">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3CCD90D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基金会基本信息</w:t>
            </w:r>
          </w:p>
        </w:tc>
        <w:tc>
          <w:tcPr>
            <w:tcW w:w="1496" w:type="pct"/>
            <w:vAlign w:val="center"/>
          </w:tcPr>
          <w:p w14:paraId="0AF0A2C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8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18"/>
                <w:szCs w:val="18"/>
                <w:highlight w:val="none"/>
                <w:shd w:val="clear" w:color="auto" w:fill="auto"/>
                <w:lang w:val="en-US" w:eastAsia="zh-CN" w:bidi="ar-SA"/>
              </w:rPr>
              <w:t>成立登记主键、是否直接登记、基金会名称、缩写名、基金会英文名称、统一信用代码、登记证号、税务类别、发证机关、原始资金来源、组织机构代码证、基金会类型、预登记主键、慈善组织类别1行业协会商会类2科技类3公益慈善类4城乡社区服务类、理事人数、监事人数、原始基金数额、基金会联系人、基金会联系人电话、基金会联系人手机、住房来源1租赁2基金会自有3个人或组织无偿提供、住所地址、住所电话、行政受理编号、住所邮编、所属二级行</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事</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业、所属一级行</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事</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业、所属行</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事</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业、评估等级、评估时间、评估有效期、产权单位、用房面积、租</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借</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期限、行政许可编号、成立日期、宗旨、业务范围、会议名称、会议时间、表决形式、应到人数、实到人数、同意人数、反对人数、行政许可日期、弃权人数、修改说明、验资单位、验资单位类别、转登记标记0</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未转入</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1</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转登、是否申请慈善组织0否1是、慈善活动领域1扶贫、济困2扶老、救孤、恤病、助残、优抚3救助自然灾害、事故灾难和公共卫生事件等突发事件造成的损害4促进教育、科学、文化、卫生、体育等事业的发展5防治污染和其他公害保护和改善生态环境6符合《中华人民共和国慈善法》规定的其他公益活动、业务主管单位ID、业务主管单位、业务主管单位地址、行政受理日期、业务主管单位电话、业务主管单位邮编、业务主管单位联系人、业务主管单位联系人电话、业务主管单位联系人手机、业务主管单位联系人工作单位、业务主管单位意见、审批状态、备用字段、备用字段、行政受理年份、填表日期。</w:t>
            </w:r>
          </w:p>
        </w:tc>
        <w:tc>
          <w:tcPr>
            <w:tcW w:w="781" w:type="pct"/>
          </w:tcPr>
          <w:p w14:paraId="52835D6A">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c>
          <w:tcPr>
            <w:tcW w:w="785" w:type="pct"/>
          </w:tcPr>
          <w:p w14:paraId="63DC3B1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20B7CBF2">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2380A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01984ECA">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0E4C4F2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社区居家养老服务照料中心信息</w:t>
            </w:r>
          </w:p>
        </w:tc>
        <w:tc>
          <w:tcPr>
            <w:tcW w:w="1496" w:type="pct"/>
            <w:vAlign w:val="center"/>
          </w:tcPr>
          <w:p w14:paraId="4EC17C7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主键、外键</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单位、工作人员数量、运营方式、建筑面积、日托床位数、托养床位数、服务功能、照片路径、照片名称、是否黑户、黑户编号、照料中心名称、行政区划ID、行政区划编码、行政区划名称、单据类型、制单人ID、制单人、制单日期、修改标记、修改人ID、修改人、有无信用代码、修改日期、删除标记、删除人ID、删除人、删除时间、审批状态、审批状态描述、审批等级、审核人ID、审核人、社会信用代码、审核日期、单据状态、单据状态描述、部门编号、乐观锁、数据类型、数据标记、暂存状态、数据生成时间、产品备用</w:t>
            </w:r>
            <w:r>
              <w:rPr>
                <w:rFonts w:hint="eastAsia" w:ascii="宋体" w:hAnsi="宋体" w:cs="宋体"/>
                <w:color w:val="auto"/>
                <w:kern w:val="2"/>
                <w:sz w:val="24"/>
                <w:szCs w:val="24"/>
                <w:highlight w:val="none"/>
                <w:lang w:val="en-US" w:eastAsia="zh-CN" w:bidi="ar-SA"/>
              </w:rPr>
              <w:t>字段</w:t>
            </w:r>
            <w:r>
              <w:rPr>
                <w:rFonts w:hint="eastAsia" w:ascii="宋体" w:hAnsi="宋体" w:eastAsia="宋体" w:cs="宋体"/>
                <w:color w:val="auto"/>
                <w:kern w:val="2"/>
                <w:sz w:val="24"/>
                <w:szCs w:val="24"/>
                <w:highlight w:val="none"/>
                <w:lang w:val="en-US" w:eastAsia="zh-CN" w:bidi="ar-SA"/>
              </w:rPr>
              <w:t>00、具体地址、公开电话、DML_TYPE、推送时间、更新时间、入仓时间、联系人</w:t>
            </w:r>
          </w:p>
        </w:tc>
        <w:tc>
          <w:tcPr>
            <w:tcW w:w="781" w:type="pct"/>
          </w:tcPr>
          <w:p w14:paraId="39BA7D7B">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c>
          <w:tcPr>
            <w:tcW w:w="785" w:type="pct"/>
          </w:tcPr>
          <w:p w14:paraId="653DE64D">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2F8F62D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08A33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35AB513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1573ACA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养老机构信息</w:t>
            </w:r>
          </w:p>
        </w:tc>
        <w:tc>
          <w:tcPr>
            <w:tcW w:w="1496" w:type="pct"/>
            <w:vAlign w:val="center"/>
          </w:tcPr>
          <w:p w14:paraId="101221F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80" w:lineRule="exact"/>
              <w:ind w:left="0" w:leftChars="0" w:right="0" w:rightChars="0" w:firstLine="0" w:firstLineChars="0"/>
              <w:jc w:val="center"/>
              <w:textAlignment w:val="auto"/>
              <w:rPr>
                <w:rFonts w:hint="eastAsia" w:ascii="宋体" w:hAnsi="宋体" w:eastAsia="宋体" w:cs="宋体"/>
                <w:color w:val="auto"/>
                <w:kern w:val="2"/>
                <w:sz w:val="18"/>
                <w:szCs w:val="18"/>
                <w:highlight w:val="none"/>
                <w:shd w:val="clear" w:color="auto" w:fill="auto"/>
                <w:lang w:val="en-US" w:eastAsia="zh-CN" w:bidi="ar-SA"/>
              </w:rPr>
            </w:pPr>
            <w:r>
              <w:rPr>
                <w:rFonts w:hint="eastAsia" w:ascii="宋体" w:hAnsi="宋体" w:eastAsia="宋体" w:cs="宋体"/>
                <w:color w:val="auto"/>
                <w:kern w:val="2"/>
                <w:sz w:val="18"/>
                <w:szCs w:val="18"/>
                <w:highlight w:val="none"/>
                <w:shd w:val="clear" w:color="auto" w:fill="auto"/>
                <w:lang w:val="en-US" w:eastAsia="zh-CN" w:bidi="ar-SA"/>
              </w:rPr>
              <w:t>主键、单位ID、机构地址、机构名称、机构类型、机构性质、机构归属、运营方式、成立日期、总投资、建设性质、资金来源、产权单位、产权证号、租用期限、占地面积、建筑面积、服务范围、服务项目、医疗条件、医疗机构名称、医疗机构社会信用代码、联系手机、质询电话、电子邮箱、传真、实际机构床位总数、实际护理床位数、实际普通床位数、总床位数、护理床位数、自理床位数、医疗床位数、内设医疗机构医师数量、康复医师数量、康复治疗师数量、护士数量、床位费、护理费、伙食费、康复室场地、康复室使用面积、康复设施设备、内设医疗机构是否具备医保定点资格、签约合作医疗机构名称、签约合作医疗机构社会信用代码、审批状态、审批状态描述、审批等级、审核人ID、审核人、审核日期、单据状态、单据状态描述、照片名称、照片url、查验人、查验时间、查验结论、乡镇街道意见、备注、</w:t>
            </w:r>
            <w:r>
              <w:rPr>
                <w:rFonts w:hint="eastAsia" w:ascii="宋体" w:hAnsi="宋体" w:cs="宋体"/>
                <w:color w:val="auto"/>
                <w:kern w:val="2"/>
                <w:sz w:val="18"/>
                <w:szCs w:val="18"/>
                <w:highlight w:val="none"/>
                <w:shd w:val="clear" w:color="auto" w:fill="auto"/>
                <w:lang w:val="en-US" w:eastAsia="zh-CN" w:bidi="ar-SA"/>
              </w:rPr>
              <w:t>账号</w:t>
            </w:r>
            <w:r>
              <w:rPr>
                <w:rFonts w:hint="eastAsia" w:ascii="宋体" w:hAnsi="宋体" w:eastAsia="宋体" w:cs="宋体"/>
                <w:color w:val="auto"/>
                <w:kern w:val="2"/>
                <w:sz w:val="18"/>
                <w:szCs w:val="18"/>
                <w:highlight w:val="none"/>
                <w:shd w:val="clear" w:color="auto" w:fill="auto"/>
                <w:lang w:val="en-US" w:eastAsia="zh-CN" w:bidi="ar-SA"/>
              </w:rPr>
              <w:t>状态、</w:t>
            </w:r>
            <w:r>
              <w:rPr>
                <w:rFonts w:hint="eastAsia" w:ascii="宋体" w:hAnsi="宋体" w:cs="宋体"/>
                <w:color w:val="auto"/>
                <w:kern w:val="2"/>
                <w:sz w:val="18"/>
                <w:szCs w:val="18"/>
                <w:highlight w:val="none"/>
                <w:shd w:val="clear" w:color="auto" w:fill="auto"/>
                <w:lang w:val="en-US" w:eastAsia="zh-CN" w:bidi="ar-SA"/>
              </w:rPr>
              <w:t>账号</w:t>
            </w:r>
            <w:r>
              <w:rPr>
                <w:rFonts w:hint="eastAsia" w:ascii="宋体" w:hAnsi="宋体" w:eastAsia="宋体" w:cs="宋体"/>
                <w:color w:val="auto"/>
                <w:kern w:val="2"/>
                <w:sz w:val="18"/>
                <w:szCs w:val="18"/>
                <w:highlight w:val="none"/>
                <w:shd w:val="clear" w:color="auto" w:fill="auto"/>
                <w:lang w:val="en-US" w:eastAsia="zh-CN" w:bidi="ar-SA"/>
              </w:rPr>
              <w:t>审核人ID、</w:t>
            </w:r>
            <w:r>
              <w:rPr>
                <w:rFonts w:hint="eastAsia" w:ascii="宋体" w:hAnsi="宋体" w:cs="宋体"/>
                <w:color w:val="auto"/>
                <w:kern w:val="2"/>
                <w:sz w:val="18"/>
                <w:szCs w:val="18"/>
                <w:highlight w:val="none"/>
                <w:shd w:val="clear" w:color="auto" w:fill="auto"/>
                <w:lang w:val="en-US" w:eastAsia="zh-CN" w:bidi="ar-SA"/>
              </w:rPr>
              <w:t>账号</w:t>
            </w:r>
            <w:r>
              <w:rPr>
                <w:rFonts w:hint="eastAsia" w:ascii="宋体" w:hAnsi="宋体" w:eastAsia="宋体" w:cs="宋体"/>
                <w:color w:val="auto"/>
                <w:kern w:val="2"/>
                <w:sz w:val="18"/>
                <w:szCs w:val="18"/>
                <w:highlight w:val="none"/>
                <w:shd w:val="clear" w:color="auto" w:fill="auto"/>
                <w:lang w:val="en-US" w:eastAsia="zh-CN" w:bidi="ar-SA"/>
              </w:rPr>
              <w:t>审核人、</w:t>
            </w:r>
            <w:r>
              <w:rPr>
                <w:rFonts w:hint="eastAsia" w:ascii="宋体" w:hAnsi="宋体" w:cs="宋体"/>
                <w:color w:val="auto"/>
                <w:kern w:val="2"/>
                <w:sz w:val="18"/>
                <w:szCs w:val="18"/>
                <w:highlight w:val="none"/>
                <w:shd w:val="clear" w:color="auto" w:fill="auto"/>
                <w:lang w:val="en-US" w:eastAsia="zh-CN" w:bidi="ar-SA"/>
              </w:rPr>
              <w:t>账号</w:t>
            </w:r>
            <w:r>
              <w:rPr>
                <w:rFonts w:hint="eastAsia" w:ascii="宋体" w:hAnsi="宋体" w:eastAsia="宋体" w:cs="宋体"/>
                <w:color w:val="auto"/>
                <w:kern w:val="2"/>
                <w:sz w:val="18"/>
                <w:szCs w:val="18"/>
                <w:highlight w:val="none"/>
                <w:shd w:val="clear" w:color="auto" w:fill="auto"/>
                <w:lang w:val="en-US" w:eastAsia="zh-CN" w:bidi="ar-SA"/>
              </w:rPr>
              <w:t>审核时间、管理机关区划ID、管理机关区划编码、管理机关名称、数据类型、数据标记、暂存状态、数据生成时间</w:t>
            </w:r>
          </w:p>
        </w:tc>
        <w:tc>
          <w:tcPr>
            <w:tcW w:w="781" w:type="pct"/>
          </w:tcPr>
          <w:p w14:paraId="7C8251AA">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法定代表人姓名、法定代表人电话、法定代表人手机、法定代表人证件类型、法定代表人证件号码、主要负责人姓名、主要负责人电话、主要负责人手机、主要负责人证件类型、主要负责人证件号码</w:t>
            </w:r>
          </w:p>
        </w:tc>
        <w:tc>
          <w:tcPr>
            <w:tcW w:w="785" w:type="pct"/>
          </w:tcPr>
          <w:p w14:paraId="4EBAEE01">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4E0F99AD">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65356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499763D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0A02809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养老机构护理员信息</w:t>
            </w:r>
          </w:p>
        </w:tc>
        <w:tc>
          <w:tcPr>
            <w:tcW w:w="1496" w:type="pct"/>
            <w:vAlign w:val="center"/>
          </w:tcPr>
          <w:p w14:paraId="44E75E7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18"/>
                <w:szCs w:val="18"/>
                <w:highlight w:val="none"/>
                <w:shd w:val="clear" w:color="auto" w:fill="auto"/>
                <w:lang w:val="en-US" w:eastAsia="zh-CN" w:bidi="ar-SA"/>
              </w:rPr>
              <w:t>主键、外键</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机构id、年龄、性别、人员性质、医师类别、护理类别、职务、文化程度、现居住地址、户籍所在地、工作单位、外键</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部门id、工作单位社会信用代码、年收入、毕业院校、毕业专业、毕业证编号、专项职业能力、学位、联系电话、联系人、联系手机、机构名称、人员状态、入职时间、离职时间、政治面貌、健康状况、民族、婚姻状况、籍贯、是否内部员工、是否护理员、照片名称、是否专职、工号、用户类型、岗位职责、功能权限、楼栋id、楼栋名称、备注、人脸同步状态 0未同步 1已同步、人脸同步时间、照片url、行政区划ID、行政区划编码、行政区划名称、制单人ID、制单人、制单日期、修改标记、修改人ID、修改人、修改日期、照片host、删除标记、删除人ID、删除人、删除时间、审批状态、审批状态描述、审批等级、审核人ID、审核人、审核日期、姓名、单据状态、单据状态描述、部门编号、乐观锁、数据类型、数据标记、暂存状态、数据生成时间、岗位职责（1：护理员，2：医护人员）、执业证书编号、身份证号、医务职位、专业方向、专业技术级别、医护类型、专项职业能力、护理员技能等级、序号、DML_TYPE、推送时间、更新时间、出生年月、入仓时间</w:t>
            </w:r>
          </w:p>
        </w:tc>
        <w:tc>
          <w:tcPr>
            <w:tcW w:w="781" w:type="pct"/>
          </w:tcPr>
          <w:p w14:paraId="48077D8C">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c>
          <w:tcPr>
            <w:tcW w:w="785" w:type="pct"/>
          </w:tcPr>
          <w:p w14:paraId="57E67D0C">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2A246E22">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0BE21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528D96E5">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44DE780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养老机构床位信息</w:t>
            </w:r>
          </w:p>
        </w:tc>
        <w:tc>
          <w:tcPr>
            <w:tcW w:w="1496" w:type="pct"/>
            <w:vAlign w:val="center"/>
          </w:tcPr>
          <w:p w14:paraId="5E2B246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主键、床位外键、数据生成/变更时间、数据加载（同步）时间、入仓时间、老人外键、绑定状态标志：0</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可绑定；1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不可绑定、床位状态类型：1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入住；2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请假；3</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换绑；4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离院、绑定时间、解绑时间、时间标记（1：入院时间；2：换绑时间；99：离院时间）、DML type: insert, update, delete、增量标识</w:t>
            </w:r>
          </w:p>
        </w:tc>
        <w:tc>
          <w:tcPr>
            <w:tcW w:w="781" w:type="pct"/>
          </w:tcPr>
          <w:p w14:paraId="22B3502E">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c>
          <w:tcPr>
            <w:tcW w:w="785" w:type="pct"/>
          </w:tcPr>
          <w:p w14:paraId="0AFDC145">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27BDC6E6">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5E83E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16A8DD52">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2B92454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养老机构老年人信息</w:t>
            </w:r>
          </w:p>
        </w:tc>
        <w:tc>
          <w:tcPr>
            <w:tcW w:w="1496" w:type="pct"/>
            <w:vAlign w:val="center"/>
          </w:tcPr>
          <w:p w14:paraId="29BD858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原业务主键、家庭人数、1、低保户；2、边缘户；3、其他、1、未婚；2、已婚；3、丧偶；4、离婚、1、独居；2、与配偶同居；3、与子女同住；4、与亲友同住；5、养老机构；99、其他、1、居家养老；2、机构养老、1、正常；2、轻度依赖；3、中度依赖；4、重度依赖、1、一类；2、二类；3、其他、原因（评估信息）、补贴金额（审核时填写）、申请人具体类别（评估信息）、评估机构（评估信息）、评估人（评估信息）、备注、行政区划、区划名称、照片名称、1、在册；4、注销、行政区划、序号、DML_TYPE、更新时间、推送时间、入仓时间、姓名、身份证号、年龄、出生年月、性别、民族</w:t>
            </w:r>
          </w:p>
        </w:tc>
        <w:tc>
          <w:tcPr>
            <w:tcW w:w="781" w:type="pct"/>
          </w:tcPr>
          <w:p w14:paraId="420074F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户籍所在地、现居住地、联系电话、申请人或代理人姓名、申请人或代理人身份证、照片url、姓名、身份证号、年龄、出生年月、性别、民族</w:t>
            </w:r>
          </w:p>
        </w:tc>
        <w:tc>
          <w:tcPr>
            <w:tcW w:w="785" w:type="pct"/>
          </w:tcPr>
          <w:p w14:paraId="382290E8">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3C9D7BC0">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208D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763A24F2">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134C3F1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老年人优待证办理信息</w:t>
            </w:r>
          </w:p>
        </w:tc>
        <w:tc>
          <w:tcPr>
            <w:tcW w:w="1496" w:type="pct"/>
            <w:vAlign w:val="center"/>
          </w:tcPr>
          <w:p w14:paraId="48EFA37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行政区划、证书类型、出生年月、数据类型</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、申报号、申请时间、优待证类型、家庭住址、领取人</w:t>
            </w:r>
          </w:p>
        </w:tc>
        <w:tc>
          <w:tcPr>
            <w:tcW w:w="781" w:type="pct"/>
          </w:tcPr>
          <w:p w14:paraId="43278746">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姓名、证件类型、证件号码、性别</w:t>
            </w:r>
          </w:p>
        </w:tc>
        <w:tc>
          <w:tcPr>
            <w:tcW w:w="785" w:type="pct"/>
          </w:tcPr>
          <w:p w14:paraId="232D8F67">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6B19CABF">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54F63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78ACB57B">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66F807C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区老年人户籍档案迁出信息/迁出审批信息</w:t>
            </w:r>
          </w:p>
        </w:tc>
        <w:tc>
          <w:tcPr>
            <w:tcW w:w="1496" w:type="pct"/>
            <w:vAlign w:val="center"/>
          </w:tcPr>
          <w:p w14:paraId="4303306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操作、序号、工单号、迁出、乡镇/街道、迁出社区/村、迁出日期、迁入街道/乡镇、迁入社区/村、迁入日期、申请人、备注、创建时间</w:t>
            </w:r>
          </w:p>
        </w:tc>
        <w:tc>
          <w:tcPr>
            <w:tcW w:w="781" w:type="pct"/>
          </w:tcPr>
          <w:p w14:paraId="44F189EC">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老人姓名、性别、年龄、身份证号</w:t>
            </w:r>
          </w:p>
        </w:tc>
        <w:tc>
          <w:tcPr>
            <w:tcW w:w="785" w:type="pct"/>
          </w:tcPr>
          <w:p w14:paraId="4EE5D479">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4ABB2AC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775E6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6D7935F5">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4B57362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区养老补贴申请记录信息</w:t>
            </w:r>
          </w:p>
        </w:tc>
        <w:tc>
          <w:tcPr>
            <w:tcW w:w="1496" w:type="pct"/>
            <w:vAlign w:val="center"/>
          </w:tcPr>
          <w:p w14:paraId="387B132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子表主键、子表外键、行政区划、序号、DML_TYPE、更新时间、推送时间、入仓时间、原业务主表主键、原业务子表主键、备注</w:t>
            </w:r>
          </w:p>
        </w:tc>
        <w:tc>
          <w:tcPr>
            <w:tcW w:w="781" w:type="pct"/>
          </w:tcPr>
          <w:p w14:paraId="13DEFBE6">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姓名、性别、身份证号、手机号码</w:t>
            </w:r>
          </w:p>
        </w:tc>
        <w:tc>
          <w:tcPr>
            <w:tcW w:w="785" w:type="pct"/>
          </w:tcPr>
          <w:p w14:paraId="0C1BDC82">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43672AD9">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5BE1B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482941A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67932C4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区居家养老站点信息</w:t>
            </w:r>
          </w:p>
        </w:tc>
        <w:tc>
          <w:tcPr>
            <w:tcW w:w="1496" w:type="pct"/>
            <w:vAlign w:val="center"/>
          </w:tcPr>
          <w:p w14:paraId="5272C53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服务类型、服务餐次、食品餐饮经营许可证、建筑面积、就餐最低费用标准、就餐最高费用标准、服务机构类型、工作人员数量</w:t>
            </w:r>
          </w:p>
        </w:tc>
        <w:tc>
          <w:tcPr>
            <w:tcW w:w="781" w:type="pct"/>
          </w:tcPr>
          <w:p w14:paraId="63DAC43D">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c>
          <w:tcPr>
            <w:tcW w:w="785" w:type="pct"/>
          </w:tcPr>
          <w:p w14:paraId="6B53791F">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52B0233C">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6103E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12F88821">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2D770C9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区养老上门服务记录信息</w:t>
            </w:r>
          </w:p>
        </w:tc>
        <w:tc>
          <w:tcPr>
            <w:tcW w:w="1496" w:type="pct"/>
            <w:vAlign w:val="center"/>
          </w:tcPr>
          <w:p w14:paraId="4740A29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机构名称、所属村社、详细地址、联系人、联系电话、社会统一信用代码、场所码、营业日期、营业开始时间、营业结束时间、成立时间、开业时间、助餐点类型、高德地图、天地图</w:t>
            </w:r>
          </w:p>
        </w:tc>
        <w:tc>
          <w:tcPr>
            <w:tcW w:w="781" w:type="pct"/>
          </w:tcPr>
          <w:p w14:paraId="7117ED55">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c>
          <w:tcPr>
            <w:tcW w:w="785" w:type="pct"/>
          </w:tcPr>
          <w:p w14:paraId="26B3C961">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347936AE">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08A78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1E2A3DB6">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58A738E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区养老服务商信息</w:t>
            </w:r>
          </w:p>
        </w:tc>
        <w:tc>
          <w:tcPr>
            <w:tcW w:w="1496" w:type="pct"/>
            <w:vAlign w:val="center"/>
          </w:tcPr>
          <w:p w14:paraId="6265426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序号、服务商名称、服务时间、登录账号、使用人、联系电话、状态、创建时间</w:t>
            </w:r>
          </w:p>
        </w:tc>
        <w:tc>
          <w:tcPr>
            <w:tcW w:w="781" w:type="pct"/>
          </w:tcPr>
          <w:p w14:paraId="6AF20808">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c>
          <w:tcPr>
            <w:tcW w:w="785" w:type="pct"/>
          </w:tcPr>
          <w:p w14:paraId="464C024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p>
        </w:tc>
        <w:tc>
          <w:tcPr>
            <w:tcW w:w="635" w:type="pct"/>
          </w:tcPr>
          <w:p w14:paraId="1A0E8315">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0DB7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690EC59F">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7697101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海曙区高龄老人津贴发放信息</w:t>
            </w:r>
          </w:p>
        </w:tc>
        <w:tc>
          <w:tcPr>
            <w:tcW w:w="1496" w:type="pct"/>
            <w:vAlign w:val="center"/>
          </w:tcPr>
          <w:p w14:paraId="213E0D0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18"/>
                <w:szCs w:val="18"/>
                <w:highlight w:val="none"/>
                <w:shd w:val="clear" w:color="auto" w:fill="auto"/>
                <w:lang w:val="en-US" w:eastAsia="zh-CN" w:bidi="ar-SA"/>
              </w:rPr>
              <w:t>主键、发放金额、发放方式、是否享受养老金、享受状态 0未享受 1正享受 2停止享受、享受状态描述、备注、经度、纬度、取消原因、死亡标记 0</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未死亡</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1</w:t>
            </w:r>
            <w:r>
              <w:rPr>
                <w:rFonts w:hint="eastAsia" w:ascii="宋体" w:hAnsi="宋体" w:cs="宋体"/>
                <w:color w:val="auto"/>
                <w:kern w:val="2"/>
                <w:sz w:val="18"/>
                <w:szCs w:val="18"/>
                <w:highlight w:val="none"/>
                <w:shd w:val="clear" w:color="auto" w:fill="auto"/>
                <w:lang w:val="en-US" w:eastAsia="zh-CN" w:bidi="ar-SA"/>
              </w:rPr>
              <w:t>：</w:t>
            </w:r>
            <w:r>
              <w:rPr>
                <w:rFonts w:hint="eastAsia" w:ascii="宋体" w:hAnsi="宋体" w:eastAsia="宋体" w:cs="宋体"/>
                <w:color w:val="auto"/>
                <w:kern w:val="2"/>
                <w:sz w:val="18"/>
                <w:szCs w:val="18"/>
                <w:highlight w:val="none"/>
                <w:shd w:val="clear" w:color="auto" w:fill="auto"/>
                <w:lang w:val="en-US" w:eastAsia="zh-CN" w:bidi="ar-SA"/>
              </w:rPr>
              <w:t>死亡、死亡日期、火化日期、出生日期、死亡单位、死亡数据更新时间、行政区划ID、行政区划编码、行政区划名称、单据类型、制单人ID、制单人、制单日期、修改标记、性别、修改人ID、修改人、修改日期、删除标记、删除人ID、删除人、删除时间、审批状态、审批状态描述、审批等级、年龄、审核人ID、审核人、审核日期、单据状态、单据状态描述、部门编号、乐观锁、数据类型、数据标记、暂存状态、年龄段、数据生成时间、申报号、一窗式数据类型 1 本地数据 2 一窗式对接数据 3 政务网对接数据、申报时间、一窗式推送状态，0 未推送，1已推送，9推送失败、分发码：一窗受理平台注册的时候会生成的唯一编码（行政区划码+应用码）、外网提交状态、外网提交时间、校验标记、数据采集时间戳、民族、推送时间、预警时间、DML type:insert, update, delete、增量标识、数据生成/变更时间、数据加载（同步）时间、入仓时间、照片名称、照片url。</w:t>
            </w:r>
          </w:p>
        </w:tc>
        <w:tc>
          <w:tcPr>
            <w:tcW w:w="781" w:type="pct"/>
          </w:tcPr>
          <w:p w14:paraId="5CE181FF">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姓名、照片host、户口所在地、实际居住地、手机号码、联系电话、发放银行、开户行、银行卡号、身份证号</w:t>
            </w:r>
          </w:p>
        </w:tc>
        <w:tc>
          <w:tcPr>
            <w:tcW w:w="785" w:type="pct"/>
          </w:tcPr>
          <w:p w14:paraId="5E983E31">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5" w:type="pct"/>
          </w:tcPr>
          <w:p w14:paraId="4789DB6D">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val="0"/>
                <w:bCs w:val="0"/>
                <w:sz w:val="24"/>
                <w:szCs w:val="24"/>
                <w:highlight w:val="none"/>
              </w:rPr>
            </w:pPr>
          </w:p>
        </w:tc>
      </w:tr>
      <w:tr w14:paraId="43006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7954238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77BD722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海曙区高龄老人信息</w:t>
            </w:r>
          </w:p>
        </w:tc>
        <w:tc>
          <w:tcPr>
            <w:tcW w:w="1496" w:type="pct"/>
            <w:vAlign w:val="center"/>
          </w:tcPr>
          <w:p w14:paraId="3BAB401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w:t>
            </w:r>
          </w:p>
        </w:tc>
        <w:tc>
          <w:tcPr>
            <w:tcW w:w="781" w:type="pct"/>
          </w:tcPr>
          <w:p w14:paraId="5BE9663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姓名、照片host、户口所在地、实际居住地、手机号码、联系电话、身份证号</w:t>
            </w:r>
          </w:p>
        </w:tc>
        <w:tc>
          <w:tcPr>
            <w:tcW w:w="785" w:type="pct"/>
          </w:tcPr>
          <w:p w14:paraId="5702D3AA">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5" w:type="pct"/>
          </w:tcPr>
          <w:p w14:paraId="669D8F51">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r>
      <w:tr w14:paraId="31018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49869A6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162899A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地名证明电子证照信息</w:t>
            </w:r>
          </w:p>
        </w:tc>
        <w:tc>
          <w:tcPr>
            <w:tcW w:w="1496" w:type="pct"/>
            <w:vAlign w:val="center"/>
          </w:tcPr>
          <w:p w14:paraId="355341A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行政区划代码、产权人、证照路径地址、PID、时间戳、序号、DML_TYPE、推送时间、更新时间、入仓时间、证件类型、历史地名地址、现地名地址、出证机关、出证日期、填报时间、填报用户</w:t>
            </w:r>
          </w:p>
        </w:tc>
        <w:tc>
          <w:tcPr>
            <w:tcW w:w="781" w:type="pct"/>
          </w:tcPr>
          <w:p w14:paraId="574780AB">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证件号码</w:t>
            </w:r>
          </w:p>
        </w:tc>
        <w:tc>
          <w:tcPr>
            <w:tcW w:w="785" w:type="pct"/>
          </w:tcPr>
          <w:p w14:paraId="70BAFA0C">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5" w:type="pct"/>
          </w:tcPr>
          <w:p w14:paraId="22A59BC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r>
      <w:tr w14:paraId="6671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123D00B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0198097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结婚/离婚登记业务信息</w:t>
            </w:r>
          </w:p>
        </w:tc>
        <w:tc>
          <w:tcPr>
            <w:tcW w:w="1496" w:type="pct"/>
            <w:vAlign w:val="center"/>
          </w:tcPr>
          <w:p w14:paraId="1D0698F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主键、行政区划、户口性质、婚姻状况、登记日期</w:t>
            </w:r>
          </w:p>
          <w:p w14:paraId="2AE34DD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婚姻登记机关</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联系方式、备注、主键、行政区划、申请人户籍地址、居住地址 、户口性质、登记日期、婚姻登记机关、离、子女安排、财产处理、联系方式、入仓时间、更新时间</w:t>
            </w:r>
          </w:p>
        </w:tc>
        <w:tc>
          <w:tcPr>
            <w:tcW w:w="781" w:type="pct"/>
          </w:tcPr>
          <w:p w14:paraId="3E5C5B5A">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户籍地址、居住地址、身份证号码、婚姻证书编号、身份证号码、婚姻证书编号、婚证编号、离婚协议书</w:t>
            </w:r>
          </w:p>
        </w:tc>
        <w:tc>
          <w:tcPr>
            <w:tcW w:w="785" w:type="pct"/>
          </w:tcPr>
          <w:p w14:paraId="5A20485D">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5" w:type="pct"/>
          </w:tcPr>
          <w:p w14:paraId="32DACFED">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r>
      <w:tr w14:paraId="5B32B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280FA46C">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53D82C4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火化信息逝者信息</w:t>
            </w:r>
          </w:p>
        </w:tc>
        <w:tc>
          <w:tcPr>
            <w:tcW w:w="1496" w:type="pct"/>
            <w:vAlign w:val="center"/>
          </w:tcPr>
          <w:p w14:paraId="581A1F7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火化编号、死亡日期、条码值、殡字号、逝者类型、证件类型、死亡原因、死亡原因子类、详细地址、性别、行政区划、序号、DML_TYPE、更新时间、推送时间、入仓时间</w:t>
            </w:r>
          </w:p>
        </w:tc>
        <w:tc>
          <w:tcPr>
            <w:tcW w:w="781" w:type="pct"/>
          </w:tcPr>
          <w:p w14:paraId="61A063EE">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逝者姓名、经办家属、经办家属证件号码、出生日期、证件号码、国籍、民族、户籍所在地、所属单位、火化日期</w:t>
            </w:r>
          </w:p>
        </w:tc>
        <w:tc>
          <w:tcPr>
            <w:tcW w:w="785" w:type="pct"/>
          </w:tcPr>
          <w:p w14:paraId="583CCF1E">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5" w:type="pct"/>
          </w:tcPr>
          <w:p w14:paraId="454A0D41">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r>
      <w:tr w14:paraId="6C0B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636" w:type="pct"/>
            <w:vMerge w:val="continue"/>
            <w:tcBorders>
              <w:left w:val="single" w:color="auto" w:sz="4" w:space="0"/>
            </w:tcBorders>
          </w:tcPr>
          <w:p w14:paraId="1DADBB04">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lang w:val="en-US" w:eastAsia="zh-CN"/>
              </w:rPr>
            </w:pPr>
          </w:p>
        </w:tc>
        <w:tc>
          <w:tcPr>
            <w:tcW w:w="664" w:type="pct"/>
            <w:vAlign w:val="center"/>
          </w:tcPr>
          <w:p w14:paraId="34340A9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06年以后的水库移民村信息</w:t>
            </w:r>
          </w:p>
        </w:tc>
        <w:tc>
          <w:tcPr>
            <w:tcW w:w="1496" w:type="pct"/>
            <w:vAlign w:val="center"/>
          </w:tcPr>
          <w:p w14:paraId="5282C17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主键、移民村村名、移民人数、贫困人数、描述、序号、DML_TYPE、推送时间、更新时间、入仓时间、区域代码、区域名称、维度、经度、移民村类型、所属水库名称、坝址</w:t>
            </w:r>
          </w:p>
        </w:tc>
        <w:tc>
          <w:tcPr>
            <w:tcW w:w="781" w:type="pct"/>
          </w:tcPr>
          <w:p w14:paraId="6D0105E7">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785" w:type="pct"/>
          </w:tcPr>
          <w:p w14:paraId="5F6BF828">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5" w:type="pct"/>
          </w:tcPr>
          <w:p w14:paraId="03579973">
            <w:pPr>
              <w:keepNext w:val="0"/>
              <w:keepLines w:val="0"/>
              <w:pageBreakBefore w:val="0"/>
              <w:widowControl w:val="0"/>
              <w:suppressLineNumbers w:val="0"/>
              <w:tabs>
                <w:tab w:val="left" w:pos="980"/>
              </w:tabs>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r>
    </w:tbl>
    <w:p w14:paraId="12D06192">
      <w:pPr>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E9DDCA5">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数据分级保护</w:t>
      </w:r>
    </w:p>
    <w:p w14:paraId="0498435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本项目涉及L1、L2级别数据。具体数据分级保护措施如下：</w:t>
      </w:r>
    </w:p>
    <w:p w14:paraId="5232CD6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项目分级保护措施表</w:t>
      </w:r>
    </w:p>
    <w:tbl>
      <w:tblPr>
        <w:tblStyle w:val="61"/>
        <w:tblW w:w="8505" w:type="dxa"/>
        <w:jc w:val="center"/>
        <w:tblLayout w:type="autofit"/>
        <w:tblCellMar>
          <w:top w:w="0" w:type="dxa"/>
          <w:left w:w="108" w:type="dxa"/>
          <w:bottom w:w="0" w:type="dxa"/>
          <w:right w:w="108" w:type="dxa"/>
        </w:tblCellMar>
      </w:tblPr>
      <w:tblGrid>
        <w:gridCol w:w="1266"/>
        <w:gridCol w:w="7239"/>
      </w:tblGrid>
      <w:tr w14:paraId="37C21165">
        <w:tblPrEx>
          <w:tblCellMar>
            <w:top w:w="0" w:type="dxa"/>
            <w:left w:w="108" w:type="dxa"/>
            <w:bottom w:w="0" w:type="dxa"/>
            <w:right w:w="108" w:type="dxa"/>
          </w:tblCellMar>
        </w:tblPrEx>
        <w:trPr>
          <w:trHeight w:val="340" w:hRule="atLeast"/>
          <w:tblHeader/>
          <w:jc w:val="center"/>
        </w:trPr>
        <w:tc>
          <w:tcPr>
            <w:tcW w:w="1266" w:type="dxa"/>
            <w:vMerge w:val="restart"/>
            <w:tcBorders>
              <w:top w:val="single" w:color="000000" w:sz="4" w:space="0"/>
              <w:left w:val="single" w:color="000000" w:sz="4" w:space="0"/>
              <w:right w:val="single" w:color="000000" w:sz="4" w:space="0"/>
            </w:tcBorders>
            <w:shd w:val="clear" w:color="auto" w:fill="F1F1F1"/>
            <w:vAlign w:val="center"/>
          </w:tcPr>
          <w:p w14:paraId="4519375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类型</w:t>
            </w:r>
          </w:p>
        </w:tc>
        <w:tc>
          <w:tcPr>
            <w:tcW w:w="7239" w:type="dxa"/>
            <w:tcBorders>
              <w:top w:val="single" w:color="000000" w:sz="4" w:space="0"/>
              <w:left w:val="nil"/>
              <w:bottom w:val="single" w:color="000000" w:sz="4" w:space="0"/>
              <w:right w:val="single" w:color="000000" w:sz="4" w:space="0"/>
            </w:tcBorders>
            <w:shd w:val="clear" w:color="auto" w:fill="F1F1F1"/>
            <w:vAlign w:val="center"/>
          </w:tcPr>
          <w:p w14:paraId="6DABB2B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szCs w:val="24"/>
                <w:highlight w:val="none"/>
              </w:rPr>
              <w:t>数据级别</w:t>
            </w:r>
          </w:p>
        </w:tc>
      </w:tr>
      <w:tr w14:paraId="06DFA086">
        <w:tblPrEx>
          <w:tblCellMar>
            <w:top w:w="0" w:type="dxa"/>
            <w:left w:w="108" w:type="dxa"/>
            <w:bottom w:w="0" w:type="dxa"/>
            <w:right w:w="108" w:type="dxa"/>
          </w:tblCellMar>
        </w:tblPrEx>
        <w:trPr>
          <w:trHeight w:val="340" w:hRule="atLeast"/>
          <w:tblHeader/>
          <w:jc w:val="center"/>
        </w:trPr>
        <w:tc>
          <w:tcPr>
            <w:tcW w:w="1266" w:type="dxa"/>
            <w:vMerge w:val="continue"/>
            <w:tcBorders>
              <w:left w:val="single" w:color="000000" w:sz="4" w:space="0"/>
              <w:bottom w:val="single" w:color="000000" w:sz="4" w:space="0"/>
              <w:right w:val="single" w:color="000000" w:sz="4" w:space="0"/>
            </w:tcBorders>
            <w:shd w:val="clear" w:color="auto" w:fill="F1F1F1"/>
            <w:vAlign w:val="center"/>
          </w:tcPr>
          <w:p w14:paraId="54E6659A">
            <w:pPr>
              <w:keepNext w:val="0"/>
              <w:keepLines w:val="0"/>
              <w:pageBreakBefore w:val="0"/>
              <w:widowControl w:val="0"/>
              <w:suppressLineNumbers w:val="0"/>
              <w:tabs>
                <w:tab w:val="left" w:pos="980"/>
              </w:tabs>
              <w:kinsoku/>
              <w:wordWrap/>
              <w:overflowPunct/>
              <w:topLinePunct w:val="0"/>
              <w:autoSpaceDE/>
              <w:autoSpaceDN/>
              <w:bidi w:val="0"/>
              <w:adjustRightInd/>
              <w:snapToGrid w:val="0"/>
              <w:spacing w:beforeAutospacing="0" w:afterAutospacing="0" w:line="320" w:lineRule="exact"/>
              <w:ind w:left="0" w:right="0" w:firstLine="0" w:firstLineChars="0"/>
              <w:jc w:val="center"/>
              <w:textAlignment w:val="auto"/>
              <w:rPr>
                <w:rFonts w:hint="eastAsia" w:ascii="宋体" w:hAnsi="宋体" w:eastAsia="宋体" w:cs="宋体"/>
                <w:b/>
                <w:bCs/>
                <w:sz w:val="24"/>
                <w:szCs w:val="24"/>
                <w:highlight w:val="none"/>
              </w:rPr>
            </w:pPr>
          </w:p>
        </w:tc>
        <w:tc>
          <w:tcPr>
            <w:tcW w:w="7239" w:type="dxa"/>
            <w:tcBorders>
              <w:top w:val="single" w:color="000000" w:sz="4" w:space="0"/>
              <w:left w:val="nil"/>
              <w:bottom w:val="single" w:color="000000" w:sz="4" w:space="0"/>
              <w:right w:val="single" w:color="000000" w:sz="4" w:space="0"/>
            </w:tcBorders>
            <w:shd w:val="clear" w:color="auto" w:fill="F1F1F1"/>
            <w:vAlign w:val="center"/>
          </w:tcPr>
          <w:p w14:paraId="45A5334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L</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、L</w:t>
            </w:r>
            <w:r>
              <w:rPr>
                <w:rFonts w:hint="eastAsia" w:ascii="宋体" w:hAnsi="宋体" w:eastAsia="宋体" w:cs="宋体"/>
                <w:sz w:val="24"/>
                <w:szCs w:val="24"/>
                <w:highlight w:val="none"/>
                <w:lang w:val="en-US" w:eastAsia="zh-CN"/>
              </w:rPr>
              <w:t>2</w:t>
            </w:r>
          </w:p>
        </w:tc>
      </w:tr>
      <w:tr w14:paraId="707E327C">
        <w:tblPrEx>
          <w:tblCellMar>
            <w:top w:w="0" w:type="dxa"/>
            <w:left w:w="108" w:type="dxa"/>
            <w:bottom w:w="0" w:type="dxa"/>
            <w:right w:w="108" w:type="dxa"/>
          </w:tblCellMar>
        </w:tblPrEx>
        <w:trPr>
          <w:trHeight w:val="340" w:hRule="atLeast"/>
          <w:jc w:val="center"/>
        </w:trPr>
        <w:tc>
          <w:tcPr>
            <w:tcW w:w="1266" w:type="dxa"/>
            <w:tcBorders>
              <w:top w:val="nil"/>
              <w:left w:val="single" w:color="000000" w:sz="4" w:space="0"/>
              <w:bottom w:val="single" w:color="000000" w:sz="4" w:space="0"/>
              <w:right w:val="single" w:color="000000" w:sz="4" w:space="0"/>
            </w:tcBorders>
            <w:shd w:val="clear" w:color="auto" w:fill="auto"/>
            <w:vAlign w:val="center"/>
          </w:tcPr>
          <w:p w14:paraId="5F0FC0D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数据采集</w:t>
            </w:r>
          </w:p>
        </w:tc>
        <w:tc>
          <w:tcPr>
            <w:tcW w:w="7239" w:type="dxa"/>
            <w:tcBorders>
              <w:top w:val="nil"/>
              <w:left w:val="nil"/>
              <w:bottom w:val="single" w:color="000000" w:sz="4" w:space="0"/>
              <w:right w:val="single" w:color="000000" w:sz="4" w:space="0"/>
            </w:tcBorders>
            <w:shd w:val="clear" w:color="auto" w:fill="auto"/>
            <w:vAlign w:val="center"/>
          </w:tcPr>
          <w:p w14:paraId="481D7DF0">
            <w:pPr>
              <w:keepNext w:val="0"/>
              <w:keepLines w:val="0"/>
              <w:pageBreakBefore w:val="0"/>
              <w:widowControl w:val="0"/>
              <w:numPr>
                <w:ilvl w:val="0"/>
                <w:numId w:val="10"/>
              </w:numPr>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数据采集应遵循合理、正当、必要原则。</w:t>
            </w:r>
          </w:p>
          <w:p w14:paraId="6ECC7AE4">
            <w:pPr>
              <w:keepNext w:val="0"/>
              <w:keepLines w:val="0"/>
              <w:pageBreakBefore w:val="0"/>
              <w:widowControl w:val="0"/>
              <w:numPr>
                <w:ilvl w:val="0"/>
                <w:numId w:val="10"/>
              </w:numPr>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数据采集设备应符合安全认证，采集流程和方式符合相应要求，并对数据进行真实性、完整性、可用性、安全性四性检测。</w:t>
            </w:r>
          </w:p>
        </w:tc>
      </w:tr>
      <w:tr w14:paraId="21D2D4EE">
        <w:tblPrEx>
          <w:tblCellMar>
            <w:top w:w="0" w:type="dxa"/>
            <w:left w:w="108" w:type="dxa"/>
            <w:bottom w:w="0" w:type="dxa"/>
            <w:right w:w="108" w:type="dxa"/>
          </w:tblCellMar>
        </w:tblPrEx>
        <w:trPr>
          <w:trHeight w:val="340" w:hRule="atLeast"/>
          <w:jc w:val="center"/>
        </w:trPr>
        <w:tc>
          <w:tcPr>
            <w:tcW w:w="1266" w:type="dxa"/>
            <w:tcBorders>
              <w:top w:val="nil"/>
              <w:left w:val="single" w:color="000000" w:sz="4" w:space="0"/>
              <w:bottom w:val="single" w:color="000000" w:sz="4" w:space="0"/>
              <w:right w:val="single" w:color="000000" w:sz="4" w:space="0"/>
            </w:tcBorders>
            <w:shd w:val="clear" w:color="auto" w:fill="auto"/>
            <w:vAlign w:val="center"/>
          </w:tcPr>
          <w:p w14:paraId="68798FB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数据传输</w:t>
            </w:r>
          </w:p>
        </w:tc>
        <w:tc>
          <w:tcPr>
            <w:tcW w:w="7239" w:type="dxa"/>
            <w:tcBorders>
              <w:top w:val="nil"/>
              <w:left w:val="nil"/>
              <w:bottom w:val="single" w:color="000000" w:sz="4" w:space="0"/>
              <w:right w:val="single" w:color="000000" w:sz="4" w:space="0"/>
            </w:tcBorders>
            <w:shd w:val="clear" w:color="auto" w:fill="auto"/>
            <w:vAlign w:val="center"/>
          </w:tcPr>
          <w:p w14:paraId="09FF6308">
            <w:pPr>
              <w:keepNext w:val="0"/>
              <w:keepLines w:val="0"/>
              <w:pageBreakBefore w:val="0"/>
              <w:widowControl w:val="0"/>
              <w:numPr>
                <w:ilvl w:val="0"/>
                <w:numId w:val="11"/>
              </w:numPr>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涉及</w:t>
            </w:r>
            <w:r>
              <w:rPr>
                <w:rFonts w:hint="eastAsia" w:ascii="宋体" w:hAnsi="宋体" w:eastAsia="宋体" w:cs="宋体"/>
                <w:sz w:val="24"/>
                <w:szCs w:val="24"/>
                <w:highlight w:val="none"/>
              </w:rPr>
              <w:t>B/S架构系统均通过HTTP</w:t>
            </w:r>
            <w:r>
              <w:rPr>
                <w:rFonts w:hint="eastAsia" w:ascii="宋体" w:hAnsi="宋体" w:eastAsia="宋体" w:cs="宋体"/>
                <w:sz w:val="24"/>
                <w:szCs w:val="24"/>
                <w:highlight w:val="none"/>
                <w:lang w:val="en-US" w:eastAsia="zh-CN"/>
              </w:rPr>
              <w:t>S</w:t>
            </w:r>
            <w:r>
              <w:rPr>
                <w:rFonts w:hint="eastAsia" w:ascii="宋体" w:hAnsi="宋体" w:eastAsia="宋体" w:cs="宋体"/>
                <w:sz w:val="24"/>
                <w:szCs w:val="24"/>
                <w:highlight w:val="none"/>
              </w:rPr>
              <w:t>方式实现安全传输。</w:t>
            </w:r>
          </w:p>
          <w:p w14:paraId="08694E46">
            <w:pPr>
              <w:keepNext w:val="0"/>
              <w:keepLines w:val="0"/>
              <w:pageBreakBefore w:val="0"/>
              <w:widowControl w:val="0"/>
              <w:numPr>
                <w:ilvl w:val="0"/>
                <w:numId w:val="11"/>
              </w:numPr>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应对敏感数据进行检测。</w:t>
            </w:r>
          </w:p>
        </w:tc>
      </w:tr>
      <w:tr w14:paraId="68B02A61">
        <w:tblPrEx>
          <w:tblCellMar>
            <w:top w:w="0" w:type="dxa"/>
            <w:left w:w="108" w:type="dxa"/>
            <w:bottom w:w="0" w:type="dxa"/>
            <w:right w:w="108" w:type="dxa"/>
          </w:tblCellMar>
        </w:tblPrEx>
        <w:trPr>
          <w:trHeight w:val="340" w:hRule="atLeast"/>
          <w:jc w:val="center"/>
        </w:trPr>
        <w:tc>
          <w:tcPr>
            <w:tcW w:w="1266" w:type="dxa"/>
            <w:tcBorders>
              <w:top w:val="nil"/>
              <w:left w:val="single" w:color="000000" w:sz="4" w:space="0"/>
              <w:bottom w:val="single" w:color="000000" w:sz="4" w:space="0"/>
              <w:right w:val="single" w:color="000000" w:sz="4" w:space="0"/>
            </w:tcBorders>
            <w:shd w:val="clear" w:color="auto" w:fill="auto"/>
            <w:vAlign w:val="center"/>
          </w:tcPr>
          <w:p w14:paraId="08B7643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数据存储</w:t>
            </w:r>
          </w:p>
        </w:tc>
        <w:tc>
          <w:tcPr>
            <w:tcW w:w="7239" w:type="dxa"/>
            <w:tcBorders>
              <w:top w:val="nil"/>
              <w:left w:val="nil"/>
              <w:bottom w:val="single" w:color="000000" w:sz="4" w:space="0"/>
              <w:right w:val="single" w:color="000000" w:sz="4" w:space="0"/>
            </w:tcBorders>
            <w:shd w:val="clear" w:color="auto" w:fill="auto"/>
            <w:vAlign w:val="center"/>
          </w:tcPr>
          <w:p w14:paraId="00D03154">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1、数据应保存在可信或可控的信息系统或物理环境中。</w:t>
            </w:r>
          </w:p>
          <w:p w14:paraId="5C14D2A4">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2、建立数据备份机制，定期进行数据在线备份和离线磁带备份。</w:t>
            </w:r>
          </w:p>
          <w:p w14:paraId="74D99181">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3、对存储数据的访问进行日志审计。</w:t>
            </w:r>
          </w:p>
        </w:tc>
      </w:tr>
      <w:tr w14:paraId="60DB57D6">
        <w:tblPrEx>
          <w:tblCellMar>
            <w:top w:w="0" w:type="dxa"/>
            <w:left w:w="108" w:type="dxa"/>
            <w:bottom w:w="0" w:type="dxa"/>
            <w:right w:w="108" w:type="dxa"/>
          </w:tblCellMar>
        </w:tblPrEx>
        <w:trPr>
          <w:trHeight w:val="340" w:hRule="atLeast"/>
          <w:jc w:val="center"/>
        </w:trPr>
        <w:tc>
          <w:tcPr>
            <w:tcW w:w="1266" w:type="dxa"/>
            <w:tcBorders>
              <w:top w:val="nil"/>
              <w:left w:val="single" w:color="000000" w:sz="4" w:space="0"/>
              <w:bottom w:val="single" w:color="000000" w:sz="4" w:space="0"/>
              <w:right w:val="single" w:color="000000" w:sz="4" w:space="0"/>
            </w:tcBorders>
            <w:shd w:val="clear" w:color="auto" w:fill="auto"/>
            <w:vAlign w:val="center"/>
          </w:tcPr>
          <w:p w14:paraId="4F3B3B2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数据访问</w:t>
            </w:r>
          </w:p>
        </w:tc>
        <w:tc>
          <w:tcPr>
            <w:tcW w:w="7239" w:type="dxa"/>
            <w:tcBorders>
              <w:top w:val="nil"/>
              <w:left w:val="nil"/>
              <w:bottom w:val="single" w:color="000000" w:sz="4" w:space="0"/>
              <w:right w:val="single" w:color="000000" w:sz="4" w:space="0"/>
            </w:tcBorders>
            <w:shd w:val="clear" w:color="auto" w:fill="auto"/>
            <w:vAlign w:val="center"/>
          </w:tcPr>
          <w:p w14:paraId="64CBB36D">
            <w:pPr>
              <w:keepNext w:val="0"/>
              <w:keepLines w:val="0"/>
              <w:pageBreakBefore w:val="0"/>
              <w:widowControl w:val="0"/>
              <w:numPr>
                <w:ilvl w:val="0"/>
                <w:numId w:val="12"/>
              </w:numPr>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设置身份标识与鉴别机制，通过用户名和密码鉴别，系统将用户提供的密码与事先存储的密码进行比对实现。</w:t>
            </w:r>
          </w:p>
          <w:p w14:paraId="040CC5EB">
            <w:pPr>
              <w:keepNext w:val="0"/>
              <w:keepLines w:val="0"/>
              <w:pageBreakBefore w:val="0"/>
              <w:widowControl w:val="0"/>
              <w:numPr>
                <w:ilvl w:val="0"/>
                <w:numId w:val="12"/>
              </w:numPr>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对数据访问行为进行审计与分析。</w:t>
            </w:r>
          </w:p>
          <w:p w14:paraId="25BB471C">
            <w:pPr>
              <w:keepNext w:val="0"/>
              <w:keepLines w:val="0"/>
              <w:pageBreakBefore w:val="0"/>
              <w:widowControl w:val="0"/>
              <w:numPr>
                <w:ilvl w:val="0"/>
                <w:numId w:val="12"/>
              </w:numPr>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采用口令、密码等鉴别技术对用户进行身份鉴别。</w:t>
            </w:r>
          </w:p>
        </w:tc>
      </w:tr>
      <w:tr w14:paraId="1F5D63A3">
        <w:tblPrEx>
          <w:tblCellMar>
            <w:top w:w="0" w:type="dxa"/>
            <w:left w:w="108" w:type="dxa"/>
            <w:bottom w:w="0" w:type="dxa"/>
            <w:right w:w="108" w:type="dxa"/>
          </w:tblCellMar>
        </w:tblPrEx>
        <w:trPr>
          <w:trHeight w:val="340" w:hRule="atLeast"/>
          <w:jc w:val="center"/>
        </w:trPr>
        <w:tc>
          <w:tcPr>
            <w:tcW w:w="1266" w:type="dxa"/>
            <w:tcBorders>
              <w:top w:val="nil"/>
              <w:left w:val="single" w:color="000000" w:sz="4" w:space="0"/>
              <w:bottom w:val="single" w:color="000000" w:sz="4" w:space="0"/>
              <w:right w:val="single" w:color="000000" w:sz="4" w:space="0"/>
            </w:tcBorders>
            <w:shd w:val="clear" w:color="auto" w:fill="auto"/>
            <w:vAlign w:val="center"/>
          </w:tcPr>
          <w:p w14:paraId="6124C99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数据共享</w:t>
            </w:r>
          </w:p>
        </w:tc>
        <w:tc>
          <w:tcPr>
            <w:tcW w:w="7239" w:type="dxa"/>
            <w:tcBorders>
              <w:top w:val="nil"/>
              <w:left w:val="nil"/>
              <w:bottom w:val="single" w:color="000000" w:sz="4" w:space="0"/>
              <w:right w:val="single" w:color="000000" w:sz="4" w:space="0"/>
            </w:tcBorders>
            <w:shd w:val="clear" w:color="auto" w:fill="auto"/>
            <w:vAlign w:val="center"/>
          </w:tcPr>
          <w:p w14:paraId="25148E2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审批要求：数据主管部门审批后无条件共享。</w:t>
            </w:r>
          </w:p>
        </w:tc>
      </w:tr>
      <w:tr w14:paraId="4B5C927E">
        <w:tblPrEx>
          <w:tblCellMar>
            <w:top w:w="0" w:type="dxa"/>
            <w:left w:w="108" w:type="dxa"/>
            <w:bottom w:w="0" w:type="dxa"/>
            <w:right w:w="108" w:type="dxa"/>
          </w:tblCellMar>
        </w:tblPrEx>
        <w:trPr>
          <w:trHeight w:val="340" w:hRule="atLeast"/>
          <w:jc w:val="center"/>
        </w:trPr>
        <w:tc>
          <w:tcPr>
            <w:tcW w:w="1266" w:type="dxa"/>
            <w:tcBorders>
              <w:top w:val="nil"/>
              <w:left w:val="single" w:color="000000" w:sz="4" w:space="0"/>
              <w:bottom w:val="single" w:color="000000" w:sz="4" w:space="0"/>
              <w:right w:val="single" w:color="000000" w:sz="4" w:space="0"/>
            </w:tcBorders>
            <w:shd w:val="clear" w:color="auto" w:fill="auto"/>
            <w:vAlign w:val="center"/>
          </w:tcPr>
          <w:p w14:paraId="13B5D35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数据开放</w:t>
            </w:r>
          </w:p>
        </w:tc>
        <w:tc>
          <w:tcPr>
            <w:tcW w:w="7239" w:type="dxa"/>
            <w:tcBorders>
              <w:top w:val="nil"/>
              <w:left w:val="nil"/>
              <w:bottom w:val="single" w:color="000000" w:sz="4" w:space="0"/>
              <w:right w:val="single" w:color="000000" w:sz="4" w:space="0"/>
            </w:tcBorders>
            <w:shd w:val="clear" w:color="auto" w:fill="auto"/>
            <w:vAlign w:val="center"/>
          </w:tcPr>
          <w:p w14:paraId="6C1D74C9">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20" w:lineRule="exact"/>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审批要求：数据主管部门审批后受限开放或无条件开放。技术要求：对个人信息进行脱敏。</w:t>
            </w:r>
          </w:p>
        </w:tc>
      </w:tr>
    </w:tbl>
    <w:p w14:paraId="00A64F31">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数据脱敏</w:t>
      </w:r>
    </w:p>
    <w:p w14:paraId="1C5D936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建设严格执行浙江省数据管理中心《浙江政务服务网用户敏感信息脱敏处理规范》对数据脱敏的要求，针对涉及国家安全、个人隐私等敏感数据，进行数据脱敏脱密处理，同时保证在不违反系统规则下保持改造的脱敏数据信息格式正确有效。数据脱敏脱密依据敏感数据等级划分，制订相应的脱敏规则，选取适当的脱敏算法，开展敏感数据脱敏。数据脱敏过程执行完成后，应对脱敏数据有效性进行验证，保证脱敏后的数据可用性和安全性达到相应的要求。</w:t>
      </w:r>
    </w:p>
    <w:p w14:paraId="023247D3">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数据访问及备份安全</w:t>
      </w:r>
    </w:p>
    <w:p w14:paraId="4861A2D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本项目对数据存储、数据备份、数据恢复、数据读取等操作进行全面监控管理。</w:t>
      </w:r>
    </w:p>
    <w:p w14:paraId="752B9EA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数据存储：首先对数据信息来源和访问存储用户进行校验，检验通过后进行数据加密，然后进行存储归档操作。</w:t>
      </w:r>
    </w:p>
    <w:p w14:paraId="62D0D76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数据备份：提供定时、手动，增量、全量备份方式，并记录备份日志。</w:t>
      </w:r>
    </w:p>
    <w:p w14:paraId="7D5BBF9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数据恢复：提供手动、自动方式，并记录回复日志。</w:t>
      </w:r>
    </w:p>
    <w:p w14:paraId="3F08F08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数据读取：首先对访问信息源和用户权限进行验证，通过后进行加密数据读取，再创建外发数据。</w:t>
      </w:r>
    </w:p>
    <w:p w14:paraId="18F2010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系统在进行数据拷贝数据传输等操作时，均应通过算法确认传输、拷贝数据的完整性，并达到断点续传、续拷贝等效果，避免在停电、网络不通等情况时出现数据完整性错误。</w:t>
      </w:r>
    </w:p>
    <w:p w14:paraId="01658119">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bookmarkStart w:id="112" w:name="_Toc271786324"/>
      <w:bookmarkStart w:id="113" w:name="_Toc160109676"/>
      <w:r>
        <w:rPr>
          <w:rFonts w:hint="eastAsia" w:ascii="宋体" w:hAnsi="宋体" w:eastAsia="宋体" w:cs="宋体"/>
          <w:b/>
          <w:kern w:val="2"/>
          <w:sz w:val="24"/>
          <w:szCs w:val="24"/>
          <w:highlight w:val="none"/>
          <w:lang w:val="en-US" w:eastAsia="zh-CN" w:bidi="ar-SA"/>
        </w:rPr>
        <w:t>数据加密</w:t>
      </w:r>
      <w:bookmarkEnd w:id="112"/>
      <w:r>
        <w:rPr>
          <w:rFonts w:hint="eastAsia" w:ascii="宋体" w:hAnsi="宋体" w:eastAsia="宋体" w:cs="宋体"/>
          <w:b/>
          <w:kern w:val="2"/>
          <w:sz w:val="24"/>
          <w:szCs w:val="24"/>
          <w:highlight w:val="none"/>
          <w:lang w:val="en-US" w:eastAsia="zh-CN" w:bidi="ar-SA"/>
        </w:rPr>
        <w:t>保护</w:t>
      </w:r>
    </w:p>
    <w:p w14:paraId="2555CCE8">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加密存储方案</w:t>
      </w:r>
    </w:p>
    <w:p w14:paraId="6C65B457">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系统采用加密存储技术，确保数据的安全性和完整性。所有存储在库的数据均经过加密处理，并通过安全的传输通道进行上传。这种加密存储方案有效防止了数据泄露和非法访问的风险。</w:t>
      </w:r>
    </w:p>
    <w:p w14:paraId="0A3998E8">
      <w:pPr>
        <w:keepNext/>
        <w:keepLines/>
        <w:pageBreakBefore w:val="0"/>
        <w:widowControl w:val="0"/>
        <w:numPr>
          <w:ilvl w:val="5"/>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151" w:hanging="1151" w:firstLineChars="0"/>
        <w:jc w:val="both"/>
        <w:textAlignment w:val="auto"/>
        <w:outlineLvl w:val="5"/>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传输安全保障</w:t>
      </w:r>
    </w:p>
    <w:p w14:paraId="35C76A46">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在数据传输环节，系统采用HTTPS等安全通信协议，通过SSL/TLS对传输的数据进行加密和验证。这种加密传输方式能够确保数据在传输过程中不被恶意截获或篡改，有效保障了数据的机密性和完整性。</w:t>
      </w:r>
    </w:p>
    <w:bookmarkEnd w:id="113"/>
    <w:p w14:paraId="6B12A4A2">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网络安全监控与维护</w:t>
      </w:r>
    </w:p>
    <w:p w14:paraId="4E080637">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firstLine="482" w:firstLineChars="20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网络安全监控</w:t>
      </w:r>
    </w:p>
    <w:p w14:paraId="2FA3015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网络安全监控机制利用专用软件和设备，采用多种方式，</w:t>
      </w:r>
      <w:r>
        <w:rPr>
          <w:rFonts w:hint="eastAsia" w:ascii="宋体" w:hAnsi="宋体" w:eastAsia="宋体" w:cs="宋体"/>
          <w:sz w:val="24"/>
          <w:szCs w:val="24"/>
          <w:highlight w:val="none"/>
          <w:lang w:val="en-US" w:eastAsia="zh-CN"/>
        </w:rPr>
        <w:t>例</w:t>
      </w:r>
      <w:r>
        <w:rPr>
          <w:rFonts w:hint="eastAsia" w:ascii="宋体" w:hAnsi="宋体" w:eastAsia="宋体" w:cs="宋体"/>
          <w:sz w:val="24"/>
          <w:szCs w:val="24"/>
          <w:highlight w:val="none"/>
        </w:rPr>
        <w:t>如：网络安全过滤、流量监测、入侵检测、网络行为分析等；通过在网络环境的各个关键部位设置分布式探测器收集与安全相关的信息，并由网络安全监控中心汇集和分析，筛选过滤告警日志，记录并统计告警信息，协助告警信息的通告下发，定期跟踪事件处置情况，高危安全事件的通告工作等，及时发现各种违规行为；建立监控规则和流程，对异常事件进行特定的处理方式和响应机制，确保网络安全的可控性和稳定性；网络安全监控的设备和软件需要定期更新，以避免新型威胁的出现。同时建立反应机制，包括网络安全事件的级别划分，指定相关负责人和处理人员，制定应急响应方案，保证网络安全事件及时处理，降低网络安全事件对用户造成的影响。</w:t>
      </w:r>
    </w:p>
    <w:p w14:paraId="72C6AF1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动态监控</w:t>
      </w:r>
    </w:p>
    <w:p w14:paraId="3355BB6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通过对网络安全状态、主机利用率、数据库运行状态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存储容量进行动态监控，加强网络安全监测预警能力。</w:t>
      </w:r>
    </w:p>
    <w:p w14:paraId="6F24AC2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分级预警</w:t>
      </w:r>
    </w:p>
    <w:p w14:paraId="7C623A0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将网络安全事件预警等级分为四级，由高到低分别为：红色预警、橙色预警、黄色预警和蓝色预警，分别对应发生或可能发生的特别重大、重大、较大和一般网络安全事件。系统提供预警提醒功能，提高问题发现时效性。</w:t>
      </w:r>
    </w:p>
    <w:p w14:paraId="63FBE03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信息发布</w:t>
      </w:r>
    </w:p>
    <w:p w14:paraId="7C21627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提供预警信息发布功能，预警发布内容包含事件的类别、预警级别、起始时间、可能影响范围、警示事项、应采取的措施和时限要求、发布机构等。当发布预警信息后，相关部门做好防范措施和应急工作方案，相关人员保持通信联络畅通。</w:t>
      </w:r>
    </w:p>
    <w:p w14:paraId="22AD4AD9">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网络安全维护</w:t>
      </w:r>
    </w:p>
    <w:p w14:paraId="40A8906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信息安全管理制度体系框架中有关信息系统安全运维的有关制度规定，利用物理环境、网络系统、信息安全防护等运行维护管理和监测审计的系统和功能，建立统一安全监控管理中心等，不断完善系统运维安全管理的措施和手段，强化运维安全管理的科学规范，对网络安全运维进行统一管控。</w:t>
      </w:r>
    </w:p>
    <w:p w14:paraId="456D196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通过运维审计系统双因子认证引擎来弥补各系统的单一</w:t>
      </w:r>
      <w:r>
        <w:rPr>
          <w:rFonts w:hint="eastAsia" w:ascii="宋体" w:hAnsi="宋体" w:eastAsia="宋体" w:cs="宋体"/>
          <w:sz w:val="24"/>
          <w:szCs w:val="24"/>
          <w:highlight w:val="none"/>
          <w:lang w:eastAsia="zh-CN"/>
        </w:rPr>
        <w:t>登录</w:t>
      </w:r>
      <w:r>
        <w:rPr>
          <w:rFonts w:hint="eastAsia" w:ascii="宋体" w:hAnsi="宋体" w:eastAsia="宋体" w:cs="宋体"/>
          <w:sz w:val="24"/>
          <w:szCs w:val="24"/>
          <w:highlight w:val="none"/>
        </w:rPr>
        <w:t>方式，并在</w:t>
      </w:r>
      <w:r>
        <w:rPr>
          <w:rFonts w:hint="eastAsia" w:ascii="宋体" w:hAnsi="宋体" w:eastAsia="宋体" w:cs="宋体"/>
          <w:sz w:val="24"/>
          <w:szCs w:val="24"/>
          <w:highlight w:val="none"/>
          <w:lang w:val="en-US" w:eastAsia="zh-CN"/>
        </w:rPr>
        <w:t>交换机及防火墙</w:t>
      </w:r>
      <w:r>
        <w:rPr>
          <w:rFonts w:hint="eastAsia" w:ascii="宋体" w:hAnsi="宋体" w:eastAsia="宋体" w:cs="宋体"/>
          <w:sz w:val="24"/>
          <w:szCs w:val="24"/>
          <w:highlight w:val="none"/>
        </w:rPr>
        <w:t>上做访问控制，封杀其他一切运维管理通道，实现统一实名</w:t>
      </w:r>
      <w:r>
        <w:rPr>
          <w:rFonts w:hint="eastAsia" w:ascii="宋体" w:hAnsi="宋体" w:eastAsia="宋体" w:cs="宋体"/>
          <w:sz w:val="24"/>
          <w:szCs w:val="24"/>
          <w:highlight w:val="none"/>
          <w:lang w:eastAsia="zh-CN"/>
        </w:rPr>
        <w:t>账户管理</w:t>
      </w:r>
      <w:r>
        <w:rPr>
          <w:rFonts w:hint="eastAsia" w:ascii="宋体" w:hAnsi="宋体" w:eastAsia="宋体" w:cs="宋体"/>
          <w:sz w:val="24"/>
          <w:szCs w:val="24"/>
          <w:highlight w:val="none"/>
        </w:rPr>
        <w:t>与单点登录，对各种字符终端协议（SSH、TELNET等）、文件传输协议（FTP、SFTP等）、图形终端协议（RDP等）与web协议（http、https）等进行实时监控与历史查询溯源，满足网络安全运维的需要。</w:t>
      </w:r>
    </w:p>
    <w:p w14:paraId="6B56521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过对网络安全责任人、应急值班、应急响应发布等信息综合管理，同时，对网络安全事件处置流程进行全过程监管，实现网络安全应急处置流程化管理，实现网络安全事件的处置全程跟踪取证，为网络安全应急预案响应和执行提供便捷手段。</w:t>
      </w:r>
    </w:p>
    <w:p w14:paraId="6E0590A3">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bookmarkStart w:id="114" w:name="_Toc614348060"/>
      <w:bookmarkStart w:id="115" w:name="_Toc22566"/>
      <w:r>
        <w:rPr>
          <w:rFonts w:hint="eastAsia" w:ascii="宋体" w:hAnsi="宋体" w:eastAsia="宋体" w:cs="宋体"/>
          <w:b/>
          <w:kern w:val="2"/>
          <w:sz w:val="24"/>
          <w:szCs w:val="24"/>
          <w:highlight w:val="none"/>
          <w:lang w:val="en-US" w:eastAsia="zh-CN" w:bidi="ar-SA"/>
        </w:rPr>
        <w:t>信息系统安全管理方案</w:t>
      </w:r>
      <w:bookmarkEnd w:id="114"/>
      <w:bookmarkEnd w:id="115"/>
    </w:p>
    <w:p w14:paraId="4D3EFC5F">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安全管理机构</w:t>
      </w:r>
    </w:p>
    <w:p w14:paraId="13C5D734">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安全管理职能</w:t>
      </w:r>
    </w:p>
    <w:p w14:paraId="4EF5667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宁波市海曙区民政局</w:t>
      </w:r>
      <w:r>
        <w:rPr>
          <w:rFonts w:hint="eastAsia" w:ascii="宋体" w:hAnsi="宋体" w:eastAsia="宋体" w:cs="宋体"/>
          <w:sz w:val="24"/>
          <w:szCs w:val="24"/>
          <w:highlight w:val="none"/>
        </w:rPr>
        <w:t>将健全网络安全和信息化工作组织领导机构，明确</w:t>
      </w:r>
      <w:r>
        <w:rPr>
          <w:rFonts w:hint="eastAsia" w:ascii="宋体" w:hAnsi="宋体" w:eastAsia="宋体" w:cs="宋体"/>
          <w:sz w:val="24"/>
          <w:szCs w:val="24"/>
          <w:highlight w:val="none"/>
          <w:lang w:val="en-US" w:eastAsia="zh-CN"/>
        </w:rPr>
        <w:t>本项目涉及</w:t>
      </w:r>
      <w:r>
        <w:rPr>
          <w:rFonts w:hint="eastAsia" w:ascii="宋体" w:hAnsi="宋体" w:eastAsia="宋体" w:cs="宋体"/>
          <w:sz w:val="24"/>
          <w:szCs w:val="24"/>
          <w:highlight w:val="none"/>
        </w:rPr>
        <w:t>的网络安全与信息化承担单位及其责任。采用“各负其责、集成整合、共建共享”的原则，建立信息化事前有计划、事中抓落实、事后做检查的工作机制。统筹安排网络安全与信息化项目，加强项目立项的论证、审核，避免重复建设。健全宁波市</w:t>
      </w:r>
      <w:r>
        <w:rPr>
          <w:rFonts w:hint="eastAsia" w:ascii="宋体" w:hAnsi="宋体" w:eastAsia="宋体" w:cs="宋体"/>
          <w:sz w:val="24"/>
          <w:szCs w:val="24"/>
          <w:highlight w:val="none"/>
          <w:lang w:val="en-US" w:eastAsia="zh-CN"/>
        </w:rPr>
        <w:t>海曙区民政局</w:t>
      </w:r>
      <w:r>
        <w:rPr>
          <w:rFonts w:hint="eastAsia" w:ascii="宋体" w:hAnsi="宋体" w:eastAsia="宋体" w:cs="宋体"/>
          <w:sz w:val="24"/>
          <w:szCs w:val="24"/>
          <w:highlight w:val="none"/>
        </w:rPr>
        <w:t>网络安全管理工作机制，落实网络安全责任制。压实网络安全工作主体责任，将网络安全工作纳入考核评价和监督问责机制。研究制定行业网络安全等级保护定级指导意见，建立健全网络安全事件应急工作机制，提升应对网络安全事件能力。落实网络安全等级保护制度，开展网络定级备案、等级测评、安全建设整改和自查等工作。加强关键信息基础设施和重要数据的安全保护，落实保护责任和防护措施。加强网络安全监测预警，提高安全态势感知能力。开展网络安全应急演练和隐患整改，提升应对网络安全事件能力。推进国产软硬件产品的应用，推进软件正版化工作。</w:t>
      </w:r>
    </w:p>
    <w:p w14:paraId="701C679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宁波市</w:t>
      </w:r>
      <w:r>
        <w:rPr>
          <w:rFonts w:hint="eastAsia" w:ascii="宋体" w:hAnsi="宋体" w:eastAsia="宋体" w:cs="宋体"/>
          <w:sz w:val="24"/>
          <w:szCs w:val="24"/>
          <w:highlight w:val="none"/>
          <w:lang w:val="en-US" w:eastAsia="zh-CN"/>
        </w:rPr>
        <w:t>海曙区民政局</w:t>
      </w:r>
      <w:r>
        <w:rPr>
          <w:rFonts w:hint="eastAsia" w:ascii="宋体" w:hAnsi="宋体" w:eastAsia="宋体" w:cs="宋体"/>
          <w:sz w:val="24"/>
          <w:szCs w:val="24"/>
          <w:highlight w:val="none"/>
        </w:rPr>
        <w:t>将加强应用系统的安全管理，厘清具体工作分工和责任边界，进一步协商落实云上存储和存储介质数据擦除、介质损坏报废等操作步骤。切实负起责任，不断完善措施，确保</w:t>
      </w:r>
      <w:r>
        <w:rPr>
          <w:rFonts w:hint="eastAsia" w:ascii="宋体" w:hAnsi="宋体" w:eastAsia="宋体" w:cs="宋体"/>
          <w:sz w:val="24"/>
          <w:szCs w:val="24"/>
          <w:highlight w:val="none"/>
          <w:lang w:val="en-US" w:eastAsia="zh-CN"/>
        </w:rPr>
        <w:t>部署在宁波市</w:t>
      </w:r>
      <w:r>
        <w:rPr>
          <w:rFonts w:hint="eastAsia" w:ascii="宋体" w:hAnsi="宋体" w:eastAsia="宋体" w:cs="宋体"/>
          <w:sz w:val="24"/>
          <w:szCs w:val="24"/>
          <w:highlight w:val="none"/>
        </w:rPr>
        <w:t>信创云上</w:t>
      </w:r>
      <w:r>
        <w:rPr>
          <w:rFonts w:hint="eastAsia" w:ascii="宋体" w:hAnsi="宋体" w:eastAsia="宋体" w:cs="宋体"/>
          <w:sz w:val="24"/>
          <w:szCs w:val="24"/>
          <w:highlight w:val="none"/>
          <w:lang w:val="en-US" w:eastAsia="zh-CN"/>
        </w:rPr>
        <w:t>的海曙区智慧民政综合服务平台</w:t>
      </w:r>
      <w:r>
        <w:rPr>
          <w:rFonts w:hint="eastAsia" w:ascii="宋体" w:hAnsi="宋体" w:eastAsia="宋体" w:cs="宋体"/>
          <w:sz w:val="24"/>
          <w:szCs w:val="24"/>
          <w:highlight w:val="none"/>
        </w:rPr>
        <w:t>长久安全稳定运行。</w:t>
      </w:r>
    </w:p>
    <w:p w14:paraId="77889348">
      <w:pPr>
        <w:keepNext/>
        <w:keepLines/>
        <w:pageBreakBefore w:val="0"/>
        <w:widowControl w:val="0"/>
        <w:numPr>
          <w:ilvl w:val="4"/>
          <w:numId w:val="8"/>
        </w:numPr>
        <w:kinsoku/>
        <w:wordWrap/>
        <w:overflowPunct/>
        <w:topLinePunct w:val="0"/>
        <w:autoSpaceDE/>
        <w:autoSpaceDN/>
        <w:bidi w:val="0"/>
        <w:adjustRightInd w:val="0"/>
        <w:snapToGrid w:val="0"/>
        <w:spacing w:before="0" w:beforeLines="0" w:beforeAutospacing="0" w:after="0" w:afterLines="0" w:afterAutospacing="0" w:line="320" w:lineRule="exact"/>
        <w:ind w:left="0" w:leftChars="0" w:firstLine="0" w:firstLineChars="0"/>
        <w:jc w:val="both"/>
        <w:textAlignment w:val="auto"/>
        <w:outlineLvl w:val="4"/>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安全管理措施</w:t>
      </w:r>
    </w:p>
    <w:p w14:paraId="59EE66D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落实网络安全管理责任，从以下８个方面落实网络安全措施：</w:t>
      </w:r>
    </w:p>
    <w:p w14:paraId="5F5D306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等保测评</w:t>
      </w:r>
    </w:p>
    <w:p w14:paraId="74E32EF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开展</w:t>
      </w:r>
      <w:r>
        <w:rPr>
          <w:rFonts w:hint="eastAsia" w:ascii="宋体" w:hAnsi="宋体" w:eastAsia="宋体" w:cs="宋体"/>
          <w:sz w:val="24"/>
          <w:szCs w:val="24"/>
          <w:highlight w:val="none"/>
          <w:lang w:val="en-US" w:eastAsia="zh-CN"/>
        </w:rPr>
        <w:t>应用</w:t>
      </w:r>
      <w:r>
        <w:rPr>
          <w:rFonts w:hint="eastAsia" w:ascii="宋体" w:hAnsi="宋体" w:eastAsia="宋体" w:cs="宋体"/>
          <w:sz w:val="24"/>
          <w:szCs w:val="24"/>
          <w:highlight w:val="none"/>
        </w:rPr>
        <w:t>系统定级备案工作，</w:t>
      </w:r>
      <w:r>
        <w:rPr>
          <w:rFonts w:hint="eastAsia" w:ascii="宋体" w:hAnsi="宋体" w:eastAsia="宋体" w:cs="宋体"/>
          <w:sz w:val="24"/>
          <w:szCs w:val="24"/>
          <w:highlight w:val="none"/>
          <w:lang w:val="en-US" w:eastAsia="zh-CN"/>
        </w:rPr>
        <w:t>本平台</w:t>
      </w:r>
      <w:r>
        <w:rPr>
          <w:rFonts w:hint="eastAsia" w:ascii="宋体" w:hAnsi="宋体" w:eastAsia="宋体" w:cs="宋体"/>
          <w:sz w:val="24"/>
          <w:szCs w:val="24"/>
          <w:highlight w:val="none"/>
        </w:rPr>
        <w:t>按要求确定为二级等保，并每两年开展测评工作。</w:t>
      </w:r>
    </w:p>
    <w:p w14:paraId="2E9750A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安全防护</w:t>
      </w:r>
    </w:p>
    <w:p w14:paraId="0230286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在本</w:t>
      </w:r>
      <w:r>
        <w:rPr>
          <w:rFonts w:hint="eastAsia" w:ascii="宋体" w:hAnsi="宋体" w:eastAsia="宋体" w:cs="宋体"/>
          <w:sz w:val="24"/>
          <w:szCs w:val="24"/>
          <w:highlight w:val="none"/>
          <w:lang w:val="en-US" w:eastAsia="zh-CN"/>
        </w:rPr>
        <w:t>平台</w:t>
      </w:r>
      <w:r>
        <w:rPr>
          <w:rFonts w:hint="eastAsia" w:ascii="宋体" w:hAnsi="宋体" w:eastAsia="宋体" w:cs="宋体"/>
          <w:sz w:val="24"/>
          <w:szCs w:val="24"/>
          <w:highlight w:val="none"/>
        </w:rPr>
        <w:t>上安装开启防护监测安全产品（安骑士、态势感知、云盾等），发挥防病毒入侵、防DDOS、防非法外联、定时查杀病毒木马等作用，及时修复漏洞、处理安全事件，并通过堡垒机、云盾等技术保障服务器安全，关闭远程维护等不必要的端口，防范黑客通过互联网渗透。</w:t>
      </w:r>
    </w:p>
    <w:p w14:paraId="2D40143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安全巡检</w:t>
      </w:r>
    </w:p>
    <w:p w14:paraId="6355FBD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加强网络安全巡检，包括每日定时巡检和特殊情况巡检，对数据库、系统性能、系统运行情况、安全产品运行情况等进行安全巡检，确保系统和数据安全。</w:t>
      </w:r>
    </w:p>
    <w:p w14:paraId="46757E5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日志留存</w:t>
      </w:r>
    </w:p>
    <w:p w14:paraId="7B590A5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按照《浙江省公共数据安全审计规范（征求意见稿）》的要求，做好主机系统、数据库、网络设备、安全设备、应用系统的日志备份工作，关键业务</w:t>
      </w:r>
      <w:r>
        <w:rPr>
          <w:rFonts w:hint="eastAsia" w:ascii="宋体" w:hAnsi="宋体" w:eastAsia="宋体" w:cs="宋体"/>
          <w:sz w:val="24"/>
          <w:szCs w:val="24"/>
          <w:highlight w:val="none"/>
          <w:lang w:val="en-US" w:eastAsia="zh-CN"/>
        </w:rPr>
        <w:t>日志</w:t>
      </w:r>
      <w:r>
        <w:rPr>
          <w:rFonts w:hint="eastAsia" w:ascii="宋体" w:hAnsi="宋体" w:eastAsia="宋体" w:cs="宋体"/>
          <w:sz w:val="24"/>
          <w:szCs w:val="24"/>
          <w:highlight w:val="none"/>
        </w:rPr>
        <w:t>保存。</w:t>
      </w:r>
    </w:p>
    <w:p w14:paraId="5A1A9EA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安全审计</w:t>
      </w:r>
    </w:p>
    <w:p w14:paraId="0E0081D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建立网络安全审计和日志安全审计制度，进行运维审计、数据库审计、日志审计、应用审计、流量审计等。</w:t>
      </w:r>
    </w:p>
    <w:p w14:paraId="11858A4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数据管理</w:t>
      </w:r>
    </w:p>
    <w:p w14:paraId="4A79BCF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建立数据更正流程制度，禁止数据库直连，专人专岗通过系统维护数据，防止数据泄露和篡改；建立台账管理数据的接收、使用、分发。</w:t>
      </w:r>
    </w:p>
    <w:p w14:paraId="35B7551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数据备份</w:t>
      </w:r>
    </w:p>
    <w:p w14:paraId="026302C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做好系统和数据库的离线备份和多存储介质备份工作，加强备份数据的安全管理，并通过恢复预案进行数据恢复演练，保证建成的灾备系统和数据达到建设目的。</w:t>
      </w:r>
    </w:p>
    <w:p w14:paraId="418E648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人员与账号管理</w:t>
      </w:r>
    </w:p>
    <w:p w14:paraId="54D179C5">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做好不同岗位、角色人员的安全背景审查，细化账号权限，落实保密责任。密码的设置要符合强密码规范和密码复杂性要求，并定期修改密码。</w:t>
      </w:r>
    </w:p>
    <w:p w14:paraId="268B366C">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安全管理制度</w:t>
      </w:r>
    </w:p>
    <w:p w14:paraId="23DF922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本项目将落实网络安全责任制，研究制定网络安全等级保护定级指导意见，建立健全</w:t>
      </w:r>
      <w:r>
        <w:rPr>
          <w:rFonts w:hint="eastAsia" w:ascii="宋体" w:hAnsi="宋体" w:eastAsia="宋体" w:cs="宋体"/>
          <w:sz w:val="24"/>
          <w:szCs w:val="24"/>
          <w:highlight w:val="none"/>
          <w:lang w:eastAsia="zh-CN"/>
        </w:rPr>
        <w:t>海曙区智慧民政综合服务平台</w:t>
      </w:r>
      <w:r>
        <w:rPr>
          <w:rFonts w:hint="eastAsia" w:ascii="宋体" w:hAnsi="宋体" w:eastAsia="宋体" w:cs="宋体"/>
          <w:sz w:val="24"/>
          <w:szCs w:val="24"/>
          <w:highlight w:val="none"/>
        </w:rPr>
        <w:t>的网络安全事件应急工作机制，提升应对网络安全事件能力。落实网络安全等级保护制度，开展网络定级备案、等级测评、安全建设整改和自查等工作。加强关键信息基础设施和重要数据的安全保护，落实保护责任和防护措施。加强网络安全监测预警，提高安全态势感知能力。</w:t>
      </w:r>
    </w:p>
    <w:p w14:paraId="6A6CD0DA">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安全应急预案</w:t>
      </w:r>
    </w:p>
    <w:p w14:paraId="7AD7175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本项目为提高</w:t>
      </w:r>
      <w:r>
        <w:rPr>
          <w:rFonts w:hint="eastAsia" w:ascii="宋体" w:hAnsi="宋体" w:eastAsia="宋体" w:cs="宋体"/>
          <w:sz w:val="24"/>
          <w:szCs w:val="24"/>
          <w:highlight w:val="none"/>
          <w:lang w:val="en-US" w:eastAsia="zh-CN"/>
        </w:rPr>
        <w:t>宁波市海曙区民政局</w:t>
      </w:r>
      <w:r>
        <w:rPr>
          <w:rFonts w:hint="eastAsia" w:ascii="宋体" w:hAnsi="宋体" w:eastAsia="宋体" w:cs="宋体"/>
          <w:sz w:val="24"/>
          <w:szCs w:val="24"/>
          <w:highlight w:val="none"/>
        </w:rPr>
        <w:t>处置网络安全突发事件能力，形成科学、有效、反应迅速的应急工作机制，确保重要</w:t>
      </w:r>
      <w:r>
        <w:rPr>
          <w:rFonts w:hint="eastAsia" w:ascii="宋体" w:hAnsi="宋体" w:eastAsia="宋体" w:cs="宋体"/>
          <w:sz w:val="24"/>
          <w:szCs w:val="24"/>
          <w:highlight w:val="none"/>
          <w:lang w:eastAsia="zh-CN"/>
        </w:rPr>
        <w:t>网络</w:t>
      </w:r>
      <w:r>
        <w:rPr>
          <w:rFonts w:hint="eastAsia" w:ascii="宋体" w:hAnsi="宋体" w:eastAsia="宋体" w:cs="宋体"/>
          <w:sz w:val="24"/>
          <w:szCs w:val="24"/>
          <w:highlight w:val="none"/>
        </w:rPr>
        <w:t>与信息系统的实体安全、运行安全和数据安全，最大限度地减轻网络安全事件的危害，保障</w:t>
      </w:r>
      <w:r>
        <w:rPr>
          <w:rFonts w:hint="eastAsia" w:ascii="宋体" w:hAnsi="宋体" w:eastAsia="宋体" w:cs="宋体"/>
          <w:sz w:val="24"/>
          <w:szCs w:val="24"/>
          <w:highlight w:val="none"/>
          <w:lang w:eastAsia="zh-CN"/>
        </w:rPr>
        <w:t>海曙区智慧民政综合服务平台</w:t>
      </w:r>
      <w:r>
        <w:rPr>
          <w:rFonts w:hint="eastAsia" w:ascii="宋体" w:hAnsi="宋体" w:eastAsia="宋体" w:cs="宋体"/>
          <w:sz w:val="24"/>
          <w:szCs w:val="24"/>
          <w:highlight w:val="none"/>
        </w:rPr>
        <w:t>长期安全稳定运行，为</w:t>
      </w:r>
      <w:r>
        <w:rPr>
          <w:rFonts w:hint="eastAsia" w:ascii="宋体" w:hAnsi="宋体" w:eastAsia="宋体" w:cs="宋体"/>
          <w:sz w:val="24"/>
          <w:szCs w:val="24"/>
          <w:highlight w:val="none"/>
          <w:lang w:val="en-US" w:eastAsia="zh-CN"/>
        </w:rPr>
        <w:t>各类用户</w:t>
      </w:r>
      <w:r>
        <w:rPr>
          <w:rFonts w:hint="eastAsia" w:ascii="宋体" w:hAnsi="宋体" w:eastAsia="宋体" w:cs="宋体"/>
          <w:sz w:val="24"/>
          <w:szCs w:val="24"/>
          <w:highlight w:val="none"/>
        </w:rPr>
        <w:t>提供良好的信息服务。</w:t>
      </w:r>
    </w:p>
    <w:p w14:paraId="6DFAAFA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出现的突发安全事件制定相应的处理流程，针对不同的安全事件制定针对性的应急响应预案，指定责任部门，定期进行检查与培训；同时将安全事件的等级进行划分，包括响应的范围。安全事件管理和应急响应的安全管理和处置要求应按照《宁波市</w:t>
      </w:r>
      <w:r>
        <w:rPr>
          <w:rFonts w:hint="eastAsia" w:ascii="宋体" w:hAnsi="宋体" w:eastAsia="宋体" w:cs="宋体"/>
          <w:sz w:val="24"/>
          <w:szCs w:val="24"/>
          <w:highlight w:val="none"/>
          <w:lang w:val="en-US" w:eastAsia="zh-CN"/>
        </w:rPr>
        <w:t>海曙区民政局</w:t>
      </w:r>
      <w:r>
        <w:rPr>
          <w:rFonts w:hint="eastAsia" w:ascii="宋体" w:hAnsi="宋体" w:eastAsia="宋体" w:cs="宋体"/>
          <w:sz w:val="24"/>
          <w:szCs w:val="24"/>
          <w:highlight w:val="none"/>
        </w:rPr>
        <w:t>网络安全应急预案》中的应急流程与方法来执行。</w:t>
      </w:r>
    </w:p>
    <w:p w14:paraId="4E9DC44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根据重特大事件的紧急程度和状态不同，可采取以下方式启动应急流程：</w:t>
      </w:r>
    </w:p>
    <w:p w14:paraId="519B5D6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当紧急事件发生时，运维人员首先要进行故障分析，确定故障的范围和程度，确认为紧急故障的，在查找原因和解决问题的同时，要同步将故障解决情况通报给部门领导</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向客服中说明事件发生的状况。如需其他部门协助的，需要请求相关部门共同尽快解决故障。</w:t>
      </w:r>
    </w:p>
    <w:p w14:paraId="4DC53F7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于病毒重特大事件，当病毒大面积地感染终端，现场服务人员将已感染的终端从局域网中断开，运维人员将第一时间收集病毒信息，并向现场人员提供有针对性的应急方案；如果应急方案没有效果，要立即和杀毒软件厂方联络，由双方共同协同提供有效的应对措施。</w:t>
      </w:r>
    </w:p>
    <w:p w14:paraId="435C75C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对于网络中断事件，运维人员首先要判断中断原因，如果是设备或线路造成的，依网络运行处理流程优先快速处理；如果是电信服务提供商造成的，要立即联络电信技术部门解决问题。</w:t>
      </w:r>
    </w:p>
    <w:p w14:paraId="0958D2C8">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于系统故障事件，运维人员首先要启用备用系统，再判断故障类型：硬件损坏、操作系统故障、软件故障。硬件损坏的情况，首先向服务器供应商报障；操作系统故障多数情况都和硬件故障同时出现，处理方式相同；软件故障如果是由购买的软件造成的，立即向软件厂商寻求技术支持；如果</w:t>
      </w:r>
      <w:r>
        <w:rPr>
          <w:rFonts w:hint="eastAsia" w:ascii="宋体" w:hAnsi="宋体" w:eastAsia="宋体" w:cs="宋体"/>
          <w:sz w:val="24"/>
          <w:szCs w:val="24"/>
          <w:highlight w:val="none"/>
          <w:lang w:eastAsia="zh-CN"/>
        </w:rPr>
        <w:t>是进</w:t>
      </w:r>
      <w:r>
        <w:rPr>
          <w:rFonts w:hint="eastAsia" w:ascii="宋体" w:hAnsi="宋体" w:eastAsia="宋体" w:cs="宋体"/>
          <w:sz w:val="24"/>
          <w:szCs w:val="24"/>
          <w:highlight w:val="none"/>
        </w:rPr>
        <w:t>行开发的软件，立即向相关人员联系并排除故障。</w:t>
      </w:r>
    </w:p>
    <w:p w14:paraId="077D24A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在故障排除之后，运维人员要填写故障记录，如果故障是由于项目实施中存在的隐患造成的问题。故障记录汇总到“系统运行故障记录表”，重大事故由故障处理人填写故障报告。</w:t>
      </w:r>
    </w:p>
    <w:p w14:paraId="2C6166BB">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color w:val="auto"/>
          <w:kern w:val="2"/>
          <w:sz w:val="24"/>
          <w:szCs w:val="24"/>
          <w:highlight w:val="none"/>
          <w:lang w:val="en-US" w:eastAsia="zh-CN" w:bidi="ar-SA"/>
        </w:rPr>
      </w:pPr>
      <w:bookmarkStart w:id="116" w:name="_Toc992813460"/>
      <w:bookmarkStart w:id="117" w:name="_Toc1008404714"/>
      <w:bookmarkStart w:id="118" w:name="_Toc10037"/>
      <w:bookmarkStart w:id="119" w:name="_Toc246469644"/>
      <w:bookmarkStart w:id="120" w:name="_Toc29479"/>
      <w:r>
        <w:rPr>
          <w:rFonts w:hint="eastAsia" w:ascii="宋体" w:hAnsi="宋体" w:eastAsia="宋体" w:cs="宋体"/>
          <w:b/>
          <w:color w:val="auto"/>
          <w:kern w:val="2"/>
          <w:sz w:val="24"/>
          <w:szCs w:val="24"/>
          <w:highlight w:val="none"/>
          <w:lang w:val="en-US" w:eastAsia="zh-CN" w:bidi="ar-SA"/>
        </w:rPr>
        <w:t>系统</w:t>
      </w:r>
      <w:bookmarkEnd w:id="116"/>
      <w:bookmarkEnd w:id="117"/>
      <w:bookmarkEnd w:id="118"/>
      <w:r>
        <w:rPr>
          <w:rFonts w:hint="eastAsia" w:ascii="宋体" w:hAnsi="宋体" w:eastAsia="宋体" w:cs="宋体"/>
          <w:b/>
          <w:color w:val="auto"/>
          <w:kern w:val="2"/>
          <w:sz w:val="24"/>
          <w:szCs w:val="24"/>
          <w:highlight w:val="none"/>
          <w:lang w:val="en-US" w:eastAsia="zh-CN" w:bidi="ar-SA"/>
        </w:rPr>
        <w:t>维护</w:t>
      </w:r>
    </w:p>
    <w:p w14:paraId="2043BCA9">
      <w:pPr>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考虑到本项目建设的复杂性，项目完工后的运维管理由专门运维机构承担。这种方式不仅有利于节约成本，节省人力，也有利于整个系统管理及信息化水平的提高。</w:t>
      </w:r>
      <w:r>
        <w:rPr>
          <w:rFonts w:hint="eastAsia" w:ascii="宋体" w:hAnsi="宋体" w:eastAsia="宋体" w:cs="宋体"/>
          <w:color w:val="auto"/>
          <w:sz w:val="24"/>
          <w:szCs w:val="24"/>
          <w:highlight w:val="none"/>
          <w:lang w:val="en-US" w:eastAsia="zh-CN"/>
        </w:rPr>
        <w:t>系统建设完成后由</w:t>
      </w:r>
      <w:r>
        <w:rPr>
          <w:rFonts w:hint="eastAsia" w:ascii="宋体" w:hAnsi="宋体" w:eastAsia="宋体" w:cs="宋体"/>
          <w:color w:val="auto"/>
          <w:sz w:val="24"/>
          <w:szCs w:val="24"/>
          <w:highlight w:val="none"/>
        </w:rPr>
        <w:t>开发商</w:t>
      </w:r>
      <w:r>
        <w:rPr>
          <w:rFonts w:hint="eastAsia" w:ascii="宋体" w:hAnsi="宋体" w:eastAsia="宋体" w:cs="宋体"/>
          <w:color w:val="auto"/>
          <w:sz w:val="24"/>
          <w:szCs w:val="24"/>
          <w:highlight w:val="none"/>
          <w:lang w:val="en-US" w:eastAsia="zh-CN"/>
        </w:rPr>
        <w:t>提供验收后1年的运维服务，内容</w:t>
      </w:r>
      <w:r>
        <w:rPr>
          <w:rFonts w:hint="eastAsia" w:ascii="宋体" w:hAnsi="宋体" w:eastAsia="宋体" w:cs="宋体"/>
          <w:color w:val="auto"/>
          <w:sz w:val="24"/>
          <w:szCs w:val="24"/>
          <w:highlight w:val="none"/>
        </w:rPr>
        <w:t>包括：</w:t>
      </w:r>
    </w:p>
    <w:p w14:paraId="2B7BFDBD">
      <w:pPr>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提供完整的项目开发文档，维护文档。提供完整的安装手册、用户手册、程序手册、参考手册及其相关的技术文档。</w:t>
      </w:r>
    </w:p>
    <w:p w14:paraId="18D2954D">
      <w:pPr>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自项目验收交付之日起，在一定期限内免费维护。定制产品在试用期内，对一般性的需求变更免费响应。试用期后，对用户提出的需求变更进行有偿的服务。</w:t>
      </w:r>
    </w:p>
    <w:p w14:paraId="432A2A63">
      <w:pPr>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及时的软件维护。系统开发集成商需要建有一支精干的维护专业队伍。</w:t>
      </w:r>
    </w:p>
    <w:p w14:paraId="3DE81803">
      <w:pPr>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组织专门技术队伍从事</w:t>
      </w:r>
      <w:r>
        <w:rPr>
          <w:rFonts w:hint="eastAsia" w:ascii="宋体" w:hAnsi="宋体" w:eastAsia="宋体" w:cs="宋体"/>
          <w:color w:val="auto"/>
          <w:sz w:val="24"/>
          <w:szCs w:val="24"/>
          <w:highlight w:val="none"/>
          <w:lang w:val="en-US" w:eastAsia="zh-CN"/>
        </w:rPr>
        <w:t>专项支持</w:t>
      </w:r>
      <w:r>
        <w:rPr>
          <w:rFonts w:hint="eastAsia" w:ascii="宋体" w:hAnsi="宋体" w:eastAsia="宋体" w:cs="宋体"/>
          <w:color w:val="auto"/>
          <w:sz w:val="24"/>
          <w:szCs w:val="24"/>
          <w:highlight w:val="none"/>
        </w:rPr>
        <w:t>服务及支持工作，提供全天候（24*7）的热线技术支持服务。</w:t>
      </w:r>
    </w:p>
    <w:p w14:paraId="02C5920C">
      <w:pPr>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提供全部应用系统使用的用户培训。</w:t>
      </w:r>
    </w:p>
    <w:p w14:paraId="63B81DFF">
      <w:pPr>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提供应用系统配置、日常维护和系统管理的管理员配置。</w:t>
      </w:r>
    </w:p>
    <w:p w14:paraId="601D53F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对应用开发的支持。</w:t>
      </w:r>
    </w:p>
    <w:p w14:paraId="16C86BFD">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第三方测评</w:t>
      </w:r>
      <w:bookmarkEnd w:id="119"/>
      <w:bookmarkEnd w:id="120"/>
    </w:p>
    <w:p w14:paraId="02686472">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等保测评</w:t>
      </w:r>
    </w:p>
    <w:p w14:paraId="07E3A34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依据《信息安全技术网络安全等级保护基本要求》等相关法律法规和标准规范的要求，委托具有等保测评资质的第三方机构对系统开展信息系统安全等级保护测评和备案工作。</w:t>
      </w:r>
    </w:p>
    <w:p w14:paraId="3C6F6B0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等保测评和备案包括：</w:t>
      </w:r>
    </w:p>
    <w:p w14:paraId="6EB7868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以书面的形式说明保护对象的安全保护等级及确定等级的方法和理由；</w:t>
      </w:r>
    </w:p>
    <w:p w14:paraId="19BAD667">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组织相关部门和有关安全技术专家对定级结果的合理性和正确性进行论证和审定；保证定级结果经过相关部门的批准；</w:t>
      </w:r>
    </w:p>
    <w:p w14:paraId="5E85781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在项目验收前委托有资质的机构对项目安全进行测评，保证系统不出现不符合安全要求的问题。及时将备案材料报主管部门和相应公安机关备案。</w:t>
      </w:r>
    </w:p>
    <w:p w14:paraId="5DFD9CCA">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软件测评</w:t>
      </w:r>
    </w:p>
    <w:p w14:paraId="69546E8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软件测评的依据主要包括《项目招标文件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系统需求规格说明书</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用户操作手册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计算机软件测试文档编制规范》（GB/T9386-2008）、《计算机软件测试规范》（GB/T15532-2008）等，主要通过对相关系统的测试，确认系统的功能性、性能效率、安全等满足用户需求。</w:t>
      </w:r>
    </w:p>
    <w:p w14:paraId="0409EAC3">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功能性测试：主要采用黑盒测试方法设计测试用例，包括等价类划分法、边界值分析法等；</w:t>
      </w:r>
    </w:p>
    <w:p w14:paraId="170766E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性能效率测试：主要采用性能效率特性的子特性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时间特性的测试方法，使用自动化性能测试工具进行并发负载测试，包括并发用户数、响应时间、事务处理速度等。</w:t>
      </w:r>
    </w:p>
    <w:p w14:paraId="3A583A0B">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测试：主要使用安全扫描工具结合人工渗透测试对应用系统进行信息安全性检测，验证是否存在潜在的安全性缺陷，包括SQL注入漏洞、跨站脚本漏洞、文件上传漏洞、越权漏洞、敏感信息泄露漏洞、失效的身份认证和会话管理漏洞、安全配置错误漏洞、未验证的重定向和转发漏洞等。</w:t>
      </w:r>
    </w:p>
    <w:p w14:paraId="2DB84BD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软件测评完成后由第三方测评机构出具软件测评报告。</w:t>
      </w:r>
    </w:p>
    <w:p w14:paraId="623DA2DC">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代码审计</w:t>
      </w:r>
    </w:p>
    <w:p w14:paraId="06D8AA7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码审计是一种以发现程序错误，安全漏洞和违反程序规范为目标的源代码分析。通过对程序源代码逐条进行检查和分析，充分挖掘当前代码中存在的安全缺陷以及规范性缺陷，检查程序源代码是否存在安全隐患或者有编码不规范的地方，从而发现这些源代码缺陷引发的安全漏洞，让开发人员了解其开发的应用系统可能面临的威胁与安全隐患，并提供代码修订措施和建议。</w:t>
      </w:r>
    </w:p>
    <w:p w14:paraId="7D29B50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代码审计完成后由第三方测评机构出具代码审计报告</w:t>
      </w:r>
      <w:r>
        <w:rPr>
          <w:rFonts w:hint="eastAsia" w:ascii="宋体" w:hAnsi="宋体" w:eastAsia="宋体" w:cs="宋体"/>
          <w:sz w:val="24"/>
          <w:szCs w:val="24"/>
          <w:highlight w:val="none"/>
          <w:lang w:eastAsia="zh-CN"/>
        </w:rPr>
        <w:t>。</w:t>
      </w:r>
    </w:p>
    <w:p w14:paraId="7D525CA3">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bookmarkStart w:id="121" w:name="_Toc2066835292"/>
      <w:r>
        <w:rPr>
          <w:rFonts w:hint="eastAsia" w:ascii="宋体" w:hAnsi="宋体" w:eastAsia="宋体" w:cs="宋体"/>
          <w:b/>
          <w:kern w:val="2"/>
          <w:sz w:val="24"/>
          <w:szCs w:val="24"/>
          <w:highlight w:val="none"/>
          <w:lang w:val="en-US" w:eastAsia="zh-CN" w:bidi="ar-SA"/>
        </w:rPr>
        <w:t>落实安全可靠要求的情况说明</w:t>
      </w:r>
      <w:bookmarkEnd w:id="121"/>
    </w:p>
    <w:p w14:paraId="58D4EDA2">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bookmarkStart w:id="122" w:name="_Toc121922850"/>
      <w:bookmarkStart w:id="123" w:name="_Toc119366088"/>
      <w:bookmarkStart w:id="124" w:name="_Toc149683685"/>
      <w:bookmarkStart w:id="125" w:name="_Toc118140581"/>
      <w:bookmarkStart w:id="126" w:name="_Toc120756142"/>
      <w:bookmarkStart w:id="127" w:name="_Toc143521865"/>
      <w:bookmarkStart w:id="128" w:name="_Toc3768"/>
      <w:bookmarkStart w:id="129" w:name="_Toc10448"/>
      <w:r>
        <w:rPr>
          <w:rFonts w:hint="eastAsia" w:ascii="宋体" w:hAnsi="宋体" w:eastAsia="宋体" w:cs="宋体"/>
          <w:b/>
          <w:kern w:val="2"/>
          <w:sz w:val="24"/>
          <w:szCs w:val="24"/>
          <w:highlight w:val="none"/>
          <w:lang w:val="en-US" w:eastAsia="zh-CN" w:bidi="ar-SA"/>
        </w:rPr>
        <w:t>加强标准规范体系建设</w:t>
      </w:r>
      <w:bookmarkEnd w:id="122"/>
      <w:bookmarkEnd w:id="123"/>
      <w:bookmarkEnd w:id="124"/>
      <w:bookmarkEnd w:id="125"/>
      <w:bookmarkEnd w:id="126"/>
      <w:bookmarkEnd w:id="127"/>
      <w:bookmarkEnd w:id="128"/>
      <w:bookmarkEnd w:id="129"/>
    </w:p>
    <w:p w14:paraId="72F9D40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本项目需要配套编制安全标准规范，安全标准是组织开展日常安全管理工作的主要依据。约束和规制</w:t>
      </w:r>
      <w:r>
        <w:rPr>
          <w:rFonts w:hint="eastAsia" w:ascii="宋体" w:hAnsi="宋体" w:eastAsia="宋体" w:cs="宋体"/>
          <w:sz w:val="24"/>
          <w:szCs w:val="24"/>
          <w:highlight w:val="none"/>
          <w:lang w:val="en-US" w:eastAsia="zh-CN"/>
        </w:rPr>
        <w:t>各</w:t>
      </w:r>
      <w:r>
        <w:rPr>
          <w:rFonts w:hint="eastAsia" w:ascii="宋体" w:hAnsi="宋体" w:eastAsia="宋体" w:cs="宋体"/>
          <w:sz w:val="24"/>
          <w:szCs w:val="24"/>
          <w:highlight w:val="none"/>
        </w:rPr>
        <w:t>业务开展各环节中的行为；引领和指导</w:t>
      </w:r>
      <w:r>
        <w:rPr>
          <w:rFonts w:hint="eastAsia" w:ascii="宋体" w:hAnsi="宋体" w:eastAsia="宋体" w:cs="宋体"/>
          <w:sz w:val="24"/>
          <w:szCs w:val="24"/>
          <w:highlight w:val="none"/>
          <w:lang w:val="en-US" w:eastAsia="zh-CN"/>
        </w:rPr>
        <w:t>各单位部门</w:t>
      </w:r>
      <w:r>
        <w:rPr>
          <w:rFonts w:hint="eastAsia" w:ascii="宋体" w:hAnsi="宋体" w:eastAsia="宋体" w:cs="宋体"/>
          <w:sz w:val="24"/>
          <w:szCs w:val="24"/>
          <w:highlight w:val="none"/>
        </w:rPr>
        <w:t>落实</w:t>
      </w:r>
      <w:r>
        <w:rPr>
          <w:rFonts w:hint="eastAsia" w:ascii="宋体" w:hAnsi="宋体" w:eastAsia="宋体" w:cs="宋体"/>
          <w:sz w:val="24"/>
          <w:szCs w:val="24"/>
          <w:highlight w:val="none"/>
          <w:lang w:val="en-US" w:eastAsia="zh-CN"/>
        </w:rPr>
        <w:t>相关要求</w:t>
      </w:r>
      <w:r>
        <w:rPr>
          <w:rFonts w:hint="eastAsia" w:ascii="宋体" w:hAnsi="宋体" w:eastAsia="宋体" w:cs="宋体"/>
          <w:sz w:val="24"/>
          <w:szCs w:val="24"/>
          <w:highlight w:val="none"/>
        </w:rPr>
        <w:t>工作</w:t>
      </w:r>
      <w:r>
        <w:rPr>
          <w:rFonts w:hint="eastAsia" w:ascii="宋体" w:hAnsi="宋体" w:eastAsia="宋体" w:cs="宋体"/>
          <w:sz w:val="24"/>
          <w:szCs w:val="24"/>
          <w:highlight w:val="none"/>
          <w:lang w:eastAsia="zh-CN"/>
        </w:rPr>
        <w:t>。</w:t>
      </w:r>
    </w:p>
    <w:p w14:paraId="0EFF55DA">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bookmarkStart w:id="130" w:name="_Toc120756143"/>
      <w:bookmarkStart w:id="131" w:name="_Toc15115"/>
      <w:bookmarkStart w:id="132" w:name="_Toc149683686"/>
      <w:bookmarkStart w:id="133" w:name="_Toc143521866"/>
      <w:bookmarkStart w:id="134" w:name="_Toc121922851"/>
      <w:bookmarkStart w:id="135" w:name="_Toc6569"/>
      <w:bookmarkStart w:id="136" w:name="_Toc118140582"/>
      <w:bookmarkStart w:id="137" w:name="_Toc119366089"/>
      <w:r>
        <w:rPr>
          <w:rFonts w:hint="eastAsia" w:ascii="宋体" w:hAnsi="宋体" w:eastAsia="宋体" w:cs="宋体"/>
          <w:b/>
          <w:kern w:val="2"/>
          <w:sz w:val="24"/>
          <w:szCs w:val="24"/>
          <w:highlight w:val="none"/>
          <w:lang w:val="en-US" w:eastAsia="zh-CN" w:bidi="ar-SA"/>
        </w:rPr>
        <w:t>强化安全顶层设计</w:t>
      </w:r>
      <w:bookmarkEnd w:id="130"/>
      <w:bookmarkEnd w:id="131"/>
      <w:bookmarkEnd w:id="132"/>
      <w:bookmarkEnd w:id="133"/>
      <w:bookmarkEnd w:id="134"/>
      <w:bookmarkEnd w:id="135"/>
      <w:bookmarkEnd w:id="136"/>
      <w:bookmarkEnd w:id="137"/>
    </w:p>
    <w:p w14:paraId="67D1089F">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宁波市海曙区民政局</w:t>
      </w:r>
      <w:r>
        <w:rPr>
          <w:rFonts w:hint="eastAsia" w:ascii="宋体" w:hAnsi="宋体" w:eastAsia="宋体" w:cs="宋体"/>
          <w:sz w:val="24"/>
          <w:szCs w:val="24"/>
          <w:highlight w:val="none"/>
        </w:rPr>
        <w:t>结合现状，更新现有顶层设计政策制度文件。以规划为指导，建立健全相关安全规章制度和标准规范，指导各级部门落实</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保障工作，以提高系统和重要数据的安全</w:t>
      </w:r>
      <w:r>
        <w:rPr>
          <w:rFonts w:hint="eastAsia" w:ascii="宋体" w:hAnsi="宋体" w:eastAsia="宋体" w:cs="宋体"/>
          <w:sz w:val="24"/>
          <w:szCs w:val="24"/>
          <w:highlight w:val="none"/>
          <w:lang w:val="en-US" w:eastAsia="zh-CN"/>
        </w:rPr>
        <w:t>检测</w:t>
      </w:r>
      <w:r>
        <w:rPr>
          <w:rFonts w:hint="eastAsia" w:ascii="宋体" w:hAnsi="宋体" w:eastAsia="宋体" w:cs="宋体"/>
          <w:sz w:val="24"/>
          <w:szCs w:val="24"/>
          <w:highlight w:val="none"/>
        </w:rPr>
        <w:t>、纵深防御、风险管控和</w:t>
      </w:r>
      <w:r>
        <w:rPr>
          <w:rFonts w:hint="eastAsia" w:ascii="宋体" w:hAnsi="宋体" w:eastAsia="宋体" w:cs="宋体"/>
          <w:sz w:val="24"/>
          <w:szCs w:val="24"/>
          <w:highlight w:val="none"/>
          <w:lang w:val="en-US" w:eastAsia="zh-CN"/>
        </w:rPr>
        <w:t>技术自主</w:t>
      </w:r>
      <w:r>
        <w:rPr>
          <w:rFonts w:hint="eastAsia" w:ascii="宋体" w:hAnsi="宋体" w:eastAsia="宋体" w:cs="宋体"/>
          <w:sz w:val="24"/>
          <w:szCs w:val="24"/>
          <w:highlight w:val="none"/>
        </w:rPr>
        <w:t>能力，形成具有主动防御和</w:t>
      </w:r>
      <w:r>
        <w:rPr>
          <w:rFonts w:hint="eastAsia" w:ascii="宋体" w:hAnsi="宋体" w:eastAsia="宋体" w:cs="宋体"/>
          <w:sz w:val="24"/>
          <w:szCs w:val="24"/>
          <w:highlight w:val="none"/>
          <w:lang w:val="en-US" w:eastAsia="zh-CN"/>
        </w:rPr>
        <w:t>技术自主</w:t>
      </w:r>
      <w:r>
        <w:rPr>
          <w:rFonts w:hint="eastAsia" w:ascii="宋体" w:hAnsi="宋体" w:eastAsia="宋体" w:cs="宋体"/>
          <w:sz w:val="24"/>
          <w:szCs w:val="24"/>
          <w:highlight w:val="none"/>
        </w:rPr>
        <w:t>能力的保障体系，有效促进</w:t>
      </w:r>
      <w:r>
        <w:rPr>
          <w:rFonts w:hint="eastAsia" w:ascii="宋体" w:hAnsi="宋体" w:eastAsia="宋体" w:cs="宋体"/>
          <w:sz w:val="24"/>
          <w:szCs w:val="24"/>
          <w:highlight w:val="none"/>
          <w:lang w:val="en-US" w:eastAsia="zh-CN"/>
        </w:rPr>
        <w:t>安全</w:t>
      </w:r>
      <w:r>
        <w:rPr>
          <w:rFonts w:hint="eastAsia" w:ascii="宋体" w:hAnsi="宋体" w:eastAsia="宋体" w:cs="宋体"/>
          <w:sz w:val="24"/>
          <w:szCs w:val="24"/>
          <w:highlight w:val="none"/>
        </w:rPr>
        <w:t>保障能力。</w:t>
      </w:r>
    </w:p>
    <w:p w14:paraId="0B48F8FB">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bookmarkStart w:id="138" w:name="_Toc121922852"/>
      <w:bookmarkStart w:id="139" w:name="_Toc118140583"/>
      <w:bookmarkStart w:id="140" w:name="_Toc149683687"/>
      <w:bookmarkStart w:id="141" w:name="_Toc119366090"/>
      <w:bookmarkStart w:id="142" w:name="_Toc143521867"/>
      <w:bookmarkStart w:id="143" w:name="_Toc120756144"/>
      <w:bookmarkStart w:id="144" w:name="_Toc6233"/>
      <w:bookmarkStart w:id="145" w:name="_Toc7795"/>
      <w:r>
        <w:rPr>
          <w:rFonts w:hint="eastAsia" w:ascii="宋体" w:hAnsi="宋体" w:eastAsia="宋体" w:cs="宋体"/>
          <w:b/>
          <w:kern w:val="2"/>
          <w:sz w:val="24"/>
          <w:szCs w:val="24"/>
          <w:highlight w:val="none"/>
          <w:lang w:val="en-US" w:eastAsia="zh-CN" w:bidi="ar-SA"/>
        </w:rPr>
        <w:t>国产化基础环境</w:t>
      </w:r>
      <w:bookmarkEnd w:id="138"/>
      <w:bookmarkEnd w:id="139"/>
      <w:bookmarkEnd w:id="140"/>
      <w:bookmarkEnd w:id="141"/>
      <w:bookmarkEnd w:id="142"/>
      <w:bookmarkEnd w:id="143"/>
      <w:bookmarkEnd w:id="144"/>
      <w:bookmarkEnd w:id="145"/>
    </w:p>
    <w:p w14:paraId="6670478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本项目部署</w:t>
      </w:r>
      <w:r>
        <w:rPr>
          <w:rFonts w:hint="eastAsia" w:ascii="宋体" w:hAnsi="宋体" w:eastAsia="宋体" w:cs="宋体"/>
          <w:sz w:val="24"/>
          <w:szCs w:val="24"/>
          <w:highlight w:val="none"/>
        </w:rPr>
        <w:t>于信创云的</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将充分利用信创云已有的</w:t>
      </w:r>
      <w:r>
        <w:rPr>
          <w:rFonts w:hint="eastAsia" w:ascii="宋体" w:hAnsi="宋体" w:eastAsia="宋体" w:cs="宋体"/>
          <w:sz w:val="24"/>
          <w:szCs w:val="24"/>
          <w:highlight w:val="none"/>
          <w:lang w:val="en-US" w:eastAsia="zh-CN"/>
        </w:rPr>
        <w:t>国产化</w:t>
      </w:r>
      <w:r>
        <w:rPr>
          <w:rFonts w:hint="eastAsia" w:ascii="宋体" w:hAnsi="宋体" w:eastAsia="宋体" w:cs="宋体"/>
          <w:sz w:val="24"/>
          <w:szCs w:val="24"/>
          <w:highlight w:val="none"/>
        </w:rPr>
        <w:t>基础设施，依托国产操作系统、国产数据库作为应用支撑软件，满足</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技术要求。</w:t>
      </w:r>
    </w:p>
    <w:p w14:paraId="11147136">
      <w:pPr>
        <w:keepNext/>
        <w:keepLines/>
        <w:pageBreakBefore w:val="0"/>
        <w:widowControl w:val="0"/>
        <w:numPr>
          <w:ilvl w:val="3"/>
          <w:numId w:val="8"/>
        </w:numPr>
        <w:kinsoku/>
        <w:wordWrap/>
        <w:overflowPunct/>
        <w:topLinePunct w:val="0"/>
        <w:autoSpaceDE/>
        <w:autoSpaceDN/>
        <w:bidi w:val="0"/>
        <w:adjustRightInd w:val="0"/>
        <w:snapToGrid w:val="0"/>
        <w:spacing w:before="0" w:beforeLines="0" w:beforeAutospacing="0" w:after="0" w:afterLines="0" w:afterAutospacing="0" w:line="320" w:lineRule="exact"/>
        <w:ind w:left="864" w:hanging="864" w:firstLineChars="0"/>
        <w:jc w:val="both"/>
        <w:textAlignment w:val="auto"/>
        <w:outlineLvl w:val="3"/>
        <w:rPr>
          <w:rFonts w:hint="eastAsia" w:ascii="宋体" w:hAnsi="宋体" w:eastAsia="宋体" w:cs="宋体"/>
          <w:b/>
          <w:kern w:val="2"/>
          <w:sz w:val="24"/>
          <w:szCs w:val="24"/>
          <w:highlight w:val="none"/>
          <w:lang w:val="en-US" w:eastAsia="zh-CN" w:bidi="ar-SA"/>
        </w:rPr>
      </w:pPr>
      <w:bookmarkStart w:id="146" w:name="_Toc149683688"/>
      <w:bookmarkStart w:id="147" w:name="_Toc118140584"/>
      <w:bookmarkStart w:id="148" w:name="_Toc121922853"/>
      <w:bookmarkStart w:id="149" w:name="_Toc119366091"/>
      <w:bookmarkStart w:id="150" w:name="_Toc799"/>
      <w:bookmarkStart w:id="151" w:name="_Toc143521868"/>
      <w:bookmarkStart w:id="152" w:name="_Toc4591"/>
      <w:bookmarkStart w:id="153" w:name="_Toc120756145"/>
      <w:r>
        <w:rPr>
          <w:rFonts w:hint="eastAsia" w:ascii="宋体" w:hAnsi="宋体" w:eastAsia="宋体" w:cs="宋体"/>
          <w:b/>
          <w:kern w:val="2"/>
          <w:sz w:val="24"/>
          <w:szCs w:val="24"/>
          <w:highlight w:val="none"/>
          <w:lang w:val="en-US" w:eastAsia="zh-CN" w:bidi="ar-SA"/>
        </w:rPr>
        <w:t>国产化信创替代</w:t>
      </w:r>
      <w:bookmarkEnd w:id="146"/>
      <w:bookmarkEnd w:id="147"/>
      <w:bookmarkEnd w:id="148"/>
      <w:bookmarkEnd w:id="149"/>
      <w:bookmarkEnd w:id="150"/>
      <w:bookmarkEnd w:id="151"/>
      <w:bookmarkEnd w:id="152"/>
      <w:bookmarkEnd w:id="153"/>
    </w:p>
    <w:p w14:paraId="5EA790B0">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本项目应用系统基于国产信创软硬件</w:t>
      </w:r>
      <w:r>
        <w:rPr>
          <w:rFonts w:hint="eastAsia" w:ascii="宋体" w:hAnsi="宋体" w:eastAsia="宋体" w:cs="宋体"/>
          <w:sz w:val="24"/>
          <w:szCs w:val="24"/>
          <w:highlight w:val="none"/>
          <w:lang w:val="en-US" w:eastAsia="zh-CN"/>
        </w:rPr>
        <w:t>基础</w:t>
      </w:r>
      <w:r>
        <w:rPr>
          <w:rFonts w:hint="eastAsia" w:ascii="宋体" w:hAnsi="宋体" w:eastAsia="宋体" w:cs="宋体"/>
          <w:sz w:val="24"/>
          <w:szCs w:val="24"/>
          <w:highlight w:val="none"/>
        </w:rPr>
        <w:t>环境部署</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通过应用适配改造完成国产化信创替代。</w:t>
      </w:r>
      <w:r>
        <w:rPr>
          <w:rFonts w:hint="eastAsia" w:ascii="宋体" w:hAnsi="宋体" w:eastAsia="宋体" w:cs="宋体"/>
          <w:sz w:val="24"/>
          <w:szCs w:val="24"/>
          <w:highlight w:val="none"/>
        </w:rPr>
        <w:t>系统可靠性、性能效率和适配兼容性满足有关规范要求，技术路线上</w:t>
      </w:r>
      <w:r>
        <w:rPr>
          <w:rFonts w:hint="eastAsia" w:ascii="宋体" w:hAnsi="宋体" w:eastAsia="宋体" w:cs="宋体"/>
          <w:sz w:val="24"/>
          <w:szCs w:val="24"/>
          <w:highlight w:val="none"/>
          <w:lang w:val="en-US" w:eastAsia="zh-CN"/>
        </w:rPr>
        <w:t>将</w:t>
      </w:r>
      <w:r>
        <w:rPr>
          <w:rFonts w:hint="eastAsia" w:ascii="宋体" w:hAnsi="宋体" w:eastAsia="宋体" w:cs="宋体"/>
          <w:sz w:val="24"/>
          <w:szCs w:val="24"/>
          <w:highlight w:val="none"/>
        </w:rPr>
        <w:t>兼容龙芯、鲲鹏、飞腾、海光、兆芯等多种芯片，以满足各类国产终端正常访问需求。</w:t>
      </w:r>
      <w:bookmarkStart w:id="154" w:name="_Toc109029952"/>
    </w:p>
    <w:bookmarkEnd w:id="154"/>
    <w:p w14:paraId="0DEE5035">
      <w:pPr>
        <w:keepNext/>
        <w:keepLines/>
        <w:pageBreakBefore w:val="0"/>
        <w:widowControl w:val="0"/>
        <w:numPr>
          <w:ilvl w:val="2"/>
          <w:numId w:val="8"/>
        </w:numPr>
        <w:kinsoku/>
        <w:wordWrap/>
        <w:overflowPunct/>
        <w:topLinePunct w:val="0"/>
        <w:autoSpaceDE/>
        <w:autoSpaceDN/>
        <w:bidi w:val="0"/>
        <w:adjustRightInd w:val="0"/>
        <w:snapToGrid w:val="0"/>
        <w:spacing w:before="0" w:beforeLines="0" w:beforeAutospacing="0" w:after="0" w:afterLines="0" w:afterAutospacing="0" w:line="320" w:lineRule="exact"/>
        <w:ind w:left="1840" w:leftChars="0" w:hanging="1840" w:firstLineChars="0"/>
        <w:jc w:val="both"/>
        <w:textAlignment w:val="auto"/>
        <w:outlineLvl w:val="2"/>
        <w:rPr>
          <w:rFonts w:hint="eastAsia" w:ascii="宋体" w:hAnsi="宋体" w:eastAsia="宋体" w:cs="宋体"/>
          <w:b/>
          <w:kern w:val="2"/>
          <w:sz w:val="24"/>
          <w:szCs w:val="24"/>
          <w:highlight w:val="none"/>
          <w:lang w:val="en-US" w:eastAsia="zh-CN" w:bidi="ar-SA"/>
        </w:rPr>
      </w:pPr>
      <w:bookmarkStart w:id="155" w:name="_Toc6624"/>
      <w:bookmarkStart w:id="156" w:name="_Toc120756146"/>
      <w:bookmarkStart w:id="157" w:name="_Toc149683689"/>
      <w:bookmarkStart w:id="158" w:name="_Toc121922854"/>
      <w:bookmarkStart w:id="159" w:name="_Toc16044"/>
      <w:bookmarkStart w:id="160" w:name="_Toc109029957"/>
      <w:bookmarkStart w:id="161" w:name="_Toc1752762419"/>
      <w:bookmarkStart w:id="162" w:name="_Toc143521869"/>
      <w:r>
        <w:rPr>
          <w:rFonts w:hint="eastAsia" w:ascii="宋体" w:hAnsi="宋体" w:eastAsia="宋体" w:cs="宋体"/>
          <w:b/>
          <w:kern w:val="2"/>
          <w:sz w:val="24"/>
          <w:szCs w:val="24"/>
          <w:highlight w:val="none"/>
          <w:lang w:val="en-US" w:eastAsia="zh-CN" w:bidi="ar-SA"/>
        </w:rPr>
        <w:t>软硬件设备购置</w:t>
      </w:r>
      <w:bookmarkEnd w:id="155"/>
      <w:bookmarkEnd w:id="156"/>
      <w:bookmarkEnd w:id="157"/>
      <w:bookmarkEnd w:id="158"/>
      <w:bookmarkEnd w:id="159"/>
      <w:bookmarkEnd w:id="160"/>
      <w:bookmarkEnd w:id="161"/>
      <w:bookmarkEnd w:id="162"/>
    </w:p>
    <w:p w14:paraId="0996C462">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利用</w:t>
      </w:r>
      <w:r>
        <w:rPr>
          <w:rFonts w:hint="eastAsia" w:ascii="宋体" w:hAnsi="宋体" w:eastAsia="宋体" w:cs="宋体"/>
          <w:sz w:val="24"/>
          <w:szCs w:val="24"/>
          <w:highlight w:val="none"/>
          <w:lang w:val="en-US" w:eastAsia="zh-CN"/>
        </w:rPr>
        <w:t>宁波市</w:t>
      </w:r>
      <w:r>
        <w:rPr>
          <w:rFonts w:hint="eastAsia" w:ascii="宋体" w:hAnsi="宋体" w:eastAsia="宋体" w:cs="宋体"/>
          <w:sz w:val="24"/>
          <w:szCs w:val="24"/>
          <w:highlight w:val="none"/>
        </w:rPr>
        <w:t>信创云的基础设施体系服务资源。基础设施体系包含计算服务、存储服务、网络服务、备份服务等。并采购可适配</w:t>
      </w:r>
      <w:r>
        <w:rPr>
          <w:rFonts w:hint="eastAsia" w:ascii="宋体" w:hAnsi="宋体" w:eastAsia="宋体" w:cs="宋体"/>
          <w:sz w:val="24"/>
          <w:szCs w:val="24"/>
          <w:highlight w:val="none"/>
          <w:lang w:val="en-US" w:eastAsia="zh-CN"/>
        </w:rPr>
        <w:t>宁波市信创云的</w:t>
      </w:r>
      <w:r>
        <w:rPr>
          <w:rFonts w:hint="eastAsia" w:ascii="宋体" w:hAnsi="宋体" w:eastAsia="宋体" w:cs="宋体"/>
          <w:sz w:val="24"/>
          <w:szCs w:val="24"/>
          <w:highlight w:val="none"/>
        </w:rPr>
        <w:t>国产服务器操作系统、国产数据库。</w:t>
      </w:r>
    </w:p>
    <w:p w14:paraId="22AA6051">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国产服务器操作系统</w:t>
      </w:r>
    </w:p>
    <w:p w14:paraId="7DB3E686">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具备文件管理、设备管理、用户管理、日志管理、服务管理、进程和监控管理、网络管理、资源管理、软件包管理、磁盘管理、安全中心等基本功能，提供语言支持工具、文件共享服务、集成开发平台、更新管理器、备份还原等常用工具，支持KVM、Docker虚拟化技术，并提供本地和远程批量部署。</w:t>
      </w:r>
    </w:p>
    <w:p w14:paraId="17ABCE29">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国产数据库</w:t>
      </w:r>
    </w:p>
    <w:p w14:paraId="3914065D">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具备数据存储、访问控制、身份鉴别和数据备份恢复等功能。管理员及用户可通过图形化或命令行工具实现对数据库对象的管理；开发人员可通过标准化接口开发</w:t>
      </w:r>
      <w:r>
        <w:rPr>
          <w:rFonts w:hint="eastAsia" w:ascii="宋体" w:hAnsi="宋体" w:eastAsia="宋体" w:cs="宋体"/>
          <w:sz w:val="24"/>
          <w:szCs w:val="24"/>
          <w:highlight w:val="none"/>
          <w:lang w:eastAsia="zh-CN"/>
        </w:rPr>
        <w:t>基于</w:t>
      </w:r>
      <w:r>
        <w:rPr>
          <w:rFonts w:hint="eastAsia" w:ascii="宋体" w:hAnsi="宋体" w:eastAsia="宋体" w:cs="宋体"/>
          <w:sz w:val="24"/>
          <w:szCs w:val="24"/>
          <w:highlight w:val="none"/>
        </w:rPr>
        <w:t>数据库的应用和软件。支持用户代理身份认证、异步备库延时和定点重演、超长大字段、DBLINK连接到网关等新特性，完善新增部分空间函数、Oracle兼容特性等功能，可提供共享存储集群主备部署、按服务名配置负载均衡策略等解决方案。</w:t>
      </w:r>
    </w:p>
    <w:bookmarkEnd w:id="77"/>
    <w:bookmarkEnd w:id="78"/>
    <w:p w14:paraId="572285BC">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31B0B251">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Times New Roman"/>
          <w:b/>
          <w:color w:val="auto"/>
          <w:kern w:val="0"/>
          <w:sz w:val="24"/>
          <w:szCs w:val="24"/>
          <w:highlight w:val="none"/>
          <w:lang w:val="en-US" w:eastAsia="zh-CN"/>
        </w:rPr>
      </w:pPr>
      <w:r>
        <w:rPr>
          <w:rFonts w:hint="eastAsia" w:ascii="宋体" w:hAnsi="宋体" w:cs="Times New Roman"/>
          <w:b/>
          <w:color w:val="auto"/>
          <w:kern w:val="0"/>
          <w:sz w:val="24"/>
          <w:szCs w:val="24"/>
          <w:highlight w:val="none"/>
          <w:lang w:val="en-US" w:eastAsia="zh-CN"/>
        </w:rPr>
        <w:t>三</w:t>
      </w:r>
      <w:r>
        <w:rPr>
          <w:rFonts w:hint="eastAsia" w:ascii="宋体" w:hAnsi="宋体" w:eastAsia="宋体" w:cs="Times New Roman"/>
          <w:b/>
          <w:color w:val="auto"/>
          <w:kern w:val="0"/>
          <w:sz w:val="24"/>
          <w:szCs w:val="24"/>
          <w:highlight w:val="none"/>
          <w:lang w:val="en-US" w:eastAsia="zh-CN"/>
        </w:rPr>
        <w:t>、</w:t>
      </w:r>
      <w:r>
        <w:rPr>
          <w:rFonts w:hint="eastAsia" w:ascii="宋体" w:hAnsi="宋体" w:cs="Times New Roman"/>
          <w:b/>
          <w:color w:val="auto"/>
          <w:kern w:val="0"/>
          <w:sz w:val="24"/>
          <w:szCs w:val="24"/>
          <w:highlight w:val="none"/>
          <w:lang w:val="en-US" w:eastAsia="zh-CN"/>
        </w:rPr>
        <w:t>建设期间旧项目运维</w:t>
      </w:r>
    </w:p>
    <w:p w14:paraId="18DF94BC">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成交人需提供自合同签订之日起至项目建成投用期间维护采购人原系统正常运行工作，</w:t>
      </w:r>
      <w:r>
        <w:rPr>
          <w:rFonts w:hint="eastAsia" w:ascii="宋体" w:hAnsi="宋体" w:eastAsia="宋体" w:cs="宋体"/>
          <w:sz w:val="24"/>
          <w:szCs w:val="24"/>
          <w:highlight w:val="none"/>
          <w:lang w:val="en-US" w:eastAsia="zh-CN"/>
        </w:rPr>
        <w:t>原系统包括智慧养老综合服务平台、高龄老人津贴发放平台、浙江省大救助信息系统（海曙链上救助应用场景）</w:t>
      </w:r>
      <w:r>
        <w:rPr>
          <w:rFonts w:hint="eastAsia" w:ascii="宋体" w:hAnsi="宋体" w:cs="宋体"/>
          <w:sz w:val="24"/>
          <w:szCs w:val="24"/>
          <w:highlight w:val="none"/>
          <w:lang w:val="en-US" w:eastAsia="zh-CN"/>
        </w:rPr>
        <w:t>。</w:t>
      </w:r>
    </w:p>
    <w:p w14:paraId="63E3D5FA">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智慧养老综合服务平台</w:t>
      </w:r>
      <w:r>
        <w:rPr>
          <w:rFonts w:hint="eastAsia" w:ascii="宋体" w:hAnsi="宋体" w:cs="宋体"/>
          <w:sz w:val="24"/>
          <w:szCs w:val="24"/>
          <w:highlight w:val="none"/>
          <w:lang w:val="en-US" w:eastAsia="zh-CN"/>
        </w:rPr>
        <w:t>是海曙区重点信息化项目。成交人需保证该系统在本项目开发建设期间的正常使用，做好日常维护、网络隐患整改、保证数据安全、数据备份正常可靠、接受采购人日常咨询等运维服务。</w:t>
      </w:r>
    </w:p>
    <w:p w14:paraId="7280A984">
      <w:pPr>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高龄老人津贴发放平台</w:t>
      </w:r>
      <w:r>
        <w:rPr>
          <w:rFonts w:hint="eastAsia" w:ascii="宋体" w:hAnsi="宋体" w:cs="宋体"/>
          <w:sz w:val="24"/>
          <w:szCs w:val="24"/>
          <w:highlight w:val="none"/>
          <w:lang w:val="en-US" w:eastAsia="zh-CN"/>
        </w:rPr>
        <w:t>有一台物理主机作为服务器，成交人需保证本项目开发建设期间系统正常运行，数据安全可靠。</w:t>
      </w:r>
    </w:p>
    <w:p w14:paraId="07FBCA1E">
      <w:pPr>
        <w:pageBreakBefore w:val="0"/>
        <w:kinsoku/>
        <w:wordWrap/>
        <w:overflowPunct/>
        <w:topLinePunct w:val="0"/>
        <w:autoSpaceDE/>
        <w:autoSpaceDN/>
        <w:bidi w:val="0"/>
        <w:adjustRightInd/>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浙江省大救助信息系统（海曙链上救助应用场景）</w:t>
      </w:r>
      <w:r>
        <w:rPr>
          <w:rFonts w:hint="eastAsia" w:ascii="宋体" w:hAnsi="宋体" w:cs="宋体"/>
          <w:sz w:val="24"/>
          <w:szCs w:val="24"/>
          <w:highlight w:val="none"/>
          <w:lang w:val="en-US" w:eastAsia="zh-CN"/>
        </w:rPr>
        <w:t>需由成交人提供本项目开发建设期间的正常运维服务。</w:t>
      </w:r>
    </w:p>
    <w:p w14:paraId="3C4C5F43">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23F3E45F">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Times New Roman"/>
          <w:b/>
          <w:color w:val="auto"/>
          <w:kern w:val="0"/>
          <w:sz w:val="24"/>
          <w:szCs w:val="24"/>
          <w:highlight w:val="none"/>
          <w:lang w:val="en-US" w:eastAsia="zh-CN"/>
        </w:rPr>
      </w:pPr>
      <w:r>
        <w:rPr>
          <w:rFonts w:hint="eastAsia" w:ascii="宋体" w:hAnsi="宋体" w:cs="Times New Roman"/>
          <w:b/>
          <w:color w:val="auto"/>
          <w:kern w:val="0"/>
          <w:sz w:val="24"/>
          <w:szCs w:val="24"/>
          <w:highlight w:val="none"/>
          <w:lang w:val="en-US" w:eastAsia="zh-CN"/>
        </w:rPr>
        <w:t>四</w:t>
      </w:r>
      <w:r>
        <w:rPr>
          <w:rFonts w:hint="eastAsia" w:ascii="宋体" w:hAnsi="宋体" w:eastAsia="宋体" w:cs="Times New Roman"/>
          <w:b/>
          <w:color w:val="auto"/>
          <w:kern w:val="0"/>
          <w:sz w:val="24"/>
          <w:szCs w:val="24"/>
          <w:highlight w:val="none"/>
          <w:lang w:val="en-US" w:eastAsia="zh-CN"/>
        </w:rPr>
        <w:t>、投标要求</w:t>
      </w:r>
    </w:p>
    <w:p w14:paraId="2623E627">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baseline"/>
        <w:rPr>
          <w:rFonts w:hint="default" w:ascii="宋体" w:hAnsi="宋体" w:eastAsia="宋体" w:cs="Times New Roman"/>
          <w:b w:val="0"/>
          <w:bCs/>
          <w:color w:val="auto"/>
          <w:kern w:val="0"/>
          <w:sz w:val="24"/>
          <w:szCs w:val="24"/>
          <w:highlight w:val="none"/>
          <w:lang w:val="en-US" w:eastAsia="zh-CN"/>
        </w:rPr>
      </w:pPr>
      <w:r>
        <w:rPr>
          <w:rFonts w:hint="default" w:ascii="宋体" w:hAnsi="宋体" w:cs="宋体"/>
          <w:sz w:val="24"/>
          <w:szCs w:val="24"/>
          <w:highlight w:val="none"/>
          <w:lang w:val="en-US" w:eastAsia="zh-CN"/>
        </w:rPr>
        <w:t>供应商需在响应文件中</w:t>
      </w:r>
      <w:r>
        <w:rPr>
          <w:rFonts w:hint="eastAsia" w:ascii="宋体" w:hAnsi="宋体" w:cs="宋体"/>
          <w:sz w:val="24"/>
          <w:szCs w:val="24"/>
          <w:highlight w:val="none"/>
          <w:lang w:val="en-US" w:eastAsia="zh-CN"/>
        </w:rPr>
        <w:t>针对本项目需求现状及需求的理解进行描述，</w:t>
      </w:r>
      <w:r>
        <w:rPr>
          <w:rFonts w:hint="default" w:ascii="宋体" w:hAnsi="宋体" w:cs="宋体"/>
          <w:sz w:val="24"/>
          <w:szCs w:val="24"/>
          <w:highlight w:val="none"/>
          <w:lang w:val="en-US" w:eastAsia="zh-CN"/>
        </w:rPr>
        <w:t>制定完整的重难点方案及解决措施、项目设计方案、实施方案、售后服务方案</w:t>
      </w:r>
      <w:r>
        <w:rPr>
          <w:rFonts w:hint="eastAsia" w:ascii="宋体" w:hAnsi="宋体" w:cs="宋体"/>
          <w:sz w:val="24"/>
          <w:szCs w:val="24"/>
          <w:highlight w:val="none"/>
          <w:lang w:val="en-US" w:eastAsia="zh-CN"/>
        </w:rPr>
        <w:t>及培训方案</w:t>
      </w:r>
      <w:r>
        <w:rPr>
          <w:rFonts w:hint="default" w:ascii="宋体" w:hAnsi="宋体" w:cs="宋体"/>
          <w:sz w:val="24"/>
          <w:szCs w:val="24"/>
          <w:highlight w:val="none"/>
          <w:lang w:val="en-US" w:eastAsia="zh-CN"/>
        </w:rPr>
        <w:t>，并对</w:t>
      </w:r>
      <w:r>
        <w:rPr>
          <w:rFonts w:hint="eastAsia" w:ascii="宋体" w:hAnsi="宋体" w:cs="宋体"/>
          <w:sz w:val="24"/>
          <w:szCs w:val="24"/>
          <w:highlight w:val="none"/>
          <w:lang w:val="en-US" w:eastAsia="zh-CN"/>
        </w:rPr>
        <w:t>建设团队情况及企业实力提供相关证明</w:t>
      </w:r>
      <w:r>
        <w:rPr>
          <w:rFonts w:hint="default" w:ascii="宋体" w:hAnsi="宋体" w:cs="宋体"/>
          <w:sz w:val="24"/>
          <w:szCs w:val="24"/>
          <w:highlight w:val="none"/>
          <w:lang w:val="en-US" w:eastAsia="zh-CN"/>
        </w:rPr>
        <w:t>，</w:t>
      </w:r>
      <w:r>
        <w:rPr>
          <w:rFonts w:hint="eastAsia" w:ascii="宋体" w:hAnsi="宋体" w:cs="宋体"/>
          <w:sz w:val="24"/>
          <w:szCs w:val="24"/>
          <w:highlight w:val="none"/>
          <w:lang w:val="en-US" w:eastAsia="zh-CN"/>
        </w:rPr>
        <w:t>同时</w:t>
      </w:r>
      <w:r>
        <w:rPr>
          <w:rFonts w:hint="default" w:ascii="宋体" w:hAnsi="宋体" w:cs="宋体"/>
          <w:sz w:val="24"/>
          <w:szCs w:val="24"/>
          <w:highlight w:val="none"/>
          <w:lang w:val="en-US" w:eastAsia="zh-CN"/>
        </w:rPr>
        <w:t>提供</w:t>
      </w:r>
      <w:r>
        <w:rPr>
          <w:rFonts w:hint="eastAsia" w:ascii="宋体" w:hAnsi="宋体" w:cs="宋体"/>
          <w:sz w:val="24"/>
          <w:szCs w:val="24"/>
          <w:highlight w:val="none"/>
          <w:lang w:val="en-US" w:eastAsia="zh-CN"/>
        </w:rPr>
        <w:t>类似软件开发</w:t>
      </w:r>
      <w:r>
        <w:rPr>
          <w:rFonts w:hint="default" w:ascii="宋体" w:hAnsi="宋体" w:cs="宋体"/>
          <w:sz w:val="24"/>
          <w:szCs w:val="24"/>
          <w:highlight w:val="none"/>
          <w:lang w:val="en-US" w:eastAsia="zh-CN"/>
        </w:rPr>
        <w:t>业绩的证明材料</w:t>
      </w:r>
      <w:r>
        <w:rPr>
          <w:rFonts w:hint="eastAsia" w:ascii="宋体" w:hAnsi="宋体" w:cs="宋体"/>
          <w:sz w:val="24"/>
          <w:szCs w:val="24"/>
          <w:highlight w:val="none"/>
          <w:lang w:val="en-US" w:eastAsia="zh-CN"/>
        </w:rPr>
        <w:t>并进行功能演示</w:t>
      </w:r>
      <w:r>
        <w:rPr>
          <w:rFonts w:hint="default" w:ascii="宋体" w:hAnsi="宋体" w:cs="宋体"/>
          <w:sz w:val="24"/>
          <w:szCs w:val="24"/>
          <w:highlight w:val="none"/>
          <w:lang w:val="en-US" w:eastAsia="zh-CN"/>
        </w:rPr>
        <w:t>。</w:t>
      </w:r>
    </w:p>
    <w:p w14:paraId="4703E7F6">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1D1C68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pgNumType w:fmt="decimal"/>
          <w:cols w:space="720" w:num="1"/>
          <w:titlePg/>
          <w:docGrid w:linePitch="312" w:charSpace="0"/>
        </w:sectPr>
      </w:pPr>
      <w:bookmarkStart w:id="163" w:name="_Toc17730"/>
    </w:p>
    <w:p w14:paraId="748E41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70"/>
      <w:bookmarkEnd w:id="71"/>
      <w:bookmarkStart w:id="164" w:name="第四部分"/>
      <w:r>
        <w:rPr>
          <w:rFonts w:hint="eastAsia" w:cs="仿宋_GB2312" w:asciiTheme="minorEastAsia" w:hAnsiTheme="minorEastAsia" w:eastAsiaTheme="minorEastAsia"/>
          <w:b/>
          <w:color w:val="auto"/>
          <w:sz w:val="36"/>
          <w:szCs w:val="36"/>
          <w:highlight w:val="none"/>
        </w:rPr>
        <w:t>评审方法及评审标准</w:t>
      </w:r>
      <w:bookmarkEnd w:id="163"/>
    </w:p>
    <w:p w14:paraId="317DCE1D">
      <w:pPr>
        <w:pStyle w:val="394"/>
        <w:kinsoku/>
        <w:wordWrap/>
        <w:overflowPunct/>
        <w:topLinePunct w:val="0"/>
        <w:bidi w:val="0"/>
        <w:spacing w:before="0"/>
        <w:ind w:firstLine="643"/>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51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9"/>
        <w:gridCol w:w="2221"/>
        <w:gridCol w:w="5018"/>
        <w:gridCol w:w="585"/>
        <w:gridCol w:w="807"/>
      </w:tblGrid>
      <w:tr w14:paraId="6506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69" w:type="dxa"/>
            <w:shd w:val="clear" w:color="auto" w:fill="auto"/>
            <w:vAlign w:val="center"/>
          </w:tcPr>
          <w:p w14:paraId="2BA3338E">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Calibri" w:hAnsi="Calibri" w:eastAsia="宋体" w:cs="Times New Roman"/>
                <w:highlight w:val="none"/>
              </w:rPr>
            </w:pPr>
            <w:r>
              <w:rPr>
                <w:rFonts w:hint="eastAsia" w:ascii="宋体" w:hAnsi="宋体" w:eastAsia="宋体" w:cs="宋体"/>
                <w:b/>
                <w:color w:val="auto"/>
                <w:kern w:val="0"/>
                <w:sz w:val="21"/>
                <w:szCs w:val="21"/>
                <w:highlight w:val="none"/>
              </w:rPr>
              <w:t>评审内容</w:t>
            </w:r>
          </w:p>
        </w:tc>
        <w:tc>
          <w:tcPr>
            <w:tcW w:w="7239" w:type="dxa"/>
            <w:gridSpan w:val="2"/>
            <w:shd w:val="clear" w:color="auto" w:fill="auto"/>
            <w:vAlign w:val="center"/>
          </w:tcPr>
          <w:p w14:paraId="0D8F6951">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Calibri" w:hAnsi="Calibri" w:eastAsia="宋体" w:cs="Times New Roman"/>
                <w:highlight w:val="none"/>
              </w:rPr>
            </w:pPr>
            <w:r>
              <w:rPr>
                <w:rFonts w:hint="eastAsia" w:ascii="宋体" w:hAnsi="宋体" w:eastAsia="宋体" w:cs="宋体"/>
                <w:b/>
                <w:color w:val="auto"/>
                <w:kern w:val="0"/>
                <w:sz w:val="21"/>
                <w:szCs w:val="21"/>
                <w:highlight w:val="none"/>
              </w:rPr>
              <w:t>评分标准</w:t>
            </w:r>
          </w:p>
        </w:tc>
        <w:tc>
          <w:tcPr>
            <w:tcW w:w="585" w:type="dxa"/>
            <w:shd w:val="clear" w:color="auto" w:fill="auto"/>
            <w:vAlign w:val="center"/>
          </w:tcPr>
          <w:p w14:paraId="0B388117">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Calibri" w:hAnsi="Calibri" w:eastAsia="宋体" w:cs="Times New Roman"/>
                <w:highlight w:val="none"/>
              </w:rPr>
            </w:pPr>
            <w:r>
              <w:rPr>
                <w:rFonts w:hint="eastAsia" w:ascii="宋体" w:hAnsi="宋体" w:eastAsia="宋体" w:cs="宋体"/>
                <w:b/>
                <w:color w:val="auto"/>
                <w:kern w:val="0"/>
                <w:sz w:val="21"/>
                <w:szCs w:val="21"/>
                <w:highlight w:val="none"/>
              </w:rPr>
              <w:t>分值</w:t>
            </w:r>
          </w:p>
        </w:tc>
        <w:tc>
          <w:tcPr>
            <w:tcW w:w="807" w:type="dxa"/>
            <w:shd w:val="clear" w:color="auto" w:fill="auto"/>
            <w:vAlign w:val="center"/>
          </w:tcPr>
          <w:p w14:paraId="75D6C888">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Calibri" w:hAnsi="Calibri" w:eastAsia="宋体" w:cs="Times New Roman"/>
                <w:highlight w:val="none"/>
              </w:rPr>
            </w:pPr>
            <w:r>
              <w:rPr>
                <w:rFonts w:hint="eastAsia" w:ascii="宋体" w:hAnsi="宋体" w:eastAsia="宋体" w:cs="宋体"/>
                <w:b/>
                <w:color w:val="auto"/>
                <w:kern w:val="0"/>
                <w:sz w:val="21"/>
                <w:szCs w:val="21"/>
                <w:highlight w:val="none"/>
                <w:lang w:val="en-US" w:eastAsia="zh-CN"/>
              </w:rPr>
              <w:t>评审形式</w:t>
            </w:r>
          </w:p>
        </w:tc>
      </w:tr>
      <w:tr w14:paraId="6122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869" w:type="dxa"/>
            <w:shd w:val="clear" w:color="auto" w:fill="auto"/>
            <w:vAlign w:val="center"/>
          </w:tcPr>
          <w:p w14:paraId="11739CF1">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价格分（15分）</w:t>
            </w:r>
          </w:p>
        </w:tc>
        <w:tc>
          <w:tcPr>
            <w:tcW w:w="7239" w:type="dxa"/>
            <w:gridSpan w:val="2"/>
            <w:shd w:val="clear" w:color="auto" w:fill="auto"/>
            <w:vAlign w:val="center"/>
          </w:tcPr>
          <w:p w14:paraId="59CB4278">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参与评审的价格=投标报价满足采购要求的有效投标且参与评审的价格最低的参与评审的价格为评标基准价，得15分。</w:t>
            </w:r>
          </w:p>
          <w:p w14:paraId="1B4F82A1">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其他投标报价得分计算公式如下：投标报价得分=（评标基准价/参与评审的价格）×15%×100。</w:t>
            </w:r>
          </w:p>
          <w:p w14:paraId="4BDA6A76">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注：投标报价是指磋商结束后，磋商小组要求所有实质性响应的供应商在规定时间内提交的最后报价。</w:t>
            </w:r>
          </w:p>
        </w:tc>
        <w:tc>
          <w:tcPr>
            <w:tcW w:w="585" w:type="dxa"/>
            <w:shd w:val="clear" w:color="auto" w:fill="auto"/>
            <w:vAlign w:val="center"/>
          </w:tcPr>
          <w:p w14:paraId="17D4E361">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15</w:t>
            </w:r>
          </w:p>
        </w:tc>
        <w:tc>
          <w:tcPr>
            <w:tcW w:w="807" w:type="dxa"/>
            <w:shd w:val="clear" w:color="auto" w:fill="auto"/>
            <w:vAlign w:val="center"/>
          </w:tcPr>
          <w:p w14:paraId="4D6310F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客观评审</w:t>
            </w:r>
          </w:p>
        </w:tc>
      </w:tr>
      <w:tr w14:paraId="39BF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869" w:type="dxa"/>
            <w:vMerge w:val="restart"/>
            <w:shd w:val="clear" w:color="auto" w:fill="auto"/>
            <w:vAlign w:val="center"/>
          </w:tcPr>
          <w:p w14:paraId="6B974AED">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商务技术分（85分）</w:t>
            </w:r>
          </w:p>
        </w:tc>
        <w:tc>
          <w:tcPr>
            <w:tcW w:w="2221" w:type="dxa"/>
            <w:shd w:val="clear" w:color="auto" w:fill="auto"/>
            <w:vAlign w:val="center"/>
          </w:tcPr>
          <w:p w14:paraId="4D2BB926">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需求理解（4分）</w:t>
            </w:r>
          </w:p>
        </w:tc>
        <w:tc>
          <w:tcPr>
            <w:tcW w:w="5018" w:type="dxa"/>
            <w:shd w:val="clear" w:color="auto" w:fill="auto"/>
            <w:vAlign w:val="center"/>
          </w:tcPr>
          <w:p w14:paraId="5CD9073E">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根据投标方案中对项目现状及需求的理解程度（包括包含项目背景、项目现状、目前问题及建设必要性等）与采购需求的吻合程度、对项目的业务需求是否结合实际业务要求给予明确的表述与说明等进行评议。</w:t>
            </w:r>
          </w:p>
          <w:p w14:paraId="0E0D8951">
            <w:pPr>
              <w:adjustRightInd/>
              <w:rPr>
                <w:rFonts w:hint="eastAsia" w:ascii="Calibri" w:hAnsi="Calibri" w:cs="Times New Roman"/>
                <w:highlight w:val="none"/>
                <w:lang w:val="en-US" w:eastAsia="zh-CN"/>
              </w:rPr>
            </w:pPr>
            <w:r>
              <w:rPr>
                <w:rFonts w:hint="eastAsia" w:ascii="Calibri" w:hAnsi="Calibri" w:cs="Times New Roman"/>
                <w:highlight w:val="none"/>
                <w:lang w:val="en-US" w:eastAsia="zh-CN"/>
              </w:rPr>
              <w:t>①对项目现状调研详实、理解透彻，对目前问题及建设必要性理解到位的得4分；</w:t>
            </w:r>
          </w:p>
          <w:p w14:paraId="65D3FEC1">
            <w:pPr>
              <w:adjustRightInd/>
              <w:rPr>
                <w:rFonts w:hint="eastAsia" w:ascii="Calibri" w:hAnsi="Calibri" w:cs="Times New Roman"/>
                <w:highlight w:val="none"/>
                <w:lang w:val="en-US" w:eastAsia="zh-CN"/>
              </w:rPr>
            </w:pPr>
            <w:r>
              <w:rPr>
                <w:rFonts w:hint="eastAsia" w:ascii="Calibri" w:hAnsi="Calibri" w:cs="Times New Roman"/>
                <w:highlight w:val="none"/>
                <w:lang w:val="en-US" w:eastAsia="zh-CN"/>
              </w:rPr>
              <w:t>②对项目现状调研较详细、理解较清晰，对目前问题及建设必要性理解基本到位的得2分；</w:t>
            </w:r>
          </w:p>
          <w:p w14:paraId="7DA07957">
            <w:pPr>
              <w:adjustRightInd/>
              <w:rPr>
                <w:rFonts w:hint="eastAsia" w:ascii="Calibri" w:hAnsi="Calibri" w:cs="Times New Roman"/>
                <w:highlight w:val="none"/>
                <w:lang w:val="en-US" w:eastAsia="zh-CN"/>
              </w:rPr>
            </w:pPr>
            <w:r>
              <w:rPr>
                <w:rFonts w:hint="eastAsia" w:ascii="Calibri" w:hAnsi="Calibri" w:cs="Times New Roman"/>
                <w:highlight w:val="none"/>
                <w:lang w:val="en-US" w:eastAsia="zh-CN"/>
              </w:rPr>
              <w:t>③对项目现状调研简单、理解不清晰，对目前问题及建设必要性理解简单的得1分；</w:t>
            </w:r>
          </w:p>
          <w:p w14:paraId="09558907">
            <w:pPr>
              <w:adjustRightInd/>
              <w:rPr>
                <w:rFonts w:hint="default" w:ascii="Calibri" w:hAnsi="Calibri" w:eastAsia="宋体" w:cs="Times New Roman"/>
                <w:highlight w:val="none"/>
                <w:lang w:val="en-US" w:eastAsia="zh-CN"/>
              </w:rPr>
            </w:pPr>
            <w:r>
              <w:rPr>
                <w:rFonts w:hint="eastAsia" w:ascii="Calibri" w:hAnsi="Calibri" w:cs="Times New Roman"/>
                <w:highlight w:val="none"/>
                <w:lang w:val="en-US" w:eastAsia="zh-CN"/>
              </w:rPr>
              <w:t>④未提供相关内容的不得分。</w:t>
            </w:r>
          </w:p>
        </w:tc>
        <w:tc>
          <w:tcPr>
            <w:tcW w:w="585" w:type="dxa"/>
            <w:shd w:val="clear" w:color="auto" w:fill="auto"/>
            <w:vAlign w:val="center"/>
          </w:tcPr>
          <w:p w14:paraId="308CA66C">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4</w:t>
            </w:r>
          </w:p>
        </w:tc>
        <w:tc>
          <w:tcPr>
            <w:tcW w:w="807" w:type="dxa"/>
            <w:shd w:val="clear" w:color="auto" w:fill="auto"/>
            <w:vAlign w:val="center"/>
          </w:tcPr>
          <w:p w14:paraId="114C955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496F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869" w:type="dxa"/>
            <w:vMerge w:val="continue"/>
            <w:shd w:val="clear" w:color="auto" w:fill="auto"/>
            <w:vAlign w:val="center"/>
          </w:tcPr>
          <w:p w14:paraId="3AC95011">
            <w:pPr>
              <w:adjustRightInd/>
              <w:rPr>
                <w:rFonts w:hint="eastAsia" w:ascii="Calibri" w:hAnsi="Calibri" w:eastAsia="宋体" w:cs="Times New Roman"/>
                <w:highlight w:val="none"/>
              </w:rPr>
            </w:pPr>
          </w:p>
        </w:tc>
        <w:tc>
          <w:tcPr>
            <w:tcW w:w="2221" w:type="dxa"/>
            <w:shd w:val="clear" w:color="auto" w:fill="auto"/>
            <w:vAlign w:val="center"/>
          </w:tcPr>
          <w:p w14:paraId="7D0B4AE0">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重难点方案及解决措施（4分）</w:t>
            </w:r>
          </w:p>
        </w:tc>
        <w:tc>
          <w:tcPr>
            <w:tcW w:w="5018" w:type="dxa"/>
            <w:shd w:val="clear" w:color="auto" w:fill="auto"/>
            <w:vAlign w:val="center"/>
          </w:tcPr>
          <w:p w14:paraId="1ACE5D65">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根据供应商针对本项目实施的重点难点分析及提出解决方法进行评议。</w:t>
            </w:r>
          </w:p>
          <w:p w14:paraId="0FA51C30">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①重点、关键点分析到位、契合项目实际情况，且解决方案有利于项目后期开展的得</w:t>
            </w:r>
            <w:r>
              <w:rPr>
                <w:rFonts w:hint="eastAsia" w:ascii="Calibri" w:hAnsi="Calibri" w:cs="Times New Roman"/>
                <w:highlight w:val="none"/>
                <w:lang w:val="en-US" w:eastAsia="zh-CN"/>
              </w:rPr>
              <w:t>4</w:t>
            </w:r>
            <w:r>
              <w:rPr>
                <w:rFonts w:hint="eastAsia" w:ascii="Calibri" w:hAnsi="Calibri" w:eastAsia="宋体" w:cs="Times New Roman"/>
                <w:highlight w:val="none"/>
                <w:lang w:val="en-US" w:eastAsia="zh-CN"/>
              </w:rPr>
              <w:t>分；</w:t>
            </w:r>
          </w:p>
          <w:p w14:paraId="63BC99CC">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②重点、关键点分析基本符合项目情况；解决方案基本达到要求、对项目后期开展不会造成影响的得</w:t>
            </w:r>
            <w:r>
              <w:rPr>
                <w:rFonts w:hint="eastAsia" w:ascii="Calibri" w:hAnsi="Calibri" w:cs="Times New Roman"/>
                <w:highlight w:val="none"/>
                <w:lang w:val="en-US" w:eastAsia="zh-CN"/>
              </w:rPr>
              <w:t>2</w:t>
            </w:r>
            <w:r>
              <w:rPr>
                <w:rFonts w:hint="eastAsia" w:ascii="Calibri" w:hAnsi="Calibri" w:eastAsia="宋体" w:cs="Times New Roman"/>
                <w:highlight w:val="none"/>
                <w:lang w:val="en-US" w:eastAsia="zh-CN"/>
              </w:rPr>
              <w:t>分；</w:t>
            </w:r>
          </w:p>
          <w:p w14:paraId="0A70E119">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③重点、关键点分析不够准确；解决方案不够合理的得1分；</w:t>
            </w:r>
          </w:p>
          <w:p w14:paraId="409D96B6">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④未提供相关内容的不得分。</w:t>
            </w:r>
          </w:p>
        </w:tc>
        <w:tc>
          <w:tcPr>
            <w:tcW w:w="585" w:type="dxa"/>
            <w:shd w:val="clear" w:color="auto" w:fill="auto"/>
            <w:vAlign w:val="center"/>
          </w:tcPr>
          <w:p w14:paraId="341FD9CC">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4</w:t>
            </w:r>
          </w:p>
        </w:tc>
        <w:tc>
          <w:tcPr>
            <w:tcW w:w="807" w:type="dxa"/>
            <w:shd w:val="clear" w:color="auto" w:fill="auto"/>
            <w:vAlign w:val="center"/>
          </w:tcPr>
          <w:p w14:paraId="3504C40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6998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869" w:type="dxa"/>
            <w:vMerge w:val="continue"/>
            <w:shd w:val="clear" w:color="auto" w:fill="auto"/>
            <w:vAlign w:val="center"/>
          </w:tcPr>
          <w:p w14:paraId="6432AC80">
            <w:pPr>
              <w:adjustRightInd/>
              <w:rPr>
                <w:rFonts w:hint="eastAsia" w:ascii="Calibri" w:hAnsi="Calibri" w:eastAsia="宋体" w:cs="Times New Roman"/>
                <w:highlight w:val="none"/>
              </w:rPr>
            </w:pPr>
          </w:p>
        </w:tc>
        <w:tc>
          <w:tcPr>
            <w:tcW w:w="2221" w:type="dxa"/>
            <w:vMerge w:val="restart"/>
            <w:shd w:val="clear" w:color="auto" w:fill="auto"/>
            <w:vAlign w:val="center"/>
          </w:tcPr>
          <w:p w14:paraId="0A3E2F43">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设计方案（15分）</w:t>
            </w:r>
          </w:p>
        </w:tc>
        <w:tc>
          <w:tcPr>
            <w:tcW w:w="5018" w:type="dxa"/>
            <w:shd w:val="clear" w:color="auto" w:fill="auto"/>
            <w:vAlign w:val="center"/>
          </w:tcPr>
          <w:p w14:paraId="33148823">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根据设计方案中总体架构设计、网络拓扑设计、系统设计思路和业务流程设计等内容等进行</w:t>
            </w:r>
            <w:r>
              <w:rPr>
                <w:rFonts w:hint="eastAsia" w:ascii="Calibri" w:hAnsi="Calibri" w:cs="Times New Roman"/>
                <w:highlight w:val="none"/>
                <w:lang w:val="en-US" w:eastAsia="zh-CN"/>
              </w:rPr>
              <w:t>评议</w:t>
            </w:r>
            <w:r>
              <w:rPr>
                <w:rFonts w:hint="eastAsia" w:ascii="Calibri" w:hAnsi="Calibri" w:eastAsia="宋体" w:cs="Times New Roman"/>
                <w:highlight w:val="none"/>
                <w:lang w:val="en-US" w:eastAsia="zh-CN"/>
              </w:rPr>
              <w:t>。</w:t>
            </w:r>
          </w:p>
          <w:p w14:paraId="2E17005C">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①设计方案内容完整、目标清晰明确，可行性强的得5分；</w:t>
            </w:r>
          </w:p>
          <w:p w14:paraId="3E483788">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②设计方案内容较为完整，表述较为准确，基本可行，基本满足项目需要的得3分；</w:t>
            </w:r>
          </w:p>
          <w:p w14:paraId="180ACC8C">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③设计方案内容的完整性、表述的准确性一般，与项目的需要有一定差距的得1分；</w:t>
            </w:r>
          </w:p>
          <w:p w14:paraId="1885D7A0">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④未提供相关内容的不得分。</w:t>
            </w:r>
          </w:p>
        </w:tc>
        <w:tc>
          <w:tcPr>
            <w:tcW w:w="585" w:type="dxa"/>
            <w:shd w:val="clear" w:color="auto" w:fill="auto"/>
            <w:vAlign w:val="center"/>
          </w:tcPr>
          <w:p w14:paraId="1425EF75">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5</w:t>
            </w:r>
          </w:p>
        </w:tc>
        <w:tc>
          <w:tcPr>
            <w:tcW w:w="807" w:type="dxa"/>
            <w:shd w:val="clear" w:color="auto" w:fill="auto"/>
            <w:vAlign w:val="center"/>
          </w:tcPr>
          <w:p w14:paraId="3FFC5A5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2D17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869" w:type="dxa"/>
            <w:vMerge w:val="continue"/>
            <w:shd w:val="clear" w:color="auto" w:fill="auto"/>
            <w:vAlign w:val="center"/>
          </w:tcPr>
          <w:p w14:paraId="020B0AB8">
            <w:pPr>
              <w:adjustRightInd/>
              <w:rPr>
                <w:rFonts w:hint="eastAsia" w:ascii="Calibri" w:hAnsi="Calibri" w:eastAsia="宋体" w:cs="Times New Roman"/>
                <w:highlight w:val="none"/>
              </w:rPr>
            </w:pPr>
          </w:p>
        </w:tc>
        <w:tc>
          <w:tcPr>
            <w:tcW w:w="2221" w:type="dxa"/>
            <w:vMerge w:val="continue"/>
            <w:shd w:val="clear" w:color="auto" w:fill="auto"/>
            <w:vAlign w:val="center"/>
          </w:tcPr>
          <w:p w14:paraId="57EB66C8">
            <w:pPr>
              <w:adjustRightInd/>
              <w:jc w:val="center"/>
              <w:rPr>
                <w:rFonts w:hint="eastAsia" w:ascii="Calibri" w:hAnsi="Calibri" w:eastAsia="宋体" w:cs="Times New Roman"/>
                <w:highlight w:val="none"/>
              </w:rPr>
            </w:pPr>
          </w:p>
        </w:tc>
        <w:tc>
          <w:tcPr>
            <w:tcW w:w="5018" w:type="dxa"/>
            <w:shd w:val="clear" w:color="auto" w:fill="auto"/>
            <w:vAlign w:val="center"/>
          </w:tcPr>
          <w:p w14:paraId="40A73BEB">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根据业务应用体系设计的情况，对业务应用层、应用支撑层的设计理念以及系统功能方面进行评议。</w:t>
            </w:r>
          </w:p>
          <w:p w14:paraId="7FC9DFC7">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①设计</w:t>
            </w:r>
            <w:r>
              <w:rPr>
                <w:rFonts w:hint="eastAsia" w:ascii="Calibri" w:hAnsi="Calibri" w:cs="Times New Roman"/>
                <w:highlight w:val="none"/>
                <w:lang w:val="en-US" w:eastAsia="zh-CN"/>
              </w:rPr>
              <w:t>理念先进</w:t>
            </w:r>
            <w:r>
              <w:rPr>
                <w:rFonts w:hint="eastAsia" w:ascii="Calibri" w:hAnsi="Calibri" w:eastAsia="宋体" w:cs="Times New Roman"/>
                <w:highlight w:val="none"/>
                <w:lang w:val="en-US" w:eastAsia="zh-CN"/>
              </w:rPr>
              <w:t>、系统功能稳定可靠、成熟度</w:t>
            </w:r>
            <w:r>
              <w:rPr>
                <w:rFonts w:hint="eastAsia" w:ascii="Calibri" w:hAnsi="Calibri" w:cs="Times New Roman"/>
                <w:highlight w:val="none"/>
                <w:lang w:val="en-US" w:eastAsia="zh-CN"/>
              </w:rPr>
              <w:t>高</w:t>
            </w:r>
            <w:r>
              <w:rPr>
                <w:rFonts w:hint="eastAsia" w:ascii="Calibri" w:hAnsi="Calibri" w:eastAsia="宋体" w:cs="Times New Roman"/>
                <w:highlight w:val="none"/>
                <w:lang w:val="en-US" w:eastAsia="zh-CN"/>
              </w:rPr>
              <w:t>的得5分；</w:t>
            </w:r>
          </w:p>
          <w:p w14:paraId="3ABA1D50">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②设计理念</w:t>
            </w:r>
            <w:r>
              <w:rPr>
                <w:rFonts w:hint="eastAsia" w:ascii="Calibri" w:hAnsi="Calibri" w:cs="Times New Roman"/>
                <w:highlight w:val="none"/>
                <w:lang w:val="en-US" w:eastAsia="zh-CN"/>
              </w:rPr>
              <w:t>较</w:t>
            </w:r>
            <w:r>
              <w:rPr>
                <w:rFonts w:hint="eastAsia" w:ascii="Calibri" w:hAnsi="Calibri" w:eastAsia="宋体" w:cs="Times New Roman"/>
                <w:highlight w:val="none"/>
                <w:lang w:val="en-US" w:eastAsia="zh-CN"/>
              </w:rPr>
              <w:t>先进、系统功能</w:t>
            </w:r>
            <w:r>
              <w:rPr>
                <w:rFonts w:hint="eastAsia" w:ascii="Calibri" w:hAnsi="Calibri" w:cs="Times New Roman"/>
                <w:highlight w:val="none"/>
                <w:lang w:val="en-US" w:eastAsia="zh-CN"/>
              </w:rPr>
              <w:t>基本</w:t>
            </w:r>
            <w:r>
              <w:rPr>
                <w:rFonts w:hint="eastAsia" w:ascii="Calibri" w:hAnsi="Calibri" w:eastAsia="宋体" w:cs="Times New Roman"/>
                <w:highlight w:val="none"/>
                <w:lang w:val="en-US" w:eastAsia="zh-CN"/>
              </w:rPr>
              <w:t>稳定可靠、成熟度</w:t>
            </w:r>
            <w:r>
              <w:rPr>
                <w:rFonts w:hint="eastAsia" w:ascii="Calibri" w:hAnsi="Calibri" w:cs="Times New Roman"/>
                <w:highlight w:val="none"/>
                <w:lang w:val="en-US" w:eastAsia="zh-CN"/>
              </w:rPr>
              <w:t>较</w:t>
            </w:r>
            <w:r>
              <w:rPr>
                <w:rFonts w:hint="eastAsia" w:ascii="Calibri" w:hAnsi="Calibri" w:eastAsia="宋体" w:cs="Times New Roman"/>
                <w:highlight w:val="none"/>
                <w:lang w:val="en-US" w:eastAsia="zh-CN"/>
              </w:rPr>
              <w:t>高的得3分；</w:t>
            </w:r>
          </w:p>
          <w:p w14:paraId="478D9AED">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③设计理念</w:t>
            </w:r>
            <w:r>
              <w:rPr>
                <w:rFonts w:hint="eastAsia" w:ascii="Calibri" w:hAnsi="Calibri" w:cs="Times New Roman"/>
                <w:highlight w:val="none"/>
                <w:lang w:val="en-US" w:eastAsia="zh-CN"/>
              </w:rPr>
              <w:t>较陈旧</w:t>
            </w:r>
            <w:r>
              <w:rPr>
                <w:rFonts w:hint="eastAsia" w:ascii="Calibri" w:hAnsi="Calibri" w:eastAsia="宋体" w:cs="Times New Roman"/>
                <w:highlight w:val="none"/>
                <w:lang w:val="en-US" w:eastAsia="zh-CN"/>
              </w:rPr>
              <w:t>、系统功能</w:t>
            </w:r>
            <w:r>
              <w:rPr>
                <w:rFonts w:hint="eastAsia" w:ascii="Calibri" w:hAnsi="Calibri" w:cs="Times New Roman"/>
                <w:highlight w:val="none"/>
                <w:lang w:val="en-US" w:eastAsia="zh-CN"/>
              </w:rPr>
              <w:t>与项目需求有一定差距</w:t>
            </w:r>
            <w:r>
              <w:rPr>
                <w:rFonts w:hint="eastAsia" w:ascii="Calibri" w:hAnsi="Calibri" w:eastAsia="宋体" w:cs="Times New Roman"/>
                <w:highlight w:val="none"/>
                <w:lang w:val="en-US" w:eastAsia="zh-CN"/>
              </w:rPr>
              <w:t>的得1分；</w:t>
            </w:r>
          </w:p>
          <w:p w14:paraId="4E833617">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④未提供相关内容的不得分。</w:t>
            </w:r>
          </w:p>
        </w:tc>
        <w:tc>
          <w:tcPr>
            <w:tcW w:w="585" w:type="dxa"/>
            <w:shd w:val="clear" w:color="auto" w:fill="auto"/>
            <w:vAlign w:val="center"/>
          </w:tcPr>
          <w:p w14:paraId="6F1F0039">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5</w:t>
            </w:r>
          </w:p>
        </w:tc>
        <w:tc>
          <w:tcPr>
            <w:tcW w:w="807" w:type="dxa"/>
            <w:shd w:val="clear" w:color="auto" w:fill="auto"/>
            <w:vAlign w:val="center"/>
          </w:tcPr>
          <w:p w14:paraId="3456A36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3CC9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869" w:type="dxa"/>
            <w:vMerge w:val="continue"/>
            <w:shd w:val="clear" w:color="auto" w:fill="auto"/>
            <w:vAlign w:val="center"/>
          </w:tcPr>
          <w:p w14:paraId="107A4FAB">
            <w:pPr>
              <w:adjustRightInd/>
              <w:rPr>
                <w:rFonts w:hint="eastAsia" w:ascii="Calibri" w:hAnsi="Calibri" w:eastAsia="宋体" w:cs="Times New Roman"/>
                <w:highlight w:val="none"/>
              </w:rPr>
            </w:pPr>
          </w:p>
        </w:tc>
        <w:tc>
          <w:tcPr>
            <w:tcW w:w="2221" w:type="dxa"/>
            <w:vMerge w:val="continue"/>
            <w:shd w:val="clear" w:color="auto" w:fill="auto"/>
            <w:vAlign w:val="center"/>
          </w:tcPr>
          <w:p w14:paraId="420E39E3">
            <w:pPr>
              <w:adjustRightInd/>
              <w:jc w:val="center"/>
              <w:rPr>
                <w:rFonts w:hint="eastAsia" w:ascii="Calibri" w:hAnsi="Calibri" w:eastAsia="宋体" w:cs="Times New Roman"/>
                <w:highlight w:val="none"/>
              </w:rPr>
            </w:pPr>
          </w:p>
        </w:tc>
        <w:tc>
          <w:tcPr>
            <w:tcW w:w="5018" w:type="dxa"/>
            <w:shd w:val="clear" w:color="auto" w:fill="auto"/>
            <w:vAlign w:val="center"/>
          </w:tcPr>
          <w:p w14:paraId="0C126CA7">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根据数据资源体系设计的现状和需求，对数据库设计进行规划设计、数据接口进行描述等内容进行评议。</w:t>
            </w:r>
          </w:p>
          <w:p w14:paraId="390E53FA">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①设计方案内容完整、目标清晰明确，可行性强的得5分；</w:t>
            </w:r>
          </w:p>
          <w:p w14:paraId="4E8763AD">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②设计方案内容较为完整，表述较为准确，基本可行，基本满足项目需要的得3分；</w:t>
            </w:r>
          </w:p>
          <w:p w14:paraId="70EFA92D">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③设计方案内容的完整性、表述的准确性一般，与项目的需要有一定差距的得1分；</w:t>
            </w:r>
          </w:p>
          <w:p w14:paraId="0D79B6A8">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④未提供相关内容的不得分。</w:t>
            </w:r>
          </w:p>
        </w:tc>
        <w:tc>
          <w:tcPr>
            <w:tcW w:w="585" w:type="dxa"/>
            <w:shd w:val="clear" w:color="auto" w:fill="auto"/>
            <w:vAlign w:val="center"/>
          </w:tcPr>
          <w:p w14:paraId="40FDFC0B">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5</w:t>
            </w:r>
          </w:p>
        </w:tc>
        <w:tc>
          <w:tcPr>
            <w:tcW w:w="807" w:type="dxa"/>
            <w:shd w:val="clear" w:color="auto" w:fill="auto"/>
            <w:vAlign w:val="center"/>
          </w:tcPr>
          <w:p w14:paraId="4CFAEE2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0B49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869" w:type="dxa"/>
            <w:vMerge w:val="continue"/>
            <w:shd w:val="clear" w:color="auto" w:fill="auto"/>
            <w:vAlign w:val="center"/>
          </w:tcPr>
          <w:p w14:paraId="2C8A93BF">
            <w:pPr>
              <w:adjustRightInd/>
              <w:rPr>
                <w:rFonts w:hint="eastAsia" w:ascii="Calibri" w:hAnsi="Calibri" w:eastAsia="宋体" w:cs="Times New Roman"/>
                <w:highlight w:val="none"/>
              </w:rPr>
            </w:pPr>
          </w:p>
        </w:tc>
        <w:tc>
          <w:tcPr>
            <w:tcW w:w="2221" w:type="dxa"/>
            <w:vMerge w:val="restart"/>
            <w:shd w:val="clear" w:color="auto" w:fill="auto"/>
            <w:vAlign w:val="center"/>
          </w:tcPr>
          <w:p w14:paraId="6A47CF52">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实施方案（15分）</w:t>
            </w:r>
          </w:p>
        </w:tc>
        <w:tc>
          <w:tcPr>
            <w:tcW w:w="5018" w:type="dxa"/>
            <w:shd w:val="clear" w:color="auto" w:fill="auto"/>
            <w:vAlign w:val="center"/>
          </w:tcPr>
          <w:p w14:paraId="688CE91E">
            <w:pPr>
              <w:numPr>
                <w:ilvl w:val="0"/>
                <w:numId w:val="0"/>
              </w:num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对实施方案里提供的项目实施管理组织方案、组织机构、工作程序和步骤、管理和协调方法、关键步骤的思路和要点等方面进行评议。</w:t>
            </w:r>
          </w:p>
          <w:p w14:paraId="7AF0A0FE">
            <w:pPr>
              <w:numPr>
                <w:ilvl w:val="0"/>
                <w:numId w:val="0"/>
              </w:num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①时间节点把控有力、管理方法具体可行、关键步骤分析准确、条理清晰，可行性强的得5分；</w:t>
            </w:r>
          </w:p>
          <w:p w14:paraId="53AD8FE9">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②时间节点把控较为完整，管理方法基本可行，关键步骤分析基本满足项目需要的得3分；</w:t>
            </w:r>
          </w:p>
          <w:p w14:paraId="126F75F4">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③方案内容的完整性、表述的准确性一般，与项目的需要有一定差距的得1分；</w:t>
            </w:r>
          </w:p>
          <w:p w14:paraId="40FC6739">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④未提供相关内容的不得分。</w:t>
            </w:r>
          </w:p>
        </w:tc>
        <w:tc>
          <w:tcPr>
            <w:tcW w:w="585" w:type="dxa"/>
            <w:shd w:val="clear" w:color="auto" w:fill="auto"/>
            <w:vAlign w:val="center"/>
          </w:tcPr>
          <w:p w14:paraId="37DDA7DE">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5</w:t>
            </w:r>
          </w:p>
        </w:tc>
        <w:tc>
          <w:tcPr>
            <w:tcW w:w="807" w:type="dxa"/>
            <w:shd w:val="clear" w:color="auto" w:fill="auto"/>
            <w:vAlign w:val="center"/>
          </w:tcPr>
          <w:p w14:paraId="00B7B9A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6A37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869" w:type="dxa"/>
            <w:vMerge w:val="continue"/>
            <w:shd w:val="clear" w:color="auto" w:fill="auto"/>
            <w:vAlign w:val="center"/>
          </w:tcPr>
          <w:p w14:paraId="702E3EDD">
            <w:pPr>
              <w:adjustRightInd/>
              <w:rPr>
                <w:rFonts w:hint="eastAsia" w:ascii="Calibri" w:hAnsi="Calibri" w:eastAsia="宋体" w:cs="Times New Roman"/>
                <w:highlight w:val="none"/>
              </w:rPr>
            </w:pPr>
          </w:p>
        </w:tc>
        <w:tc>
          <w:tcPr>
            <w:tcW w:w="2221" w:type="dxa"/>
            <w:vMerge w:val="continue"/>
            <w:shd w:val="clear" w:color="auto" w:fill="auto"/>
            <w:vAlign w:val="center"/>
          </w:tcPr>
          <w:p w14:paraId="62FEA660">
            <w:pPr>
              <w:adjustRightInd/>
              <w:jc w:val="center"/>
              <w:rPr>
                <w:rFonts w:hint="eastAsia" w:ascii="Calibri" w:hAnsi="Calibri" w:eastAsia="宋体" w:cs="Times New Roman"/>
                <w:highlight w:val="none"/>
              </w:rPr>
            </w:pPr>
          </w:p>
        </w:tc>
        <w:tc>
          <w:tcPr>
            <w:tcW w:w="5018" w:type="dxa"/>
            <w:shd w:val="clear" w:color="auto" w:fill="auto"/>
            <w:vAlign w:val="center"/>
          </w:tcPr>
          <w:p w14:paraId="482C50BE">
            <w:pPr>
              <w:numPr>
                <w:ilvl w:val="0"/>
                <w:numId w:val="0"/>
              </w:numPr>
              <w:adjustRightInd/>
              <w:ind w:left="0" w:leftChars="0" w:firstLine="0" w:firstLineChars="0"/>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根据供应商提供的国产化适配方案进行评价。</w:t>
            </w:r>
          </w:p>
          <w:p w14:paraId="6ABC6F0C">
            <w:pPr>
              <w:numPr>
                <w:ilvl w:val="0"/>
                <w:numId w:val="0"/>
              </w:numPr>
              <w:adjustRightInd/>
              <w:ind w:leftChars="0"/>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w:t>
            </w:r>
            <w:r>
              <w:rPr>
                <w:rFonts w:hint="eastAsia" w:ascii="Calibri" w:hAnsi="Calibri" w:cs="Times New Roman"/>
                <w:highlight w:val="none"/>
                <w:lang w:val="en-US" w:eastAsia="zh-CN"/>
              </w:rPr>
              <w:t>适配度高</w:t>
            </w:r>
            <w:r>
              <w:rPr>
                <w:rFonts w:hint="eastAsia" w:ascii="Calibri" w:hAnsi="Calibri" w:eastAsia="宋体" w:cs="Times New Roman"/>
                <w:highlight w:val="none"/>
                <w:lang w:val="en-US" w:eastAsia="zh-CN"/>
              </w:rPr>
              <w:t>、可行性强的得5分；</w:t>
            </w:r>
          </w:p>
          <w:p w14:paraId="310F2E84">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②适配度</w:t>
            </w:r>
            <w:r>
              <w:rPr>
                <w:rFonts w:hint="eastAsia" w:ascii="Calibri" w:hAnsi="Calibri" w:cs="Times New Roman"/>
                <w:highlight w:val="none"/>
                <w:lang w:val="en-US" w:eastAsia="zh-CN"/>
              </w:rPr>
              <w:t>较高</w:t>
            </w:r>
            <w:r>
              <w:rPr>
                <w:rFonts w:hint="eastAsia" w:ascii="Calibri" w:hAnsi="Calibri" w:eastAsia="宋体" w:cs="Times New Roman"/>
                <w:highlight w:val="none"/>
                <w:lang w:val="en-US" w:eastAsia="zh-CN"/>
              </w:rPr>
              <w:t>，</w:t>
            </w:r>
            <w:r>
              <w:rPr>
                <w:rFonts w:hint="eastAsia" w:ascii="Calibri" w:hAnsi="Calibri" w:cs="Times New Roman"/>
                <w:highlight w:val="none"/>
                <w:lang w:val="en-US" w:eastAsia="zh-CN"/>
              </w:rPr>
              <w:t>方案</w:t>
            </w:r>
            <w:r>
              <w:rPr>
                <w:rFonts w:hint="eastAsia" w:ascii="Calibri" w:hAnsi="Calibri" w:eastAsia="宋体" w:cs="Times New Roman"/>
                <w:highlight w:val="none"/>
                <w:lang w:val="en-US" w:eastAsia="zh-CN"/>
              </w:rPr>
              <w:t>基本可行，基本满足项目需要的得3分；</w:t>
            </w:r>
          </w:p>
          <w:p w14:paraId="20056C99">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③适配度</w:t>
            </w:r>
            <w:r>
              <w:rPr>
                <w:rFonts w:hint="eastAsia" w:ascii="Calibri" w:hAnsi="Calibri" w:cs="Times New Roman"/>
                <w:highlight w:val="none"/>
                <w:lang w:val="en-US" w:eastAsia="zh-CN"/>
              </w:rPr>
              <w:t>较差</w:t>
            </w:r>
            <w:r>
              <w:rPr>
                <w:rFonts w:hint="eastAsia" w:ascii="Calibri" w:hAnsi="Calibri" w:eastAsia="宋体" w:cs="Times New Roman"/>
                <w:highlight w:val="none"/>
                <w:lang w:val="en-US" w:eastAsia="zh-CN"/>
              </w:rPr>
              <w:t>，与项目的需要有一定差距的得1分；</w:t>
            </w:r>
          </w:p>
          <w:p w14:paraId="2ED77B7A">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④未提供相关内容的不得分。</w:t>
            </w:r>
          </w:p>
        </w:tc>
        <w:tc>
          <w:tcPr>
            <w:tcW w:w="585" w:type="dxa"/>
            <w:shd w:val="clear" w:color="auto" w:fill="auto"/>
            <w:vAlign w:val="center"/>
          </w:tcPr>
          <w:p w14:paraId="1DE92013">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5</w:t>
            </w:r>
          </w:p>
        </w:tc>
        <w:tc>
          <w:tcPr>
            <w:tcW w:w="807" w:type="dxa"/>
            <w:shd w:val="clear" w:color="auto" w:fill="auto"/>
            <w:vAlign w:val="center"/>
          </w:tcPr>
          <w:p w14:paraId="0A16231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4A86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869" w:type="dxa"/>
            <w:vMerge w:val="continue"/>
            <w:shd w:val="clear" w:color="auto" w:fill="auto"/>
            <w:vAlign w:val="center"/>
          </w:tcPr>
          <w:p w14:paraId="591751F2">
            <w:pPr>
              <w:adjustRightInd/>
              <w:rPr>
                <w:rFonts w:hint="eastAsia" w:ascii="Calibri" w:hAnsi="Calibri" w:eastAsia="宋体" w:cs="Times New Roman"/>
                <w:highlight w:val="none"/>
              </w:rPr>
            </w:pPr>
          </w:p>
        </w:tc>
        <w:tc>
          <w:tcPr>
            <w:tcW w:w="2221" w:type="dxa"/>
            <w:vMerge w:val="continue"/>
            <w:shd w:val="clear" w:color="auto" w:fill="auto"/>
            <w:vAlign w:val="center"/>
          </w:tcPr>
          <w:p w14:paraId="484E14FE">
            <w:pPr>
              <w:adjustRightInd/>
              <w:jc w:val="center"/>
              <w:rPr>
                <w:rFonts w:hint="eastAsia" w:ascii="Calibri" w:hAnsi="Calibri" w:eastAsia="宋体" w:cs="Times New Roman"/>
                <w:highlight w:val="none"/>
              </w:rPr>
            </w:pPr>
          </w:p>
        </w:tc>
        <w:tc>
          <w:tcPr>
            <w:tcW w:w="5018" w:type="dxa"/>
            <w:shd w:val="clear" w:color="auto" w:fill="auto"/>
            <w:vAlign w:val="center"/>
          </w:tcPr>
          <w:p w14:paraId="394D043A">
            <w:pPr>
              <w:numPr>
                <w:ilvl w:val="0"/>
                <w:numId w:val="0"/>
              </w:numPr>
              <w:adjustRightInd/>
              <w:ind w:left="0" w:leftChars="0" w:firstLine="0" w:firstLineChars="0"/>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根据供应商针对本项目提供的项目保密方案进行评议。</w:t>
            </w:r>
          </w:p>
          <w:p w14:paraId="43FFD4FC">
            <w:pPr>
              <w:numPr>
                <w:ilvl w:val="0"/>
                <w:numId w:val="0"/>
              </w:numPr>
              <w:adjustRightInd/>
              <w:ind w:leftChars="0"/>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①方案内容完全结合</w:t>
            </w:r>
            <w:r>
              <w:rPr>
                <w:rFonts w:hint="eastAsia" w:ascii="Calibri" w:hAnsi="Calibri" w:cs="Times New Roman"/>
                <w:highlight w:val="none"/>
                <w:lang w:val="en-US" w:eastAsia="zh-CN"/>
              </w:rPr>
              <w:t>民政工作</w:t>
            </w:r>
            <w:r>
              <w:rPr>
                <w:rFonts w:hint="eastAsia" w:ascii="Calibri" w:hAnsi="Calibri" w:eastAsia="宋体" w:cs="Times New Roman"/>
                <w:highlight w:val="none"/>
                <w:lang w:val="en-US" w:eastAsia="zh-CN"/>
              </w:rPr>
              <w:t>实际情况，内容详实，可操作性</w:t>
            </w:r>
            <w:r>
              <w:rPr>
                <w:rFonts w:hint="eastAsia" w:ascii="Calibri" w:hAnsi="Calibri" w:cs="Times New Roman"/>
                <w:highlight w:val="none"/>
                <w:lang w:val="en-US" w:eastAsia="zh-CN"/>
              </w:rPr>
              <w:t>及保障性</w:t>
            </w:r>
            <w:r>
              <w:rPr>
                <w:rFonts w:hint="eastAsia" w:ascii="Calibri" w:hAnsi="Calibri" w:eastAsia="宋体" w:cs="Times New Roman"/>
                <w:highlight w:val="none"/>
                <w:lang w:val="en-US" w:eastAsia="zh-CN"/>
              </w:rPr>
              <w:t>强的得5分；</w:t>
            </w:r>
          </w:p>
          <w:p w14:paraId="0F2E0116">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②方案内容基本符合民政工作实际情况，</w:t>
            </w:r>
            <w:r>
              <w:rPr>
                <w:rFonts w:hint="eastAsia" w:ascii="Calibri" w:hAnsi="Calibri" w:cs="Times New Roman"/>
                <w:highlight w:val="none"/>
                <w:lang w:val="en-US" w:eastAsia="zh-CN"/>
              </w:rPr>
              <w:t>基本能保障信息报名</w:t>
            </w:r>
            <w:r>
              <w:rPr>
                <w:rFonts w:hint="eastAsia" w:ascii="Calibri" w:hAnsi="Calibri" w:eastAsia="宋体" w:cs="Times New Roman"/>
                <w:highlight w:val="none"/>
                <w:lang w:val="en-US" w:eastAsia="zh-CN"/>
              </w:rPr>
              <w:t>，但存在一定缺陷有待改进的得3分；</w:t>
            </w:r>
          </w:p>
          <w:p w14:paraId="52BEA45B">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③方案内容对民政工作</w:t>
            </w:r>
            <w:r>
              <w:rPr>
                <w:rFonts w:hint="eastAsia" w:ascii="Calibri" w:hAnsi="Calibri" w:cs="Times New Roman"/>
                <w:highlight w:val="none"/>
                <w:lang w:val="en-US" w:eastAsia="zh-CN"/>
              </w:rPr>
              <w:t>实际</w:t>
            </w:r>
            <w:r>
              <w:rPr>
                <w:rFonts w:hint="eastAsia" w:ascii="Calibri" w:hAnsi="Calibri" w:eastAsia="宋体" w:cs="Times New Roman"/>
                <w:highlight w:val="none"/>
                <w:lang w:val="en-US" w:eastAsia="zh-CN"/>
              </w:rPr>
              <w:t>要求理解不透彻，方案可操作性略差的得</w:t>
            </w:r>
            <w:r>
              <w:rPr>
                <w:rFonts w:hint="eastAsia" w:ascii="Calibri" w:hAnsi="Calibri" w:cs="Times New Roman"/>
                <w:highlight w:val="none"/>
                <w:lang w:val="en-US" w:eastAsia="zh-CN"/>
              </w:rPr>
              <w:t>1</w:t>
            </w:r>
            <w:r>
              <w:rPr>
                <w:rFonts w:hint="eastAsia" w:ascii="Calibri" w:hAnsi="Calibri" w:eastAsia="宋体" w:cs="Times New Roman"/>
                <w:highlight w:val="none"/>
                <w:lang w:val="en-US" w:eastAsia="zh-CN"/>
              </w:rPr>
              <w:t>分；</w:t>
            </w:r>
          </w:p>
          <w:p w14:paraId="46EB258F">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④未提供相关内容的不得分。</w:t>
            </w:r>
          </w:p>
        </w:tc>
        <w:tc>
          <w:tcPr>
            <w:tcW w:w="585" w:type="dxa"/>
            <w:shd w:val="clear" w:color="auto" w:fill="auto"/>
            <w:vAlign w:val="center"/>
          </w:tcPr>
          <w:p w14:paraId="53E31429">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5</w:t>
            </w:r>
          </w:p>
        </w:tc>
        <w:tc>
          <w:tcPr>
            <w:tcW w:w="807" w:type="dxa"/>
            <w:shd w:val="clear" w:color="auto" w:fill="auto"/>
            <w:vAlign w:val="center"/>
          </w:tcPr>
          <w:p w14:paraId="0CAC422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1996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869" w:type="dxa"/>
            <w:vMerge w:val="continue"/>
            <w:shd w:val="clear" w:color="auto" w:fill="auto"/>
            <w:vAlign w:val="center"/>
          </w:tcPr>
          <w:p w14:paraId="2B2817B8">
            <w:pPr>
              <w:adjustRightInd/>
              <w:rPr>
                <w:rFonts w:hint="eastAsia" w:ascii="Calibri" w:hAnsi="Calibri" w:eastAsia="宋体" w:cs="Times New Roman"/>
                <w:highlight w:val="none"/>
              </w:rPr>
            </w:pPr>
          </w:p>
        </w:tc>
        <w:tc>
          <w:tcPr>
            <w:tcW w:w="2221" w:type="dxa"/>
            <w:vMerge w:val="restart"/>
            <w:shd w:val="clear" w:color="auto" w:fill="auto"/>
            <w:vAlign w:val="center"/>
          </w:tcPr>
          <w:p w14:paraId="46BC59C4">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售后服务方案（10分）</w:t>
            </w:r>
          </w:p>
        </w:tc>
        <w:tc>
          <w:tcPr>
            <w:tcW w:w="5018" w:type="dxa"/>
            <w:shd w:val="clear" w:color="auto" w:fill="auto"/>
            <w:vAlign w:val="center"/>
          </w:tcPr>
          <w:p w14:paraId="7B9E70FA">
            <w:pPr>
              <w:numPr>
                <w:ilvl w:val="0"/>
                <w:numId w:val="0"/>
              </w:num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根据供应商提供的售后服务方案中售后服务团队人员、售后服务机构情况、技术支持的力度、响应程度、售后服务承诺的完善度、解决问题的能力、其他优惠承诺及措施等方面进行评议。</w:t>
            </w:r>
          </w:p>
          <w:p w14:paraId="3EA0E608">
            <w:pPr>
              <w:numPr>
                <w:ilvl w:val="0"/>
                <w:numId w:val="0"/>
              </w:num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①服务流程规范、售后服务体系健全、售后服务满足服务要求，方案完整、合理、可行性强得</w:t>
            </w:r>
            <w:r>
              <w:rPr>
                <w:rFonts w:hint="eastAsia" w:ascii="Calibri" w:hAnsi="Calibri" w:cs="Times New Roman"/>
                <w:highlight w:val="none"/>
                <w:lang w:val="en-US" w:eastAsia="zh-CN"/>
              </w:rPr>
              <w:t>4</w:t>
            </w:r>
            <w:r>
              <w:rPr>
                <w:rFonts w:hint="eastAsia" w:ascii="Calibri" w:hAnsi="Calibri" w:eastAsia="宋体" w:cs="Times New Roman"/>
                <w:highlight w:val="none"/>
                <w:lang w:val="en-US" w:eastAsia="zh-CN"/>
              </w:rPr>
              <w:t>分；</w:t>
            </w:r>
          </w:p>
          <w:p w14:paraId="239B26A6">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②服务流程基本规范、售后服务体系基本健全、基本满足服务要求方案基本合理可行得</w:t>
            </w:r>
            <w:r>
              <w:rPr>
                <w:rFonts w:hint="eastAsia" w:ascii="Calibri" w:hAnsi="Calibri" w:cs="Times New Roman"/>
                <w:highlight w:val="none"/>
                <w:lang w:val="en-US" w:eastAsia="zh-CN"/>
              </w:rPr>
              <w:t>2</w:t>
            </w:r>
            <w:r>
              <w:rPr>
                <w:rFonts w:hint="eastAsia" w:ascii="Calibri" w:hAnsi="Calibri" w:eastAsia="宋体" w:cs="Times New Roman"/>
                <w:highlight w:val="none"/>
                <w:lang w:val="en-US" w:eastAsia="zh-CN"/>
              </w:rPr>
              <w:t>分；</w:t>
            </w:r>
          </w:p>
          <w:p w14:paraId="490BF062">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③服务流程不规范、售后服务体系不健全、部分满足服务要求方案笼统或存在一定缺漏得</w:t>
            </w:r>
            <w:r>
              <w:rPr>
                <w:rFonts w:hint="eastAsia" w:ascii="Calibri" w:hAnsi="Calibri" w:cs="Times New Roman"/>
                <w:highlight w:val="none"/>
                <w:lang w:val="en-US" w:eastAsia="zh-CN"/>
              </w:rPr>
              <w:t>1</w:t>
            </w:r>
            <w:r>
              <w:rPr>
                <w:rFonts w:hint="eastAsia" w:ascii="Calibri" w:hAnsi="Calibri" w:eastAsia="宋体" w:cs="Times New Roman"/>
                <w:highlight w:val="none"/>
                <w:lang w:val="en-US" w:eastAsia="zh-CN"/>
              </w:rPr>
              <w:t>分；</w:t>
            </w:r>
          </w:p>
          <w:p w14:paraId="77D5437C">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④未提供相关内容的不得分。</w:t>
            </w:r>
          </w:p>
        </w:tc>
        <w:tc>
          <w:tcPr>
            <w:tcW w:w="585" w:type="dxa"/>
            <w:shd w:val="clear" w:color="auto" w:fill="auto"/>
            <w:vAlign w:val="center"/>
          </w:tcPr>
          <w:p w14:paraId="63B06754">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4</w:t>
            </w:r>
          </w:p>
        </w:tc>
        <w:tc>
          <w:tcPr>
            <w:tcW w:w="807" w:type="dxa"/>
            <w:shd w:val="clear" w:color="auto" w:fill="auto"/>
            <w:vAlign w:val="center"/>
          </w:tcPr>
          <w:p w14:paraId="301C897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5FDE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869" w:type="dxa"/>
            <w:vMerge w:val="continue"/>
            <w:shd w:val="clear" w:color="auto" w:fill="auto"/>
            <w:vAlign w:val="center"/>
          </w:tcPr>
          <w:p w14:paraId="1B89FD85">
            <w:pPr>
              <w:adjustRightInd/>
              <w:rPr>
                <w:rFonts w:hint="eastAsia" w:ascii="Calibri" w:hAnsi="Calibri" w:eastAsia="宋体" w:cs="Times New Roman"/>
                <w:highlight w:val="none"/>
              </w:rPr>
            </w:pPr>
          </w:p>
        </w:tc>
        <w:tc>
          <w:tcPr>
            <w:tcW w:w="2221" w:type="dxa"/>
            <w:vMerge w:val="continue"/>
            <w:shd w:val="clear" w:color="auto" w:fill="auto"/>
            <w:vAlign w:val="center"/>
          </w:tcPr>
          <w:p w14:paraId="6CA56746">
            <w:pPr>
              <w:adjustRightInd/>
              <w:jc w:val="center"/>
              <w:rPr>
                <w:rFonts w:hint="eastAsia" w:ascii="Calibri" w:hAnsi="Calibri" w:eastAsia="宋体" w:cs="Times New Roman"/>
                <w:highlight w:val="none"/>
              </w:rPr>
            </w:pPr>
          </w:p>
        </w:tc>
        <w:tc>
          <w:tcPr>
            <w:tcW w:w="5018" w:type="dxa"/>
            <w:shd w:val="clear" w:color="auto" w:fill="auto"/>
            <w:vAlign w:val="center"/>
          </w:tcPr>
          <w:p w14:paraId="203B04D5">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售后服务方案中故障响应及修复时间需承诺：若承诺在接到通知30分钟之内响应，在电话响应未能解决的情况下，向采购人提供现场服务解决问题，现场响应时间应在2小时之内到场。提供并满足上述承诺时间的得2分；不满足上述承诺时间或未承诺的不得分。</w:t>
            </w:r>
          </w:p>
        </w:tc>
        <w:tc>
          <w:tcPr>
            <w:tcW w:w="585" w:type="dxa"/>
            <w:shd w:val="clear" w:color="auto" w:fill="auto"/>
            <w:vAlign w:val="center"/>
          </w:tcPr>
          <w:p w14:paraId="239E9F43">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2</w:t>
            </w:r>
          </w:p>
        </w:tc>
        <w:tc>
          <w:tcPr>
            <w:tcW w:w="807" w:type="dxa"/>
            <w:shd w:val="clear" w:color="auto" w:fill="auto"/>
            <w:vAlign w:val="center"/>
          </w:tcPr>
          <w:p w14:paraId="4120493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客观评审</w:t>
            </w:r>
          </w:p>
        </w:tc>
      </w:tr>
      <w:tr w14:paraId="7434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869" w:type="dxa"/>
            <w:vMerge w:val="continue"/>
            <w:shd w:val="clear" w:color="auto" w:fill="auto"/>
            <w:vAlign w:val="center"/>
          </w:tcPr>
          <w:p w14:paraId="2E24C70C">
            <w:pPr>
              <w:adjustRightInd/>
              <w:rPr>
                <w:rFonts w:hint="eastAsia" w:ascii="Calibri" w:hAnsi="Calibri" w:eastAsia="宋体" w:cs="Times New Roman"/>
                <w:highlight w:val="none"/>
              </w:rPr>
            </w:pPr>
          </w:p>
        </w:tc>
        <w:tc>
          <w:tcPr>
            <w:tcW w:w="2221" w:type="dxa"/>
            <w:vMerge w:val="continue"/>
            <w:shd w:val="clear" w:color="auto" w:fill="auto"/>
            <w:vAlign w:val="center"/>
          </w:tcPr>
          <w:p w14:paraId="63FCA96F">
            <w:pPr>
              <w:adjustRightInd/>
              <w:jc w:val="center"/>
              <w:rPr>
                <w:rFonts w:hint="eastAsia" w:ascii="Calibri" w:hAnsi="Calibri" w:eastAsia="宋体" w:cs="Times New Roman"/>
                <w:highlight w:val="none"/>
              </w:rPr>
            </w:pPr>
          </w:p>
        </w:tc>
        <w:tc>
          <w:tcPr>
            <w:tcW w:w="5018" w:type="dxa"/>
            <w:shd w:val="clear" w:color="auto" w:fill="auto"/>
            <w:vAlign w:val="center"/>
          </w:tcPr>
          <w:p w14:paraId="1BE1F228">
            <w:pPr>
              <w:numPr>
                <w:ilvl w:val="0"/>
                <w:numId w:val="0"/>
              </w:numPr>
              <w:adjustRightInd/>
              <w:ind w:left="0" w:leftChars="0" w:firstLine="0" w:firstLineChars="0"/>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根据供应商针对本项目提供的服务质量保障方案（内容包括但不限于实施计划流程、工期进度掌控措施、质量保证措施等方面）进行评议。</w:t>
            </w:r>
          </w:p>
          <w:p w14:paraId="65782971">
            <w:pPr>
              <w:numPr>
                <w:ilvl w:val="0"/>
                <w:numId w:val="0"/>
              </w:numPr>
              <w:adjustRightInd/>
              <w:ind w:leftChars="0"/>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①服务</w:t>
            </w:r>
            <w:r>
              <w:rPr>
                <w:rFonts w:hint="eastAsia" w:ascii="Calibri" w:hAnsi="Calibri" w:cs="Times New Roman"/>
                <w:highlight w:val="none"/>
                <w:lang w:val="en-US" w:eastAsia="zh-CN"/>
              </w:rPr>
              <w:t>质量保障方案</w:t>
            </w:r>
            <w:r>
              <w:rPr>
                <w:rFonts w:hint="eastAsia" w:ascii="Calibri" w:hAnsi="Calibri" w:eastAsia="宋体" w:cs="Times New Roman"/>
                <w:highlight w:val="none"/>
                <w:lang w:val="en-US" w:eastAsia="zh-CN"/>
              </w:rPr>
              <w:t>内容完全结合</w:t>
            </w:r>
            <w:r>
              <w:rPr>
                <w:rFonts w:hint="eastAsia" w:ascii="Calibri" w:hAnsi="Calibri" w:cs="Times New Roman"/>
                <w:highlight w:val="none"/>
                <w:lang w:val="en-US" w:eastAsia="zh-CN"/>
              </w:rPr>
              <w:t>民政</w:t>
            </w:r>
            <w:r>
              <w:rPr>
                <w:rFonts w:hint="eastAsia" w:ascii="Calibri" w:hAnsi="Calibri" w:eastAsia="宋体" w:cs="Times New Roman"/>
                <w:highlight w:val="none"/>
                <w:lang w:val="en-US" w:eastAsia="zh-CN"/>
              </w:rPr>
              <w:t>实际情况，能有效配合</w:t>
            </w:r>
            <w:r>
              <w:rPr>
                <w:rFonts w:hint="eastAsia" w:ascii="Calibri" w:hAnsi="Calibri" w:cs="Times New Roman"/>
                <w:highlight w:val="none"/>
                <w:lang w:val="en-US" w:eastAsia="zh-CN"/>
              </w:rPr>
              <w:t>民政</w:t>
            </w:r>
            <w:r>
              <w:rPr>
                <w:rFonts w:hint="eastAsia" w:ascii="Calibri" w:hAnsi="Calibri" w:eastAsia="宋体" w:cs="Times New Roman"/>
                <w:highlight w:val="none"/>
                <w:lang w:val="en-US" w:eastAsia="zh-CN"/>
              </w:rPr>
              <w:t>提高服务质量，能满足民政</w:t>
            </w:r>
            <w:r>
              <w:rPr>
                <w:rFonts w:hint="eastAsia" w:ascii="Calibri" w:hAnsi="Calibri" w:cs="Times New Roman"/>
                <w:highlight w:val="none"/>
                <w:lang w:val="en-US" w:eastAsia="zh-CN"/>
              </w:rPr>
              <w:t>工作</w:t>
            </w:r>
            <w:r>
              <w:rPr>
                <w:rFonts w:hint="eastAsia" w:ascii="Calibri" w:hAnsi="Calibri" w:eastAsia="宋体" w:cs="Times New Roman"/>
                <w:highlight w:val="none"/>
                <w:lang w:val="en-US" w:eastAsia="zh-CN"/>
              </w:rPr>
              <w:t>要求的得</w:t>
            </w:r>
            <w:r>
              <w:rPr>
                <w:rFonts w:hint="eastAsia" w:ascii="Calibri" w:hAnsi="Calibri" w:cs="Times New Roman"/>
                <w:highlight w:val="none"/>
                <w:lang w:val="en-US" w:eastAsia="zh-CN"/>
              </w:rPr>
              <w:t>4</w:t>
            </w:r>
            <w:r>
              <w:rPr>
                <w:rFonts w:hint="eastAsia" w:ascii="Calibri" w:hAnsi="Calibri" w:eastAsia="宋体" w:cs="Times New Roman"/>
                <w:highlight w:val="none"/>
                <w:lang w:val="en-US" w:eastAsia="zh-CN"/>
              </w:rPr>
              <w:t>分；</w:t>
            </w:r>
          </w:p>
          <w:p w14:paraId="3C559C5D">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②服务质量保障方案内容</w:t>
            </w:r>
            <w:r>
              <w:rPr>
                <w:rFonts w:hint="eastAsia" w:ascii="Calibri" w:hAnsi="Calibri" w:cs="Times New Roman"/>
                <w:highlight w:val="none"/>
                <w:lang w:val="en-US" w:eastAsia="zh-CN"/>
              </w:rPr>
              <w:t>基本</w:t>
            </w:r>
            <w:r>
              <w:rPr>
                <w:rFonts w:hint="eastAsia" w:ascii="Calibri" w:hAnsi="Calibri" w:eastAsia="宋体" w:cs="Times New Roman"/>
                <w:highlight w:val="none"/>
                <w:lang w:val="en-US" w:eastAsia="zh-CN"/>
              </w:rPr>
              <w:t>结合民政实际情况，基本满足民政基本服务要求，能提供比较有针对性的服务措施的得</w:t>
            </w:r>
            <w:r>
              <w:rPr>
                <w:rFonts w:hint="eastAsia" w:ascii="Calibri" w:hAnsi="Calibri" w:cs="Times New Roman"/>
                <w:highlight w:val="none"/>
                <w:lang w:val="en-US" w:eastAsia="zh-CN"/>
              </w:rPr>
              <w:t>2</w:t>
            </w:r>
            <w:r>
              <w:rPr>
                <w:rFonts w:hint="eastAsia" w:ascii="Calibri" w:hAnsi="Calibri" w:eastAsia="宋体" w:cs="Times New Roman"/>
                <w:highlight w:val="none"/>
                <w:lang w:val="en-US" w:eastAsia="zh-CN"/>
              </w:rPr>
              <w:t>分；</w:t>
            </w:r>
          </w:p>
          <w:p w14:paraId="1DC90558">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③服务质量保障方案内容不完整，与本项目实际需求有差距的得1分；</w:t>
            </w:r>
          </w:p>
          <w:p w14:paraId="6763C5BB">
            <w:pPr>
              <w:adjustRightInd/>
              <w:rPr>
                <w:rFonts w:hint="eastAsia" w:ascii="Calibri" w:hAnsi="Calibri" w:eastAsia="宋体" w:cs="Times New Roman"/>
                <w:highlight w:val="none"/>
              </w:rPr>
            </w:pPr>
            <w:r>
              <w:rPr>
                <w:rFonts w:hint="eastAsia" w:ascii="Calibri" w:hAnsi="Calibri" w:cs="Times New Roman"/>
                <w:highlight w:val="none"/>
                <w:lang w:val="en-US" w:eastAsia="zh-CN"/>
              </w:rPr>
              <w:t>④</w:t>
            </w:r>
            <w:r>
              <w:rPr>
                <w:rFonts w:hint="eastAsia" w:ascii="Calibri" w:hAnsi="Calibri" w:eastAsia="宋体" w:cs="Times New Roman"/>
                <w:highlight w:val="none"/>
                <w:lang w:val="en-US" w:eastAsia="zh-CN"/>
              </w:rPr>
              <w:t>未提供相关内容的不得分。</w:t>
            </w:r>
          </w:p>
        </w:tc>
        <w:tc>
          <w:tcPr>
            <w:tcW w:w="585" w:type="dxa"/>
            <w:shd w:val="clear" w:color="auto" w:fill="auto"/>
            <w:vAlign w:val="center"/>
          </w:tcPr>
          <w:p w14:paraId="62585756">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4</w:t>
            </w:r>
          </w:p>
        </w:tc>
        <w:tc>
          <w:tcPr>
            <w:tcW w:w="807" w:type="dxa"/>
            <w:shd w:val="clear" w:color="auto" w:fill="auto"/>
            <w:vAlign w:val="center"/>
          </w:tcPr>
          <w:p w14:paraId="5B4997F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391D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69" w:type="dxa"/>
            <w:vMerge w:val="continue"/>
            <w:shd w:val="clear" w:color="auto" w:fill="auto"/>
            <w:vAlign w:val="center"/>
          </w:tcPr>
          <w:p w14:paraId="6104DFD5">
            <w:pPr>
              <w:adjustRightInd/>
              <w:rPr>
                <w:rFonts w:hint="eastAsia" w:ascii="Calibri" w:hAnsi="Calibri" w:eastAsia="宋体" w:cs="Times New Roman"/>
                <w:highlight w:val="none"/>
              </w:rPr>
            </w:pPr>
          </w:p>
        </w:tc>
        <w:tc>
          <w:tcPr>
            <w:tcW w:w="2221" w:type="dxa"/>
            <w:vMerge w:val="restart"/>
            <w:shd w:val="clear" w:color="auto" w:fill="auto"/>
            <w:vAlign w:val="center"/>
          </w:tcPr>
          <w:p w14:paraId="1C445D98">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培训方案（4分）</w:t>
            </w:r>
          </w:p>
        </w:tc>
        <w:tc>
          <w:tcPr>
            <w:tcW w:w="5018" w:type="dxa"/>
            <w:vMerge w:val="restart"/>
            <w:shd w:val="clear" w:color="auto" w:fill="auto"/>
            <w:vAlign w:val="center"/>
          </w:tcPr>
          <w:p w14:paraId="38BA4A10">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根据供应商针对采购人提供的培训方案而制订的培训计划、培训人员配备、培训内容等进行评议。</w:t>
            </w:r>
          </w:p>
          <w:p w14:paraId="685AC436">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①培训内容可涵盖本项目全部软件使用内容、时间安排充足，频次合理，可行性强的得</w:t>
            </w:r>
            <w:r>
              <w:rPr>
                <w:rFonts w:hint="eastAsia" w:ascii="Calibri" w:hAnsi="Calibri" w:cs="Times New Roman"/>
                <w:highlight w:val="none"/>
                <w:lang w:val="en-US" w:eastAsia="zh-CN"/>
              </w:rPr>
              <w:t>4</w:t>
            </w:r>
            <w:r>
              <w:rPr>
                <w:rFonts w:hint="eastAsia" w:ascii="Calibri" w:hAnsi="Calibri" w:eastAsia="宋体" w:cs="Times New Roman"/>
                <w:highlight w:val="none"/>
                <w:lang w:val="en-US" w:eastAsia="zh-CN"/>
              </w:rPr>
              <w:t>分；</w:t>
            </w:r>
          </w:p>
          <w:p w14:paraId="4CFEC74F">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②培训内容基本涵盖本项目全部软件使用内容、时间安排较充足，频次基本合理，基本满足项目需要的得</w:t>
            </w:r>
            <w:r>
              <w:rPr>
                <w:rFonts w:hint="eastAsia" w:ascii="Calibri" w:hAnsi="Calibri" w:cs="Times New Roman"/>
                <w:highlight w:val="none"/>
                <w:lang w:val="en-US" w:eastAsia="zh-CN"/>
              </w:rPr>
              <w:t>2</w:t>
            </w:r>
            <w:r>
              <w:rPr>
                <w:rFonts w:hint="eastAsia" w:ascii="Calibri" w:hAnsi="Calibri" w:eastAsia="宋体" w:cs="Times New Roman"/>
                <w:highlight w:val="none"/>
                <w:lang w:val="en-US" w:eastAsia="zh-CN"/>
              </w:rPr>
              <w:t>分；</w:t>
            </w:r>
          </w:p>
          <w:p w14:paraId="0C77DD1A">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③方案内容的完整性、合理性一般，与项目的需要有一定差距的得1分；</w:t>
            </w:r>
          </w:p>
          <w:p w14:paraId="5EA95361">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④未提供相关内容的不得分。</w:t>
            </w:r>
          </w:p>
        </w:tc>
        <w:tc>
          <w:tcPr>
            <w:tcW w:w="585" w:type="dxa"/>
            <w:vMerge w:val="restart"/>
            <w:shd w:val="clear" w:color="auto" w:fill="auto"/>
            <w:vAlign w:val="center"/>
          </w:tcPr>
          <w:p w14:paraId="4C184FC3">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4</w:t>
            </w:r>
          </w:p>
        </w:tc>
        <w:tc>
          <w:tcPr>
            <w:tcW w:w="807" w:type="dxa"/>
            <w:vMerge w:val="restart"/>
            <w:shd w:val="clear" w:color="auto" w:fill="auto"/>
            <w:vAlign w:val="center"/>
          </w:tcPr>
          <w:p w14:paraId="2D32B6F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主观评审</w:t>
            </w:r>
          </w:p>
        </w:tc>
      </w:tr>
      <w:tr w14:paraId="1CED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69" w:type="dxa"/>
            <w:vMerge w:val="continue"/>
            <w:shd w:val="clear" w:color="auto" w:fill="auto"/>
            <w:vAlign w:val="center"/>
          </w:tcPr>
          <w:p w14:paraId="6AD66A21">
            <w:pPr>
              <w:adjustRightInd/>
              <w:rPr>
                <w:rFonts w:hint="eastAsia" w:ascii="Calibri" w:hAnsi="Calibri" w:eastAsia="宋体" w:cs="Times New Roman"/>
                <w:highlight w:val="none"/>
              </w:rPr>
            </w:pPr>
          </w:p>
        </w:tc>
        <w:tc>
          <w:tcPr>
            <w:tcW w:w="2221" w:type="dxa"/>
            <w:vMerge w:val="continue"/>
            <w:shd w:val="clear" w:color="auto" w:fill="auto"/>
            <w:vAlign w:val="center"/>
          </w:tcPr>
          <w:p w14:paraId="3AB4FAD0">
            <w:pPr>
              <w:adjustRightInd/>
              <w:jc w:val="center"/>
              <w:rPr>
                <w:rFonts w:hint="eastAsia" w:ascii="Calibri" w:hAnsi="Calibri" w:eastAsia="宋体" w:cs="Times New Roman"/>
                <w:highlight w:val="none"/>
              </w:rPr>
            </w:pPr>
          </w:p>
        </w:tc>
        <w:tc>
          <w:tcPr>
            <w:tcW w:w="5018" w:type="dxa"/>
            <w:vMerge w:val="continue"/>
            <w:shd w:val="clear" w:color="auto" w:fill="auto"/>
            <w:vAlign w:val="center"/>
          </w:tcPr>
          <w:p w14:paraId="605707D8">
            <w:pPr>
              <w:adjustRightInd/>
              <w:rPr>
                <w:rFonts w:hint="eastAsia" w:ascii="Calibri" w:hAnsi="Calibri" w:eastAsia="宋体" w:cs="Times New Roman"/>
                <w:highlight w:val="none"/>
              </w:rPr>
            </w:pPr>
          </w:p>
        </w:tc>
        <w:tc>
          <w:tcPr>
            <w:tcW w:w="585" w:type="dxa"/>
            <w:vMerge w:val="continue"/>
            <w:shd w:val="clear" w:color="auto" w:fill="auto"/>
            <w:vAlign w:val="center"/>
          </w:tcPr>
          <w:p w14:paraId="0B53EB82">
            <w:pPr>
              <w:adjustRightInd/>
              <w:jc w:val="center"/>
              <w:rPr>
                <w:rFonts w:hint="eastAsia" w:ascii="Calibri" w:hAnsi="Calibri" w:eastAsia="宋体" w:cs="Times New Roman"/>
                <w:highlight w:val="none"/>
              </w:rPr>
            </w:pPr>
          </w:p>
        </w:tc>
        <w:tc>
          <w:tcPr>
            <w:tcW w:w="807" w:type="dxa"/>
            <w:vMerge w:val="continue"/>
            <w:shd w:val="clear" w:color="auto" w:fill="auto"/>
            <w:vAlign w:val="center"/>
          </w:tcPr>
          <w:p w14:paraId="7BF2896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p>
        </w:tc>
      </w:tr>
      <w:tr w14:paraId="5714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8" w:hRule="atLeast"/>
        </w:trPr>
        <w:tc>
          <w:tcPr>
            <w:tcW w:w="869" w:type="dxa"/>
            <w:vMerge w:val="continue"/>
            <w:shd w:val="clear" w:color="auto" w:fill="auto"/>
            <w:vAlign w:val="center"/>
          </w:tcPr>
          <w:p w14:paraId="0F81C390">
            <w:pPr>
              <w:adjustRightInd/>
              <w:rPr>
                <w:rFonts w:hint="eastAsia" w:ascii="Calibri" w:hAnsi="Calibri" w:eastAsia="宋体" w:cs="Times New Roman"/>
                <w:highlight w:val="none"/>
              </w:rPr>
            </w:pPr>
          </w:p>
        </w:tc>
        <w:tc>
          <w:tcPr>
            <w:tcW w:w="2221" w:type="dxa"/>
            <w:vMerge w:val="restart"/>
            <w:shd w:val="clear" w:color="auto" w:fill="auto"/>
            <w:vAlign w:val="center"/>
          </w:tcPr>
          <w:p w14:paraId="29E72C2B">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项目团队情况（10分）</w:t>
            </w:r>
          </w:p>
        </w:tc>
        <w:tc>
          <w:tcPr>
            <w:tcW w:w="5018" w:type="dxa"/>
            <w:shd w:val="clear" w:color="auto" w:fill="auto"/>
            <w:vAlign w:val="center"/>
          </w:tcPr>
          <w:p w14:paraId="7A7F897A">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项目负责人情况</w:t>
            </w:r>
            <w:r>
              <w:rPr>
                <w:rFonts w:hint="eastAsia" w:ascii="Calibri" w:hAnsi="Calibri" w:eastAsia="宋体" w:cs="Times New Roman"/>
                <w:highlight w:val="none"/>
                <w:lang w:val="en-US" w:eastAsia="zh-CN"/>
              </w:rPr>
              <w:br w:type="textWrapping"/>
            </w:r>
            <w:r>
              <w:rPr>
                <w:rFonts w:hint="eastAsia" w:ascii="Calibri" w:hAnsi="Calibri" w:eastAsia="宋体" w:cs="Times New Roman"/>
                <w:highlight w:val="none"/>
                <w:lang w:val="en-US" w:eastAsia="zh-CN"/>
              </w:rPr>
              <w:t>拟派项目负责人具有高级信息系统项目管理师证书、高级工程师证书、CISP证书，每提供一类证书得2分。（6分）注：提供有效期内证书复印件并加盖公章、提供投标截止日前半年内任意三个月的社保缴费证明复印件并加盖公章，未提供相关证明或证明材料不齐全的不得分。</w:t>
            </w:r>
          </w:p>
        </w:tc>
        <w:tc>
          <w:tcPr>
            <w:tcW w:w="585" w:type="dxa"/>
            <w:shd w:val="clear" w:color="auto" w:fill="auto"/>
            <w:vAlign w:val="center"/>
          </w:tcPr>
          <w:p w14:paraId="3E5B8F17">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6</w:t>
            </w:r>
          </w:p>
        </w:tc>
        <w:tc>
          <w:tcPr>
            <w:tcW w:w="807" w:type="dxa"/>
            <w:shd w:val="clear" w:color="auto" w:fill="auto"/>
            <w:vAlign w:val="center"/>
          </w:tcPr>
          <w:p w14:paraId="2812D8C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客观评审</w:t>
            </w:r>
          </w:p>
        </w:tc>
      </w:tr>
      <w:tr w14:paraId="7816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69" w:type="dxa"/>
            <w:vMerge w:val="continue"/>
            <w:shd w:val="clear" w:color="auto" w:fill="auto"/>
            <w:vAlign w:val="center"/>
          </w:tcPr>
          <w:p w14:paraId="1869C8C7">
            <w:pPr>
              <w:adjustRightInd/>
              <w:rPr>
                <w:rFonts w:hint="eastAsia" w:ascii="Calibri" w:hAnsi="Calibri" w:eastAsia="宋体" w:cs="Times New Roman"/>
                <w:highlight w:val="none"/>
              </w:rPr>
            </w:pPr>
          </w:p>
        </w:tc>
        <w:tc>
          <w:tcPr>
            <w:tcW w:w="2221" w:type="dxa"/>
            <w:vMerge w:val="continue"/>
            <w:shd w:val="clear" w:color="auto" w:fill="auto"/>
            <w:vAlign w:val="center"/>
          </w:tcPr>
          <w:p w14:paraId="6F056116">
            <w:pPr>
              <w:adjustRightInd/>
              <w:rPr>
                <w:rFonts w:hint="eastAsia" w:ascii="Calibri" w:hAnsi="Calibri" w:eastAsia="宋体" w:cs="Times New Roman"/>
                <w:highlight w:val="none"/>
              </w:rPr>
            </w:pPr>
          </w:p>
        </w:tc>
        <w:tc>
          <w:tcPr>
            <w:tcW w:w="5018" w:type="dxa"/>
            <w:shd w:val="clear" w:color="auto" w:fill="auto"/>
            <w:vAlign w:val="center"/>
          </w:tcPr>
          <w:p w14:paraId="41F33A26">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项目组成员情况（除项目负责人外）</w:t>
            </w:r>
            <w:r>
              <w:rPr>
                <w:rFonts w:hint="eastAsia" w:ascii="Calibri" w:hAnsi="Calibri" w:eastAsia="宋体" w:cs="Times New Roman"/>
                <w:highlight w:val="none"/>
                <w:lang w:val="en-US" w:eastAsia="zh-CN"/>
              </w:rPr>
              <w:br w:type="textWrapping"/>
            </w:r>
            <w:r>
              <w:rPr>
                <w:rFonts w:hint="eastAsia" w:ascii="Calibri" w:hAnsi="Calibri" w:eastAsia="宋体" w:cs="Times New Roman"/>
                <w:highlight w:val="none"/>
                <w:lang w:val="en-US" w:eastAsia="zh-CN"/>
              </w:rPr>
              <w:t>拟派团队成员具有软件设计师证书、网络规划设计师</w:t>
            </w:r>
            <w:r>
              <w:rPr>
                <w:rFonts w:hint="eastAsia" w:ascii="Calibri" w:hAnsi="Calibri" w:cs="Times New Roman"/>
                <w:highlight w:val="none"/>
                <w:lang w:val="en-US" w:eastAsia="zh-CN"/>
              </w:rPr>
              <w:t>证书</w:t>
            </w:r>
            <w:r>
              <w:rPr>
                <w:rFonts w:hint="eastAsia" w:ascii="Calibri" w:hAnsi="Calibri" w:eastAsia="宋体" w:cs="Times New Roman"/>
                <w:highlight w:val="none"/>
                <w:lang w:val="en-US" w:eastAsia="zh-CN"/>
              </w:rPr>
              <w:t>、系统集成项目管理工程师证书、注册信息安全工程师证书，每提供一类证书得1分。满分4分。同一人具备多个证书或多人具有同一专业证书的只计一次。（4分）注：提供有效期内证书复印件并加盖公章、提供投标截止日前半年内任意三个月的社保缴费证明复印件并加盖公章，未提供相关证明或证明材料不齐全的不得分。</w:t>
            </w:r>
          </w:p>
        </w:tc>
        <w:tc>
          <w:tcPr>
            <w:tcW w:w="585" w:type="dxa"/>
            <w:shd w:val="clear" w:color="auto" w:fill="auto"/>
            <w:vAlign w:val="center"/>
          </w:tcPr>
          <w:p w14:paraId="298636E6">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4</w:t>
            </w:r>
          </w:p>
        </w:tc>
        <w:tc>
          <w:tcPr>
            <w:tcW w:w="807" w:type="dxa"/>
            <w:shd w:val="clear" w:color="auto" w:fill="auto"/>
            <w:vAlign w:val="center"/>
          </w:tcPr>
          <w:p w14:paraId="0D0B00E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客观评审</w:t>
            </w:r>
          </w:p>
        </w:tc>
      </w:tr>
      <w:tr w14:paraId="1787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869" w:type="dxa"/>
            <w:vMerge w:val="continue"/>
            <w:shd w:val="clear" w:color="auto" w:fill="auto"/>
            <w:vAlign w:val="center"/>
          </w:tcPr>
          <w:p w14:paraId="67692E22">
            <w:pPr>
              <w:adjustRightInd/>
              <w:rPr>
                <w:rFonts w:hint="eastAsia" w:ascii="Calibri" w:hAnsi="Calibri" w:eastAsia="宋体" w:cs="Times New Roman"/>
                <w:highlight w:val="none"/>
              </w:rPr>
            </w:pPr>
          </w:p>
        </w:tc>
        <w:tc>
          <w:tcPr>
            <w:tcW w:w="2221" w:type="dxa"/>
            <w:vMerge w:val="restart"/>
            <w:shd w:val="clear" w:color="auto" w:fill="auto"/>
            <w:vAlign w:val="center"/>
          </w:tcPr>
          <w:p w14:paraId="3F453F2A">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企业实力（7分）</w:t>
            </w:r>
          </w:p>
        </w:tc>
        <w:tc>
          <w:tcPr>
            <w:tcW w:w="5018" w:type="dxa"/>
            <w:shd w:val="clear" w:color="auto" w:fill="auto"/>
            <w:vAlign w:val="center"/>
          </w:tcPr>
          <w:p w14:paraId="015D385D">
            <w:pPr>
              <w:numPr>
                <w:ilvl w:val="0"/>
                <w:numId w:val="0"/>
              </w:num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根据供应商信息技术服务运行维护水平、软件能力成熟度水平等技术能力进行评议。</w:t>
            </w:r>
          </w:p>
          <w:p w14:paraId="0EF9328F">
            <w:pPr>
              <w:numPr>
                <w:ilvl w:val="0"/>
                <w:numId w:val="0"/>
              </w:num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①供应商运行维护水平能力符合信息技术服务标准，</w:t>
            </w:r>
            <w:r>
              <w:rPr>
                <w:rFonts w:hint="eastAsia" w:ascii="Calibri" w:hAnsi="Calibri" w:cs="Times New Roman"/>
                <w:highlight w:val="none"/>
                <w:lang w:val="en-US" w:eastAsia="zh-CN"/>
              </w:rPr>
              <w:t>软件能力成熟度高</w:t>
            </w:r>
            <w:r>
              <w:rPr>
                <w:rFonts w:hint="eastAsia" w:ascii="Calibri" w:hAnsi="Calibri" w:eastAsia="宋体" w:cs="Times New Roman"/>
                <w:highlight w:val="none"/>
                <w:lang w:val="en-US" w:eastAsia="zh-CN"/>
              </w:rPr>
              <w:t>的得4分；</w:t>
            </w:r>
          </w:p>
          <w:p w14:paraId="199756D6">
            <w:pPr>
              <w:numPr>
                <w:ilvl w:val="0"/>
                <w:numId w:val="0"/>
              </w:num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②供应商运行维护水平能力基本符合信息技术服务标准，</w:t>
            </w:r>
            <w:r>
              <w:rPr>
                <w:rFonts w:hint="eastAsia" w:ascii="Calibri" w:hAnsi="Calibri" w:cs="Times New Roman"/>
                <w:highlight w:val="none"/>
                <w:lang w:val="en-US" w:eastAsia="zh-CN"/>
              </w:rPr>
              <w:t>软件成熟度水平较高</w:t>
            </w:r>
            <w:r>
              <w:rPr>
                <w:rFonts w:hint="eastAsia" w:ascii="Calibri" w:hAnsi="Calibri" w:eastAsia="宋体" w:cs="Times New Roman"/>
                <w:highlight w:val="none"/>
                <w:lang w:val="en-US" w:eastAsia="zh-CN"/>
              </w:rPr>
              <w:t>，但存在部分缺陷的得2分；</w:t>
            </w:r>
          </w:p>
          <w:p w14:paraId="1897AD92">
            <w:pPr>
              <w:numPr>
                <w:ilvl w:val="0"/>
                <w:numId w:val="0"/>
              </w:num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③供应商运行维护水平能力与信息技术服务标准存在一定差距，</w:t>
            </w:r>
            <w:r>
              <w:rPr>
                <w:rFonts w:hint="eastAsia" w:ascii="Calibri" w:hAnsi="Calibri" w:cs="Times New Roman"/>
                <w:highlight w:val="none"/>
                <w:lang w:val="en-US" w:eastAsia="zh-CN"/>
              </w:rPr>
              <w:t>软件成熟度水平</w:t>
            </w:r>
            <w:r>
              <w:rPr>
                <w:rFonts w:hint="eastAsia" w:ascii="Calibri" w:hAnsi="Calibri" w:eastAsia="宋体" w:cs="Times New Roman"/>
                <w:highlight w:val="none"/>
                <w:lang w:val="en-US" w:eastAsia="zh-CN"/>
              </w:rPr>
              <w:t>明显不足的得</w:t>
            </w:r>
            <w:r>
              <w:rPr>
                <w:rFonts w:hint="eastAsia" w:ascii="Calibri" w:hAnsi="Calibri" w:cs="Times New Roman"/>
                <w:highlight w:val="none"/>
                <w:lang w:val="en-US" w:eastAsia="zh-CN"/>
              </w:rPr>
              <w:t>1</w:t>
            </w:r>
            <w:r>
              <w:rPr>
                <w:rFonts w:hint="eastAsia" w:ascii="Calibri" w:hAnsi="Calibri" w:eastAsia="宋体" w:cs="Times New Roman"/>
                <w:highlight w:val="none"/>
                <w:lang w:val="en-US" w:eastAsia="zh-CN"/>
              </w:rPr>
              <w:t>分；</w:t>
            </w:r>
          </w:p>
          <w:p w14:paraId="16BD1356">
            <w:pPr>
              <w:numPr>
                <w:ilvl w:val="0"/>
                <w:numId w:val="0"/>
              </w:num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④未提供相关内容的不得分。</w:t>
            </w:r>
          </w:p>
          <w:p w14:paraId="19DBF6BD">
            <w:pPr>
              <w:numPr>
                <w:ilvl w:val="0"/>
                <w:numId w:val="0"/>
              </w:numPr>
              <w:adjustRightInd/>
              <w:rPr>
                <w:rFonts w:hint="default" w:ascii="Calibri" w:hAnsi="Calibri" w:eastAsia="宋体" w:cs="Times New Roman"/>
                <w:highlight w:val="none"/>
                <w:lang w:val="en-US"/>
              </w:rPr>
            </w:pPr>
            <w:r>
              <w:rPr>
                <w:rFonts w:hint="eastAsia" w:ascii="Calibri" w:hAnsi="Calibri" w:eastAsia="宋体" w:cs="Times New Roman"/>
                <w:highlight w:val="none"/>
                <w:lang w:val="en-US" w:eastAsia="zh-CN"/>
              </w:rPr>
              <w:t>注：投标文件中应提供相关能力证明材料，未提供证明材料仅进行文字说明的本项最多得1分。</w:t>
            </w:r>
          </w:p>
        </w:tc>
        <w:tc>
          <w:tcPr>
            <w:tcW w:w="585" w:type="dxa"/>
            <w:shd w:val="clear" w:color="auto" w:fill="auto"/>
            <w:vAlign w:val="center"/>
          </w:tcPr>
          <w:p w14:paraId="711745CC">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4</w:t>
            </w:r>
          </w:p>
        </w:tc>
        <w:tc>
          <w:tcPr>
            <w:tcW w:w="807" w:type="dxa"/>
            <w:shd w:val="clear" w:color="auto" w:fill="auto"/>
            <w:vAlign w:val="center"/>
          </w:tcPr>
          <w:p w14:paraId="431C652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r w14:paraId="220A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vMerge w:val="continue"/>
            <w:shd w:val="clear" w:color="auto" w:fill="auto"/>
            <w:vAlign w:val="center"/>
          </w:tcPr>
          <w:p w14:paraId="3F30C98B">
            <w:pPr>
              <w:adjustRightInd/>
              <w:rPr>
                <w:rFonts w:hint="eastAsia" w:ascii="Calibri" w:hAnsi="Calibri" w:eastAsia="宋体" w:cs="Times New Roman"/>
                <w:highlight w:val="none"/>
              </w:rPr>
            </w:pPr>
          </w:p>
        </w:tc>
        <w:tc>
          <w:tcPr>
            <w:tcW w:w="2221" w:type="dxa"/>
            <w:vMerge w:val="continue"/>
            <w:shd w:val="clear" w:color="auto" w:fill="auto"/>
            <w:vAlign w:val="center"/>
          </w:tcPr>
          <w:p w14:paraId="53C7D4C3">
            <w:pPr>
              <w:adjustRightInd/>
              <w:jc w:val="center"/>
              <w:rPr>
                <w:rFonts w:hint="eastAsia" w:ascii="Calibri" w:hAnsi="Calibri" w:eastAsia="宋体" w:cs="Times New Roman"/>
                <w:highlight w:val="none"/>
              </w:rPr>
            </w:pPr>
          </w:p>
        </w:tc>
        <w:tc>
          <w:tcPr>
            <w:tcW w:w="5018" w:type="dxa"/>
            <w:shd w:val="clear" w:color="auto" w:fill="auto"/>
            <w:vAlign w:val="center"/>
          </w:tcPr>
          <w:p w14:paraId="7C6BC9DC">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供应商具有质量管理体系认证证书、信息安全管理体系认证证书，服务管理体系认证证书的，每提供一个有效的认证证书的得1分。（3分）注：提供有效期内的证书复印件并加盖公章，未提供不得分。</w:t>
            </w:r>
          </w:p>
        </w:tc>
        <w:tc>
          <w:tcPr>
            <w:tcW w:w="585" w:type="dxa"/>
            <w:shd w:val="clear" w:color="auto" w:fill="auto"/>
            <w:vAlign w:val="center"/>
          </w:tcPr>
          <w:p w14:paraId="551DC8C0">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3</w:t>
            </w:r>
          </w:p>
        </w:tc>
        <w:tc>
          <w:tcPr>
            <w:tcW w:w="807" w:type="dxa"/>
            <w:shd w:val="clear" w:color="auto" w:fill="auto"/>
            <w:vAlign w:val="center"/>
          </w:tcPr>
          <w:p w14:paraId="5761F88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客观评审</w:t>
            </w:r>
          </w:p>
        </w:tc>
      </w:tr>
      <w:tr w14:paraId="4E2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69" w:type="dxa"/>
            <w:vMerge w:val="continue"/>
            <w:shd w:val="clear" w:color="auto" w:fill="auto"/>
            <w:vAlign w:val="center"/>
          </w:tcPr>
          <w:p w14:paraId="74637746">
            <w:pPr>
              <w:adjustRightInd/>
              <w:rPr>
                <w:rFonts w:hint="eastAsia" w:ascii="Calibri" w:hAnsi="Calibri" w:eastAsia="宋体" w:cs="Times New Roman"/>
                <w:highlight w:val="none"/>
              </w:rPr>
            </w:pPr>
          </w:p>
        </w:tc>
        <w:tc>
          <w:tcPr>
            <w:tcW w:w="2221" w:type="dxa"/>
            <w:shd w:val="clear" w:color="auto" w:fill="auto"/>
            <w:vAlign w:val="center"/>
          </w:tcPr>
          <w:p w14:paraId="49F806F4">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业绩（1分）</w:t>
            </w:r>
          </w:p>
        </w:tc>
        <w:tc>
          <w:tcPr>
            <w:tcW w:w="5018" w:type="dxa"/>
            <w:shd w:val="clear" w:color="auto" w:fill="auto"/>
            <w:vAlign w:val="center"/>
          </w:tcPr>
          <w:p w14:paraId="2B3F3291">
            <w:pPr>
              <w:adjustRightInd/>
              <w:rPr>
                <w:rFonts w:hint="default" w:ascii="Calibri" w:hAnsi="Calibri" w:eastAsia="宋体" w:cs="Times New Roman"/>
                <w:highlight w:val="none"/>
                <w:lang w:val="en-US"/>
              </w:rPr>
            </w:pPr>
            <w:r>
              <w:rPr>
                <w:rFonts w:hint="eastAsia" w:ascii="Calibri" w:hAnsi="Calibri" w:eastAsia="宋体" w:cs="Times New Roman"/>
                <w:highlight w:val="none"/>
                <w:lang w:val="en-US" w:eastAsia="zh-CN"/>
              </w:rPr>
              <w:t>2021年1月1日以来（以合同签订日期为准），供应商具有的软件开发项目案例，每个得0.5分，最高1分。注：投标文件中同时提供合同复印件和中标通知书并加盖公章，未提供或提供不全的不得分。</w:t>
            </w:r>
          </w:p>
        </w:tc>
        <w:tc>
          <w:tcPr>
            <w:tcW w:w="585" w:type="dxa"/>
            <w:shd w:val="clear" w:color="auto" w:fill="auto"/>
            <w:vAlign w:val="center"/>
          </w:tcPr>
          <w:p w14:paraId="04268753">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1</w:t>
            </w:r>
          </w:p>
        </w:tc>
        <w:tc>
          <w:tcPr>
            <w:tcW w:w="807" w:type="dxa"/>
            <w:shd w:val="clear" w:color="auto" w:fill="auto"/>
            <w:vAlign w:val="center"/>
          </w:tcPr>
          <w:p w14:paraId="2DA1482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客观评审</w:t>
            </w:r>
          </w:p>
        </w:tc>
      </w:tr>
      <w:tr w14:paraId="23CC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Merge w:val="continue"/>
            <w:shd w:val="clear" w:color="auto" w:fill="auto"/>
            <w:vAlign w:val="center"/>
          </w:tcPr>
          <w:p w14:paraId="42F0E67F">
            <w:pPr>
              <w:adjustRightInd/>
              <w:rPr>
                <w:rFonts w:hint="eastAsia" w:ascii="Calibri" w:hAnsi="Calibri" w:eastAsia="宋体" w:cs="Times New Roman"/>
                <w:highlight w:val="none"/>
              </w:rPr>
            </w:pPr>
          </w:p>
        </w:tc>
        <w:tc>
          <w:tcPr>
            <w:tcW w:w="2221" w:type="dxa"/>
            <w:vMerge w:val="restart"/>
            <w:shd w:val="clear" w:color="auto" w:fill="auto"/>
            <w:vAlign w:val="center"/>
          </w:tcPr>
          <w:p w14:paraId="4F77B974">
            <w:pPr>
              <w:adjustRightInd/>
              <w:jc w:val="center"/>
              <w:rPr>
                <w:rFonts w:hint="eastAsia" w:ascii="Calibri" w:hAnsi="Calibri" w:eastAsia="宋体" w:cs="Times New Roman"/>
                <w:highlight w:val="none"/>
              </w:rPr>
            </w:pPr>
            <w:r>
              <w:rPr>
                <w:rFonts w:hint="eastAsia" w:ascii="Calibri" w:hAnsi="Calibri" w:cs="Times New Roman"/>
                <w:highlight w:val="none"/>
                <w:lang w:val="en-US" w:eastAsia="zh-CN"/>
              </w:rPr>
              <w:t>功能</w:t>
            </w:r>
            <w:r>
              <w:rPr>
                <w:rFonts w:hint="eastAsia" w:ascii="Calibri" w:hAnsi="Calibri" w:eastAsia="宋体" w:cs="Times New Roman"/>
                <w:highlight w:val="none"/>
                <w:lang w:val="en-US" w:eastAsia="zh-CN"/>
              </w:rPr>
              <w:t>演示15分：供应商应对采购需求中的应用建设中的相关模块的功能、操作流程和步骤进行演示，无法提供演示或演示无法达到技术要求的每缺一小项扣相应分数，扣完为止。提供的文件无法演示或未提供的不得分。（演示的方式可用现场或U盘方式的系统演示或DEMO视频或PPT，建议采用系统演示，演示时间建议不超过 10 分钟）</w:t>
            </w:r>
          </w:p>
        </w:tc>
        <w:tc>
          <w:tcPr>
            <w:tcW w:w="5018" w:type="dxa"/>
            <w:shd w:val="clear" w:color="auto" w:fill="auto"/>
            <w:vAlign w:val="center"/>
          </w:tcPr>
          <w:p w14:paraId="5A022C3E">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海曙区智慧民政综合服务平台（每一小点0.5分，满分2分）</w:t>
            </w:r>
          </w:p>
          <w:p w14:paraId="0D8A875B">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对海曙区智慧民政综合服务平台进行展示，主要包括统一用户、统一登</w:t>
            </w:r>
            <w:r>
              <w:rPr>
                <w:rFonts w:hint="eastAsia" w:ascii="Calibri" w:hAnsi="Calibri" w:cs="Times New Roman"/>
                <w:highlight w:val="none"/>
                <w:lang w:val="en-US" w:eastAsia="zh-CN"/>
              </w:rPr>
              <w:t>录</w:t>
            </w:r>
            <w:r>
              <w:rPr>
                <w:rFonts w:hint="eastAsia" w:ascii="Calibri" w:hAnsi="Calibri" w:eastAsia="宋体" w:cs="Times New Roman"/>
                <w:highlight w:val="none"/>
                <w:lang w:val="en-US" w:eastAsia="zh-CN"/>
              </w:rPr>
              <w:t>、统一门户、统一配置等服务内容。</w:t>
            </w:r>
          </w:p>
        </w:tc>
        <w:tc>
          <w:tcPr>
            <w:tcW w:w="585" w:type="dxa"/>
            <w:shd w:val="clear" w:color="auto" w:fill="auto"/>
            <w:vAlign w:val="center"/>
          </w:tcPr>
          <w:p w14:paraId="3D1A08BA">
            <w:pPr>
              <w:adjustRightInd/>
              <w:jc w:val="center"/>
              <w:rPr>
                <w:rFonts w:hint="eastAsia" w:ascii="Calibri" w:hAnsi="Calibri" w:eastAsia="宋体" w:cs="Times New Roman"/>
                <w:highlight w:val="none"/>
              </w:rPr>
            </w:pPr>
            <w:r>
              <w:rPr>
                <w:rFonts w:hint="eastAsia" w:ascii="Calibri" w:hAnsi="Calibri" w:eastAsia="宋体" w:cs="Times New Roman"/>
                <w:highlight w:val="none"/>
                <w:lang w:val="en-US" w:eastAsia="zh-CN"/>
              </w:rPr>
              <w:t>2</w:t>
            </w:r>
          </w:p>
        </w:tc>
        <w:tc>
          <w:tcPr>
            <w:tcW w:w="807" w:type="dxa"/>
            <w:shd w:val="clear" w:color="auto" w:fill="auto"/>
            <w:vAlign w:val="center"/>
          </w:tcPr>
          <w:p w14:paraId="657D32E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客观评审</w:t>
            </w:r>
          </w:p>
        </w:tc>
      </w:tr>
      <w:tr w14:paraId="59E7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6" w:hRule="atLeast"/>
        </w:trPr>
        <w:tc>
          <w:tcPr>
            <w:tcW w:w="869" w:type="dxa"/>
            <w:vMerge w:val="continue"/>
            <w:shd w:val="clear" w:color="auto" w:fill="auto"/>
            <w:vAlign w:val="center"/>
          </w:tcPr>
          <w:p w14:paraId="6787CB21">
            <w:pPr>
              <w:adjustRightInd/>
              <w:rPr>
                <w:rFonts w:hint="eastAsia" w:ascii="Calibri" w:hAnsi="Calibri" w:eastAsia="宋体" w:cs="Times New Roman"/>
                <w:highlight w:val="none"/>
              </w:rPr>
            </w:pPr>
          </w:p>
        </w:tc>
        <w:tc>
          <w:tcPr>
            <w:tcW w:w="2221" w:type="dxa"/>
            <w:vMerge w:val="continue"/>
            <w:shd w:val="clear" w:color="auto" w:fill="auto"/>
            <w:vAlign w:val="center"/>
          </w:tcPr>
          <w:p w14:paraId="2F50307F">
            <w:pPr>
              <w:adjustRightInd/>
              <w:rPr>
                <w:rFonts w:hint="eastAsia" w:ascii="Calibri" w:hAnsi="Calibri" w:eastAsia="宋体" w:cs="Times New Roman"/>
                <w:highlight w:val="none"/>
              </w:rPr>
            </w:pPr>
          </w:p>
        </w:tc>
        <w:tc>
          <w:tcPr>
            <w:tcW w:w="5018" w:type="dxa"/>
            <w:shd w:val="clear" w:color="auto" w:fill="auto"/>
            <w:vAlign w:val="center"/>
          </w:tcPr>
          <w:p w14:paraId="565F354D">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智慧养老业务工作台（每一小点0.5分，满分</w:t>
            </w:r>
            <w:r>
              <w:rPr>
                <w:rFonts w:hint="eastAsia" w:ascii="Calibri" w:hAnsi="Calibri" w:cs="Times New Roman"/>
                <w:highlight w:val="none"/>
                <w:lang w:val="en-US" w:eastAsia="zh-CN"/>
              </w:rPr>
              <w:t>5</w:t>
            </w:r>
            <w:r>
              <w:rPr>
                <w:rFonts w:hint="eastAsia" w:ascii="Calibri" w:hAnsi="Calibri" w:eastAsia="宋体" w:cs="Times New Roman"/>
                <w:highlight w:val="none"/>
                <w:lang w:val="en-US" w:eastAsia="zh-CN"/>
              </w:rPr>
              <w:t>分）</w:t>
            </w:r>
          </w:p>
          <w:p w14:paraId="11C12F0C">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对智慧养老业务工作台进行展示。主要包括以下内容：</w:t>
            </w:r>
          </w:p>
          <w:p w14:paraId="6B3CAB17">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1</w:t>
            </w:r>
            <w:r>
              <w:rPr>
                <w:rFonts w:hint="eastAsia" w:ascii="Calibri" w:hAnsi="Calibri" w:cs="Times New Roman"/>
                <w:highlight w:val="none"/>
                <w:lang w:val="en-US" w:eastAsia="zh-CN"/>
              </w:rPr>
              <w:t>）</w:t>
            </w:r>
            <w:r>
              <w:rPr>
                <w:rFonts w:hint="eastAsia" w:ascii="Calibri" w:hAnsi="Calibri" w:eastAsia="宋体" w:cs="Times New Roman"/>
                <w:highlight w:val="none"/>
                <w:lang w:val="en-US" w:eastAsia="zh-CN"/>
              </w:rPr>
              <w:t>民政端：含老人信息管理、高龄津贴、居家上门服务管理、居家养老管理</w:t>
            </w:r>
            <w:r>
              <w:rPr>
                <w:rFonts w:hint="eastAsia" w:ascii="Calibri" w:hAnsi="Calibri" w:cs="Times New Roman"/>
                <w:highlight w:val="none"/>
                <w:lang w:val="en-US" w:eastAsia="zh-CN"/>
              </w:rPr>
              <w:t>和</w:t>
            </w:r>
            <w:r>
              <w:rPr>
                <w:rFonts w:hint="eastAsia" w:ascii="Calibri" w:hAnsi="Calibri" w:eastAsia="宋体" w:cs="Times New Roman"/>
                <w:highlight w:val="none"/>
                <w:lang w:val="en-US" w:eastAsia="zh-CN"/>
              </w:rPr>
              <w:t>养老机构管理等功能模块。（2分）</w:t>
            </w:r>
          </w:p>
          <w:p w14:paraId="162EC44D">
            <w:pPr>
              <w:adjustRightInd/>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2</w:t>
            </w:r>
            <w:r>
              <w:rPr>
                <w:rFonts w:hint="eastAsia" w:ascii="Calibri" w:hAnsi="Calibri" w:cs="Times New Roman"/>
                <w:highlight w:val="none"/>
                <w:lang w:val="en-US" w:eastAsia="zh-CN"/>
              </w:rPr>
              <w:t>）</w:t>
            </w:r>
            <w:r>
              <w:rPr>
                <w:rFonts w:hint="eastAsia" w:ascii="Calibri" w:hAnsi="Calibri" w:eastAsia="宋体" w:cs="Times New Roman"/>
                <w:highlight w:val="none"/>
                <w:lang w:val="en-US" w:eastAsia="zh-CN"/>
              </w:rPr>
              <w:t>服务商端：含服务商基本信息管理、服务老人管理、服务员管理、居家上门服务管理等功能模块。（2分）</w:t>
            </w:r>
          </w:p>
          <w:p w14:paraId="463A7BD5">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3</w:t>
            </w:r>
            <w:r>
              <w:rPr>
                <w:rFonts w:hint="eastAsia" w:ascii="Calibri" w:hAnsi="Calibri" w:cs="Times New Roman"/>
                <w:highlight w:val="none"/>
                <w:lang w:val="en-US" w:eastAsia="zh-CN"/>
              </w:rPr>
              <w:t>）</w:t>
            </w:r>
            <w:r>
              <w:rPr>
                <w:rFonts w:hint="eastAsia" w:ascii="Calibri" w:hAnsi="Calibri" w:eastAsia="宋体" w:cs="Times New Roman"/>
                <w:highlight w:val="none"/>
                <w:lang w:val="en-US" w:eastAsia="zh-CN"/>
              </w:rPr>
              <w:t>服务员端：含服务记录、个人中心等功能模块。（1分）</w:t>
            </w:r>
          </w:p>
        </w:tc>
        <w:tc>
          <w:tcPr>
            <w:tcW w:w="585" w:type="dxa"/>
            <w:shd w:val="clear" w:color="auto" w:fill="auto"/>
            <w:vAlign w:val="center"/>
          </w:tcPr>
          <w:p w14:paraId="6E6C5B3B">
            <w:pPr>
              <w:adjustRightInd/>
              <w:jc w:val="center"/>
              <w:rPr>
                <w:rFonts w:hint="eastAsia" w:ascii="Calibri" w:hAnsi="Calibri" w:eastAsia="宋体" w:cs="Times New Roman"/>
                <w:highlight w:val="none"/>
                <w:lang w:val="en-US" w:eastAsia="zh-CN"/>
              </w:rPr>
            </w:pPr>
            <w:r>
              <w:rPr>
                <w:rFonts w:hint="eastAsia" w:ascii="Calibri" w:hAnsi="Calibri" w:cs="Times New Roman"/>
                <w:highlight w:val="none"/>
                <w:lang w:val="en-US" w:eastAsia="zh-CN"/>
              </w:rPr>
              <w:t>5</w:t>
            </w:r>
          </w:p>
        </w:tc>
        <w:tc>
          <w:tcPr>
            <w:tcW w:w="807" w:type="dxa"/>
            <w:shd w:val="clear" w:color="auto" w:fill="auto"/>
            <w:vAlign w:val="center"/>
          </w:tcPr>
          <w:p w14:paraId="74381A5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Calibri" w:hAnsi="Calibri" w:eastAsia="宋体" w:cs="Times New Roman"/>
                <w:highlight w:val="none"/>
              </w:rPr>
            </w:pPr>
            <w:r>
              <w:rPr>
                <w:rFonts w:hint="eastAsia" w:ascii="宋体" w:hAnsi="宋体" w:eastAsia="宋体" w:cs="宋体"/>
                <w:color w:val="auto"/>
                <w:kern w:val="2"/>
                <w:sz w:val="21"/>
                <w:szCs w:val="21"/>
                <w:highlight w:val="none"/>
                <w:lang w:val="en-US" w:eastAsia="zh-CN"/>
              </w:rPr>
              <w:t>客观评审</w:t>
            </w:r>
          </w:p>
        </w:tc>
      </w:tr>
      <w:tr w14:paraId="41F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1" w:hRule="atLeast"/>
        </w:trPr>
        <w:tc>
          <w:tcPr>
            <w:tcW w:w="869" w:type="dxa"/>
            <w:vMerge w:val="continue"/>
            <w:shd w:val="clear" w:color="auto" w:fill="auto"/>
            <w:vAlign w:val="center"/>
          </w:tcPr>
          <w:p w14:paraId="3471A540">
            <w:pPr>
              <w:adjustRightInd/>
              <w:rPr>
                <w:rFonts w:hint="eastAsia" w:ascii="Calibri" w:hAnsi="Calibri" w:eastAsia="宋体" w:cs="Times New Roman"/>
                <w:highlight w:val="none"/>
              </w:rPr>
            </w:pPr>
          </w:p>
        </w:tc>
        <w:tc>
          <w:tcPr>
            <w:tcW w:w="2221" w:type="dxa"/>
            <w:vMerge w:val="continue"/>
            <w:shd w:val="clear" w:color="auto" w:fill="auto"/>
            <w:vAlign w:val="center"/>
          </w:tcPr>
          <w:p w14:paraId="3B8B9D36">
            <w:pPr>
              <w:adjustRightInd/>
              <w:rPr>
                <w:rFonts w:hint="eastAsia" w:ascii="Calibri" w:hAnsi="Calibri" w:eastAsia="宋体" w:cs="Times New Roman"/>
                <w:highlight w:val="none"/>
              </w:rPr>
            </w:pPr>
          </w:p>
        </w:tc>
        <w:tc>
          <w:tcPr>
            <w:tcW w:w="5018" w:type="dxa"/>
            <w:shd w:val="clear" w:color="auto" w:fill="auto"/>
            <w:vAlign w:val="center"/>
          </w:tcPr>
          <w:p w14:paraId="0D815783">
            <w:pPr>
              <w:adjustRightInd/>
              <w:rPr>
                <w:rFonts w:hint="eastAsia" w:ascii="Calibri" w:hAnsi="Calibri" w:eastAsia="宋体" w:cs="Times New Roman"/>
                <w:highlight w:val="none"/>
                <w:lang w:val="en-US" w:eastAsia="zh-CN"/>
              </w:rPr>
            </w:pPr>
            <w:bookmarkStart w:id="282" w:name="_GoBack"/>
            <w:bookmarkEnd w:id="282"/>
            <w:r>
              <w:rPr>
                <w:rFonts w:hint="eastAsia" w:ascii="Calibri" w:hAnsi="Calibri" w:eastAsia="宋体" w:cs="Times New Roman"/>
                <w:highlight w:val="none"/>
                <w:lang w:val="en-US" w:eastAsia="zh-CN"/>
              </w:rPr>
              <w:t>各科室业务工作台（每一小点1分，满分8分）</w:t>
            </w:r>
          </w:p>
          <w:p w14:paraId="7EC35943">
            <w:pPr>
              <w:adjustRightInd/>
              <w:rPr>
                <w:rFonts w:hint="eastAsia" w:ascii="Calibri" w:hAnsi="Calibri" w:eastAsia="宋体" w:cs="Times New Roman"/>
                <w:highlight w:val="none"/>
              </w:rPr>
            </w:pPr>
            <w:r>
              <w:rPr>
                <w:rFonts w:hint="eastAsia" w:ascii="Calibri" w:hAnsi="Calibri" w:eastAsia="宋体" w:cs="Times New Roman"/>
                <w:highlight w:val="none"/>
                <w:lang w:val="en-US" w:eastAsia="zh-CN"/>
              </w:rPr>
              <w:t>对各科室其他八个子工作台的展示，包括社救业务工作台、行政审批业务工作台、社会组织业务工作台、智慧养老业务工作台、地名业务工作台、婚登业务工作台、殡葬业务工作台、移民业务工作台。</w:t>
            </w:r>
          </w:p>
        </w:tc>
        <w:tc>
          <w:tcPr>
            <w:tcW w:w="585" w:type="dxa"/>
            <w:shd w:val="clear" w:color="auto" w:fill="auto"/>
            <w:vAlign w:val="center"/>
          </w:tcPr>
          <w:p w14:paraId="2AF69D03">
            <w:pPr>
              <w:adjustRightInd/>
              <w:jc w:val="center"/>
              <w:rPr>
                <w:rFonts w:hint="eastAsia" w:ascii="Calibri" w:hAnsi="Calibri" w:eastAsia="宋体" w:cs="Times New Roman"/>
                <w:highlight w:val="none"/>
              </w:rPr>
            </w:pPr>
            <w:r>
              <w:rPr>
                <w:rFonts w:hint="eastAsia" w:ascii="Calibri" w:hAnsi="Calibri" w:cs="Times New Roman"/>
                <w:highlight w:val="none"/>
                <w:lang w:val="en-US" w:eastAsia="zh-CN"/>
              </w:rPr>
              <w:t>8</w:t>
            </w:r>
          </w:p>
        </w:tc>
        <w:tc>
          <w:tcPr>
            <w:tcW w:w="807" w:type="dxa"/>
            <w:shd w:val="clear" w:color="auto" w:fill="auto"/>
            <w:vAlign w:val="center"/>
          </w:tcPr>
          <w:p w14:paraId="0FCA4C5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Calibri" w:hAnsi="Calibri" w:eastAsia="宋体" w:cs="Times New Roman"/>
                <w:highlight w:val="none"/>
              </w:rPr>
            </w:pPr>
            <w:r>
              <w:rPr>
                <w:rFonts w:hint="eastAsia" w:ascii="宋体" w:hAnsi="宋体" w:eastAsia="宋体" w:cs="宋体"/>
                <w:color w:val="auto"/>
                <w:kern w:val="2"/>
                <w:sz w:val="21"/>
                <w:szCs w:val="21"/>
                <w:highlight w:val="none"/>
                <w:lang w:val="en-US" w:eastAsia="zh-CN"/>
              </w:rPr>
              <w:t>客观评审</w:t>
            </w:r>
          </w:p>
        </w:tc>
      </w:tr>
      <w:tr w14:paraId="2CAF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 w:hRule="atLeast"/>
        </w:trPr>
        <w:tc>
          <w:tcPr>
            <w:tcW w:w="8108" w:type="dxa"/>
            <w:gridSpan w:val="3"/>
            <w:shd w:val="clear" w:color="auto" w:fill="auto"/>
            <w:vAlign w:val="center"/>
          </w:tcPr>
          <w:p w14:paraId="511878F2">
            <w:pPr>
              <w:adjustRightInd/>
              <w:jc w:val="center"/>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总分</w:t>
            </w:r>
          </w:p>
        </w:tc>
        <w:tc>
          <w:tcPr>
            <w:tcW w:w="585" w:type="dxa"/>
            <w:shd w:val="clear" w:color="auto" w:fill="auto"/>
            <w:vAlign w:val="center"/>
          </w:tcPr>
          <w:p w14:paraId="48B5BCE3">
            <w:pPr>
              <w:adjustRightInd/>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100</w:t>
            </w:r>
          </w:p>
        </w:tc>
        <w:tc>
          <w:tcPr>
            <w:tcW w:w="807" w:type="dxa"/>
            <w:shd w:val="clear" w:color="auto" w:fill="auto"/>
            <w:vAlign w:val="center"/>
          </w:tcPr>
          <w:p w14:paraId="70CE1E9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p>
        </w:tc>
      </w:tr>
    </w:tbl>
    <w:p w14:paraId="0ACA96EF">
      <w:pPr>
        <w:kinsoku/>
        <w:wordWrap/>
        <w:overflowPunct/>
        <w:topLinePunct w:val="0"/>
        <w:bidi w:val="0"/>
        <w:adjustRightInd/>
        <w:spacing w:line="360" w:lineRule="auto"/>
        <w:ind w:firstLine="482" w:firstLineChars="200"/>
        <w:outlineLvl w:val="9"/>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、小数点后保留二位数。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7DC4F4F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545737A1">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25FBD83">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4BC7EC47">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2499212C">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5B39CA9">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1C8BB44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5E33475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财库〔2014〕214号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6C3BA0F5">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2BFE66D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5E98480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0011A32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5328AB8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6E4A176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5DB12D2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5E36614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2.6法律法规</w:t>
      </w:r>
      <w:r>
        <w:rPr>
          <w:rFonts w:hint="eastAsia" w:asciiTheme="minorEastAsia" w:hAnsiTheme="minorEastAsia" w:eastAsiaTheme="minorEastAsia"/>
          <w:color w:val="auto"/>
          <w:highlight w:val="none"/>
        </w:rPr>
        <w:t>、规章规定应当回避以及其他可能影响公正评审的</w:t>
      </w:r>
      <w:r>
        <w:rPr>
          <w:rFonts w:hint="eastAsia" w:asciiTheme="minorEastAsia" w:hAnsiTheme="minorEastAsia" w:eastAsiaTheme="minorEastAsia"/>
          <w:color w:val="auto"/>
          <w:highlight w:val="none"/>
          <w:lang w:val="en-US" w:eastAsia="zh-CN"/>
        </w:rPr>
        <w:t>。</w:t>
      </w:r>
    </w:p>
    <w:p w14:paraId="2E2FF968">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6F51CF2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52FE394">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953EBD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80F867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F09E6C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BC91DB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9789F8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ACCB04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060B09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500788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21254D2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w:t>
      </w:r>
      <w:r>
        <w:rPr>
          <w:rFonts w:hint="eastAsia" w:asciiTheme="minorEastAsia" w:hAnsiTheme="minorEastAsia" w:eastAsiaTheme="minorEastAsia"/>
          <w:color w:val="auto"/>
          <w:highlight w:val="none"/>
          <w:lang w:eastAsia="zh-CN"/>
        </w:rPr>
        <w:t>法律法规</w:t>
      </w:r>
      <w:r>
        <w:rPr>
          <w:rFonts w:hint="eastAsia" w:asciiTheme="minorEastAsia" w:hAnsiTheme="minorEastAsia" w:eastAsiaTheme="minorEastAsia"/>
          <w:color w:val="auto"/>
          <w:highlight w:val="none"/>
        </w:rPr>
        <w:t>、规章、磋商文件等规定的</w:t>
      </w:r>
      <w:r>
        <w:rPr>
          <w:rFonts w:hint="eastAsia" w:asciiTheme="minorEastAsia" w:hAnsiTheme="minorEastAsia" w:eastAsiaTheme="minorEastAsia"/>
          <w:color w:val="auto"/>
          <w:highlight w:val="none"/>
          <w:lang w:eastAsia="zh-CN"/>
        </w:rPr>
        <w:t>其他</w:t>
      </w:r>
      <w:r>
        <w:rPr>
          <w:rFonts w:hint="eastAsia" w:asciiTheme="minorEastAsia" w:hAnsiTheme="minorEastAsia" w:eastAsiaTheme="minorEastAsia"/>
          <w:color w:val="auto"/>
          <w:highlight w:val="none"/>
        </w:rPr>
        <w:t>事项。</w:t>
      </w:r>
    </w:p>
    <w:p w14:paraId="3B5E8680">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A15E4B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69352CA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8B0FA7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E6353A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645885E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A699FD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C94CDE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509FBC2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0F41A31">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45B6FABD">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2AAE64E">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32EC03D0">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437EA71A">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26B00E7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31D1064">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7D60791">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F1C56ED">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C7E4CF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086DBB5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47484E2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6E0A721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6A83FCC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3BC0266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AF6B07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79AD24EC">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3B9F031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1942EAAE">
      <w:pPr>
        <w:pStyle w:val="23"/>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8D2410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1BF75E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68F88FA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8225F8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4569E5F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537F26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401B9B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C12E63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423C463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8E253A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5B14B1C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0392EF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9FFCFD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771A470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30D07C4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3B92F51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5744EE3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63CF2FB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7AD02177">
      <w:pPr>
        <w:pStyle w:val="106"/>
        <w:keepNext w:val="0"/>
        <w:keepLines w:val="0"/>
        <w:pageBreakBefore w:val="0"/>
        <w:numPr>
          <w:ilvl w:val="0"/>
          <w:numId w:val="13"/>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538B966">
      <w:pPr>
        <w:pStyle w:val="106"/>
        <w:keepNext w:val="0"/>
        <w:keepLines w:val="0"/>
        <w:pageBreakBefore w:val="0"/>
        <w:numPr>
          <w:ilvl w:val="0"/>
          <w:numId w:val="13"/>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4FE9B77B">
      <w:pPr>
        <w:pStyle w:val="106"/>
        <w:keepNext w:val="0"/>
        <w:keepLines w:val="0"/>
        <w:pageBreakBefore w:val="0"/>
        <w:numPr>
          <w:ilvl w:val="0"/>
          <w:numId w:val="13"/>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724D173E">
      <w:pPr>
        <w:pStyle w:val="106"/>
        <w:keepNext w:val="0"/>
        <w:keepLines w:val="0"/>
        <w:pageBreakBefore w:val="0"/>
        <w:numPr>
          <w:ilvl w:val="0"/>
          <w:numId w:val="13"/>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4985345">
      <w:pPr>
        <w:pStyle w:val="106"/>
        <w:keepNext w:val="0"/>
        <w:keepLines w:val="0"/>
        <w:pageBreakBefore w:val="0"/>
        <w:numPr>
          <w:ilvl w:val="0"/>
          <w:numId w:val="13"/>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565B836">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0319AA0A">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A4B559E">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6C56F6D6">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4242A579">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0E7AB8A">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7329AEC3">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7A412DC">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42ED66C6">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246F6962">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0549E66B">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35E16E5D">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87B6BB4">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D0DB8B0">
      <w:pPr>
        <w:pStyle w:val="106"/>
        <w:keepNext w:val="0"/>
        <w:keepLines w:val="0"/>
        <w:pageBreakBefore w:val="0"/>
        <w:numPr>
          <w:ilvl w:val="0"/>
          <w:numId w:val="14"/>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5ADDA3F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C53B90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w:t>
      </w:r>
      <w:r>
        <w:rPr>
          <w:rFonts w:hint="eastAsia" w:asciiTheme="minorEastAsia" w:hAnsiTheme="minorEastAsia" w:eastAsiaTheme="minorEastAsia"/>
          <w:color w:val="auto"/>
          <w:sz w:val="24"/>
          <w:highlight w:val="none"/>
          <w:lang w:eastAsia="zh-CN"/>
        </w:rPr>
        <w:t>法律法规</w:t>
      </w:r>
      <w:r>
        <w:rPr>
          <w:rFonts w:hint="eastAsia" w:asciiTheme="minorEastAsia" w:hAnsiTheme="minorEastAsia" w:eastAsiaTheme="minorEastAsia"/>
          <w:color w:val="auto"/>
          <w:sz w:val="24"/>
          <w:highlight w:val="none"/>
        </w:rPr>
        <w:t>、规章（适用本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5488E7F8">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F46DD54">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2F51388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E33E60E">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99B48C4">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24C4184B">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2C4473C1">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5B2D8A5E">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1AEA7328">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FE97CD8">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4E507D0D">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1627CE69">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164"/>
    <w:p w14:paraId="65614392">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outlineLvl w:val="0"/>
        <w:rPr>
          <w:rFonts w:hint="eastAsia" w:ascii="宋体" w:hAnsi="宋体" w:cs="宋体"/>
          <w:color w:val="auto"/>
          <w:sz w:val="24"/>
          <w:highlight w:val="none"/>
        </w:rPr>
      </w:pPr>
      <w:bookmarkStart w:id="165" w:name="_Toc7080"/>
      <w:bookmarkStart w:id="166" w:name="第五部分"/>
      <w:bookmarkStart w:id="167" w:name="_Toc86217003"/>
      <w:r>
        <w:rPr>
          <w:rFonts w:hint="eastAsia" w:ascii="宋体" w:hAnsi="宋体" w:eastAsia="宋体" w:cs="仿宋_GB2312"/>
          <w:b/>
          <w:color w:val="auto"/>
          <w:sz w:val="36"/>
          <w:szCs w:val="36"/>
          <w:highlight w:val="none"/>
        </w:rPr>
        <w:t>第六部分  拟签订的合同文本</w:t>
      </w:r>
      <w:bookmarkEnd w:id="165"/>
    </w:p>
    <w:p w14:paraId="2A8A131F">
      <w:pPr>
        <w:spacing w:line="360" w:lineRule="auto"/>
        <w:rPr>
          <w:rFonts w:ascii="宋体" w:hAnsi="宋体" w:eastAsia="宋体" w:cs="Times New Roman"/>
          <w:color w:val="auto"/>
          <w:sz w:val="24"/>
          <w:highlight w:val="none"/>
        </w:rPr>
      </w:pPr>
    </w:p>
    <w:p w14:paraId="36D2B2DB">
      <w:pPr>
        <w:spacing w:line="360" w:lineRule="auto"/>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04C8CC12">
      <w:pPr>
        <w:spacing w:line="360" w:lineRule="auto"/>
        <w:rPr>
          <w:rFonts w:ascii="宋体" w:hAnsi="宋体" w:eastAsia="宋体" w:cs="Times New Roman"/>
          <w:color w:val="auto"/>
          <w:sz w:val="24"/>
          <w:highlight w:val="none"/>
          <w:u w:val="single"/>
        </w:rPr>
      </w:pPr>
    </w:p>
    <w:p w14:paraId="0BF94D06">
      <w:pPr>
        <w:autoSpaceDE w:val="0"/>
        <w:autoSpaceDN w:val="0"/>
        <w:snapToGrid w:val="0"/>
        <w:spacing w:after="120" w:line="360" w:lineRule="auto"/>
        <w:ind w:left="42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661615C1">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4B0687B3">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3DF48688">
      <w:pPr>
        <w:spacing w:before="120" w:line="360" w:lineRule="auto"/>
        <w:rPr>
          <w:rFonts w:ascii="宋体" w:hAnsi="宋体" w:eastAsia="宋体" w:cs="Times New Roman"/>
          <w:color w:val="auto"/>
          <w:sz w:val="24"/>
          <w:highlight w:val="none"/>
        </w:rPr>
      </w:pPr>
    </w:p>
    <w:p w14:paraId="56D2E490">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海曙区智慧民政综合服务平台建设项目</w:t>
      </w:r>
      <w:r>
        <w:rPr>
          <w:rFonts w:hint="eastAsia" w:ascii="宋体" w:hAnsi="宋体" w:eastAsia="宋体" w:cs="Times New Roman"/>
          <w:color w:val="auto"/>
          <w:sz w:val="24"/>
          <w:highlight w:val="none"/>
          <w:u w:val="single"/>
        </w:rPr>
        <w:t xml:space="preserve">  </w:t>
      </w:r>
    </w:p>
    <w:p w14:paraId="04DC54E3">
      <w:pPr>
        <w:adjustRightInd/>
        <w:spacing w:before="120" w:line="360" w:lineRule="auto"/>
        <w:rPr>
          <w:rFonts w:ascii="宋体" w:hAnsi="宋体" w:eastAsia="宋体" w:cs="Times New Roman"/>
          <w:color w:val="auto"/>
          <w:sz w:val="24"/>
          <w:highlight w:val="none"/>
        </w:rPr>
      </w:pPr>
    </w:p>
    <w:p w14:paraId="41D0940D">
      <w:pPr>
        <w:spacing w:line="360" w:lineRule="auto"/>
        <w:rPr>
          <w:rFonts w:ascii="宋体" w:hAnsi="宋体" w:eastAsia="宋体" w:cs="Times New Roman"/>
          <w:color w:val="auto"/>
          <w:sz w:val="24"/>
          <w:highlight w:val="none"/>
        </w:rPr>
      </w:pPr>
    </w:p>
    <w:p w14:paraId="2ECD69D6">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宁波市海曙区民政局</w:t>
      </w:r>
      <w:r>
        <w:rPr>
          <w:rFonts w:hint="eastAsia" w:ascii="宋体" w:hAnsi="宋体" w:eastAsia="宋体" w:cs="Times New Roman"/>
          <w:color w:val="auto"/>
          <w:sz w:val="24"/>
          <w:highlight w:val="none"/>
          <w:u w:val="single"/>
        </w:rPr>
        <w:t xml:space="preserve">  </w:t>
      </w:r>
    </w:p>
    <w:p w14:paraId="66C72F07">
      <w:pPr>
        <w:spacing w:before="120" w:line="360" w:lineRule="auto"/>
        <w:rPr>
          <w:rFonts w:ascii="宋体" w:hAnsi="宋体" w:eastAsia="宋体" w:cs="Times New Roman"/>
          <w:color w:val="auto"/>
          <w:sz w:val="24"/>
          <w:highlight w:val="none"/>
        </w:rPr>
      </w:pPr>
    </w:p>
    <w:p w14:paraId="0ADE208D">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p>
    <w:p w14:paraId="307013C5">
      <w:pPr>
        <w:spacing w:before="120" w:line="360" w:lineRule="auto"/>
        <w:rPr>
          <w:rFonts w:ascii="宋体" w:hAnsi="宋体" w:eastAsia="宋体" w:cs="Times New Roman"/>
          <w:color w:val="auto"/>
          <w:sz w:val="24"/>
          <w:highlight w:val="none"/>
        </w:rPr>
      </w:pPr>
    </w:p>
    <w:p w14:paraId="5B0D63E6">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p>
    <w:p w14:paraId="105559C0">
      <w:pPr>
        <w:spacing w:before="120" w:line="360" w:lineRule="auto"/>
        <w:rPr>
          <w:rFonts w:ascii="宋体" w:hAnsi="宋体" w:eastAsia="宋体" w:cs="Times New Roman"/>
          <w:color w:val="auto"/>
          <w:sz w:val="24"/>
          <w:highlight w:val="none"/>
        </w:rPr>
      </w:pPr>
    </w:p>
    <w:p w14:paraId="431E79D5">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32706425">
      <w:pPr>
        <w:widowControl/>
        <w:adjustRightInd/>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489E8F7B">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竞争性磋商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磋商小组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成交通知书</w:t>
      </w:r>
      <w:r>
        <w:rPr>
          <w:rFonts w:hint="eastAsia" w:ascii="宋体" w:hAnsi="宋体" w:eastAsia="宋体" w:cs="Times New Roman"/>
          <w:color w:val="auto"/>
          <w:sz w:val="24"/>
          <w:highlight w:val="none"/>
        </w:rPr>
        <w:t>发出之日起30日内，按照采购文件确定的事项签订本合同。</w:t>
      </w:r>
    </w:p>
    <w:p w14:paraId="0C98E8AE">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以下简称：甲方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标供应商名称）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以下简称：乙方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协商一致，约定以下合同</w:t>
      </w:r>
      <w:r>
        <w:rPr>
          <w:rFonts w:hint="eastAsia" w:ascii="宋体" w:hAnsi="宋体" w:eastAsia="宋体" w:cs="Times New Roman"/>
          <w:color w:val="auto"/>
          <w:sz w:val="24"/>
          <w:highlight w:val="none"/>
        </w:rPr>
        <w:t>条款，以兹共同遵守、全面履行。</w:t>
      </w:r>
    </w:p>
    <w:p w14:paraId="552B9E97">
      <w:pPr>
        <w:spacing w:line="560" w:lineRule="exact"/>
        <w:ind w:firstLine="482" w:firstLineChars="200"/>
        <w:rPr>
          <w:rFonts w:ascii="宋体" w:hAnsi="宋体" w:eastAsia="宋体" w:cs="Times New Roman"/>
          <w:color w:val="auto"/>
          <w:sz w:val="24"/>
          <w:highlight w:val="none"/>
        </w:rPr>
      </w:pPr>
      <w:bookmarkStart w:id="168" w:name="_Toc15367"/>
      <w:bookmarkStart w:id="169" w:name="_Toc20421"/>
      <w:bookmarkStart w:id="170" w:name="_Toc19273"/>
      <w:bookmarkStart w:id="171" w:name="_Toc22967"/>
      <w:bookmarkStart w:id="172" w:name="_Toc28855"/>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168"/>
      <w:bookmarkEnd w:id="169"/>
      <w:bookmarkEnd w:id="170"/>
      <w:bookmarkEnd w:id="171"/>
      <w:bookmarkEnd w:id="172"/>
    </w:p>
    <w:p w14:paraId="0BEE7E84">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948058">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3EC292A0">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7EBFCFD2">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1FF3CEF9">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6BB1C1A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503B91A1">
      <w:pPr>
        <w:spacing w:line="560" w:lineRule="exact"/>
        <w:ind w:firstLine="482" w:firstLineChars="200"/>
        <w:rPr>
          <w:rFonts w:ascii="宋体" w:hAnsi="宋体" w:eastAsia="宋体" w:cs="Times New Roman"/>
          <w:b/>
          <w:color w:val="auto"/>
          <w:sz w:val="24"/>
          <w:highlight w:val="none"/>
        </w:rPr>
      </w:pPr>
      <w:bookmarkStart w:id="173" w:name="_Toc6311"/>
      <w:bookmarkStart w:id="174" w:name="_Toc2918"/>
      <w:bookmarkStart w:id="175" w:name="_Toc18585"/>
      <w:bookmarkStart w:id="176" w:name="_Toc22185"/>
      <w:bookmarkStart w:id="177" w:name="_Toc6773"/>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173"/>
      <w:bookmarkEnd w:id="174"/>
      <w:bookmarkEnd w:id="175"/>
      <w:bookmarkEnd w:id="176"/>
      <w:bookmarkEnd w:id="177"/>
    </w:p>
    <w:p w14:paraId="5FAA8EDA">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40C842E">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861BEA9">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6B51B7BA">
      <w:pPr>
        <w:spacing w:line="5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1418280A">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1.2.5合同</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否）涉及货物。若涉及货物的，则：</w:t>
      </w:r>
    </w:p>
    <w:p w14:paraId="4806B93E">
      <w:pPr>
        <w:spacing w:line="560" w:lineRule="exact"/>
        <w:ind w:firstLine="480" w:firstLineChars="200"/>
        <w:rPr>
          <w:rFonts w:ascii="宋体" w:hAnsi="宋体" w:eastAsia="宋体" w:cs="宋体"/>
          <w:color w:val="auto"/>
          <w:sz w:val="24"/>
          <w:highlight w:val="none"/>
          <w:u w:val="single"/>
        </w:rPr>
      </w:pPr>
      <w:bookmarkStart w:id="178" w:name="_Toc13918"/>
      <w:bookmarkStart w:id="179" w:name="_Toc4929"/>
      <w:bookmarkStart w:id="180" w:name="_Toc1386"/>
      <w:bookmarkStart w:id="181" w:name="_Toc21124"/>
      <w:bookmarkStart w:id="182" w:name="_Toc5635"/>
      <w:r>
        <w:rPr>
          <w:rFonts w:hint="eastAsia" w:ascii="宋体" w:hAnsi="宋体" w:eastAsia="宋体" w:cs="宋体"/>
          <w:color w:val="auto"/>
          <w:sz w:val="24"/>
          <w:highlight w:val="none"/>
        </w:rPr>
        <w:t>1.2.5.1 货物名称、品牌、规格型号：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A9052A5">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B8F0142">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5AE8211">
      <w:pP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178"/>
      <w:bookmarkEnd w:id="179"/>
      <w:bookmarkEnd w:id="180"/>
      <w:bookmarkEnd w:id="181"/>
      <w:bookmarkEnd w:id="182"/>
    </w:p>
    <w:p w14:paraId="35BE7939">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p w14:paraId="16EA91B6">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2FF81096">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82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4F834E">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序号</w:t>
            </w:r>
          </w:p>
        </w:tc>
        <w:tc>
          <w:tcPr>
            <w:tcW w:w="3402" w:type="dxa"/>
            <w:vAlign w:val="center"/>
          </w:tcPr>
          <w:p w14:paraId="7BE0BC64">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分项名称</w:t>
            </w:r>
          </w:p>
        </w:tc>
        <w:tc>
          <w:tcPr>
            <w:tcW w:w="2552" w:type="dxa"/>
            <w:vAlign w:val="center"/>
          </w:tcPr>
          <w:p w14:paraId="6E1671A4">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分项价格</w:t>
            </w:r>
          </w:p>
        </w:tc>
      </w:tr>
      <w:tr w14:paraId="1735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7D5012">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2DD13FC2">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5563615D">
            <w:pPr>
              <w:adjustRightInd/>
              <w:spacing w:line="560" w:lineRule="exact"/>
              <w:ind w:firstLine="200"/>
              <w:jc w:val="center"/>
              <w:rPr>
                <w:rFonts w:ascii="宋体" w:hAnsi="宋体" w:eastAsia="宋体" w:cs="Times New Roman"/>
                <w:color w:val="auto"/>
                <w:kern w:val="0"/>
                <w:sz w:val="24"/>
                <w:highlight w:val="none"/>
              </w:rPr>
            </w:pPr>
          </w:p>
        </w:tc>
      </w:tr>
      <w:tr w14:paraId="4416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E3BDFC">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E6A15B7">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24300EF9">
            <w:pPr>
              <w:adjustRightInd/>
              <w:spacing w:line="560" w:lineRule="exact"/>
              <w:ind w:firstLine="200"/>
              <w:jc w:val="center"/>
              <w:rPr>
                <w:rFonts w:ascii="宋体" w:hAnsi="宋体" w:eastAsia="宋体" w:cs="Times New Roman"/>
                <w:color w:val="auto"/>
                <w:kern w:val="0"/>
                <w:sz w:val="24"/>
                <w:highlight w:val="none"/>
              </w:rPr>
            </w:pPr>
          </w:p>
        </w:tc>
      </w:tr>
      <w:tr w14:paraId="2DF6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079752">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29FA89B9">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6023974E">
            <w:pPr>
              <w:adjustRightInd/>
              <w:spacing w:line="560" w:lineRule="exact"/>
              <w:ind w:firstLine="200"/>
              <w:jc w:val="center"/>
              <w:rPr>
                <w:rFonts w:ascii="宋体" w:hAnsi="宋体" w:eastAsia="宋体" w:cs="Times New Roman"/>
                <w:color w:val="auto"/>
                <w:kern w:val="0"/>
                <w:sz w:val="24"/>
                <w:highlight w:val="none"/>
              </w:rPr>
            </w:pPr>
          </w:p>
        </w:tc>
      </w:tr>
      <w:tr w14:paraId="3C09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34E8D9">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2B21174A">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39C1ED2E">
            <w:pPr>
              <w:adjustRightInd/>
              <w:spacing w:line="560" w:lineRule="exact"/>
              <w:ind w:firstLine="200"/>
              <w:jc w:val="center"/>
              <w:rPr>
                <w:rFonts w:ascii="宋体" w:hAnsi="宋体" w:eastAsia="宋体" w:cs="Times New Roman"/>
                <w:color w:val="auto"/>
                <w:kern w:val="0"/>
                <w:sz w:val="24"/>
                <w:highlight w:val="none"/>
              </w:rPr>
            </w:pPr>
          </w:p>
        </w:tc>
      </w:tr>
      <w:tr w14:paraId="49DD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3A4F41">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总价</w:t>
            </w:r>
          </w:p>
        </w:tc>
        <w:tc>
          <w:tcPr>
            <w:tcW w:w="2552" w:type="dxa"/>
            <w:vAlign w:val="center"/>
          </w:tcPr>
          <w:p w14:paraId="3711A08B">
            <w:pPr>
              <w:adjustRightInd/>
              <w:spacing w:line="560" w:lineRule="exact"/>
              <w:ind w:firstLine="200"/>
              <w:jc w:val="center"/>
              <w:rPr>
                <w:rFonts w:ascii="宋体" w:hAnsi="宋体" w:eastAsia="宋体" w:cs="Times New Roman"/>
                <w:color w:val="auto"/>
                <w:kern w:val="0"/>
                <w:sz w:val="24"/>
                <w:highlight w:val="none"/>
              </w:rPr>
            </w:pPr>
          </w:p>
        </w:tc>
      </w:tr>
    </w:tbl>
    <w:p w14:paraId="1F358F50">
      <w:pPr>
        <w:spacing w:line="560" w:lineRule="exact"/>
        <w:ind w:firstLine="480" w:firstLineChars="200"/>
        <w:rPr>
          <w:rFonts w:ascii="宋体" w:hAnsi="宋体" w:eastAsia="宋体" w:cs="Times New Roman"/>
          <w:bCs/>
          <w:color w:val="auto"/>
          <w:sz w:val="24"/>
          <w:highlight w:val="none"/>
        </w:rPr>
      </w:pPr>
      <w:bookmarkStart w:id="183" w:name="_Toc14993"/>
      <w:bookmarkStart w:id="184" w:name="_Toc30506"/>
      <w:bookmarkStart w:id="185" w:name="_Toc3654"/>
      <w:bookmarkStart w:id="186" w:name="_Toc26916"/>
      <w:bookmarkStart w:id="187" w:name="_Toc30158"/>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66B5BC3D">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sz w:val="24"/>
          <w:szCs w:val="32"/>
          <w:highlight w:val="none"/>
        </w:rPr>
        <w:t>1.3.3其他计价方式：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w:t>
      </w:r>
    </w:p>
    <w:bookmarkEnd w:id="183"/>
    <w:bookmarkEnd w:id="184"/>
    <w:bookmarkEnd w:id="185"/>
    <w:bookmarkEnd w:id="186"/>
    <w:bookmarkEnd w:id="187"/>
    <w:p w14:paraId="047CC99A">
      <w:pPr>
        <w:spacing w:line="560" w:lineRule="exact"/>
        <w:ind w:firstLine="482" w:firstLineChars="200"/>
        <w:rPr>
          <w:rFonts w:ascii="宋体" w:hAnsi="宋体" w:eastAsia="宋体" w:cs="宋体"/>
          <w:b/>
          <w:color w:val="auto"/>
          <w:kern w:val="0"/>
          <w:sz w:val="24"/>
          <w:highlight w:val="none"/>
        </w:rPr>
      </w:pPr>
      <w:bookmarkStart w:id="188" w:name="_Toc22618"/>
      <w:bookmarkStart w:id="189" w:name="_Toc10340"/>
      <w:bookmarkStart w:id="190" w:name="_Toc1814"/>
      <w:bookmarkStart w:id="191" w:name="_Toc4760"/>
      <w:bookmarkStart w:id="192" w:name="_Toc11108"/>
      <w:bookmarkStart w:id="193" w:name="_Toc31421"/>
      <w:bookmarkStart w:id="194" w:name="_Toc8772"/>
      <w:bookmarkStart w:id="195" w:name="_Toc3625"/>
      <w:r>
        <w:rPr>
          <w:rFonts w:hint="eastAsia" w:ascii="宋体" w:hAnsi="宋体" w:eastAsia="宋体" w:cs="宋体"/>
          <w:b/>
          <w:color w:val="auto"/>
          <w:kern w:val="0"/>
          <w:sz w:val="24"/>
          <w:highlight w:val="none"/>
        </w:rPr>
        <w:t>1.4履约保证金</w:t>
      </w:r>
    </w:p>
    <w:p w14:paraId="3933C051">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否）需要支付履约保证金。若需要支付履约保证金的，则：</w:t>
      </w:r>
    </w:p>
    <w:p w14:paraId="66DA04E6">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1DFAC6D">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6E3E640">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1BE8CF">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72628E70">
      <w:pPr>
        <w:spacing w:line="5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188"/>
      <w:bookmarkEnd w:id="189"/>
      <w:bookmarkEnd w:id="190"/>
      <w:r>
        <w:rPr>
          <w:rFonts w:hint="eastAsia" w:ascii="宋体" w:hAnsi="宋体" w:eastAsia="宋体" w:cs="宋体"/>
          <w:b/>
          <w:color w:val="auto"/>
          <w:sz w:val="24"/>
          <w:highlight w:val="none"/>
        </w:rPr>
        <w:t>预付款</w:t>
      </w:r>
    </w:p>
    <w:p w14:paraId="241D7C44">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否）需要支付预付款。若需要支付预付款的，则：</w:t>
      </w:r>
    </w:p>
    <w:p w14:paraId="46EF1957">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E53D47F">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1.5.2预付款的扣回方式详见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D5BC354">
      <w:pPr>
        <w:widowControl/>
        <w:adjustRightInd/>
        <w:spacing w:line="360" w:lineRule="auto"/>
        <w:ind w:firstLine="48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1.5.3预付款的担保措施详见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A19D9BD">
      <w:pPr>
        <w:widowControl/>
        <w:adjustRightInd/>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1.6资金支付</w:t>
      </w:r>
    </w:p>
    <w:p w14:paraId="7037171C">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026BFFAC">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220861">
      <w:pPr>
        <w:widowControl/>
        <w:adjustRightInd/>
        <w:spacing w:line="360" w:lineRule="auto"/>
        <w:ind w:firstLine="480"/>
        <w:jc w:val="left"/>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191"/>
      <w:bookmarkEnd w:id="192"/>
      <w:bookmarkEnd w:id="193"/>
      <w:bookmarkEnd w:id="194"/>
      <w:bookmarkEnd w:id="195"/>
    </w:p>
    <w:p w14:paraId="1A9251DE">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6F3E0732">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702EE6B0">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079423FC">
      <w:pPr>
        <w:widowControl/>
        <w:adjustRightInd/>
        <w:spacing w:line="360" w:lineRule="auto"/>
        <w:ind w:firstLine="480"/>
        <w:jc w:val="left"/>
        <w:rPr>
          <w:rFonts w:ascii="宋体" w:hAnsi="宋体" w:eastAsia="宋体" w:cs="Times New Roman"/>
          <w:bCs/>
          <w:color w:val="auto"/>
          <w:sz w:val="24"/>
          <w:highlight w:val="none"/>
        </w:rPr>
      </w:pPr>
      <w:bookmarkStart w:id="196" w:name="_Toc2375"/>
      <w:bookmarkStart w:id="197" w:name="_Toc8586"/>
      <w:bookmarkStart w:id="198" w:name="_Toc3079"/>
      <w:bookmarkStart w:id="199" w:name="_Toc24662"/>
      <w:bookmarkStart w:id="200" w:name="_Toc5698"/>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3C6E2CAC">
      <w:pPr>
        <w:widowControl/>
        <w:adjustRightInd/>
        <w:spacing w:line="360" w:lineRule="auto"/>
        <w:ind w:firstLine="48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BCE3B46">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B13BCC2">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C0AAE6">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96"/>
      <w:bookmarkEnd w:id="197"/>
      <w:bookmarkEnd w:id="198"/>
      <w:bookmarkEnd w:id="199"/>
      <w:bookmarkEnd w:id="200"/>
    </w:p>
    <w:p w14:paraId="3C959E71">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9BCDE91">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（可根据情况修改）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3ADAFC52">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0D5CF0A0">
      <w:pPr>
        <w:widowControl/>
        <w:adjustRightInd/>
        <w:spacing w:line="360" w:lineRule="auto"/>
        <w:ind w:firstLine="480"/>
        <w:jc w:val="left"/>
        <w:rPr>
          <w:rFonts w:ascii="宋体" w:hAnsi="宋体" w:eastAsia="宋体" w:cs="宋体"/>
          <w:color w:val="auto"/>
          <w:sz w:val="24"/>
          <w:highlight w:val="none"/>
        </w:rPr>
      </w:pPr>
      <w:bookmarkStart w:id="201" w:name="_Toc30329"/>
      <w:bookmarkStart w:id="202" w:name="_Toc26807"/>
      <w:bookmarkStart w:id="203" w:name="_Toc18683"/>
      <w:bookmarkStart w:id="204" w:name="_Toc32454"/>
      <w:bookmarkStart w:id="205"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D737B3">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0EC80B8">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6FB315">
      <w:pPr>
        <w:widowControl/>
        <w:adjustRightInd/>
        <w:spacing w:line="360" w:lineRule="auto"/>
        <w:ind w:firstLine="480"/>
        <w:jc w:val="left"/>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201"/>
    <w:bookmarkEnd w:id="202"/>
    <w:bookmarkEnd w:id="203"/>
    <w:bookmarkEnd w:id="204"/>
    <w:bookmarkEnd w:id="205"/>
    <w:p w14:paraId="5FB88807">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8B6E566">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7889E52E">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16C88C6">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7B6CF06">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39318608">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CD14061">
      <w:pPr>
        <w:autoSpaceDE w:val="0"/>
        <w:autoSpaceDN w:val="0"/>
        <w:spacing w:line="560" w:lineRule="exact"/>
        <w:rPr>
          <w:rFonts w:ascii="宋体" w:hAnsi="宋体" w:eastAsia="宋体" w:cs="Times New Roman"/>
          <w:color w:val="auto"/>
          <w:sz w:val="24"/>
          <w:highlight w:val="none"/>
          <w:lang w:val="zh-CN"/>
        </w:rPr>
      </w:pPr>
    </w:p>
    <w:p w14:paraId="1E212B5A">
      <w:pPr>
        <w:autoSpaceDE w:val="0"/>
        <w:autoSpaceDN w:val="0"/>
        <w:spacing w:line="560" w:lineRule="exact"/>
        <w:rPr>
          <w:rFonts w:ascii="宋体" w:hAnsi="宋体" w:eastAsia="宋体" w:cs="Times New Roman"/>
          <w:b/>
          <w:color w:val="auto"/>
          <w:sz w:val="24"/>
          <w:highlight w:val="none"/>
          <w:lang w:val="zh-CN"/>
        </w:rPr>
      </w:pPr>
    </w:p>
    <w:p w14:paraId="039D2228">
      <w:pPr>
        <w:autoSpaceDE w:val="0"/>
        <w:autoSpaceDN w:val="0"/>
        <w:spacing w:line="560" w:lineRule="exact"/>
        <w:rPr>
          <w:rFonts w:hint="eastAsia" w:ascii="宋体" w:hAnsi="宋体" w:eastAsia="宋体" w:cs="Times New Roman"/>
          <w:b/>
          <w:color w:val="auto"/>
          <w:sz w:val="24"/>
          <w:highlight w:val="none"/>
          <w:lang w:val="zh-CN"/>
        </w:rPr>
      </w:pPr>
    </w:p>
    <w:p w14:paraId="71F54A8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093AD6FE">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5153179A">
      <w:pPr>
        <w:autoSpaceDE w:val="0"/>
        <w:autoSpaceDN w:val="0"/>
        <w:spacing w:line="560" w:lineRule="exact"/>
        <w:rPr>
          <w:rFonts w:ascii="宋体" w:hAnsi="宋体" w:eastAsia="宋体" w:cs="Times New Roman"/>
          <w:color w:val="auto"/>
          <w:sz w:val="24"/>
          <w:highlight w:val="none"/>
          <w:lang w:val="zh-CN"/>
        </w:rPr>
      </w:pPr>
    </w:p>
    <w:p w14:paraId="502052D5">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470001E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30AB1EA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42CAA6BE">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14EE07E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7A10DD6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7929A727">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645BDE09">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p>
    <w:p w14:paraId="257AEAFD">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1DF62B40">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5B6A5C7B">
      <w:pPr>
        <w:autoSpaceDE w:val="0"/>
        <w:autoSpaceDN w:val="0"/>
        <w:spacing w:line="560" w:lineRule="exac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zh-CN"/>
        </w:rPr>
        <w:t xml:space="preserve">户名称：                               开户名称： </w:t>
      </w:r>
    </w:p>
    <w:p w14:paraId="437A2FE9">
      <w:pPr>
        <w:autoSpaceDE w:val="0"/>
        <w:autoSpaceDN w:val="0"/>
        <w:spacing w:line="560" w:lineRule="exac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                               开户账号：</w:t>
      </w:r>
    </w:p>
    <w:p w14:paraId="3A1B11DD">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696ECE39">
      <w:pPr>
        <w:autoSpaceDE w:val="0"/>
        <w:autoSpaceDN w:val="0"/>
        <w:snapToGrid w:val="0"/>
        <w:spacing w:after="120" w:line="560" w:lineRule="exact"/>
        <w:ind w:left="420" w:leftChars="200" w:firstLine="482" w:firstLineChars="200"/>
        <w:jc w:val="center"/>
        <w:rPr>
          <w:rFonts w:ascii="宋体" w:hAnsi="宋体" w:eastAsia="宋体" w:cs="Times New Roman"/>
          <w:b/>
          <w:color w:val="auto"/>
          <w:sz w:val="24"/>
          <w:highlight w:val="none"/>
        </w:rPr>
      </w:pPr>
      <w:bookmarkStart w:id="206" w:name="_Toc22072"/>
      <w:r>
        <w:rPr>
          <w:rFonts w:hint="eastAsia" w:ascii="宋体" w:hAnsi="宋体" w:eastAsia="宋体" w:cs="Times New Roman"/>
          <w:b/>
          <w:color w:val="auto"/>
          <w:sz w:val="24"/>
          <w:highlight w:val="none"/>
        </w:rPr>
        <w:t>第二部分</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合同一般条款</w:t>
      </w:r>
      <w:bookmarkEnd w:id="206"/>
    </w:p>
    <w:p w14:paraId="6C54E9A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07" w:name="_Toc14021"/>
      <w:bookmarkStart w:id="208" w:name="_Toc31297"/>
      <w:bookmarkStart w:id="209" w:name="_Toc5228"/>
      <w:bookmarkStart w:id="210" w:name="_Toc25079"/>
      <w:bookmarkStart w:id="211" w:name="_Toc19680"/>
      <w:r>
        <w:rPr>
          <w:rFonts w:ascii="宋体" w:hAnsi="宋体" w:eastAsia="宋体" w:cs="Times New Roman"/>
          <w:b/>
          <w:color w:val="auto"/>
          <w:sz w:val="24"/>
          <w:highlight w:val="none"/>
        </w:rPr>
        <w:t>2.1 定义</w:t>
      </w:r>
      <w:bookmarkEnd w:id="207"/>
      <w:bookmarkEnd w:id="208"/>
      <w:bookmarkEnd w:id="209"/>
      <w:bookmarkEnd w:id="210"/>
      <w:bookmarkEnd w:id="211"/>
    </w:p>
    <w:p w14:paraId="5815D8F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33AB43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01A963A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283CB12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047C23B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259FA7E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7FBB6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7A423B2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12" w:name="_Toc3769"/>
      <w:bookmarkStart w:id="213" w:name="_Toc23289"/>
      <w:bookmarkStart w:id="214" w:name="_Toc19539"/>
      <w:bookmarkStart w:id="215" w:name="_Toc16752"/>
      <w:bookmarkStart w:id="216" w:name="_Toc31402"/>
      <w:r>
        <w:rPr>
          <w:rFonts w:ascii="宋体" w:hAnsi="宋体" w:eastAsia="宋体" w:cs="Times New Roman"/>
          <w:b/>
          <w:color w:val="auto"/>
          <w:sz w:val="24"/>
          <w:highlight w:val="none"/>
        </w:rPr>
        <w:t>2.2 技术规范</w:t>
      </w:r>
      <w:bookmarkEnd w:id="212"/>
      <w:bookmarkEnd w:id="213"/>
      <w:bookmarkEnd w:id="214"/>
      <w:bookmarkEnd w:id="215"/>
      <w:bookmarkEnd w:id="216"/>
    </w:p>
    <w:p w14:paraId="5F658C8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如果有的话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及其技术规范偏差表</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如果被甲方接受的话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7C0C827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17" w:name="_Toc27945"/>
      <w:bookmarkStart w:id="218" w:name="_Toc9161"/>
      <w:bookmarkStart w:id="219" w:name="_Toc12412"/>
      <w:bookmarkStart w:id="220" w:name="_Toc13673"/>
      <w:bookmarkStart w:id="221" w:name="_Toc4133"/>
      <w:r>
        <w:rPr>
          <w:rFonts w:ascii="宋体" w:hAnsi="宋体" w:eastAsia="宋体" w:cs="Times New Roman"/>
          <w:b/>
          <w:color w:val="auto"/>
          <w:sz w:val="24"/>
          <w:highlight w:val="none"/>
        </w:rPr>
        <w:t>2.3 知识产权</w:t>
      </w:r>
      <w:bookmarkEnd w:id="217"/>
      <w:bookmarkEnd w:id="218"/>
      <w:bookmarkEnd w:id="219"/>
      <w:bookmarkEnd w:id="220"/>
      <w:bookmarkEnd w:id="221"/>
    </w:p>
    <w:p w14:paraId="2D72362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2A24F81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639C1B3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6C17EA8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29B4A1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7C10F48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22" w:name="_Toc31233"/>
      <w:bookmarkStart w:id="223" w:name="_Toc26555"/>
      <w:bookmarkStart w:id="224" w:name="_Toc22011"/>
      <w:bookmarkStart w:id="225" w:name="_Toc32670"/>
      <w:bookmarkStart w:id="226" w:name="_Toc15447"/>
      <w:r>
        <w:rPr>
          <w:rFonts w:ascii="宋体" w:hAnsi="宋体" w:eastAsia="宋体" w:cs="Times New Roman"/>
          <w:b/>
          <w:color w:val="auto"/>
          <w:sz w:val="24"/>
          <w:highlight w:val="none"/>
        </w:rPr>
        <w:t>2.5 结算方式和付款条件</w:t>
      </w:r>
      <w:bookmarkEnd w:id="222"/>
      <w:bookmarkEnd w:id="223"/>
      <w:bookmarkEnd w:id="224"/>
      <w:bookmarkEnd w:id="225"/>
      <w:bookmarkEnd w:id="226"/>
    </w:p>
    <w:p w14:paraId="2314AB8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78F64666">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27" w:name="_Toc13154"/>
      <w:bookmarkStart w:id="228" w:name="_Toc18990"/>
      <w:bookmarkStart w:id="229" w:name="_Toc13467"/>
      <w:bookmarkStart w:id="230" w:name="_Toc30507"/>
      <w:bookmarkStart w:id="231" w:name="_Toc16163"/>
      <w:r>
        <w:rPr>
          <w:rFonts w:ascii="宋体" w:hAnsi="宋体" w:eastAsia="宋体" w:cs="Times New Roman"/>
          <w:b/>
          <w:color w:val="auto"/>
          <w:sz w:val="24"/>
          <w:highlight w:val="none"/>
        </w:rPr>
        <w:t>2.6 技术资料和保密义务</w:t>
      </w:r>
      <w:bookmarkEnd w:id="227"/>
      <w:bookmarkEnd w:id="228"/>
      <w:bookmarkEnd w:id="229"/>
      <w:bookmarkEnd w:id="230"/>
      <w:bookmarkEnd w:id="231"/>
    </w:p>
    <w:p w14:paraId="4FB92CD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5FCA443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7D1FAF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0B00C63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32"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232"/>
    </w:p>
    <w:p w14:paraId="315F629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12808A9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178067A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33"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233"/>
    </w:p>
    <w:p w14:paraId="5429EED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08CA530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34"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234"/>
    </w:p>
    <w:p w14:paraId="034BC18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D4EC68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35" w:name="_Toc10663"/>
      <w:bookmarkStart w:id="236" w:name="_Toc42"/>
      <w:bookmarkStart w:id="237" w:name="_Toc26689"/>
      <w:bookmarkStart w:id="238" w:name="_Toc21830"/>
      <w:bookmarkStart w:id="239" w:name="_Toc23368"/>
      <w:r>
        <w:rPr>
          <w:rFonts w:ascii="宋体" w:hAnsi="宋体" w:eastAsia="宋体" w:cs="Times New Roman"/>
          <w:b/>
          <w:color w:val="auto"/>
          <w:sz w:val="24"/>
          <w:highlight w:val="none"/>
        </w:rPr>
        <w:t>2.10 合同转让和分包</w:t>
      </w:r>
      <w:bookmarkEnd w:id="235"/>
      <w:bookmarkEnd w:id="236"/>
      <w:bookmarkEnd w:id="237"/>
      <w:bookmarkEnd w:id="238"/>
      <w:bookmarkEnd w:id="239"/>
    </w:p>
    <w:p w14:paraId="096CA34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7897275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40" w:name="_Toc14371"/>
      <w:bookmarkStart w:id="241" w:name="_Toc25571"/>
      <w:bookmarkStart w:id="242" w:name="_Toc4720"/>
      <w:bookmarkStart w:id="243" w:name="_Toc26633"/>
      <w:bookmarkStart w:id="244" w:name="_Toc32494"/>
      <w:r>
        <w:rPr>
          <w:rFonts w:ascii="宋体" w:hAnsi="宋体" w:eastAsia="宋体" w:cs="Times New Roman"/>
          <w:b/>
          <w:color w:val="auto"/>
          <w:sz w:val="24"/>
          <w:highlight w:val="none"/>
        </w:rPr>
        <w:t>2.11 不可抗力</w:t>
      </w:r>
      <w:bookmarkEnd w:id="240"/>
      <w:bookmarkEnd w:id="241"/>
      <w:bookmarkEnd w:id="242"/>
      <w:bookmarkEnd w:id="243"/>
      <w:bookmarkEnd w:id="244"/>
    </w:p>
    <w:p w14:paraId="222876E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5ED183B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30C5BD9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5B8C37A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16600EC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45" w:name="_Toc25783"/>
      <w:bookmarkStart w:id="246" w:name="_Toc24465"/>
      <w:bookmarkStart w:id="247" w:name="_Toc3638"/>
      <w:bookmarkStart w:id="248" w:name="_Toc14115"/>
      <w:bookmarkStart w:id="249" w:name="_Toc23854"/>
      <w:r>
        <w:rPr>
          <w:rFonts w:ascii="宋体" w:hAnsi="宋体" w:eastAsia="宋体" w:cs="Times New Roman"/>
          <w:b/>
          <w:color w:val="auto"/>
          <w:sz w:val="24"/>
          <w:highlight w:val="none"/>
        </w:rPr>
        <w:t>2.12 税费</w:t>
      </w:r>
      <w:bookmarkEnd w:id="245"/>
      <w:bookmarkEnd w:id="246"/>
      <w:bookmarkEnd w:id="247"/>
      <w:bookmarkEnd w:id="248"/>
      <w:bookmarkEnd w:id="249"/>
    </w:p>
    <w:p w14:paraId="3577CCF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005F96E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50" w:name="_Toc30105"/>
      <w:bookmarkStart w:id="251" w:name="_Toc14814"/>
      <w:bookmarkStart w:id="252" w:name="_Toc26883"/>
      <w:bookmarkStart w:id="253" w:name="_Toc25525"/>
      <w:bookmarkStart w:id="254" w:name="_Toc7315"/>
      <w:r>
        <w:rPr>
          <w:rFonts w:ascii="宋体" w:hAnsi="宋体" w:eastAsia="宋体" w:cs="Times New Roman"/>
          <w:b/>
          <w:color w:val="auto"/>
          <w:sz w:val="24"/>
          <w:highlight w:val="none"/>
        </w:rPr>
        <w:t>2.13 乙方破产</w:t>
      </w:r>
      <w:bookmarkEnd w:id="250"/>
      <w:bookmarkEnd w:id="251"/>
      <w:bookmarkEnd w:id="252"/>
      <w:bookmarkEnd w:id="253"/>
      <w:bookmarkEnd w:id="254"/>
    </w:p>
    <w:p w14:paraId="2694C47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63EEB43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55" w:name="_Toc1123"/>
      <w:bookmarkStart w:id="256" w:name="_Toc23323"/>
      <w:bookmarkStart w:id="257" w:name="_Toc2016"/>
      <w:r>
        <w:rPr>
          <w:rFonts w:ascii="宋体" w:hAnsi="宋体" w:eastAsia="宋体" w:cs="Times New Roman"/>
          <w:b/>
          <w:color w:val="auto"/>
          <w:sz w:val="24"/>
          <w:highlight w:val="none"/>
        </w:rPr>
        <w:t>2.14 合同中止、终止</w:t>
      </w:r>
      <w:bookmarkEnd w:id="255"/>
      <w:bookmarkEnd w:id="256"/>
      <w:bookmarkEnd w:id="257"/>
    </w:p>
    <w:p w14:paraId="67A5E03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2C6D3F7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A36C7C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58" w:name="_Toc14525"/>
      <w:bookmarkStart w:id="259" w:name="_Toc17363"/>
      <w:bookmarkStart w:id="260" w:name="_Toc1969"/>
      <w:r>
        <w:rPr>
          <w:rFonts w:ascii="宋体" w:hAnsi="宋体" w:eastAsia="宋体" w:cs="Times New Roman"/>
          <w:b/>
          <w:color w:val="auto"/>
          <w:sz w:val="24"/>
          <w:highlight w:val="none"/>
        </w:rPr>
        <w:t>2.15 检验和验收</w:t>
      </w:r>
      <w:bookmarkEnd w:id="258"/>
      <w:bookmarkEnd w:id="259"/>
      <w:bookmarkEnd w:id="260"/>
    </w:p>
    <w:p w14:paraId="08080191">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5AF3CA2E">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562A63E">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62CA337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61" w:name="_Toc2308"/>
      <w:bookmarkStart w:id="262" w:name="_Toc12666"/>
      <w:bookmarkStart w:id="263" w:name="_Toc25198"/>
      <w:bookmarkStart w:id="264" w:name="_Toc31892"/>
      <w:bookmarkStart w:id="265" w:name="_Toc9808"/>
      <w:r>
        <w:rPr>
          <w:rFonts w:ascii="宋体" w:hAnsi="宋体" w:eastAsia="宋体" w:cs="Times New Roman"/>
          <w:b/>
          <w:color w:val="auto"/>
          <w:sz w:val="24"/>
          <w:highlight w:val="none"/>
        </w:rPr>
        <w:t>2.16 通知和送达</w:t>
      </w:r>
      <w:bookmarkEnd w:id="261"/>
      <w:bookmarkEnd w:id="262"/>
      <w:bookmarkEnd w:id="263"/>
      <w:bookmarkEnd w:id="264"/>
      <w:bookmarkEnd w:id="265"/>
    </w:p>
    <w:p w14:paraId="19E8C04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bookmarkStart w:id="266" w:name="_Toc18401"/>
      <w:bookmarkStart w:id="267"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7B706BF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266"/>
      <w:bookmarkEnd w:id="267"/>
    </w:p>
    <w:p w14:paraId="1ED3213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268" w:name="_Toc28906"/>
      <w:bookmarkStart w:id="269" w:name="_Toc27644"/>
      <w:bookmarkStart w:id="270" w:name="_Toc12254"/>
      <w:bookmarkStart w:id="271" w:name="_Toc5063"/>
      <w:bookmarkStart w:id="272" w:name="_Toc20808"/>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268"/>
      <w:bookmarkEnd w:id="269"/>
      <w:bookmarkEnd w:id="270"/>
      <w:bookmarkEnd w:id="271"/>
      <w:bookmarkEnd w:id="272"/>
    </w:p>
    <w:p w14:paraId="2DA835E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w:t>
      </w:r>
      <w:r>
        <w:rPr>
          <w:rFonts w:hint="eastAsia" w:ascii="宋体" w:hAnsi="宋体" w:cs="Times New Roman"/>
          <w:color w:val="auto"/>
          <w:sz w:val="24"/>
          <w:highlight w:val="none"/>
          <w:lang w:eastAsia="zh-CN"/>
        </w:rPr>
        <w:t>书写</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1A14E6B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14BE418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7A57492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4935F9F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5106367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0FA49648">
      <w:pPr>
        <w:spacing w:line="360" w:lineRule="auto"/>
        <w:jc w:val="center"/>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273" w:name="_Toc26030"/>
      <w:r>
        <w:rPr>
          <w:rFonts w:hint="eastAsia" w:ascii="宋体" w:hAnsi="宋体" w:eastAsia="宋体" w:cs="宋体"/>
          <w:b/>
          <w:color w:val="auto"/>
          <w:sz w:val="24"/>
          <w:highlight w:val="none"/>
        </w:rPr>
        <w:t>第三部分  合同专用条款</w:t>
      </w:r>
      <w:bookmarkEnd w:id="273"/>
    </w:p>
    <w:p w14:paraId="1174B3C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20"/>
      </w:tblGrid>
      <w:tr w14:paraId="6010B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87E42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20" w:type="dxa"/>
            <w:vAlign w:val="center"/>
          </w:tcPr>
          <w:p w14:paraId="63A6D78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3216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C41E5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20" w:type="dxa"/>
            <w:vAlign w:val="center"/>
          </w:tcPr>
          <w:p w14:paraId="73D312F2">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5AFC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8BE6A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20" w:type="dxa"/>
            <w:vAlign w:val="center"/>
          </w:tcPr>
          <w:p w14:paraId="4E8CDAA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1AB6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D2A76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8120" w:type="dxa"/>
            <w:vAlign w:val="center"/>
          </w:tcPr>
          <w:p w14:paraId="6E1F67BD">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合同签订以及具备实施条件后7个工作日</w:t>
            </w:r>
            <w:r>
              <w:rPr>
                <w:rFonts w:hint="eastAsia" w:asciiTheme="minorEastAsia" w:hAnsiTheme="minorEastAsia" w:eastAsiaTheme="minorEastAsia"/>
                <w:color w:val="auto"/>
                <w:sz w:val="24"/>
                <w:highlight w:val="none"/>
                <w:lang w:val="en-US" w:eastAsia="zh-CN"/>
              </w:rPr>
              <w:t>甲方</w:t>
            </w:r>
            <w:r>
              <w:rPr>
                <w:rFonts w:hint="eastAsia" w:asciiTheme="minorEastAsia" w:hAnsiTheme="minorEastAsia" w:eastAsiaTheme="minorEastAsia"/>
                <w:color w:val="auto"/>
                <w:sz w:val="24"/>
                <w:highlight w:val="none"/>
                <w:lang w:eastAsia="zh-CN"/>
              </w:rPr>
              <w:t>支付合同总价的</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lang w:eastAsia="zh-CN"/>
              </w:rPr>
              <w:t>0%作为预付款（合同签订时</w:t>
            </w:r>
            <w:r>
              <w:rPr>
                <w:rFonts w:hint="eastAsia" w:asciiTheme="minorEastAsia" w:hAnsiTheme="minorEastAsia" w:eastAsiaTheme="minorEastAsia"/>
                <w:color w:val="auto"/>
                <w:sz w:val="24"/>
                <w:highlight w:val="none"/>
                <w:lang w:val="en-US" w:eastAsia="zh-CN"/>
              </w:rPr>
              <w:t>乙方</w:t>
            </w:r>
            <w:r>
              <w:rPr>
                <w:rFonts w:hint="eastAsia" w:asciiTheme="minorEastAsia" w:hAnsiTheme="minorEastAsia" w:eastAsiaTheme="minorEastAsia"/>
                <w:color w:val="auto"/>
                <w:sz w:val="24"/>
                <w:highlight w:val="none"/>
                <w:lang w:eastAsia="zh-CN"/>
              </w:rPr>
              <w:t>主动要求不需要预付款的</w:t>
            </w:r>
            <w:r>
              <w:rPr>
                <w:rFonts w:hint="eastAsia" w:asciiTheme="minorEastAsia" w:hAnsiTheme="minorEastAsia" w:eastAsiaTheme="minorEastAsia"/>
                <w:color w:val="auto"/>
                <w:sz w:val="24"/>
                <w:highlight w:val="none"/>
                <w:lang w:val="en-US" w:eastAsia="zh-CN"/>
              </w:rPr>
              <w:t>甲方</w:t>
            </w:r>
            <w:r>
              <w:rPr>
                <w:rFonts w:hint="eastAsia" w:asciiTheme="minorEastAsia" w:hAnsiTheme="minorEastAsia" w:eastAsiaTheme="minorEastAsia"/>
                <w:color w:val="auto"/>
                <w:sz w:val="24"/>
                <w:highlight w:val="none"/>
                <w:lang w:eastAsia="zh-CN"/>
              </w:rPr>
              <w:t>可以不支付）。</w:t>
            </w:r>
          </w:p>
        </w:tc>
      </w:tr>
      <w:tr w14:paraId="0209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CA16A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20" w:type="dxa"/>
            <w:vAlign w:val="center"/>
          </w:tcPr>
          <w:p w14:paraId="238344D4">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r>
      <w:tr w14:paraId="79999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8" w:hRule="atLeast"/>
          <w:jc w:val="center"/>
        </w:trPr>
        <w:tc>
          <w:tcPr>
            <w:tcW w:w="977" w:type="dxa"/>
            <w:tcBorders>
              <w:left w:val="single" w:color="auto" w:sz="4" w:space="0"/>
            </w:tcBorders>
            <w:vAlign w:val="center"/>
          </w:tcPr>
          <w:p w14:paraId="6F8C475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8120" w:type="dxa"/>
            <w:vAlign w:val="center"/>
          </w:tcPr>
          <w:p w14:paraId="50BADC49">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r>
      <w:tr w14:paraId="54664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A12CC7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20" w:type="dxa"/>
            <w:vAlign w:val="center"/>
          </w:tcPr>
          <w:p w14:paraId="0D7616A5">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1）合同签订以及具备实施条件后7个工作日</w:t>
            </w:r>
            <w:r>
              <w:rPr>
                <w:rFonts w:hint="eastAsia" w:asciiTheme="minorEastAsia" w:hAnsiTheme="minorEastAsia" w:eastAsiaTheme="minorEastAsia"/>
                <w:color w:val="auto"/>
                <w:sz w:val="24"/>
                <w:highlight w:val="none"/>
                <w:lang w:val="en-US" w:eastAsia="zh-CN"/>
              </w:rPr>
              <w:t>甲方</w:t>
            </w:r>
            <w:r>
              <w:rPr>
                <w:rFonts w:hint="eastAsia" w:asciiTheme="minorEastAsia" w:hAnsiTheme="minorEastAsia" w:eastAsiaTheme="minorEastAsia"/>
                <w:color w:val="auto"/>
                <w:sz w:val="24"/>
                <w:highlight w:val="none"/>
                <w:lang w:eastAsia="zh-CN"/>
              </w:rPr>
              <w:t>支付合同总价的</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lang w:eastAsia="zh-CN"/>
              </w:rPr>
              <w:t>0%作为预付款（合同签订时</w:t>
            </w:r>
            <w:r>
              <w:rPr>
                <w:rFonts w:hint="eastAsia" w:asciiTheme="minorEastAsia" w:hAnsiTheme="minorEastAsia" w:eastAsiaTheme="minorEastAsia"/>
                <w:color w:val="auto"/>
                <w:sz w:val="24"/>
                <w:highlight w:val="none"/>
                <w:lang w:val="en-US" w:eastAsia="zh-CN"/>
              </w:rPr>
              <w:t>乙方</w:t>
            </w:r>
            <w:r>
              <w:rPr>
                <w:rFonts w:hint="eastAsia" w:asciiTheme="minorEastAsia" w:hAnsiTheme="minorEastAsia" w:eastAsiaTheme="minorEastAsia"/>
                <w:color w:val="auto"/>
                <w:sz w:val="24"/>
                <w:highlight w:val="none"/>
                <w:lang w:eastAsia="zh-CN"/>
              </w:rPr>
              <w:t>主动要求不需要预付款的</w:t>
            </w:r>
            <w:r>
              <w:rPr>
                <w:rFonts w:hint="eastAsia" w:asciiTheme="minorEastAsia" w:hAnsiTheme="minorEastAsia" w:eastAsiaTheme="minorEastAsia"/>
                <w:color w:val="auto"/>
                <w:sz w:val="24"/>
                <w:highlight w:val="none"/>
                <w:lang w:val="en-US" w:eastAsia="zh-CN"/>
              </w:rPr>
              <w:t>甲方</w:t>
            </w:r>
            <w:r>
              <w:rPr>
                <w:rFonts w:hint="eastAsia" w:asciiTheme="minorEastAsia" w:hAnsiTheme="minorEastAsia" w:eastAsiaTheme="minorEastAsia"/>
                <w:color w:val="auto"/>
                <w:sz w:val="24"/>
                <w:highlight w:val="none"/>
                <w:lang w:eastAsia="zh-CN"/>
              </w:rPr>
              <w:t>可以不支付）；</w:t>
            </w:r>
          </w:p>
          <w:p w14:paraId="48406C7C">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2）</w:t>
            </w:r>
            <w:r>
              <w:rPr>
                <w:rFonts w:hint="eastAsia" w:asciiTheme="minorEastAsia" w:hAnsiTheme="minorEastAsia" w:eastAsiaTheme="minorEastAsia"/>
                <w:color w:val="auto"/>
                <w:sz w:val="24"/>
                <w:highlight w:val="none"/>
                <w:lang w:val="en-US" w:eastAsia="zh-CN"/>
              </w:rPr>
              <w:t>项目建设完成并通过项目初验后</w:t>
            </w:r>
            <w:r>
              <w:rPr>
                <w:rFonts w:hint="eastAsia" w:asciiTheme="minorEastAsia" w:hAnsiTheme="minorEastAsia" w:eastAsiaTheme="minorEastAsia"/>
                <w:color w:val="auto"/>
                <w:sz w:val="24"/>
                <w:highlight w:val="none"/>
                <w:lang w:eastAsia="zh-CN"/>
              </w:rPr>
              <w:t>，7个工作日内，支付</w:t>
            </w:r>
            <w:r>
              <w:rPr>
                <w:rFonts w:hint="eastAsia" w:asciiTheme="minorEastAsia" w:hAnsiTheme="minorEastAsia" w:eastAsiaTheme="minorEastAsia"/>
                <w:color w:val="auto"/>
                <w:sz w:val="24"/>
                <w:highlight w:val="none"/>
                <w:lang w:val="en-US" w:eastAsia="zh-CN"/>
              </w:rPr>
              <w:t>至</w:t>
            </w:r>
            <w:r>
              <w:rPr>
                <w:rFonts w:hint="eastAsia" w:asciiTheme="minorEastAsia" w:hAnsiTheme="minorEastAsia" w:eastAsiaTheme="minorEastAsia"/>
                <w:color w:val="auto"/>
                <w:sz w:val="24"/>
                <w:highlight w:val="none"/>
                <w:lang w:eastAsia="zh-CN"/>
              </w:rPr>
              <w:t>合同金额的</w:t>
            </w:r>
            <w:r>
              <w:rPr>
                <w:rFonts w:hint="eastAsia" w:asciiTheme="minorEastAsia" w:hAnsiTheme="minorEastAsia" w:eastAsiaTheme="minorEastAsia"/>
                <w:color w:val="auto"/>
                <w:sz w:val="24"/>
                <w:highlight w:val="none"/>
                <w:lang w:val="en-US" w:eastAsia="zh-CN"/>
              </w:rPr>
              <w:t>70</w:t>
            </w:r>
            <w:r>
              <w:rPr>
                <w:rFonts w:hint="eastAsia" w:asciiTheme="minorEastAsia" w:hAnsiTheme="minorEastAsia" w:eastAsiaTheme="minorEastAsia"/>
                <w:color w:val="auto"/>
                <w:sz w:val="24"/>
                <w:highlight w:val="none"/>
                <w:lang w:eastAsia="zh-CN"/>
              </w:rPr>
              <w:t>%。</w:t>
            </w:r>
          </w:p>
          <w:p w14:paraId="5475E09E">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3）项目正式验收通过后，7个工作日内，支付</w:t>
            </w:r>
            <w:r>
              <w:rPr>
                <w:rFonts w:hint="eastAsia" w:asciiTheme="minorEastAsia" w:hAnsiTheme="minorEastAsia" w:eastAsiaTheme="minorEastAsia"/>
                <w:color w:val="auto"/>
                <w:sz w:val="24"/>
                <w:highlight w:val="none"/>
                <w:lang w:val="en-US" w:eastAsia="zh-CN"/>
              </w:rPr>
              <w:t>至</w:t>
            </w:r>
            <w:r>
              <w:rPr>
                <w:rFonts w:hint="eastAsia" w:asciiTheme="minorEastAsia" w:hAnsiTheme="minorEastAsia" w:eastAsiaTheme="minorEastAsia"/>
                <w:color w:val="auto"/>
                <w:sz w:val="24"/>
                <w:highlight w:val="none"/>
                <w:lang w:eastAsia="zh-CN"/>
              </w:rPr>
              <w:t>合同金额的</w:t>
            </w:r>
            <w:r>
              <w:rPr>
                <w:rFonts w:hint="eastAsia" w:asciiTheme="minorEastAsia" w:hAnsiTheme="minorEastAsia" w:eastAsiaTheme="minorEastAsia"/>
                <w:color w:val="auto"/>
                <w:sz w:val="24"/>
                <w:highlight w:val="none"/>
                <w:lang w:val="en-US" w:eastAsia="zh-CN"/>
              </w:rPr>
              <w:t>100</w:t>
            </w:r>
            <w:r>
              <w:rPr>
                <w:rFonts w:hint="eastAsia" w:asciiTheme="minorEastAsia" w:hAnsiTheme="minorEastAsia" w:eastAsiaTheme="minorEastAsia"/>
                <w:color w:val="auto"/>
                <w:sz w:val="24"/>
                <w:highlight w:val="none"/>
                <w:lang w:eastAsia="zh-CN"/>
              </w:rPr>
              <w:t>%。</w:t>
            </w:r>
          </w:p>
          <w:p w14:paraId="09DFF8C5">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4）甲方</w:t>
            </w:r>
            <w:r>
              <w:rPr>
                <w:rFonts w:hint="eastAsia" w:asciiTheme="minorEastAsia" w:hAnsiTheme="minorEastAsia" w:eastAsiaTheme="minorEastAsia"/>
                <w:color w:val="auto"/>
                <w:sz w:val="24"/>
                <w:highlight w:val="none"/>
                <w:lang w:eastAsia="zh-CN"/>
              </w:rPr>
              <w:t>向</w:t>
            </w:r>
            <w:r>
              <w:rPr>
                <w:rFonts w:hint="eastAsia" w:asciiTheme="minorEastAsia" w:hAnsiTheme="minorEastAsia" w:eastAsiaTheme="minorEastAsia"/>
                <w:color w:val="auto"/>
                <w:sz w:val="24"/>
                <w:highlight w:val="none"/>
                <w:lang w:val="en-US" w:eastAsia="zh-CN"/>
              </w:rPr>
              <w:t>乙方</w:t>
            </w:r>
            <w:r>
              <w:rPr>
                <w:rFonts w:hint="eastAsia" w:asciiTheme="minorEastAsia" w:hAnsiTheme="minorEastAsia" w:eastAsiaTheme="minorEastAsia"/>
                <w:color w:val="auto"/>
                <w:sz w:val="24"/>
                <w:highlight w:val="none"/>
                <w:lang w:eastAsia="zh-CN"/>
              </w:rPr>
              <w:t>支付</w:t>
            </w:r>
            <w:r>
              <w:rPr>
                <w:rFonts w:hint="eastAsia" w:asciiTheme="minorEastAsia" w:hAnsiTheme="minorEastAsia" w:eastAsiaTheme="minorEastAsia"/>
                <w:color w:val="auto"/>
                <w:sz w:val="24"/>
                <w:highlight w:val="none"/>
                <w:lang w:val="en-US" w:eastAsia="zh-CN"/>
              </w:rPr>
              <w:t>款项</w:t>
            </w:r>
            <w:r>
              <w:rPr>
                <w:rFonts w:hint="eastAsia" w:asciiTheme="minorEastAsia" w:hAnsiTheme="minorEastAsia" w:eastAsiaTheme="minorEastAsia"/>
                <w:color w:val="auto"/>
                <w:sz w:val="24"/>
                <w:highlight w:val="none"/>
                <w:lang w:eastAsia="zh-CN"/>
              </w:rPr>
              <w:t>前，</w:t>
            </w:r>
            <w:r>
              <w:rPr>
                <w:rFonts w:hint="eastAsia" w:asciiTheme="minorEastAsia" w:hAnsiTheme="minorEastAsia" w:eastAsiaTheme="minorEastAsia"/>
                <w:color w:val="auto"/>
                <w:sz w:val="24"/>
                <w:highlight w:val="none"/>
                <w:lang w:val="en-US" w:eastAsia="zh-CN"/>
              </w:rPr>
              <w:t>乙方</w:t>
            </w:r>
            <w:r>
              <w:rPr>
                <w:rFonts w:hint="eastAsia" w:asciiTheme="minorEastAsia" w:hAnsiTheme="minorEastAsia" w:eastAsiaTheme="minorEastAsia"/>
                <w:color w:val="auto"/>
                <w:sz w:val="24"/>
                <w:highlight w:val="none"/>
                <w:lang w:eastAsia="zh-CN"/>
              </w:rPr>
              <w:t>应</w:t>
            </w:r>
            <w:r>
              <w:rPr>
                <w:rFonts w:hint="eastAsia" w:asciiTheme="minorEastAsia" w:hAnsiTheme="minorEastAsia" w:eastAsiaTheme="minorEastAsia"/>
                <w:color w:val="auto"/>
                <w:sz w:val="24"/>
                <w:highlight w:val="none"/>
                <w:lang w:val="en-US" w:eastAsia="zh-CN"/>
              </w:rPr>
              <w:t>按甲方要求</w:t>
            </w:r>
            <w:r>
              <w:rPr>
                <w:rFonts w:hint="eastAsia" w:asciiTheme="minorEastAsia" w:hAnsiTheme="minorEastAsia" w:eastAsiaTheme="minorEastAsia"/>
                <w:color w:val="auto"/>
                <w:sz w:val="24"/>
                <w:highlight w:val="none"/>
                <w:lang w:eastAsia="zh-CN"/>
              </w:rPr>
              <w:t>开具同等金额的发票。</w:t>
            </w:r>
          </w:p>
        </w:tc>
      </w:tr>
      <w:tr w14:paraId="78300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1DD2F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20" w:type="dxa"/>
            <w:vAlign w:val="center"/>
          </w:tcPr>
          <w:p w14:paraId="10A5A36F">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自合同签订之日起</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个月内完成项目的需求调研、开发建设、系统调试、</w:t>
            </w:r>
            <w:r>
              <w:rPr>
                <w:rFonts w:hint="eastAsia" w:asciiTheme="minorEastAsia" w:hAnsiTheme="minorEastAsia" w:eastAsiaTheme="minorEastAsia"/>
                <w:color w:val="auto"/>
                <w:sz w:val="24"/>
                <w:highlight w:val="none"/>
                <w:lang w:val="en-US" w:eastAsia="zh-CN"/>
              </w:rPr>
              <w:t>试运行、</w:t>
            </w:r>
            <w:r>
              <w:rPr>
                <w:rFonts w:hint="eastAsia" w:asciiTheme="minorEastAsia" w:hAnsiTheme="minorEastAsia" w:eastAsiaTheme="minorEastAsia"/>
                <w:color w:val="auto"/>
                <w:sz w:val="24"/>
                <w:highlight w:val="none"/>
              </w:rPr>
              <w:t>验收等工作</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试运行时间不少于3个月</w:t>
            </w:r>
            <w:r>
              <w:rPr>
                <w:rFonts w:hint="eastAsia" w:asciiTheme="minorEastAsia" w:hAnsiTheme="minorEastAsia" w:eastAsiaTheme="minorEastAsia"/>
                <w:color w:val="auto"/>
                <w:sz w:val="24"/>
                <w:highlight w:val="none"/>
              </w:rPr>
              <w:t>。</w:t>
            </w:r>
          </w:p>
        </w:tc>
      </w:tr>
      <w:tr w14:paraId="65953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47559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20" w:type="dxa"/>
            <w:vAlign w:val="center"/>
          </w:tcPr>
          <w:p w14:paraId="29198CE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甲方指定地点</w:t>
            </w:r>
          </w:p>
        </w:tc>
      </w:tr>
      <w:tr w14:paraId="66C94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107ED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20" w:type="dxa"/>
            <w:vAlign w:val="center"/>
          </w:tcPr>
          <w:p w14:paraId="67AA3BD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633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523AF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20" w:type="dxa"/>
            <w:vAlign w:val="center"/>
          </w:tcPr>
          <w:p w14:paraId="1AB2D40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3864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A9B072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20" w:type="dxa"/>
            <w:vAlign w:val="center"/>
          </w:tcPr>
          <w:p w14:paraId="6853985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7853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8D346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20" w:type="dxa"/>
            <w:vAlign w:val="center"/>
          </w:tcPr>
          <w:p w14:paraId="531D98B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F859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01DC1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20" w:type="dxa"/>
            <w:vAlign w:val="center"/>
          </w:tcPr>
          <w:p w14:paraId="5135DDC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B3C2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203CD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20" w:type="dxa"/>
            <w:vAlign w:val="center"/>
          </w:tcPr>
          <w:p w14:paraId="0981E2A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B194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48F7AC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20" w:type="dxa"/>
            <w:vAlign w:val="center"/>
          </w:tcPr>
          <w:p w14:paraId="71CBC7F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宁波市海曙区</w:t>
            </w:r>
          </w:p>
        </w:tc>
      </w:tr>
      <w:tr w14:paraId="03FBB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8644B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20" w:type="dxa"/>
            <w:vAlign w:val="center"/>
          </w:tcPr>
          <w:p w14:paraId="4C8F50D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归甲方所有</w:t>
            </w:r>
          </w:p>
        </w:tc>
      </w:tr>
      <w:tr w14:paraId="5AD92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C7592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20" w:type="dxa"/>
            <w:vAlign w:val="center"/>
          </w:tcPr>
          <w:p w14:paraId="15EE3A9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A1E3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5D13B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20" w:type="dxa"/>
            <w:vAlign w:val="center"/>
          </w:tcPr>
          <w:p w14:paraId="33B6456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w:t>
            </w:r>
            <w:r>
              <w:rPr>
                <w:rFonts w:hint="eastAsia" w:ascii="宋体" w:hAnsi="宋体" w:cs="宋体"/>
                <w:color w:val="auto"/>
                <w:sz w:val="24"/>
                <w:szCs w:val="24"/>
                <w:highlight w:val="none"/>
                <w:lang w:eastAsia="zh-CN"/>
              </w:rPr>
              <w:t>事件发生后</w:t>
            </w:r>
            <w:r>
              <w:rPr>
                <w:rFonts w:hint="eastAsia" w:ascii="宋体" w:hAnsi="宋体" w:eastAsia="宋体" w:cs="宋体"/>
                <w:color w:val="auto"/>
                <w:sz w:val="24"/>
                <w:szCs w:val="24"/>
                <w:highlight w:val="none"/>
              </w:rPr>
              <w:t>7天。</w:t>
            </w:r>
          </w:p>
        </w:tc>
      </w:tr>
      <w:tr w14:paraId="2EA09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AF312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8120" w:type="dxa"/>
          </w:tcPr>
          <w:p w14:paraId="380656C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w:t>
            </w:r>
            <w:r>
              <w:rPr>
                <w:rFonts w:hint="eastAsia" w:ascii="宋体" w:hAnsi="宋体" w:cs="宋体"/>
                <w:color w:val="auto"/>
                <w:sz w:val="24"/>
                <w:szCs w:val="24"/>
                <w:highlight w:val="none"/>
                <w:lang w:eastAsia="zh-CN"/>
              </w:rPr>
              <w:t>事件发生后</w:t>
            </w:r>
            <w:r>
              <w:rPr>
                <w:rFonts w:hint="eastAsia" w:ascii="宋体" w:hAnsi="宋体" w:eastAsia="宋体" w:cs="宋体"/>
                <w:color w:val="auto"/>
                <w:sz w:val="24"/>
                <w:szCs w:val="24"/>
                <w:highlight w:val="none"/>
              </w:rPr>
              <w:t>7天。</w:t>
            </w:r>
          </w:p>
        </w:tc>
      </w:tr>
      <w:tr w14:paraId="6E6E8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D33C7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20" w:type="dxa"/>
            <w:vAlign w:val="center"/>
          </w:tcPr>
          <w:p w14:paraId="116F075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1781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2A2ED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20" w:type="dxa"/>
            <w:vAlign w:val="center"/>
          </w:tcPr>
          <w:p w14:paraId="76F40C3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按照磋商文件和乙方提供的响应文件及乙方和甲方签订的政府采购合同为标准进行验收。</w:t>
            </w:r>
          </w:p>
        </w:tc>
      </w:tr>
      <w:tr w14:paraId="6DD2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68239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20" w:type="dxa"/>
          </w:tcPr>
          <w:p w14:paraId="059E0AA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份，甲方执   份，乙方执   份。每份均具有同等法律效力。</w:t>
            </w:r>
          </w:p>
        </w:tc>
      </w:tr>
    </w:tbl>
    <w:p w14:paraId="334EF92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kern w:val="2"/>
          <w:sz w:val="24"/>
          <w:szCs w:val="24"/>
          <w:highlight w:val="none"/>
        </w:rPr>
      </w:pPr>
    </w:p>
    <w:p w14:paraId="5B6D298A">
      <w:pPr>
        <w:rPr>
          <w:rFonts w:hint="eastAsia" w:cs="仿宋_GB2312" w:asciiTheme="minorEastAsia" w:hAnsiTheme="minorEastAsia" w:eastAsiaTheme="minorEastAsia"/>
          <w:b/>
          <w:color w:val="auto"/>
          <w:sz w:val="36"/>
          <w:szCs w:val="20"/>
          <w:highlight w:val="none"/>
        </w:rPr>
        <w:sectPr>
          <w:footerReference r:id="rId10" w:type="first"/>
          <w:footerReference r:id="rId9" w:type="default"/>
          <w:pgSz w:w="11906" w:h="16838"/>
          <w:pgMar w:top="1247" w:right="1418" w:bottom="1276" w:left="1418" w:header="851" w:footer="992" w:gutter="0"/>
          <w:pgNumType w:fmt="decimal"/>
          <w:cols w:space="720" w:num="1"/>
          <w:titlePg/>
          <w:docGrid w:linePitch="312" w:charSpace="0"/>
        </w:sectPr>
      </w:pPr>
      <w:bookmarkStart w:id="274" w:name="_Toc20617"/>
      <w:r>
        <w:rPr>
          <w:rFonts w:hint="eastAsia" w:cs="仿宋_GB2312" w:asciiTheme="minorEastAsia" w:hAnsiTheme="minorEastAsia" w:eastAsiaTheme="minorEastAsia"/>
          <w:b/>
          <w:color w:val="auto"/>
          <w:sz w:val="36"/>
          <w:szCs w:val="20"/>
          <w:highlight w:val="none"/>
        </w:rPr>
        <w:br w:type="page"/>
      </w:r>
    </w:p>
    <w:p w14:paraId="7A5F49AD">
      <w:pPr>
        <w:suppressAutoHyphens/>
        <w:adjustRightInd/>
        <w:spacing w:before="192" w:beforeLines="50" w:after="192" w:afterLines="50"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附件1</w:t>
      </w:r>
    </w:p>
    <w:p w14:paraId="066F6BB8">
      <w:pPr>
        <w:adjustRightInd/>
        <w:snapToGrid w:val="0"/>
        <w:spacing w:line="580" w:lineRule="exact"/>
        <w:jc w:val="center"/>
        <w:textAlignment w:val="auto"/>
        <w:rPr>
          <w:rFonts w:hint="eastAsia" w:ascii="宋体" w:hAnsi="宋体" w:eastAsia="宋体" w:cs="宋体"/>
          <w:b/>
          <w:bCs w:val="0"/>
          <w:kern w:val="2"/>
          <w:sz w:val="36"/>
          <w:szCs w:val="36"/>
          <w:highlight w:val="none"/>
        </w:rPr>
      </w:pPr>
      <w:r>
        <w:rPr>
          <w:rFonts w:hint="eastAsia" w:ascii="宋体" w:hAnsi="宋体" w:eastAsia="宋体" w:cs="宋体"/>
          <w:b/>
          <w:bCs w:val="0"/>
          <w:kern w:val="2"/>
          <w:sz w:val="36"/>
          <w:szCs w:val="36"/>
          <w:highlight w:val="none"/>
        </w:rPr>
        <w:t>保密协议书</w:t>
      </w:r>
    </w:p>
    <w:p w14:paraId="4C80A2EA">
      <w:pPr>
        <w:adjustRightInd/>
        <w:snapToGrid w:val="0"/>
        <w:spacing w:line="580" w:lineRule="exact"/>
        <w:jc w:val="center"/>
        <w:textAlignment w:val="auto"/>
        <w:rPr>
          <w:rFonts w:hint="eastAsia" w:ascii="宋体" w:hAnsi="宋体" w:eastAsia="宋体" w:cs="宋体"/>
          <w:color w:val="000000"/>
          <w:kern w:val="2"/>
          <w:sz w:val="24"/>
          <w:szCs w:val="24"/>
          <w:highlight w:val="none"/>
        </w:rPr>
      </w:pPr>
    </w:p>
    <w:p w14:paraId="73DF6C9D">
      <w:pPr>
        <w:adjustRightInd/>
        <w:spacing w:line="560" w:lineRule="exact"/>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合同编号：</w:t>
      </w:r>
    </w:p>
    <w:p w14:paraId="50343CC7">
      <w:pPr>
        <w:adjustRightInd/>
        <w:spacing w:line="560" w:lineRule="exact"/>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甲方：</w:t>
      </w:r>
      <w:r>
        <w:rPr>
          <w:rFonts w:hint="eastAsia" w:ascii="宋体" w:hAnsi="宋体" w:eastAsia="宋体" w:cs="宋体"/>
          <w:b/>
          <w:kern w:val="2"/>
          <w:sz w:val="24"/>
          <w:szCs w:val="24"/>
          <w:highlight w:val="none"/>
          <w:lang w:eastAsia="zh-CN"/>
        </w:rPr>
        <w:t>宁波市海曙区民政局</w:t>
      </w:r>
    </w:p>
    <w:p w14:paraId="36EDB9B4">
      <w:pPr>
        <w:adjustRightInd/>
        <w:spacing w:line="560" w:lineRule="exact"/>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乙方：</w:t>
      </w:r>
    </w:p>
    <w:p w14:paraId="070EFEDA">
      <w:pPr>
        <w:adjustRightInd/>
        <w:snapToGrid w:val="0"/>
        <w:spacing w:line="560" w:lineRule="exact"/>
        <w:ind w:firstLine="480" w:firstLineChars="200"/>
        <w:textAlignment w:val="auto"/>
        <w:rPr>
          <w:rFonts w:hint="eastAsia" w:ascii="宋体" w:hAnsi="宋体" w:eastAsia="宋体" w:cs="宋体"/>
          <w:color w:val="000000"/>
          <w:kern w:val="2"/>
          <w:sz w:val="24"/>
          <w:szCs w:val="24"/>
          <w:highlight w:val="none"/>
          <w:u w:val="single"/>
        </w:rPr>
      </w:pPr>
      <w:r>
        <w:rPr>
          <w:rFonts w:hint="eastAsia" w:ascii="宋体" w:hAnsi="宋体" w:eastAsia="宋体" w:cs="宋体"/>
          <w:color w:val="000000"/>
          <w:kern w:val="2"/>
          <w:sz w:val="24"/>
          <w:szCs w:val="24"/>
          <w:highlight w:val="none"/>
        </w:rPr>
        <w:t>乙方受甲方委托，承担甲方</w:t>
      </w:r>
      <w:r>
        <w:rPr>
          <w:rFonts w:hint="eastAsia" w:ascii="宋体" w:hAnsi="宋体" w:eastAsia="宋体" w:cs="宋体"/>
          <w:color w:val="000000"/>
          <w:kern w:val="2"/>
          <w:sz w:val="24"/>
          <w:szCs w:val="24"/>
          <w:highlight w:val="none"/>
          <w:u w:val="single"/>
        </w:rPr>
        <w:t>海曙区智慧民政综合服务平台建设项目</w:t>
      </w:r>
      <w:r>
        <w:rPr>
          <w:rFonts w:hint="eastAsia" w:ascii="宋体" w:hAnsi="宋体" w:eastAsia="宋体" w:cs="宋体"/>
          <w:color w:val="000000"/>
          <w:kern w:val="2"/>
          <w:sz w:val="24"/>
          <w:szCs w:val="24"/>
          <w:highlight w:val="none"/>
        </w:rPr>
        <w:t>。根据有关保密规定，为保障双方的合法权益，确保甲方的工作秘密不受损害，经协商，甲乙双方签订本协议。</w:t>
      </w:r>
    </w:p>
    <w:p w14:paraId="24A951C0">
      <w:pPr>
        <w:adjustRightInd/>
        <w:snapToGrid w:val="0"/>
        <w:spacing w:line="56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一、保密内容</w:t>
      </w:r>
    </w:p>
    <w:p w14:paraId="032FBDCF">
      <w:pPr>
        <w:adjustRightInd/>
        <w:snapToGrid w:val="0"/>
        <w:spacing w:line="56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本协议保密范围包括（但不限于）以下内容：</w:t>
      </w:r>
    </w:p>
    <w:p w14:paraId="4212D1E0">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1.与项目有关的工作秘密，包括但不限于：从甲方获得或接触到的业务数据、连接方式及登录信息、相关软硬件平台环境，以及工作过程中产生的各类具有保密要求的资料文档；</w:t>
      </w:r>
    </w:p>
    <w:p w14:paraId="72003C30">
      <w:pPr>
        <w:adjustRightInd/>
        <w:snapToGrid w:val="0"/>
        <w:spacing w:line="56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2.就该项目内容签订合同的任何信息；</w:t>
      </w:r>
    </w:p>
    <w:p w14:paraId="25ECBC49">
      <w:pPr>
        <w:adjustRightInd/>
        <w:snapToGrid w:val="0"/>
        <w:spacing w:line="56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3.其它双方依照法律规定或者有关其他协议的约定，对外承担保密义务的事项；</w:t>
      </w:r>
    </w:p>
    <w:p w14:paraId="6F4698F2">
      <w:pPr>
        <w:adjustRightInd/>
        <w:snapToGrid w:val="0"/>
        <w:spacing w:line="56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4.以上信息无论其以何种形式或载于何种载体，无论在披露时是否以口头、图像或以书面方式标明其具有保密性，均为本协议规定保密信息内容。</w:t>
      </w:r>
    </w:p>
    <w:p w14:paraId="5802C41D">
      <w:pPr>
        <w:adjustRightInd/>
        <w:snapToGrid w:val="0"/>
        <w:spacing w:line="56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二、保密期限</w:t>
      </w:r>
    </w:p>
    <w:p w14:paraId="431053C8">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保密期限为服务期内、服务期满后五年。</w:t>
      </w:r>
    </w:p>
    <w:p w14:paraId="3536814E">
      <w:pPr>
        <w:adjustRightInd/>
        <w:snapToGrid w:val="0"/>
        <w:spacing w:line="56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三、保密义务</w:t>
      </w:r>
    </w:p>
    <w:p w14:paraId="54A98870">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乙方对甲方承担保密义务，同时乙方承担对本方相关人员的保密管理、监督义务。</w:t>
      </w:r>
    </w:p>
    <w:p w14:paraId="25DECC69">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在上述保密信息范围内，乙方承诺：</w:t>
      </w:r>
    </w:p>
    <w:p w14:paraId="2E92D322">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1.严格遵守甲方保密管理制度，妥善保管所保存的保密范围内的资料，不得刺探与本职工作、本身业务无关的秘密，更不得泄露甲方的有关工作秘密；</w:t>
      </w:r>
    </w:p>
    <w:p w14:paraId="5D9996A4">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2.非经甲方书面同意，不得利用甲方的保密内容进行生产、经营和兼职活动；</w:t>
      </w:r>
    </w:p>
    <w:p w14:paraId="6BCB109E">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3.如发现甲方的保密内容被泄露或自己过失泄露甲方的保密内容的，应当采取有效措施防止泄密扩大，并及时告知甲方；</w:t>
      </w:r>
    </w:p>
    <w:p w14:paraId="39350499">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4.乙方相关人员无论是在职还是离职，在保密期限内，不得披露、使用或者允许他人使用甲方的保密内容，不得利用甲方的保密内容从事兼职活动，不得利用甲方的保密内容到其他单位任职；</w:t>
      </w:r>
    </w:p>
    <w:p w14:paraId="0782B8A0">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5.乙方与相关人员签订保密协议，此协议的实质内容应与本协议相似，并将签完后的协议一份交甲方备案。</w:t>
      </w:r>
    </w:p>
    <w:p w14:paraId="4833819F">
      <w:pPr>
        <w:adjustRightInd/>
        <w:snapToGrid w:val="0"/>
        <w:spacing w:line="56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四、违约责任</w:t>
      </w:r>
    </w:p>
    <w:p w14:paraId="0F377A4F">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如果发生因泄露本协议约定的保密内容而导致一方利益受损，进而受到索赔追究时，由另一方依法承担全部责任。</w:t>
      </w:r>
    </w:p>
    <w:p w14:paraId="02772CAE">
      <w:pPr>
        <w:adjustRightInd/>
        <w:snapToGrid w:val="0"/>
        <w:spacing w:line="56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五、协议生效</w:t>
      </w:r>
    </w:p>
    <w:p w14:paraId="35B1A9D7">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1.本协议书具有经济合同之法律效力，如发生纠纷，诉诸法院裁决，诉讼地为甲方所在地。</w:t>
      </w:r>
    </w:p>
    <w:p w14:paraId="1525B8CF">
      <w:pPr>
        <w:autoSpaceDE w:val="0"/>
        <w:autoSpaceDN w:val="0"/>
        <w:snapToGrid w:val="0"/>
        <w:spacing w:line="560" w:lineRule="exact"/>
        <w:ind w:firstLine="460" w:firstLineChars="192"/>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2.本协议为独立生效，不因主合同的解除、到期、失效而失效。</w:t>
      </w:r>
    </w:p>
    <w:p w14:paraId="7459C1EF">
      <w:pPr>
        <w:autoSpaceDE w:val="0"/>
        <w:autoSpaceDN w:val="0"/>
        <w:snapToGrid w:val="0"/>
        <w:spacing w:line="560" w:lineRule="exact"/>
        <w:ind w:firstLine="460" w:firstLineChars="192"/>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3.本协议一式二份，甲乙双方各持一份，自双方代表签字并加盖单位印鉴后生效。</w:t>
      </w:r>
    </w:p>
    <w:p w14:paraId="2DD97F24">
      <w:pPr>
        <w:autoSpaceDE w:val="0"/>
        <w:autoSpaceDN w:val="0"/>
        <w:snapToGrid w:val="0"/>
        <w:spacing w:line="580" w:lineRule="exact"/>
        <w:jc w:val="left"/>
        <w:textAlignment w:val="auto"/>
        <w:rPr>
          <w:rFonts w:hint="eastAsia" w:ascii="宋体" w:hAnsi="宋体" w:eastAsia="宋体" w:cs="宋体"/>
          <w:color w:val="000000"/>
          <w:kern w:val="2"/>
          <w:sz w:val="24"/>
          <w:szCs w:val="24"/>
          <w:highlight w:val="none"/>
        </w:rPr>
      </w:pPr>
    </w:p>
    <w:p w14:paraId="294A54A5">
      <w:pPr>
        <w:autoSpaceDE w:val="0"/>
        <w:autoSpaceDN w:val="0"/>
        <w:snapToGrid w:val="0"/>
        <w:spacing w:line="580" w:lineRule="exact"/>
        <w:jc w:val="left"/>
        <w:textAlignment w:val="auto"/>
        <w:rPr>
          <w:rFonts w:hint="eastAsia" w:ascii="宋体" w:hAnsi="宋体" w:eastAsia="宋体" w:cs="宋体"/>
          <w:color w:val="000000"/>
          <w:kern w:val="2"/>
          <w:sz w:val="24"/>
          <w:szCs w:val="24"/>
          <w:highlight w:val="none"/>
        </w:rPr>
      </w:pPr>
    </w:p>
    <w:p w14:paraId="292F66DD">
      <w:pPr>
        <w:adjustRightInd/>
        <w:snapToGrid w:val="0"/>
        <w:spacing w:line="580" w:lineRule="exact"/>
        <w:textAlignment w:val="auto"/>
        <w:rPr>
          <w:rFonts w:hint="eastAsia" w:ascii="宋体" w:hAnsi="宋体" w:eastAsia="宋体" w:cs="宋体"/>
          <w:kern w:val="2"/>
          <w:sz w:val="24"/>
          <w:szCs w:val="24"/>
          <w:highlight w:val="none"/>
        </w:rPr>
      </w:pPr>
    </w:p>
    <w:p w14:paraId="1F695F3F">
      <w:pPr>
        <w:adjustRightInd/>
        <w:spacing w:after="100" w:afterAutospacing="1" w:line="240"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color w:val="000000"/>
          <w:kern w:val="2"/>
          <w:sz w:val="24"/>
          <w:szCs w:val="24"/>
          <w:highlight w:val="none"/>
        </w:rPr>
        <w:t>甲方（盖章） 　　　　　　　　   乙方（盖章）</w:t>
      </w:r>
    </w:p>
    <w:p w14:paraId="14A4E251">
      <w:pPr>
        <w:autoSpaceDE w:val="0"/>
        <w:autoSpaceDN w:val="0"/>
        <w:snapToGrid w:val="0"/>
        <w:spacing w:line="580" w:lineRule="exact"/>
        <w:ind w:firstLine="120" w:firstLineChars="50"/>
        <w:jc w:val="left"/>
        <w:textAlignment w:val="auto"/>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法定（授权）代表人：　　　　　　法定（授权）代表人：</w:t>
      </w:r>
    </w:p>
    <w:p w14:paraId="5BE80EDE">
      <w:pPr>
        <w:adjustRightInd/>
        <w:spacing w:line="360" w:lineRule="auto"/>
        <w:textAlignment w:val="auto"/>
        <w:rPr>
          <w:rFonts w:hint="eastAsia" w:ascii="宋体" w:hAnsi="宋体" w:eastAsia="宋体" w:cs="宋体"/>
          <w:b/>
          <w:bCs/>
          <w:kern w:val="2"/>
          <w:sz w:val="24"/>
          <w:szCs w:val="24"/>
          <w:highlight w:val="none"/>
        </w:rPr>
      </w:pPr>
    </w:p>
    <w:p w14:paraId="78CC8DF8">
      <w:pPr>
        <w:autoSpaceDE w:val="0"/>
        <w:autoSpaceDN w:val="0"/>
        <w:snapToGrid w:val="0"/>
        <w:spacing w:line="580" w:lineRule="exact"/>
        <w:ind w:firstLine="120" w:firstLineChars="50"/>
        <w:jc w:val="left"/>
        <w:textAlignment w:val="auto"/>
        <w:rPr>
          <w:rFonts w:hint="eastAsia" w:ascii="宋体" w:hAnsi="宋体" w:eastAsia="宋体" w:cs="宋体"/>
          <w:bCs/>
          <w:kern w:val="2"/>
          <w:sz w:val="24"/>
          <w:szCs w:val="24"/>
          <w:highlight w:val="none"/>
        </w:rPr>
      </w:pPr>
      <w:r>
        <w:rPr>
          <w:rFonts w:hint="eastAsia" w:ascii="宋体" w:hAnsi="宋体" w:eastAsia="宋体" w:cs="宋体"/>
          <w:kern w:val="2"/>
          <w:sz w:val="24"/>
          <w:szCs w:val="24"/>
          <w:highlight w:val="none"/>
          <w:lang w:bidi="ar"/>
        </w:rPr>
        <w:t>日期：</w:t>
      </w:r>
      <w:r>
        <w:rPr>
          <w:rFonts w:hint="eastAsia" w:ascii="宋体" w:hAnsi="宋体" w:eastAsia="宋体" w:cs="宋体"/>
          <w:bCs/>
          <w:kern w:val="2"/>
          <w:sz w:val="24"/>
          <w:szCs w:val="24"/>
          <w:highlight w:val="none"/>
        </w:rPr>
        <w:t xml:space="preserve">    年  月  日　　　　　　</w:t>
      </w:r>
      <w:r>
        <w:rPr>
          <w:rFonts w:hint="eastAsia" w:ascii="宋体" w:hAnsi="宋体" w:eastAsia="宋体" w:cs="宋体"/>
          <w:kern w:val="2"/>
          <w:sz w:val="24"/>
          <w:szCs w:val="24"/>
          <w:highlight w:val="none"/>
          <w:lang w:bidi="ar"/>
        </w:rPr>
        <w:t>日期：</w:t>
      </w:r>
      <w:r>
        <w:rPr>
          <w:rFonts w:hint="eastAsia" w:ascii="宋体" w:hAnsi="宋体" w:eastAsia="宋体" w:cs="宋体"/>
          <w:bCs/>
          <w:kern w:val="2"/>
          <w:sz w:val="24"/>
          <w:szCs w:val="24"/>
          <w:highlight w:val="none"/>
        </w:rPr>
        <w:t xml:space="preserve">     年  月  日</w:t>
      </w:r>
    </w:p>
    <w:p w14:paraId="141EF162">
      <w:pPr>
        <w:rPr>
          <w:rFonts w:hint="eastAsia" w:ascii="宋体" w:hAnsi="宋体" w:eastAsia="宋体" w:cs="宋体"/>
          <w:b/>
          <w:color w:val="auto"/>
          <w:sz w:val="24"/>
          <w:szCs w:val="24"/>
          <w:highlight w:val="none"/>
        </w:rPr>
        <w:sectPr>
          <w:pgSz w:w="11906" w:h="16838"/>
          <w:pgMar w:top="1247" w:right="1418" w:bottom="1276" w:left="1418" w:header="851" w:footer="992" w:gutter="0"/>
          <w:pgNumType w:fmt="decimal"/>
          <w:cols w:space="720" w:num="1"/>
          <w:titlePg/>
          <w:docGrid w:linePitch="312" w:charSpace="0"/>
        </w:sectPr>
      </w:pPr>
    </w:p>
    <w:p w14:paraId="093E00B7">
      <w:pPr>
        <w:rPr>
          <w:rFonts w:hint="eastAsia" w:cs="仿宋_GB2312" w:asciiTheme="minorEastAsia" w:hAnsiTheme="minorEastAsia" w:eastAsiaTheme="minorEastAsia"/>
          <w:b/>
          <w:color w:val="auto"/>
          <w:sz w:val="36"/>
          <w:szCs w:val="20"/>
          <w:highlight w:val="none"/>
        </w:rPr>
      </w:pPr>
    </w:p>
    <w:p w14:paraId="1B138C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166"/>
      <w:r>
        <w:rPr>
          <w:rFonts w:hint="eastAsia" w:cs="仿宋_GB2312" w:asciiTheme="minorEastAsia" w:hAnsiTheme="minorEastAsia" w:eastAsiaTheme="minorEastAsia"/>
          <w:b/>
          <w:color w:val="auto"/>
          <w:sz w:val="36"/>
          <w:szCs w:val="20"/>
          <w:highlight w:val="none"/>
        </w:rPr>
        <w:t xml:space="preserve">  </w:t>
      </w:r>
      <w:bookmarkEnd w:id="167"/>
      <w:r>
        <w:rPr>
          <w:rFonts w:hint="eastAsia" w:cs="仿宋_GB2312" w:asciiTheme="minorEastAsia" w:hAnsiTheme="minorEastAsia" w:eastAsiaTheme="minorEastAsia"/>
          <w:b/>
          <w:color w:val="auto"/>
          <w:sz w:val="36"/>
          <w:szCs w:val="20"/>
          <w:highlight w:val="none"/>
        </w:rPr>
        <w:t>应提交的有关格式范例</w:t>
      </w:r>
      <w:bookmarkEnd w:id="274"/>
    </w:p>
    <w:p w14:paraId="6B61FF21">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9D7B308">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DA7168B">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5914904">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E5DB69C">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29D131DC">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（3）法人授权书（或联合体响应授权书）或法定代表人（单位负责人、自然人本人）身份证明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987E804">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06A4AF25">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5D147146">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C9C0027">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E921EFE">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BF06BF5">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7522C1D">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6B69703">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3EBE0F6C">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565EEBCA">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405EA1E">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91D3C3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0ADFC4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为全权代表，参加贵方组织的（项目名称）【项目编号：（采购编号）】的有关活动，并对此项目进行响应。为此：</w:t>
      </w:r>
    </w:p>
    <w:p w14:paraId="31AD1185">
      <w:pPr>
        <w:pStyle w:val="106"/>
        <w:numPr>
          <w:ilvl w:val="0"/>
          <w:numId w:val="15"/>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22DF66C">
      <w:pPr>
        <w:numPr>
          <w:ilvl w:val="0"/>
          <w:numId w:val="15"/>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7AF2F2D">
      <w:pPr>
        <w:numPr>
          <w:ilvl w:val="0"/>
          <w:numId w:val="15"/>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355BA0E6">
      <w:pPr>
        <w:numPr>
          <w:ilvl w:val="0"/>
          <w:numId w:val="15"/>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19BD7CF4">
      <w:pPr>
        <w:numPr>
          <w:ilvl w:val="0"/>
          <w:numId w:val="15"/>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3E8CFDD">
      <w:pPr>
        <w:numPr>
          <w:ilvl w:val="0"/>
          <w:numId w:val="15"/>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9830755">
      <w:pPr>
        <w:numPr>
          <w:ilvl w:val="0"/>
          <w:numId w:val="15"/>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3610F01">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632C75A1">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1A3A9838">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601AFAD5">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2F02B2D4">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7.5按照磋商文件的规定，在中标后向采购代理机构一次性支付招标代理服务费。</w:t>
      </w:r>
    </w:p>
    <w:p w14:paraId="7F9F9809">
      <w:pPr>
        <w:numPr>
          <w:ilvl w:val="0"/>
          <w:numId w:val="15"/>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3608A21B">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008BB90E">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887122F">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30C765C">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29A366F">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2CFBBE13">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293A427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789DECE2">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4FCB1EDA">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691542F7">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45B497E0">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2FABA176">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5918E7C2">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4C521263">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1A7CBB3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5EBC32C8">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37D9EA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0DA7EF67">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7C5F1106">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8AAC3B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3F305737">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88D438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3B36115C">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、中国政府采购网（www.ccgp.gov.cn）列入失信被执行人、重大税收违法案件当事人名单</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、政府采购严重违法失信行为记录名单。</w:t>
      </w:r>
    </w:p>
    <w:p w14:paraId="6D3F52B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3667B16">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0968134">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67965AFE">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6535B99">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7091385">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22BA0069">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D1A4B55">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77EF94B">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49B3C3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16360D3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2B0217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w:t>
      </w:r>
      <w:r>
        <w:rPr>
          <w:rFonts w:hint="eastAsia" w:cs="宋体" w:asciiTheme="minorEastAsia" w:hAnsiTheme="minorEastAsia" w:eastAsiaTheme="minorEastAsia"/>
          <w:color w:val="auto"/>
          <w:kern w:val="0"/>
          <w:sz w:val="24"/>
          <w:highlight w:val="none"/>
          <w:lang w:val="en-US" w:eastAsia="zh-CN"/>
        </w:rPr>
        <w:t>响应</w:t>
      </w:r>
      <w:r>
        <w:rPr>
          <w:rFonts w:hint="eastAsia" w:cs="宋体" w:asciiTheme="minorEastAsia" w:hAnsiTheme="minorEastAsia" w:eastAsiaTheme="minorEastAsia"/>
          <w:color w:val="auto"/>
          <w:kern w:val="0"/>
          <w:sz w:val="24"/>
          <w:highlight w:val="none"/>
          <w:lang w:val="zh-CN"/>
        </w:rPr>
        <w:t>等均对联合体各方产生约束力。</w:t>
      </w:r>
    </w:p>
    <w:p w14:paraId="3224C06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45E0341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E8887D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948C89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0966CC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6F5924E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275"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275"/>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276"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276"/>
      <w:r>
        <w:rPr>
          <w:rFonts w:hint="eastAsia" w:cs="宋体" w:asciiTheme="minorEastAsia" w:hAnsiTheme="minorEastAsia" w:eastAsiaTheme="minorEastAsia"/>
          <w:b/>
          <w:color w:val="auto"/>
          <w:kern w:val="0"/>
          <w:sz w:val="24"/>
          <w:highlight w:val="none"/>
          <w:lang w:val="zh-CN"/>
        </w:rPr>
        <w:t>）</w:t>
      </w:r>
    </w:p>
    <w:p w14:paraId="203D478D">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277"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277"/>
    </w:p>
    <w:p w14:paraId="5AF3EFE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D57C58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0920B3F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318ACE0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1DAB36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0C097D1E">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EA114C5">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B2AAB5F">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66D79ED">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E8913EC">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1CFC752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01D4909">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13F6AD14">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12CB037F">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5BD205B">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019AA0F8">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36D61043">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7A90BBA8">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lang w:val="en-US" w:eastAsia="zh-CN"/>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7BF19AF9">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E040F6D">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6F1BDF56">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11FFC1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613A082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211A6E98">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29FF8C6">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F569FCB">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4F5DD4A7">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pgNumType w:fmt="decimal"/>
          <w:cols w:space="720" w:num="1"/>
          <w:titlePg/>
          <w:docGrid w:linePitch="312" w:charSpace="0"/>
        </w:sectPr>
      </w:pPr>
    </w:p>
    <w:p w14:paraId="05DF9475">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6A86DA6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542696E2">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E8FE7D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EE63CCC">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0DC07EEB">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259C9F89">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E89CB23">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2473F05B">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644E3DC">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8EE3E3D">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1D8FBEB">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E446465">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16E6BCB8">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68796C6">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876E0D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233EE1B">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D869764">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0346AC0">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78D9C0F">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139181F">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F014B20">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B85F123">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C45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5388F9">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CA80B26">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40C123BC">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67598089">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1D77320">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3D63E15">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5EA28329">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0E7C078">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0D8C44D">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24157888">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09584BB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1AB95573">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6CBBEB9A">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6BFD3E63">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A99F00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71A80FD">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A36464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56C04B6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0E442F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316836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8CDB6C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3FB672BD">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947C5AE">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6049A4F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70D8CF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20B2BC1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3F9647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7A0AD64">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4F973659">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D90EDCD">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900A951">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2D64995">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2FE73D5">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3DC40301">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EE60CD1">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1FFA27BB">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A153E07">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6A3DA372">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10EAF8E9">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7A233BD2">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40DADD09">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443F1BC0">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79276594">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FFB7CA1">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613328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3B5F8CA9">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CD0E316">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56E1ED9">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5C832A30">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10A16869">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224EB5A5">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DE5CC0E">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2B22897">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3486EFA1">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E174CEB">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FC94629">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06BC0466">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7E41BCB2">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8EE383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B93BC1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5F05BDA">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BA1AA6B">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C5FB77E">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74E5C195">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5AEB856">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1C8D400D">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50D0CC6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6C1585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8F11F64">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2D11EC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6C7E6BB5">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B15AD39">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EC3E60D">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3B23324">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10CABB1">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7F779F15">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1E0D168B">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782226C7">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432905AE">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FBF6B60">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4CF5986D">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1C2E7BD">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54"/>
        <w:gridCol w:w="1718"/>
        <w:gridCol w:w="3382"/>
      </w:tblGrid>
      <w:tr w14:paraId="6078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vAlign w:val="center"/>
          </w:tcPr>
          <w:p w14:paraId="79577BE9">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554" w:type="dxa"/>
            <w:vAlign w:val="center"/>
          </w:tcPr>
          <w:p w14:paraId="583698D5">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07FA551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170BD1CC">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合同履</w:t>
            </w:r>
            <w:r>
              <w:rPr>
                <w:rFonts w:hint="eastAsia" w:ascii="宋体" w:hAnsi="宋体" w:eastAsia="宋体" w:cs="宋体"/>
                <w:color w:val="auto"/>
                <w:kern w:val="0"/>
                <w:sz w:val="24"/>
                <w:highlight w:val="none"/>
                <w:lang w:val="en-US" w:eastAsia="zh-CN"/>
              </w:rPr>
              <w:t>行</w:t>
            </w:r>
            <w:r>
              <w:rPr>
                <w:rFonts w:hint="eastAsia" w:ascii="宋体" w:hAnsi="宋体" w:eastAsia="宋体" w:cs="宋体"/>
                <w:color w:val="auto"/>
                <w:kern w:val="0"/>
                <w:sz w:val="24"/>
                <w:highlight w:val="none"/>
              </w:rPr>
              <w:t>期限</w:t>
            </w:r>
          </w:p>
        </w:tc>
      </w:tr>
      <w:tr w14:paraId="251C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07" w:type="dxa"/>
            <w:vAlign w:val="center"/>
          </w:tcPr>
          <w:p w14:paraId="50FE1E7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554" w:type="dxa"/>
            <w:vAlign w:val="center"/>
          </w:tcPr>
          <w:p w14:paraId="573AD9C9">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1718" w:type="dxa"/>
            <w:vAlign w:val="center"/>
          </w:tcPr>
          <w:p w14:paraId="361B9CE0">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3382" w:type="dxa"/>
            <w:vAlign w:val="center"/>
          </w:tcPr>
          <w:p w14:paraId="4422A866">
            <w:pPr>
              <w:snapToGrid w:val="0"/>
              <w:spacing w:before="50" w:after="50" w:line="360" w:lineRule="auto"/>
              <w:ind w:left="420"/>
              <w:jc w:val="left"/>
              <w:textAlignment w:val="baseline"/>
              <w:rPr>
                <w:rFonts w:ascii="宋体" w:hAnsi="宋体" w:eastAsia="宋体" w:cs="宋体"/>
                <w:color w:val="auto"/>
                <w:kern w:val="0"/>
                <w:sz w:val="24"/>
                <w:highlight w:val="none"/>
              </w:rPr>
            </w:pPr>
          </w:p>
        </w:tc>
      </w:tr>
      <w:tr w14:paraId="1F56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157BC4B5">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投标总价（元）</w:t>
            </w:r>
          </w:p>
        </w:tc>
        <w:tc>
          <w:tcPr>
            <w:tcW w:w="5100" w:type="dxa"/>
            <w:gridSpan w:val="2"/>
            <w:vAlign w:val="center"/>
          </w:tcPr>
          <w:p w14:paraId="3136D890">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小写：</w:t>
            </w:r>
          </w:p>
          <w:p w14:paraId="357D0B0A">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大写：</w:t>
            </w:r>
          </w:p>
        </w:tc>
      </w:tr>
      <w:tr w14:paraId="2B93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07" w:type="dxa"/>
            <w:vAlign w:val="center"/>
          </w:tcPr>
          <w:p w14:paraId="52E6C8DC">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654" w:type="dxa"/>
            <w:gridSpan w:val="3"/>
            <w:vAlign w:val="center"/>
          </w:tcPr>
          <w:p w14:paraId="452BF4F6">
            <w:pPr>
              <w:snapToGrid w:val="0"/>
              <w:spacing w:before="50" w:after="50" w:line="360" w:lineRule="auto"/>
              <w:ind w:left="420"/>
              <w:jc w:val="left"/>
              <w:textAlignment w:val="baseline"/>
              <w:rPr>
                <w:rFonts w:ascii="宋体" w:hAnsi="宋体" w:eastAsia="宋体" w:cs="宋体"/>
                <w:color w:val="auto"/>
                <w:kern w:val="0"/>
                <w:sz w:val="24"/>
                <w:highlight w:val="none"/>
              </w:rPr>
            </w:pPr>
          </w:p>
        </w:tc>
      </w:tr>
    </w:tbl>
    <w:p w14:paraId="15676323">
      <w:pPr>
        <w:kinsoku/>
        <w:wordWrap/>
        <w:overflowPunct/>
        <w:topLinePunct w:val="0"/>
        <w:bidi w:val="0"/>
        <w:snapToGrid w:val="0"/>
        <w:spacing w:before="50" w:after="50" w:line="360" w:lineRule="auto"/>
        <w:ind w:left="420" w:left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1、报价一经涂改，应在涂改处加盖单位公章或者由法定代表人或授权</w:t>
      </w:r>
      <w:r>
        <w:rPr>
          <w:rFonts w:hint="eastAsia" w:ascii="宋体" w:hAnsi="宋体" w:eastAsia="宋体" w:cs="宋体"/>
          <w:color w:val="auto"/>
          <w:kern w:val="0"/>
          <w:sz w:val="24"/>
          <w:szCs w:val="24"/>
          <w:highlight w:val="none"/>
          <w:lang w:val="en-US" w:eastAsia="zh-CN"/>
        </w:rPr>
        <w:t>代表</w:t>
      </w:r>
      <w:r>
        <w:rPr>
          <w:rFonts w:hint="eastAsia" w:ascii="宋体" w:hAnsi="宋体" w:eastAsia="宋体" w:cs="宋体"/>
          <w:color w:val="auto"/>
          <w:kern w:val="0"/>
          <w:sz w:val="24"/>
          <w:szCs w:val="24"/>
          <w:highlight w:val="none"/>
        </w:rPr>
        <w:t>签字或盖章，否则其投标作无效标处理。</w:t>
      </w:r>
    </w:p>
    <w:p w14:paraId="2F8A7260">
      <w:pPr>
        <w:kinsoku/>
        <w:wordWrap/>
        <w:overflowPunct/>
        <w:topLinePunct w:val="0"/>
        <w:bidi w:val="0"/>
        <w:snapToGrid w:val="0"/>
        <w:spacing w:before="50" w:after="50" w:line="360" w:lineRule="auto"/>
        <w:ind w:left="420" w:leftChars="200"/>
        <w:jc w:val="left"/>
        <w:textAlignment w:val="baseline"/>
        <w:outlineLvl w:val="9"/>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w:t>
      </w:r>
      <w:r>
        <w:rPr>
          <w:rFonts w:hint="eastAsia" w:ascii="宋体" w:hAnsi="宋体" w:eastAsia="宋体" w:cs="宋体"/>
          <w:b/>
          <w:bCs/>
          <w:color w:val="auto"/>
          <w:kern w:val="0"/>
          <w:sz w:val="24"/>
          <w:szCs w:val="24"/>
          <w:highlight w:val="none"/>
        </w:rPr>
        <w:t>否则视为投标文件含有采购人不能接受的附加条件，投标无效</w:t>
      </w:r>
      <w:r>
        <w:rPr>
          <w:rFonts w:hint="eastAsia" w:ascii="宋体" w:hAnsi="宋体" w:eastAsia="宋体" w:cs="宋体"/>
          <w:b/>
          <w:bCs/>
          <w:color w:val="auto"/>
          <w:kern w:val="0"/>
          <w:sz w:val="24"/>
          <w:szCs w:val="24"/>
          <w:highlight w:val="none"/>
          <w:lang w:val="zh-CN"/>
        </w:rPr>
        <w:t>；采购内容未包含在《开标一览表（报价表）》名称栏中，供应商不能作出合理解释的，</w:t>
      </w:r>
      <w:r>
        <w:rPr>
          <w:rFonts w:hint="eastAsia" w:ascii="宋体" w:hAnsi="宋体" w:eastAsia="宋体" w:cs="宋体"/>
          <w:b/>
          <w:bCs/>
          <w:color w:val="auto"/>
          <w:kern w:val="0"/>
          <w:sz w:val="24"/>
          <w:szCs w:val="24"/>
          <w:highlight w:val="none"/>
        </w:rPr>
        <w:t>视为投标文件含有采购人不能接受的附加条件的，投标无效。</w:t>
      </w:r>
    </w:p>
    <w:p w14:paraId="61CC9F19">
      <w:pPr>
        <w:kinsoku/>
        <w:wordWrap/>
        <w:overflowPunct/>
        <w:topLinePunct w:val="0"/>
        <w:bidi w:val="0"/>
        <w:snapToGrid w:val="0"/>
        <w:spacing w:before="50" w:after="50" w:line="360" w:lineRule="auto"/>
        <w:ind w:left="420" w:left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zh-CN"/>
        </w:rPr>
        <w:t>3、特别提示：采购代理机构将对项目名称和项目编号，中标供应商名称、地址</w:t>
      </w:r>
      <w:r>
        <w:rPr>
          <w:rFonts w:hint="eastAsia" w:ascii="宋体" w:hAnsi="宋体" w:cs="宋体"/>
          <w:b w:val="0"/>
          <w:bCs w:val="0"/>
          <w:color w:val="auto"/>
          <w:kern w:val="0"/>
          <w:sz w:val="24"/>
          <w:szCs w:val="24"/>
          <w:highlight w:val="none"/>
          <w:lang w:val="zh-CN"/>
        </w:rPr>
        <w:t>、</w:t>
      </w:r>
      <w:r>
        <w:rPr>
          <w:rFonts w:hint="eastAsia" w:ascii="宋体" w:hAnsi="宋体" w:eastAsia="宋体" w:cs="宋体"/>
          <w:b w:val="0"/>
          <w:bCs w:val="0"/>
          <w:color w:val="auto"/>
          <w:kern w:val="0"/>
          <w:sz w:val="24"/>
          <w:szCs w:val="24"/>
          <w:highlight w:val="none"/>
          <w:lang w:val="zh-CN"/>
        </w:rPr>
        <w:t>中标金额</w:t>
      </w:r>
      <w:r>
        <w:rPr>
          <w:rFonts w:hint="eastAsia" w:ascii="宋体" w:hAnsi="宋体" w:cs="宋体"/>
          <w:b w:val="0"/>
          <w:bCs w:val="0"/>
          <w:color w:val="auto"/>
          <w:kern w:val="0"/>
          <w:sz w:val="24"/>
          <w:szCs w:val="24"/>
          <w:highlight w:val="none"/>
          <w:lang w:val="zh-CN"/>
        </w:rPr>
        <w:t>、</w:t>
      </w:r>
      <w:r>
        <w:rPr>
          <w:rFonts w:hint="eastAsia" w:ascii="宋体" w:hAnsi="宋体" w:cs="宋体"/>
          <w:b w:val="0"/>
          <w:bCs w:val="0"/>
          <w:color w:val="auto"/>
          <w:kern w:val="0"/>
          <w:sz w:val="24"/>
          <w:szCs w:val="24"/>
          <w:highlight w:val="none"/>
          <w:lang w:val="en-US" w:eastAsia="zh-CN"/>
        </w:rPr>
        <w:t>中小企业声明函</w:t>
      </w:r>
      <w:r>
        <w:rPr>
          <w:rFonts w:hint="eastAsia" w:ascii="宋体" w:hAnsi="宋体" w:eastAsia="宋体" w:cs="宋体"/>
          <w:b w:val="0"/>
          <w:bCs w:val="0"/>
          <w:color w:val="auto"/>
          <w:kern w:val="0"/>
          <w:sz w:val="24"/>
          <w:szCs w:val="24"/>
          <w:highlight w:val="none"/>
          <w:lang w:val="zh-CN"/>
        </w:rPr>
        <w:t>，主要中标标的名称、服务范围、服务要求、服务时间、服务标准等予以公示。</w:t>
      </w:r>
    </w:p>
    <w:p w14:paraId="1B24ABE4">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75D81A97">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14811676">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4FA19B6C">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5174F58">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19BA0E15">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557A4F65">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295A9BE">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十二、报价明细表</w:t>
      </w:r>
    </w:p>
    <w:tbl>
      <w:tblPr>
        <w:tblStyle w:val="61"/>
        <w:tblW w:w="8947" w:type="dxa"/>
        <w:jc w:val="center"/>
        <w:tblLayout w:type="fixed"/>
        <w:tblCellMar>
          <w:top w:w="0" w:type="dxa"/>
          <w:left w:w="108" w:type="dxa"/>
          <w:bottom w:w="0" w:type="dxa"/>
          <w:right w:w="108" w:type="dxa"/>
        </w:tblCellMar>
      </w:tblPr>
      <w:tblGrid>
        <w:gridCol w:w="817"/>
        <w:gridCol w:w="3665"/>
        <w:gridCol w:w="1780"/>
        <w:gridCol w:w="1253"/>
        <w:gridCol w:w="1432"/>
      </w:tblGrid>
      <w:tr w14:paraId="011EB33B">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05F0663">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序号</w:t>
            </w:r>
          </w:p>
        </w:tc>
        <w:tc>
          <w:tcPr>
            <w:tcW w:w="3665" w:type="dxa"/>
            <w:tcBorders>
              <w:top w:val="single" w:color="auto" w:sz="4" w:space="0"/>
              <w:left w:val="nil"/>
              <w:bottom w:val="single" w:color="auto" w:sz="4" w:space="0"/>
              <w:right w:val="single" w:color="auto" w:sz="4" w:space="0"/>
            </w:tcBorders>
            <w:vAlign w:val="center"/>
          </w:tcPr>
          <w:p w14:paraId="69312E60">
            <w:pPr>
              <w:snapToGrid w:val="0"/>
              <w:spacing w:before="50" w:after="50" w:line="360" w:lineRule="auto"/>
              <w:jc w:val="center"/>
              <w:textAlignment w:val="baseline"/>
              <w:rPr>
                <w:rFonts w:hint="default" w:ascii="宋体" w:hAnsi="宋体" w:eastAsia="宋体" w:cs="宋体"/>
                <w:color w:val="auto"/>
                <w:spacing w:val="20"/>
                <w:kern w:val="0"/>
                <w:sz w:val="24"/>
                <w:highlight w:val="none"/>
                <w:lang w:val="en-US" w:eastAsia="zh-CN" w:bidi="ar"/>
              </w:rPr>
            </w:pPr>
            <w:r>
              <w:rPr>
                <w:rFonts w:hint="eastAsia" w:ascii="宋体" w:hAnsi="宋体" w:eastAsia="宋体" w:cs="宋体"/>
                <w:color w:val="auto"/>
                <w:spacing w:val="20"/>
                <w:kern w:val="0"/>
                <w:sz w:val="24"/>
                <w:highlight w:val="none"/>
                <w:lang w:bidi="ar"/>
              </w:rPr>
              <w:t>项目内容</w:t>
            </w:r>
          </w:p>
        </w:tc>
        <w:tc>
          <w:tcPr>
            <w:tcW w:w="1780" w:type="dxa"/>
            <w:tcBorders>
              <w:top w:val="single" w:color="auto" w:sz="4" w:space="0"/>
              <w:left w:val="nil"/>
              <w:bottom w:val="single" w:color="auto" w:sz="4" w:space="0"/>
              <w:right w:val="single" w:color="auto" w:sz="4" w:space="0"/>
            </w:tcBorders>
            <w:vAlign w:val="center"/>
          </w:tcPr>
          <w:p w14:paraId="1D37EFCB">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233C2520">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67510CEF">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金额（元）</w:t>
            </w:r>
          </w:p>
        </w:tc>
      </w:tr>
      <w:tr w14:paraId="47CCC9D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966EC73">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21942675">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3D749E9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56B1401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1F55E9B8">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40165AA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6CF313D">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7BC1C3C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047953A3">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FB2940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7717890B">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56C2A26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8A187DF">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36F5C597">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1BB624A0">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70DD9073">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E18170B">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6BC9576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7B8D3D8">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676FBB1F">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25F3C97E">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7461867F">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D59752C">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795D891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E3D1E8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0883E01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28420F3E">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53CC9DF2">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BC2E8D2">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4788861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810505A">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4B82FED0">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2C79F87A">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6D3D5D4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4830681">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75DCFCC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CE1F78E">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1F80233E">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45423EB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D01B89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19E705CD">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3574D5D">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7910E05C">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0A9B339F">
            <w:pPr>
              <w:snapToGrid w:val="0"/>
              <w:spacing w:before="50" w:after="50" w:line="360" w:lineRule="auto"/>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72691EB0">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6A6468D3">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55B678F1">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7780E3F0">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0557A05D">
            <w:pPr>
              <w:snapToGrid w:val="0"/>
              <w:spacing w:before="50" w:after="50" w:line="360" w:lineRule="auto"/>
              <w:jc w:val="center"/>
              <w:textAlignment w:val="baseline"/>
              <w:rPr>
                <w:rFonts w:ascii="宋体" w:hAnsi="宋体" w:eastAsia="宋体" w:cs="宋体"/>
                <w:color w:val="auto"/>
                <w:spacing w:val="20"/>
                <w:kern w:val="0"/>
                <w:sz w:val="24"/>
                <w:highlight w:val="none"/>
                <w:lang w:bidi="ar"/>
              </w:rPr>
            </w:pPr>
            <w:r>
              <w:rPr>
                <w:rFonts w:hint="eastAsia" w:ascii="宋体" w:hAnsi="宋体" w:eastAsia="宋体" w:cs="宋体"/>
                <w:color w:val="auto"/>
                <w:spacing w:val="20"/>
                <w:sz w:val="24"/>
                <w:highlight w:val="none"/>
                <w:lang w:bidi="ar"/>
              </w:rPr>
              <w:t>投标总价（元）</w:t>
            </w:r>
          </w:p>
        </w:tc>
        <w:tc>
          <w:tcPr>
            <w:tcW w:w="1432" w:type="dxa"/>
            <w:tcBorders>
              <w:top w:val="single" w:color="auto" w:sz="4" w:space="0"/>
              <w:left w:val="nil"/>
              <w:bottom w:val="single" w:color="auto" w:sz="4" w:space="0"/>
              <w:right w:val="single" w:color="auto" w:sz="4" w:space="0"/>
            </w:tcBorders>
          </w:tcPr>
          <w:p w14:paraId="0FFF9AD5">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bl>
    <w:p w14:paraId="0ABB8637">
      <w:pPr>
        <w:snapToGrid w:val="0"/>
        <w:spacing w:line="360" w:lineRule="auto"/>
        <w:rPr>
          <w:rFonts w:cs="仿宋_GB2312" w:asciiTheme="minorEastAsia" w:hAnsiTheme="minorEastAsia" w:eastAsiaTheme="minorEastAsia"/>
          <w:color w:val="auto"/>
          <w:kern w:val="0"/>
          <w:sz w:val="24"/>
          <w:highlight w:val="none"/>
          <w:lang w:val="zh-CN"/>
        </w:rPr>
      </w:pPr>
    </w:p>
    <w:p w14:paraId="2511C2C6">
      <w:pPr>
        <w:snapToGrid w:val="0"/>
        <w:spacing w:line="360" w:lineRule="auto"/>
        <w:rPr>
          <w:rFonts w:cs="仿宋_GB2312" w:asciiTheme="minorEastAsia" w:hAnsiTheme="minorEastAsia" w:eastAsiaTheme="minorEastAsia"/>
          <w:color w:val="auto"/>
          <w:kern w:val="0"/>
          <w:sz w:val="24"/>
          <w:highlight w:val="none"/>
          <w:lang w:val="zh-CN"/>
        </w:rPr>
      </w:pPr>
    </w:p>
    <w:p w14:paraId="1137036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4B475D98">
      <w:pPr>
        <w:widowControl/>
        <w:adjustRightInd/>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F9D17EF">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35902E4">
      <w:pPr>
        <w:widowControl/>
        <w:kinsoku/>
        <w:wordWrap/>
        <w:overflowPunct/>
        <w:topLinePunct w:val="0"/>
        <w:bidi w:val="0"/>
        <w:adjustRightInd/>
        <w:jc w:val="left"/>
        <w:outlineLvl w:val="9"/>
        <w:rPr>
          <w:rFonts w:cs="仿宋_GB2312" w:asciiTheme="minorEastAsia" w:hAnsiTheme="minorEastAsia" w:eastAsiaTheme="minorEastAsia"/>
          <w:color w:val="auto"/>
          <w:kern w:val="0"/>
          <w:sz w:val="24"/>
          <w:highlight w:val="none"/>
          <w:lang w:val="zh-CN"/>
        </w:rPr>
        <w:sectPr>
          <w:headerReference r:id="rId12" w:type="first"/>
          <w:footerReference r:id="rId14" w:type="first"/>
          <w:headerReference r:id="rId11" w:type="default"/>
          <w:footerReference r:id="rId13" w:type="default"/>
          <w:pgSz w:w="11906" w:h="16838"/>
          <w:pgMar w:top="471" w:right="1418" w:bottom="777" w:left="1418" w:header="851" w:footer="992" w:gutter="0"/>
          <w:pgNumType w:fmt="decimal"/>
          <w:cols w:space="720" w:num="1"/>
          <w:titlePg/>
          <w:docGrid w:linePitch="312" w:charSpace="0"/>
        </w:sectPr>
      </w:pPr>
    </w:p>
    <w:p w14:paraId="36DDD8B3">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十三、</w:t>
      </w:r>
      <w:r>
        <w:rPr>
          <w:rFonts w:hint="eastAsia" w:asciiTheme="minorEastAsia" w:hAnsiTheme="minorEastAsia" w:eastAsiaTheme="minorEastAsia"/>
          <w:b/>
          <w:color w:val="auto"/>
          <w:sz w:val="32"/>
          <w:szCs w:val="32"/>
          <w:highlight w:val="none"/>
        </w:rPr>
        <w:t>中小企业声明函</w:t>
      </w:r>
      <w:bookmarkStart w:id="278" w:name="_Toc465665161"/>
      <w:r>
        <w:rPr>
          <w:rFonts w:hint="eastAsia" w:asciiTheme="minorEastAsia" w:hAnsiTheme="minorEastAsia" w:eastAsiaTheme="minorEastAsia"/>
          <w:b/>
          <w:color w:val="auto"/>
          <w:sz w:val="32"/>
          <w:szCs w:val="32"/>
          <w:highlight w:val="none"/>
        </w:rPr>
        <w:t>（如果有）</w:t>
      </w:r>
    </w:p>
    <w:p w14:paraId="070E904D">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00A461D0">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4CBE9CCB">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425D5AA2">
      <w:pPr>
        <w:widowControl/>
        <w:kinsoku/>
        <w:wordWrap/>
        <w:overflowPunct/>
        <w:topLinePunct w:val="0"/>
        <w:bidi w:val="0"/>
        <w:adjustRightInd/>
        <w:jc w:val="left"/>
        <w:outlineLvl w:val="9"/>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4E33737">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w:t>
      </w:r>
      <w:bookmarkEnd w:id="278"/>
    </w:p>
    <w:p w14:paraId="6CCF20F6">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D44B7C9">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D55C4AE">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111CDDD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0F71D26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B7C2A1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C4C40EF">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48DFC6D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71E37F8">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D80CB36">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E6DB84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5A6287B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579C6FE">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5C8200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B9D5BFA">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996336F">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784FF0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5B7E6B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FC9048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65985FE">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287D684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7F645E7C">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E1700D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768320A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5374997">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40DDD842">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622CE53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49DDA12">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67750B05">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70032F4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165AA35">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AF28E3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69EB9F2">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8EDF00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21DB54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DDE3AB">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4A2CD72C">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CDE8F34">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185C9AA5">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233ABD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AF97AF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5AF8D0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7B21AAD">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0C4032B">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A420CF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4F4D23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C771D0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0A324D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C05079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9F25C1B">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763D33E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1A511A7">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6CA1A4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AE5D65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9782387">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03CA73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C27EE1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24629C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BB20F4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043B962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E9537D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3EB33D9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1E5BD696">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1FB6308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1C3C912">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就质疑事项作出了答复/没有在法定期限内作出答复。</w:t>
      </w:r>
    </w:p>
    <w:p w14:paraId="1BFC8E2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EDE798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02025F6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FA506C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988CD5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5FF456C7">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A331AF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91693C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91DB1E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455D6CC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229040D">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6585F16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5EBF699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3D50024">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430E51AC">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49C43252">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7B45012">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1E7031E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6E07AC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F42A6C5">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0396F8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D51FAB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5B29AC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CEDC3A5">
      <w:pPr>
        <w:kinsoku/>
        <w:wordWrap/>
        <w:overflowPunct/>
        <w:topLinePunct w:val="0"/>
        <w:bidi w:val="0"/>
        <w:outlineLvl w:val="9"/>
        <w:rPr>
          <w:rFonts w:cs="仿宋_GB2312" w:asciiTheme="minorEastAsia" w:hAnsiTheme="minorEastAsia" w:eastAsiaTheme="minorEastAsia"/>
          <w:b/>
          <w:color w:val="auto"/>
          <w:sz w:val="24"/>
          <w:highlight w:val="none"/>
        </w:rPr>
      </w:pPr>
    </w:p>
    <w:p w14:paraId="6C029415">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0B2F8C9">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278EC23">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17BF8CD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279" w:name="_Toc4005"/>
      <w:r>
        <w:rPr>
          <w:rFonts w:hint="eastAsia" w:asciiTheme="minorEastAsia" w:hAnsiTheme="minorEastAsia" w:eastAsiaTheme="minorEastAsia"/>
          <w:b/>
          <w:color w:val="auto"/>
          <w:spacing w:val="6"/>
          <w:sz w:val="32"/>
          <w:szCs w:val="32"/>
          <w:highlight w:val="none"/>
        </w:rPr>
        <w:t>残疾人福利性单位声明函</w:t>
      </w:r>
      <w:bookmarkEnd w:id="279"/>
    </w:p>
    <w:p w14:paraId="4BDB23A9">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712F323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264696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54B846D">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2C5DD829">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6494EE23">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280EC333">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08EF647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4367491">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464B262">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D453E51">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022F3932">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280" w:name="_Toc6811"/>
      <w:r>
        <w:rPr>
          <w:rFonts w:hint="eastAsia" w:asciiTheme="minorEastAsia" w:hAnsiTheme="minorEastAsia" w:eastAsiaTheme="minorEastAsia"/>
          <w:b/>
          <w:bCs/>
          <w:color w:val="auto"/>
          <w:sz w:val="32"/>
          <w:szCs w:val="32"/>
          <w:highlight w:val="none"/>
        </w:rPr>
        <w:t>业务专用章使用说明函</w:t>
      </w:r>
      <w:bookmarkEnd w:id="280"/>
    </w:p>
    <w:p w14:paraId="3B0DACF8">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0DF987E4">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B73172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269837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69C94257">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41014DA6">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37F2927E">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229DDAA">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3D9385DF">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1F57D931">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DAFB548">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40E931C">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D61A1C8">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6EB12234">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3A008317">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62CFF814">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4641792C">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281" w:name="_Toc22103"/>
      <w:r>
        <w:rPr>
          <w:rFonts w:hint="eastAsia" w:cs="仿宋_GB2312" w:asciiTheme="minorEastAsia" w:hAnsiTheme="minorEastAsia" w:eastAsiaTheme="minorEastAsia"/>
          <w:b/>
          <w:color w:val="auto"/>
          <w:sz w:val="36"/>
          <w:szCs w:val="36"/>
          <w:highlight w:val="none"/>
        </w:rPr>
        <w:t>中小企业声明函（服务）</w:t>
      </w:r>
      <w:bookmarkEnd w:id="281"/>
    </w:p>
    <w:p w14:paraId="3B45C6A6">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455505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u w:val="single"/>
          <w:lang w:eastAsia="zh-CN"/>
        </w:rPr>
        <w:t>：海曙区智慧民政综合服务平台建设</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软件和信息技术服务业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4072729">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6A2DCFF">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2A5E6C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F465124">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9E2876A">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632898BD">
      <w:pPr>
        <w:keepNext w:val="0"/>
        <w:keepLines w:val="0"/>
        <w:pageBreakBefore w:val="0"/>
        <w:widowControl w:val="0"/>
        <w:kinsoku/>
        <w:wordWrap/>
        <w:overflowPunct/>
        <w:topLinePunct w:val="0"/>
        <w:autoSpaceDE/>
        <w:autoSpaceDN/>
        <w:bidi w:val="0"/>
        <w:adjustRightInd w:val="0"/>
        <w:snapToGrid/>
        <w:spacing w:line="276" w:lineRule="auto"/>
        <w:ind w:right="0" w:firstLine="4680" w:firstLineChars="19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323EFEE">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574FE5B4">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2AD9D6C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B431318">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cs="宋体" w:asciiTheme="minorEastAsia" w:hAnsiTheme="minorEastAsia" w:eastAsiaTheme="minorEastAsia"/>
          <w:color w:val="auto"/>
          <w:sz w:val="24"/>
          <w:highlight w:val="none"/>
          <w:lang w:eastAsia="zh-CN"/>
        </w:rPr>
        <w:t>〔2014〕68号</w:t>
      </w:r>
      <w:r>
        <w:rPr>
          <w:rFonts w:hint="eastAsia" w:cs="宋体" w:asciiTheme="minorEastAsia" w:hAnsiTheme="minorEastAsia" w:eastAsiaTheme="minorEastAsia"/>
          <w:color w:val="auto"/>
          <w:sz w:val="24"/>
          <w:highlight w:val="none"/>
        </w:rPr>
        <w:t>）的规定，供应商提供由省级以上监狱管理局、戒毒管理局（含新疆生产建设兵团）出具的属于监狱企业证明文件的，视同为小型和微型企业。</w:t>
      </w:r>
    </w:p>
    <w:p w14:paraId="5BEA76FD">
      <w:pPr>
        <w:keepNext w:val="0"/>
        <w:keepLines w:val="0"/>
        <w:pageBreakBefore w:val="0"/>
        <w:widowControl w:val="0"/>
        <w:kinsoku/>
        <w:wordWrap/>
        <w:overflowPunct/>
        <w:topLinePunct w:val="0"/>
        <w:autoSpaceDE/>
        <w:autoSpaceDN/>
        <w:bidi w:val="0"/>
        <w:adjustRightInd w:val="0"/>
        <w:snapToGrid/>
        <w:spacing w:line="276" w:lineRule="auto"/>
        <w:ind w:right="0" w:firstLine="482" w:firstLineChars="200"/>
        <w:textAlignment w:val="auto"/>
        <w:outlineLvl w:val="9"/>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3、本项目采购文件中明确的所属行业为</w:t>
      </w:r>
      <w:r>
        <w:rPr>
          <w:rFonts w:hint="eastAsia" w:cs="宋体" w:asciiTheme="minorEastAsia" w:hAnsiTheme="minorEastAsia" w:eastAsiaTheme="minorEastAsia"/>
          <w:b/>
          <w:bCs/>
          <w:color w:val="auto"/>
          <w:sz w:val="24"/>
          <w:highlight w:val="none"/>
          <w:u w:val="single"/>
          <w:lang w:val="en-US" w:eastAsia="zh-CN"/>
        </w:rPr>
        <w:t>软件和信息技术服务业</w:t>
      </w:r>
      <w:r>
        <w:rPr>
          <w:rFonts w:hint="eastAsia" w:cs="宋体" w:asciiTheme="minorEastAsia" w:hAnsiTheme="minorEastAsia" w:eastAsiaTheme="minorEastAsia"/>
          <w:b/>
          <w:bCs/>
          <w:color w:val="auto"/>
          <w:sz w:val="24"/>
          <w:highlight w:val="none"/>
          <w:lang w:val="en-US"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6F995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7BC6">
    <w:pPr>
      <w:pStyle w:val="3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6F658">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B16F658">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3B345">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EC44E">
                          <w:pPr>
                            <w:pStyle w:val="3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EC44E">
                    <w:pPr>
                      <w:pStyle w:val="3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7BC4">
    <w:pPr>
      <w:pStyle w:val="38"/>
      <w:framePr w:wrap="around" w:vAnchor="text" w:hAnchor="margin" w:xAlign="right" w:y="1"/>
      <w:rPr>
        <w:rStyle w:val="65"/>
      </w:rPr>
    </w:pPr>
    <w:r>
      <w:fldChar w:fldCharType="begin"/>
    </w:r>
    <w:r>
      <w:rPr>
        <w:rStyle w:val="65"/>
      </w:rPr>
      <w:instrText xml:space="preserve">PAGE  </w:instrText>
    </w:r>
    <w:r>
      <w:fldChar w:fldCharType="end"/>
    </w:r>
  </w:p>
  <w:p w14:paraId="2C342D4E">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2A8C">
    <w:pPr>
      <w:pStyle w:val="38"/>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39B57">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939B57">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19BCB">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FC5EC">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EDFC5EC">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D385">
    <w:pPr>
      <w:pStyle w:val="38"/>
      <w:jc w:val="both"/>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D0587">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73D0587">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C96C1">
    <w:pPr>
      <w:pStyle w:val="38"/>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7DE01">
                          <w:pPr>
                            <w:pStyle w:val="3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207DE01">
                    <w:pPr>
                      <w:pStyle w:val="3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89F8">
    <w:pPr>
      <w:pStyle w:val="3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02859">
                          <w:pPr>
                            <w:pStyle w:val="3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3202859">
                    <w:pPr>
                      <w:pStyle w:val="3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F666">
    <w:pPr>
      <w:pStyle w:val="57"/>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val="0"/>
        <w:iCs/>
        <w:sz w:val="18"/>
        <w:u w:val="single"/>
      </w:rPr>
      <w:t>政府采购竞争性磋商文件</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70BE">
    <w:pPr>
      <w:pStyle w:val="39"/>
      <w:jc w:val="right"/>
      <w:rPr>
        <w:rFonts w:eastAsia="仿宋_GB2312"/>
        <w:i w:val="0"/>
        <w:iCs/>
      </w:rPr>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650B">
    <w:pPr>
      <w:pStyle w:val="39"/>
      <w:jc w:val="right"/>
      <w:rPr>
        <w:rFonts w:eastAsia="仿宋_GB2312"/>
      </w:rPr>
    </w:pPr>
    <w:r>
      <w:rPr>
        <w:rFonts w:hint="eastAsia" w:eastAsia="仿宋_GB2312"/>
        <w:i w:val="0"/>
        <w:iCs w:val="0"/>
        <w:lang w:val="en-US" w:eastAsia="zh-CN"/>
      </w:rPr>
      <w:t>政府</w:t>
    </w:r>
    <w:r>
      <w:rPr>
        <w:rFonts w:hint="eastAsia" w:eastAsia="仿宋_GB2312"/>
        <w:i w:val="0"/>
        <w:iCs w:val="0"/>
      </w:rPr>
      <w:t>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1269">
    <w:pPr>
      <w:pStyle w:val="39"/>
      <w:jc w:val="right"/>
      <w:rPr>
        <w:rFonts w:eastAsia="仿宋_GB2312"/>
        <w:i w:val="0"/>
        <w:iCs w:val="0"/>
      </w:rPr>
    </w:pPr>
    <w:r>
      <w:rPr>
        <w:rFonts w:hint="eastAsia" w:eastAsia="仿宋_GB2312"/>
        <w:i w:val="0"/>
        <w:iCs w:val="0"/>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A22FC"/>
    <w:multiLevelType w:val="singleLevel"/>
    <w:tmpl w:val="A3AA22FC"/>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2725616"/>
    <w:multiLevelType w:val="singleLevel"/>
    <w:tmpl w:val="22725616"/>
    <w:lvl w:ilvl="0" w:tentative="0">
      <w:start w:val="1"/>
      <w:numFmt w:val="decimal"/>
      <w:suff w:val="nothing"/>
      <w:lvlText w:val="%1、"/>
      <w:lvlJc w:val="left"/>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6CAD3C4"/>
    <w:multiLevelType w:val="multilevel"/>
    <w:tmpl w:val="46CAD3C4"/>
    <w:lvl w:ilvl="0" w:tentative="0">
      <w:start w:val="1"/>
      <w:numFmt w:val="chineseCounting"/>
      <w:suff w:val="nothing"/>
      <w:lvlText w:val="第%1章 "/>
      <w:lvlJc w:val="left"/>
      <w:pPr>
        <w:ind w:left="432" w:hanging="432"/>
      </w:pPr>
      <w:rPr>
        <w:rFonts w:hint="eastAsia" w:ascii="微软雅黑" w:hAnsi="微软雅黑" w:eastAsia="微软雅黑" w:cs="微软雅黑"/>
        <w:b/>
        <w:bCs/>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184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suff w:val="space"/>
      <w:lvlText w:val="%1.%2.%3.%4.%5."/>
      <w:lvlJc w:val="left"/>
      <w:pPr>
        <w:ind w:left="0" w:leftChars="0" w:firstLine="0" w:firstLineChars="0"/>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8">
    <w:nsid w:val="4A3D7ACE"/>
    <w:multiLevelType w:val="singleLevel"/>
    <w:tmpl w:val="4A3D7ACE"/>
    <w:lvl w:ilvl="0" w:tentative="0">
      <w:start w:val="1"/>
      <w:numFmt w:val="decimal"/>
      <w:suff w:val="nothing"/>
      <w:lvlText w:val="%1、"/>
      <w:lvlJc w:val="left"/>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1A44A54"/>
    <w:multiLevelType w:val="multilevel"/>
    <w:tmpl w:val="51A44A54"/>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11"/>
  </w:num>
  <w:num w:numId="6">
    <w:abstractNumId w:val="13"/>
  </w:num>
  <w:num w:numId="7">
    <w:abstractNumId w:val="14"/>
  </w:num>
  <w:num w:numId="8">
    <w:abstractNumId w:val="7"/>
  </w:num>
  <w:num w:numId="9">
    <w:abstractNumId w:val="10"/>
  </w:num>
  <w:num w:numId="10">
    <w:abstractNumId w:val="8"/>
  </w:num>
  <w:num w:numId="11">
    <w:abstractNumId w:val="5"/>
  </w:num>
  <w:num w:numId="12">
    <w:abstractNumId w:val="0"/>
  </w:num>
  <w:num w:numId="13">
    <w:abstractNumId w:val="6"/>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4B2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649"/>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D3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EF2"/>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315B3F"/>
    <w:rsid w:val="01562493"/>
    <w:rsid w:val="019875E7"/>
    <w:rsid w:val="020442FF"/>
    <w:rsid w:val="021B4A12"/>
    <w:rsid w:val="02A2012C"/>
    <w:rsid w:val="02A93F9A"/>
    <w:rsid w:val="02DA0C0E"/>
    <w:rsid w:val="02E903CF"/>
    <w:rsid w:val="03DD35E4"/>
    <w:rsid w:val="043363B4"/>
    <w:rsid w:val="04BB593F"/>
    <w:rsid w:val="04D52C6D"/>
    <w:rsid w:val="04E8444D"/>
    <w:rsid w:val="05121AC6"/>
    <w:rsid w:val="05685F23"/>
    <w:rsid w:val="065A6178"/>
    <w:rsid w:val="06CD24E2"/>
    <w:rsid w:val="06DE29E2"/>
    <w:rsid w:val="07202ED2"/>
    <w:rsid w:val="075562B7"/>
    <w:rsid w:val="07B43916"/>
    <w:rsid w:val="07F6164B"/>
    <w:rsid w:val="083C6147"/>
    <w:rsid w:val="087A1B7A"/>
    <w:rsid w:val="08AC7B38"/>
    <w:rsid w:val="092764D3"/>
    <w:rsid w:val="09420839"/>
    <w:rsid w:val="096B2097"/>
    <w:rsid w:val="0A212EA3"/>
    <w:rsid w:val="0A5B7E63"/>
    <w:rsid w:val="0A7315F2"/>
    <w:rsid w:val="0AA211FD"/>
    <w:rsid w:val="0B193F99"/>
    <w:rsid w:val="0BB71BC4"/>
    <w:rsid w:val="0C364685"/>
    <w:rsid w:val="0C87121B"/>
    <w:rsid w:val="0D79191F"/>
    <w:rsid w:val="0D8D29CB"/>
    <w:rsid w:val="0DD24C68"/>
    <w:rsid w:val="0DF702FE"/>
    <w:rsid w:val="0E3F698B"/>
    <w:rsid w:val="0EBEE2E9"/>
    <w:rsid w:val="0EEC4E8D"/>
    <w:rsid w:val="0F21508F"/>
    <w:rsid w:val="0F3B248C"/>
    <w:rsid w:val="0F4A5C7C"/>
    <w:rsid w:val="0F816ACD"/>
    <w:rsid w:val="0FB94501"/>
    <w:rsid w:val="10596B94"/>
    <w:rsid w:val="105E23FD"/>
    <w:rsid w:val="10B047CF"/>
    <w:rsid w:val="10FC16EA"/>
    <w:rsid w:val="10FE773C"/>
    <w:rsid w:val="118963A1"/>
    <w:rsid w:val="1231374A"/>
    <w:rsid w:val="127723A9"/>
    <w:rsid w:val="12946D7A"/>
    <w:rsid w:val="12B25421"/>
    <w:rsid w:val="12DB4D5D"/>
    <w:rsid w:val="13072A44"/>
    <w:rsid w:val="13CF0310"/>
    <w:rsid w:val="145044FA"/>
    <w:rsid w:val="1513181F"/>
    <w:rsid w:val="155D7127"/>
    <w:rsid w:val="15CE4CE1"/>
    <w:rsid w:val="15E456A3"/>
    <w:rsid w:val="162E0AC3"/>
    <w:rsid w:val="169E79F7"/>
    <w:rsid w:val="16B4169C"/>
    <w:rsid w:val="1720665E"/>
    <w:rsid w:val="17563B22"/>
    <w:rsid w:val="175C32AB"/>
    <w:rsid w:val="17944956"/>
    <w:rsid w:val="17966920"/>
    <w:rsid w:val="184A3267"/>
    <w:rsid w:val="186742B0"/>
    <w:rsid w:val="187327BD"/>
    <w:rsid w:val="18C047EA"/>
    <w:rsid w:val="18F55160"/>
    <w:rsid w:val="19F31E08"/>
    <w:rsid w:val="1A45145E"/>
    <w:rsid w:val="1A4D6EE9"/>
    <w:rsid w:val="1A5F124B"/>
    <w:rsid w:val="1A6A1731"/>
    <w:rsid w:val="1AE65E82"/>
    <w:rsid w:val="1B2A271F"/>
    <w:rsid w:val="1B890139"/>
    <w:rsid w:val="1BC75BEC"/>
    <w:rsid w:val="1BF7E9F4"/>
    <w:rsid w:val="1C0941C4"/>
    <w:rsid w:val="1C5D2A12"/>
    <w:rsid w:val="1CAE2016"/>
    <w:rsid w:val="1D266CE1"/>
    <w:rsid w:val="1D3963AF"/>
    <w:rsid w:val="1D6F3537"/>
    <w:rsid w:val="1D81597C"/>
    <w:rsid w:val="1DB1736F"/>
    <w:rsid w:val="1DE86A66"/>
    <w:rsid w:val="1E1B4CC2"/>
    <w:rsid w:val="1E714A66"/>
    <w:rsid w:val="1E935F34"/>
    <w:rsid w:val="1F023736"/>
    <w:rsid w:val="1F2F113C"/>
    <w:rsid w:val="1F7D3F22"/>
    <w:rsid w:val="1FE868A9"/>
    <w:rsid w:val="1FFF4413"/>
    <w:rsid w:val="20992DB4"/>
    <w:rsid w:val="209B0A83"/>
    <w:rsid w:val="20AA7075"/>
    <w:rsid w:val="20CA47A1"/>
    <w:rsid w:val="211E26D6"/>
    <w:rsid w:val="21283D08"/>
    <w:rsid w:val="21295BFA"/>
    <w:rsid w:val="22064FE9"/>
    <w:rsid w:val="220D77DF"/>
    <w:rsid w:val="221A1EFC"/>
    <w:rsid w:val="22A75E85"/>
    <w:rsid w:val="231D47B8"/>
    <w:rsid w:val="23BF868D"/>
    <w:rsid w:val="23C44815"/>
    <w:rsid w:val="23F61EA0"/>
    <w:rsid w:val="248F0CA5"/>
    <w:rsid w:val="24A24B56"/>
    <w:rsid w:val="24CD10A6"/>
    <w:rsid w:val="24FF3D57"/>
    <w:rsid w:val="25076767"/>
    <w:rsid w:val="25244FD1"/>
    <w:rsid w:val="25B440B3"/>
    <w:rsid w:val="25C32FD6"/>
    <w:rsid w:val="26185E78"/>
    <w:rsid w:val="26395046"/>
    <w:rsid w:val="26906587"/>
    <w:rsid w:val="26F001E4"/>
    <w:rsid w:val="270A7CE4"/>
    <w:rsid w:val="27213D9A"/>
    <w:rsid w:val="27AB76E3"/>
    <w:rsid w:val="288EBF98"/>
    <w:rsid w:val="29000A4D"/>
    <w:rsid w:val="290C4C94"/>
    <w:rsid w:val="292024ED"/>
    <w:rsid w:val="294B3E68"/>
    <w:rsid w:val="295334CD"/>
    <w:rsid w:val="2975229D"/>
    <w:rsid w:val="299961C3"/>
    <w:rsid w:val="29A0237D"/>
    <w:rsid w:val="29DD0DB7"/>
    <w:rsid w:val="2AA1365A"/>
    <w:rsid w:val="2AFE4C0F"/>
    <w:rsid w:val="2B8C029D"/>
    <w:rsid w:val="2C5B55EB"/>
    <w:rsid w:val="2C8D7E9A"/>
    <w:rsid w:val="2C9B6CEB"/>
    <w:rsid w:val="2CA4388A"/>
    <w:rsid w:val="2CAC233C"/>
    <w:rsid w:val="2CDE2BAA"/>
    <w:rsid w:val="2CE6351B"/>
    <w:rsid w:val="2CE770A7"/>
    <w:rsid w:val="2CF9D34E"/>
    <w:rsid w:val="2D656721"/>
    <w:rsid w:val="2DD15014"/>
    <w:rsid w:val="2DDD275B"/>
    <w:rsid w:val="2E336271"/>
    <w:rsid w:val="2EE875CD"/>
    <w:rsid w:val="2EFA0894"/>
    <w:rsid w:val="2F406DDF"/>
    <w:rsid w:val="2F463807"/>
    <w:rsid w:val="2F5A263F"/>
    <w:rsid w:val="2F6173BC"/>
    <w:rsid w:val="2F650C5A"/>
    <w:rsid w:val="2F66FA25"/>
    <w:rsid w:val="2F6F3951"/>
    <w:rsid w:val="2F7470EF"/>
    <w:rsid w:val="2FD25781"/>
    <w:rsid w:val="2FE5320F"/>
    <w:rsid w:val="30401C15"/>
    <w:rsid w:val="305C34E6"/>
    <w:rsid w:val="31056D6F"/>
    <w:rsid w:val="31307046"/>
    <w:rsid w:val="313C0812"/>
    <w:rsid w:val="31822438"/>
    <w:rsid w:val="319C6071"/>
    <w:rsid w:val="32C062B9"/>
    <w:rsid w:val="32DB72BE"/>
    <w:rsid w:val="32DF7ECE"/>
    <w:rsid w:val="32F01183"/>
    <w:rsid w:val="332B6516"/>
    <w:rsid w:val="332D7DBF"/>
    <w:rsid w:val="3352084C"/>
    <w:rsid w:val="339C380E"/>
    <w:rsid w:val="33D7693B"/>
    <w:rsid w:val="342E63AB"/>
    <w:rsid w:val="34354CED"/>
    <w:rsid w:val="345D260B"/>
    <w:rsid w:val="346A286F"/>
    <w:rsid w:val="348E480F"/>
    <w:rsid w:val="34D3508B"/>
    <w:rsid w:val="35213875"/>
    <w:rsid w:val="35316ED2"/>
    <w:rsid w:val="35635C3C"/>
    <w:rsid w:val="358C39DC"/>
    <w:rsid w:val="365302AE"/>
    <w:rsid w:val="36CD1F52"/>
    <w:rsid w:val="37AA5B80"/>
    <w:rsid w:val="37E172EC"/>
    <w:rsid w:val="37F142D2"/>
    <w:rsid w:val="37FEFB52"/>
    <w:rsid w:val="37FF4D68"/>
    <w:rsid w:val="38AB7897"/>
    <w:rsid w:val="38E757A5"/>
    <w:rsid w:val="38FE14BD"/>
    <w:rsid w:val="39302EC1"/>
    <w:rsid w:val="39313A65"/>
    <w:rsid w:val="397DEB6F"/>
    <w:rsid w:val="39A13F14"/>
    <w:rsid w:val="39B079DC"/>
    <w:rsid w:val="39B90E2D"/>
    <w:rsid w:val="39ED1917"/>
    <w:rsid w:val="3A1C460B"/>
    <w:rsid w:val="3BC84D65"/>
    <w:rsid w:val="3C1137F1"/>
    <w:rsid w:val="3C1852A6"/>
    <w:rsid w:val="3C5F759A"/>
    <w:rsid w:val="3CCFA9A1"/>
    <w:rsid w:val="3D5C78D4"/>
    <w:rsid w:val="3D5F07EF"/>
    <w:rsid w:val="3E3A367D"/>
    <w:rsid w:val="3E3FC395"/>
    <w:rsid w:val="3E7FABE3"/>
    <w:rsid w:val="3EA9209D"/>
    <w:rsid w:val="3EB61AEE"/>
    <w:rsid w:val="3EBE14D9"/>
    <w:rsid w:val="3EC84D62"/>
    <w:rsid w:val="3EDB4C0D"/>
    <w:rsid w:val="3F0A7FA0"/>
    <w:rsid w:val="3F2952AB"/>
    <w:rsid w:val="3F3D6064"/>
    <w:rsid w:val="3FB6706E"/>
    <w:rsid w:val="3FE32CCC"/>
    <w:rsid w:val="3FE7A0C0"/>
    <w:rsid w:val="3FEE25A6"/>
    <w:rsid w:val="3FFE270A"/>
    <w:rsid w:val="3FFF72A6"/>
    <w:rsid w:val="3FFFA266"/>
    <w:rsid w:val="404F3A05"/>
    <w:rsid w:val="41061B71"/>
    <w:rsid w:val="411A46E0"/>
    <w:rsid w:val="41797C42"/>
    <w:rsid w:val="42BA2829"/>
    <w:rsid w:val="42E1381E"/>
    <w:rsid w:val="42EF6D61"/>
    <w:rsid w:val="43122A4F"/>
    <w:rsid w:val="432F711B"/>
    <w:rsid w:val="43452E25"/>
    <w:rsid w:val="439310F4"/>
    <w:rsid w:val="43994F1E"/>
    <w:rsid w:val="43FB717C"/>
    <w:rsid w:val="445A6331"/>
    <w:rsid w:val="44A00117"/>
    <w:rsid w:val="44B5B703"/>
    <w:rsid w:val="44E73A68"/>
    <w:rsid w:val="451E447A"/>
    <w:rsid w:val="452D0DB7"/>
    <w:rsid w:val="45345B76"/>
    <w:rsid w:val="45374B53"/>
    <w:rsid w:val="454644FA"/>
    <w:rsid w:val="45790B64"/>
    <w:rsid w:val="45CD3049"/>
    <w:rsid w:val="462064F9"/>
    <w:rsid w:val="462C7B1B"/>
    <w:rsid w:val="467D544F"/>
    <w:rsid w:val="46D61469"/>
    <w:rsid w:val="46EA4AC6"/>
    <w:rsid w:val="47307808"/>
    <w:rsid w:val="47BF7429"/>
    <w:rsid w:val="47F646ED"/>
    <w:rsid w:val="486071E0"/>
    <w:rsid w:val="486F747C"/>
    <w:rsid w:val="499F3CC8"/>
    <w:rsid w:val="49A86F80"/>
    <w:rsid w:val="4A342CEB"/>
    <w:rsid w:val="4A614797"/>
    <w:rsid w:val="4ABE3916"/>
    <w:rsid w:val="4AE0041E"/>
    <w:rsid w:val="4BDF0935"/>
    <w:rsid w:val="4BFFCFD2"/>
    <w:rsid w:val="4C5F726F"/>
    <w:rsid w:val="4C7042D7"/>
    <w:rsid w:val="4C9824F8"/>
    <w:rsid w:val="4CDB43D3"/>
    <w:rsid w:val="4D341EAC"/>
    <w:rsid w:val="4D4F6F11"/>
    <w:rsid w:val="4D861CF6"/>
    <w:rsid w:val="4DBC3795"/>
    <w:rsid w:val="4DD40083"/>
    <w:rsid w:val="4DDF4B6B"/>
    <w:rsid w:val="4DF538F4"/>
    <w:rsid w:val="4E385373"/>
    <w:rsid w:val="4EDE12CD"/>
    <w:rsid w:val="4EF41696"/>
    <w:rsid w:val="4F032146"/>
    <w:rsid w:val="4FA42CE3"/>
    <w:rsid w:val="4FBEF94F"/>
    <w:rsid w:val="4FD95B8A"/>
    <w:rsid w:val="501527AD"/>
    <w:rsid w:val="50366683"/>
    <w:rsid w:val="50792360"/>
    <w:rsid w:val="50DB373D"/>
    <w:rsid w:val="50E84DEF"/>
    <w:rsid w:val="50EF9FF4"/>
    <w:rsid w:val="513C6AB1"/>
    <w:rsid w:val="51A0432A"/>
    <w:rsid w:val="51B7683E"/>
    <w:rsid w:val="51FD1443"/>
    <w:rsid w:val="52567130"/>
    <w:rsid w:val="527140E5"/>
    <w:rsid w:val="52830639"/>
    <w:rsid w:val="5292508F"/>
    <w:rsid w:val="529C6C5D"/>
    <w:rsid w:val="52A96B6F"/>
    <w:rsid w:val="53093EB6"/>
    <w:rsid w:val="53257D08"/>
    <w:rsid w:val="53379A82"/>
    <w:rsid w:val="53FB567D"/>
    <w:rsid w:val="54934E94"/>
    <w:rsid w:val="54A43422"/>
    <w:rsid w:val="54BC6CBF"/>
    <w:rsid w:val="550764A4"/>
    <w:rsid w:val="551926E0"/>
    <w:rsid w:val="555A3FDA"/>
    <w:rsid w:val="556B20D1"/>
    <w:rsid w:val="556E3DFC"/>
    <w:rsid w:val="55966AAB"/>
    <w:rsid w:val="55C23E61"/>
    <w:rsid w:val="561279B9"/>
    <w:rsid w:val="56381A29"/>
    <w:rsid w:val="56515F3B"/>
    <w:rsid w:val="568850AA"/>
    <w:rsid w:val="56CE500E"/>
    <w:rsid w:val="572B71CA"/>
    <w:rsid w:val="576D5FC2"/>
    <w:rsid w:val="57FFBE17"/>
    <w:rsid w:val="58112E7E"/>
    <w:rsid w:val="58136BF6"/>
    <w:rsid w:val="584D395F"/>
    <w:rsid w:val="5878789F"/>
    <w:rsid w:val="58AE4F0C"/>
    <w:rsid w:val="58B10C04"/>
    <w:rsid w:val="58C561C6"/>
    <w:rsid w:val="58DF2725"/>
    <w:rsid w:val="596F7512"/>
    <w:rsid w:val="59A3044D"/>
    <w:rsid w:val="59FF59AA"/>
    <w:rsid w:val="5A242A5B"/>
    <w:rsid w:val="5A2A558F"/>
    <w:rsid w:val="5A2A7C7B"/>
    <w:rsid w:val="5A9801EF"/>
    <w:rsid w:val="5B1F3B03"/>
    <w:rsid w:val="5B2561D9"/>
    <w:rsid w:val="5B37C3FC"/>
    <w:rsid w:val="5BDF8757"/>
    <w:rsid w:val="5C480E38"/>
    <w:rsid w:val="5C5D0D87"/>
    <w:rsid w:val="5C80234E"/>
    <w:rsid w:val="5D5A0E23"/>
    <w:rsid w:val="5D782662"/>
    <w:rsid w:val="5DBB288C"/>
    <w:rsid w:val="5DE74EB3"/>
    <w:rsid w:val="5E223851"/>
    <w:rsid w:val="5E261785"/>
    <w:rsid w:val="5E8C32A6"/>
    <w:rsid w:val="5E9FA9BC"/>
    <w:rsid w:val="5EB033F0"/>
    <w:rsid w:val="5F1119B5"/>
    <w:rsid w:val="5F278B41"/>
    <w:rsid w:val="5F696C88"/>
    <w:rsid w:val="5F6F71D4"/>
    <w:rsid w:val="5F7BDC7C"/>
    <w:rsid w:val="5FA5B999"/>
    <w:rsid w:val="5FCC5339"/>
    <w:rsid w:val="5FE70807"/>
    <w:rsid w:val="5FFFF965"/>
    <w:rsid w:val="609603C4"/>
    <w:rsid w:val="60E53485"/>
    <w:rsid w:val="60F129EA"/>
    <w:rsid w:val="61021EFD"/>
    <w:rsid w:val="61054A27"/>
    <w:rsid w:val="61165A1B"/>
    <w:rsid w:val="611D2366"/>
    <w:rsid w:val="613B5E30"/>
    <w:rsid w:val="61476A20"/>
    <w:rsid w:val="61530196"/>
    <w:rsid w:val="621C0CE0"/>
    <w:rsid w:val="62751110"/>
    <w:rsid w:val="62885958"/>
    <w:rsid w:val="62B47227"/>
    <w:rsid w:val="63471070"/>
    <w:rsid w:val="634F4437"/>
    <w:rsid w:val="636D2B86"/>
    <w:rsid w:val="63D948AB"/>
    <w:rsid w:val="63FA70AF"/>
    <w:rsid w:val="64835103"/>
    <w:rsid w:val="64C25130"/>
    <w:rsid w:val="64C30063"/>
    <w:rsid w:val="64CE2EAA"/>
    <w:rsid w:val="653D2B4E"/>
    <w:rsid w:val="662E75B1"/>
    <w:rsid w:val="66342C2E"/>
    <w:rsid w:val="663E784C"/>
    <w:rsid w:val="665062F1"/>
    <w:rsid w:val="66BB6700"/>
    <w:rsid w:val="66D60B8B"/>
    <w:rsid w:val="66EB728A"/>
    <w:rsid w:val="67AE67E1"/>
    <w:rsid w:val="67B92D49"/>
    <w:rsid w:val="67ED061C"/>
    <w:rsid w:val="685867EC"/>
    <w:rsid w:val="689B90EF"/>
    <w:rsid w:val="69042C7E"/>
    <w:rsid w:val="69747E01"/>
    <w:rsid w:val="698931BC"/>
    <w:rsid w:val="69902692"/>
    <w:rsid w:val="69D06911"/>
    <w:rsid w:val="69DF48FD"/>
    <w:rsid w:val="69E16B8D"/>
    <w:rsid w:val="69E76DAD"/>
    <w:rsid w:val="6BE80770"/>
    <w:rsid w:val="6BF75626"/>
    <w:rsid w:val="6BFFEEE7"/>
    <w:rsid w:val="6C1D408F"/>
    <w:rsid w:val="6CAF3DCA"/>
    <w:rsid w:val="6CE0562C"/>
    <w:rsid w:val="6D514D31"/>
    <w:rsid w:val="6D7F2FAA"/>
    <w:rsid w:val="6DEF963F"/>
    <w:rsid w:val="6E379D78"/>
    <w:rsid w:val="6E526C46"/>
    <w:rsid w:val="6E8E12EF"/>
    <w:rsid w:val="6EFF087D"/>
    <w:rsid w:val="6F11092C"/>
    <w:rsid w:val="6F1643E5"/>
    <w:rsid w:val="6F7E29B8"/>
    <w:rsid w:val="6FBFA61A"/>
    <w:rsid w:val="6FD77D53"/>
    <w:rsid w:val="6FEF143A"/>
    <w:rsid w:val="6FFB0839"/>
    <w:rsid w:val="703A6FBE"/>
    <w:rsid w:val="708C3CA2"/>
    <w:rsid w:val="70A6184B"/>
    <w:rsid w:val="70CE5958"/>
    <w:rsid w:val="70D72A5F"/>
    <w:rsid w:val="70FB962C"/>
    <w:rsid w:val="71247B80"/>
    <w:rsid w:val="71834994"/>
    <w:rsid w:val="71D43752"/>
    <w:rsid w:val="71F47640"/>
    <w:rsid w:val="72141A90"/>
    <w:rsid w:val="72181581"/>
    <w:rsid w:val="726A1BC4"/>
    <w:rsid w:val="73AA2AB8"/>
    <w:rsid w:val="73C70A87"/>
    <w:rsid w:val="73CB617F"/>
    <w:rsid w:val="73CFF2ED"/>
    <w:rsid w:val="73DD6243"/>
    <w:rsid w:val="745F570D"/>
    <w:rsid w:val="7482107F"/>
    <w:rsid w:val="74855837"/>
    <w:rsid w:val="74977AC6"/>
    <w:rsid w:val="749C4185"/>
    <w:rsid w:val="74B35591"/>
    <w:rsid w:val="74CB4F6C"/>
    <w:rsid w:val="74E97204"/>
    <w:rsid w:val="74F45B7B"/>
    <w:rsid w:val="75325B1C"/>
    <w:rsid w:val="759873CC"/>
    <w:rsid w:val="75D37077"/>
    <w:rsid w:val="75D471F0"/>
    <w:rsid w:val="75DA2C18"/>
    <w:rsid w:val="760D4A6F"/>
    <w:rsid w:val="76BBD710"/>
    <w:rsid w:val="76CBF9FF"/>
    <w:rsid w:val="76F61956"/>
    <w:rsid w:val="77100A78"/>
    <w:rsid w:val="771C248F"/>
    <w:rsid w:val="77272FEB"/>
    <w:rsid w:val="775319EF"/>
    <w:rsid w:val="77742412"/>
    <w:rsid w:val="77B77146"/>
    <w:rsid w:val="77CF7C33"/>
    <w:rsid w:val="77D53A70"/>
    <w:rsid w:val="77FE34A4"/>
    <w:rsid w:val="77FFCAFC"/>
    <w:rsid w:val="789B0816"/>
    <w:rsid w:val="790F1C77"/>
    <w:rsid w:val="792A493F"/>
    <w:rsid w:val="792D0A67"/>
    <w:rsid w:val="79953E26"/>
    <w:rsid w:val="79AFE27C"/>
    <w:rsid w:val="79DF6DA1"/>
    <w:rsid w:val="79FDD2E3"/>
    <w:rsid w:val="7A67303B"/>
    <w:rsid w:val="7A9E78D8"/>
    <w:rsid w:val="7AAB1D04"/>
    <w:rsid w:val="7ABA4368"/>
    <w:rsid w:val="7AEFA0C3"/>
    <w:rsid w:val="7AF69C07"/>
    <w:rsid w:val="7AFFB8EB"/>
    <w:rsid w:val="7B085CF0"/>
    <w:rsid w:val="7B257FFD"/>
    <w:rsid w:val="7B3E45F7"/>
    <w:rsid w:val="7B6D780C"/>
    <w:rsid w:val="7B7E2F26"/>
    <w:rsid w:val="7B936568"/>
    <w:rsid w:val="7BB9DBF7"/>
    <w:rsid w:val="7BBBABB7"/>
    <w:rsid w:val="7BBD3191"/>
    <w:rsid w:val="7BFF9D7F"/>
    <w:rsid w:val="7C2B1DA5"/>
    <w:rsid w:val="7C43676F"/>
    <w:rsid w:val="7CBFC5EA"/>
    <w:rsid w:val="7CC5F182"/>
    <w:rsid w:val="7CE32317"/>
    <w:rsid w:val="7CF406A5"/>
    <w:rsid w:val="7CFBEDB0"/>
    <w:rsid w:val="7CFEA16B"/>
    <w:rsid w:val="7DC94C43"/>
    <w:rsid w:val="7DF4317E"/>
    <w:rsid w:val="7DF4AA5C"/>
    <w:rsid w:val="7DFACA40"/>
    <w:rsid w:val="7E0B727F"/>
    <w:rsid w:val="7E37BB45"/>
    <w:rsid w:val="7E64308B"/>
    <w:rsid w:val="7E6F1416"/>
    <w:rsid w:val="7E8730DA"/>
    <w:rsid w:val="7E9C52E7"/>
    <w:rsid w:val="7EBF90BB"/>
    <w:rsid w:val="7ECFB494"/>
    <w:rsid w:val="7EDF96F2"/>
    <w:rsid w:val="7EE73069"/>
    <w:rsid w:val="7EEE529E"/>
    <w:rsid w:val="7F054C3B"/>
    <w:rsid w:val="7F086BF6"/>
    <w:rsid w:val="7F6BCA8D"/>
    <w:rsid w:val="7F7AEF58"/>
    <w:rsid w:val="7F9FC288"/>
    <w:rsid w:val="7FA2692E"/>
    <w:rsid w:val="7FAC3308"/>
    <w:rsid w:val="7FBCA558"/>
    <w:rsid w:val="7FBCBE64"/>
    <w:rsid w:val="7FBFCD46"/>
    <w:rsid w:val="7FC00B62"/>
    <w:rsid w:val="7FCDDB4A"/>
    <w:rsid w:val="7FD4D609"/>
    <w:rsid w:val="7FD7531A"/>
    <w:rsid w:val="7FE2AA40"/>
    <w:rsid w:val="7FECF7CE"/>
    <w:rsid w:val="7FF013FF"/>
    <w:rsid w:val="7FF841FE"/>
    <w:rsid w:val="7FFBDD73"/>
    <w:rsid w:val="7FFEA8C9"/>
    <w:rsid w:val="7FFEC312"/>
    <w:rsid w:val="7FFF6119"/>
    <w:rsid w:val="7FFF687F"/>
    <w:rsid w:val="8B6DCAD1"/>
    <w:rsid w:val="8FFF94B2"/>
    <w:rsid w:val="96B7DBE6"/>
    <w:rsid w:val="97F27A5C"/>
    <w:rsid w:val="9E7CB9AA"/>
    <w:rsid w:val="9FED18C7"/>
    <w:rsid w:val="A3FC9254"/>
    <w:rsid w:val="A99ED6F0"/>
    <w:rsid w:val="ADD699BF"/>
    <w:rsid w:val="ADFB8823"/>
    <w:rsid w:val="AE76A018"/>
    <w:rsid w:val="B1D9F780"/>
    <w:rsid w:val="B3FF8A92"/>
    <w:rsid w:val="B77BCA59"/>
    <w:rsid w:val="B7B69260"/>
    <w:rsid w:val="B7FE24A1"/>
    <w:rsid w:val="BDC7A038"/>
    <w:rsid w:val="BEE7F1E1"/>
    <w:rsid w:val="BF36D967"/>
    <w:rsid w:val="BF5F2F81"/>
    <w:rsid w:val="BF7D8F78"/>
    <w:rsid w:val="BF93CA14"/>
    <w:rsid w:val="BFC16A43"/>
    <w:rsid w:val="C5DB291B"/>
    <w:rsid w:val="C75F7826"/>
    <w:rsid w:val="CAAF01FA"/>
    <w:rsid w:val="CB7D6BA5"/>
    <w:rsid w:val="D3B7E217"/>
    <w:rsid w:val="D73F7588"/>
    <w:rsid w:val="D77AE00F"/>
    <w:rsid w:val="D7AFB060"/>
    <w:rsid w:val="D7DED12E"/>
    <w:rsid w:val="D7F987F8"/>
    <w:rsid w:val="D7FCF11C"/>
    <w:rsid w:val="D7FFBE57"/>
    <w:rsid w:val="DBCF32B4"/>
    <w:rsid w:val="DBFFBE7F"/>
    <w:rsid w:val="DCBF35C7"/>
    <w:rsid w:val="DDABF3D6"/>
    <w:rsid w:val="DDBB6962"/>
    <w:rsid w:val="DDEFF01B"/>
    <w:rsid w:val="DE9FA418"/>
    <w:rsid w:val="DF5EA179"/>
    <w:rsid w:val="DF7D799D"/>
    <w:rsid w:val="DFB7C50E"/>
    <w:rsid w:val="DFEF6029"/>
    <w:rsid w:val="E3755D8B"/>
    <w:rsid w:val="E569BEF1"/>
    <w:rsid w:val="E8C688B1"/>
    <w:rsid w:val="EBEEFCE7"/>
    <w:rsid w:val="ECF362F9"/>
    <w:rsid w:val="EEFFFB9E"/>
    <w:rsid w:val="EF57DEBC"/>
    <w:rsid w:val="EF73E5E1"/>
    <w:rsid w:val="EF7F4AD0"/>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7EDA387"/>
    <w:rsid w:val="F8C71716"/>
    <w:rsid w:val="F8E12771"/>
    <w:rsid w:val="FAEC64ED"/>
    <w:rsid w:val="FAFFC84D"/>
    <w:rsid w:val="FB2D6A8B"/>
    <w:rsid w:val="FB5EC1B9"/>
    <w:rsid w:val="FB7A2DDC"/>
    <w:rsid w:val="FBE7D0D6"/>
    <w:rsid w:val="FBFBFF37"/>
    <w:rsid w:val="FBFFC3FA"/>
    <w:rsid w:val="FCFE84EB"/>
    <w:rsid w:val="FD5F553C"/>
    <w:rsid w:val="FD7EC351"/>
    <w:rsid w:val="FDBD8180"/>
    <w:rsid w:val="FDEA071F"/>
    <w:rsid w:val="FDF5DD60"/>
    <w:rsid w:val="FDFC03B7"/>
    <w:rsid w:val="FDFD0122"/>
    <w:rsid w:val="FDFF271C"/>
    <w:rsid w:val="FE96F136"/>
    <w:rsid w:val="FEAFA6D5"/>
    <w:rsid w:val="FEDF8F89"/>
    <w:rsid w:val="FEFD78D2"/>
    <w:rsid w:val="FEFF68FB"/>
    <w:rsid w:val="FF2D2235"/>
    <w:rsid w:val="FF53E8A1"/>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endnote text"/>
    <w:basedOn w:val="1"/>
    <w:qFormat/>
    <w:uiPriority w:val="0"/>
    <w:pPr>
      <w:snapToGrid w:val="0"/>
      <w:jc w:val="left"/>
    </w:pPr>
    <w:rPr>
      <w:rFonts w:ascii="Times New Roman" w:hAnsi="Times New Roman" w:eastAsia="宋体" w:cs="Times New Roman"/>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next w:val="1"/>
    <w:link w:val="545"/>
    <w:qFormat/>
    <w:uiPriority w:val="0"/>
    <w:pPr>
      <w:ind w:firstLine="420"/>
    </w:pPr>
    <w:rPr>
      <w:szCs w:val="20"/>
    </w:rPr>
  </w:style>
  <w:style w:type="paragraph" w:styleId="60">
    <w:name w:val="Body Text First Indent 2"/>
    <w:basedOn w:val="23"/>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31"/>
    <w:next w:val="1"/>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142</Pages>
  <Words>19800</Words>
  <Characters>21031</Characters>
  <Lines>379</Lines>
  <Paragraphs>106</Paragraphs>
  <TotalTime>25</TotalTime>
  <ScaleCrop>false</ScaleCrop>
  <LinksUpToDate>false</LinksUpToDate>
  <CharactersWithSpaces>21295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2015-05-03T01:52:00Z</dcterms:created>
  <dc:creator>jnkun</dc:creator>
  <cp:lastModifiedBy>ssessu</cp:lastModifiedBy>
  <cp:lastPrinted>2024-11-19T01:00:00Z</cp:lastPrinted>
  <dcterms:modified xsi:type="dcterms:W3CDTF">2024-12-19T10:24:47Z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517B0698D6DC43FB8DBE113954F5BB2B_13</vt:lpwstr>
  </property>
</Properties>
</file>